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FCADD">
      <w:pPr>
        <w:rPr>
          <w:rFonts w:hint="eastAsia" w:ascii="Times New Roman" w:hAnsi="Times New Roman" w:eastAsia="宋体" w:cs="仿宋_GB2312"/>
          <w:color w:val="auto"/>
          <w:spacing w:val="0"/>
          <w:kern w:val="21"/>
          <w:sz w:val="36"/>
          <w:szCs w:val="36"/>
          <w:highlight w:val="none"/>
          <w:lang w:val="en-US" w:eastAsia="zh-CN"/>
        </w:rPr>
      </w:pPr>
      <w:bookmarkStart w:id="0" w:name="_Toc6147"/>
      <w:bookmarkStart w:id="1" w:name="_Toc31160"/>
    </w:p>
    <w:p w14:paraId="77695E62">
      <w:pPr>
        <w:rPr>
          <w:rFonts w:ascii="Times New Roman" w:hAnsi="Times New Roman" w:eastAsia="宋体" w:cs="仿宋_GB2312"/>
          <w:color w:val="auto"/>
          <w:spacing w:val="0"/>
          <w:kern w:val="21"/>
          <w:sz w:val="36"/>
          <w:szCs w:val="36"/>
          <w:highlight w:val="none"/>
        </w:rPr>
      </w:pPr>
      <w:r>
        <w:rPr>
          <w:rFonts w:hint="eastAsia" w:ascii="Times New Roman" w:hAnsi="Times New Roman" w:eastAsia="宋体" w:cs="仿宋_GB2312"/>
          <w:color w:val="auto"/>
          <w:spacing w:val="0"/>
          <w:kern w:val="21"/>
          <w:sz w:val="36"/>
          <w:szCs w:val="36"/>
          <w:highlight w:val="none"/>
          <w:lang w:val="en-US" w:eastAsia="zh-CN"/>
        </w:rPr>
        <w:t xml:space="preserve"> </w:t>
      </w:r>
    </w:p>
    <w:p w14:paraId="20D7FBAC">
      <w:pPr>
        <w:rPr>
          <w:rFonts w:hint="eastAsia" w:ascii="Times New Roman" w:hAnsi="Times New Roman" w:eastAsia="宋体" w:cs="仿宋_GB2312"/>
          <w:color w:val="auto"/>
          <w:spacing w:val="0"/>
          <w:kern w:val="21"/>
          <w:sz w:val="36"/>
          <w:szCs w:val="36"/>
          <w:highlight w:val="none"/>
        </w:rPr>
      </w:pPr>
    </w:p>
    <w:p w14:paraId="051C2DF7">
      <w:pPr>
        <w:pStyle w:val="3"/>
        <w:bidi w:val="0"/>
        <w:ind w:left="0" w:leftChars="0" w:firstLine="0" w:firstLineChars="0"/>
        <w:jc w:val="center"/>
        <w:rPr>
          <w:rFonts w:hint="eastAsia" w:ascii="Times New Roman" w:hAnsi="Times New Roman" w:eastAsia="宋体"/>
          <w:b w:val="0"/>
          <w:bCs/>
          <w:color w:val="auto"/>
          <w:spacing w:val="0"/>
          <w:kern w:val="21"/>
          <w:sz w:val="72"/>
          <w:szCs w:val="72"/>
          <w:highlight w:val="none"/>
          <w:lang w:val="en-US" w:eastAsia="zh-CN" w:bidi="ar-SA"/>
        </w:rPr>
      </w:pPr>
      <w:bookmarkStart w:id="2" w:name="_Toc31070"/>
      <w:r>
        <w:rPr>
          <w:rFonts w:hint="eastAsia" w:ascii="Times New Roman" w:hAnsi="Times New Roman" w:eastAsia="宋体"/>
          <w:b w:val="0"/>
          <w:bCs/>
          <w:color w:val="auto"/>
          <w:spacing w:val="0"/>
          <w:kern w:val="21"/>
          <w:sz w:val="72"/>
          <w:szCs w:val="72"/>
          <w:highlight w:val="none"/>
          <w:lang w:val="en-US" w:eastAsia="zh-CN" w:bidi="ar-SA"/>
        </w:rPr>
        <w:t>建设项目环境影响报告表</w:t>
      </w:r>
      <w:bookmarkEnd w:id="2"/>
    </w:p>
    <w:p w14:paraId="54A0C8D5">
      <w:pPr>
        <w:adjustRightInd w:val="0"/>
        <w:snapToGrid w:val="0"/>
        <w:spacing w:before="192" w:beforeLines="80"/>
        <w:jc w:val="center"/>
        <w:rPr>
          <w:rFonts w:hint="eastAsia" w:ascii="Times New Roman" w:hAnsi="Times New Roman" w:eastAsia="宋体"/>
          <w:bCs/>
          <w:color w:val="auto"/>
          <w:spacing w:val="0"/>
          <w:kern w:val="21"/>
          <w:sz w:val="48"/>
          <w:szCs w:val="48"/>
          <w:highlight w:val="none"/>
        </w:rPr>
      </w:pPr>
      <w:r>
        <w:rPr>
          <w:rFonts w:hint="eastAsia" w:ascii="Times New Roman" w:hAnsi="Times New Roman" w:eastAsia="宋体"/>
          <w:bCs/>
          <w:color w:val="auto"/>
          <w:spacing w:val="0"/>
          <w:kern w:val="21"/>
          <w:sz w:val="48"/>
          <w:szCs w:val="48"/>
          <w:highlight w:val="none"/>
        </w:rPr>
        <w:t>（污染影响类）</w:t>
      </w:r>
    </w:p>
    <w:p w14:paraId="250927E6">
      <w:pPr>
        <w:ind w:firstLine="1040"/>
        <w:rPr>
          <w:rFonts w:ascii="Times New Roman" w:hAnsi="Times New Roman" w:eastAsia="宋体"/>
          <w:color w:val="auto"/>
          <w:spacing w:val="0"/>
          <w:kern w:val="21"/>
          <w:sz w:val="44"/>
          <w:szCs w:val="44"/>
          <w:highlight w:val="none"/>
        </w:rPr>
      </w:pPr>
    </w:p>
    <w:p w14:paraId="1EF18BD9">
      <w:pPr>
        <w:pStyle w:val="11"/>
        <w:rPr>
          <w:rFonts w:ascii="Times New Roman" w:hAnsi="Times New Roman" w:eastAsia="宋体"/>
          <w:color w:val="auto"/>
          <w:spacing w:val="0"/>
          <w:kern w:val="21"/>
          <w:sz w:val="44"/>
          <w:szCs w:val="44"/>
          <w:highlight w:val="none"/>
        </w:rPr>
      </w:pPr>
    </w:p>
    <w:p w14:paraId="7AA828D1">
      <w:pPr>
        <w:rPr>
          <w:color w:val="auto"/>
          <w:highlight w:val="none"/>
        </w:rPr>
      </w:pPr>
    </w:p>
    <w:p w14:paraId="56029C7B">
      <w:pPr>
        <w:rPr>
          <w:color w:val="auto"/>
          <w:highlight w:val="none"/>
        </w:rPr>
      </w:pPr>
    </w:p>
    <w:p w14:paraId="1DB0CA16">
      <w:pPr>
        <w:rPr>
          <w:color w:val="auto"/>
          <w:highlight w:val="none"/>
        </w:rPr>
      </w:pPr>
    </w:p>
    <w:p w14:paraId="79AD5059">
      <w:pPr>
        <w:keepNext w:val="0"/>
        <w:keepLines w:val="0"/>
        <w:pageBreakBefore w:val="0"/>
        <w:widowControl/>
        <w:suppressLineNumbers w:val="0"/>
        <w:kinsoku/>
        <w:wordWrap/>
        <w:overflowPunct/>
        <w:topLinePunct w:val="0"/>
        <w:autoSpaceDE/>
        <w:autoSpaceDN/>
        <w:bidi w:val="0"/>
        <w:adjustRightInd w:val="0"/>
        <w:snapToGrid w:val="0"/>
        <w:spacing w:line="288" w:lineRule="auto"/>
        <w:ind w:left="2520" w:leftChars="300" w:hanging="1800" w:hangingChars="500"/>
        <w:jc w:val="left"/>
        <w:textAlignment w:val="auto"/>
        <w:rPr>
          <w:rFonts w:hint="default"/>
          <w:color w:val="auto"/>
          <w:sz w:val="36"/>
          <w:szCs w:val="36"/>
          <w:highlight w:val="none"/>
          <w:u w:val="single"/>
          <w:lang w:val="en-US"/>
        </w:rPr>
      </w:pPr>
      <w:r>
        <w:rPr>
          <w:color w:val="auto"/>
          <w:sz w:val="36"/>
          <w:szCs w:val="36"/>
          <w:highlight w:val="none"/>
        </w:rPr>
        <w:t>项目名称：</w:t>
      </w:r>
      <w:r>
        <w:rPr>
          <w:rFonts w:hint="eastAsia"/>
          <w:color w:val="auto"/>
          <w:spacing w:val="0"/>
          <w:kern w:val="21"/>
          <w:sz w:val="36"/>
          <w:szCs w:val="36"/>
          <w:highlight w:val="none"/>
          <w:u w:val="single"/>
          <w:lang w:val="en-US" w:eastAsia="zh-CN"/>
        </w:rPr>
        <w:t>高安市环鑫环保科技有限公司环保免烧砖及掺合料生产建设项目</w:t>
      </w:r>
      <w:r>
        <w:rPr>
          <w:rFonts w:hint="eastAsia" w:ascii="Times New Roman" w:hAnsi="Times New Roman" w:eastAsia="宋体" w:cs="Times New Roman"/>
          <w:color w:val="auto"/>
          <w:kern w:val="2"/>
          <w:sz w:val="36"/>
          <w:szCs w:val="36"/>
          <w:highlight w:val="none"/>
          <w:u w:val="single"/>
          <w:lang w:val="en-US" w:eastAsia="zh-CN" w:bidi="ar"/>
        </w:rPr>
        <w:t xml:space="preserve">                         </w:t>
      </w:r>
    </w:p>
    <w:p w14:paraId="255216F2">
      <w:pPr>
        <w:keepNext w:val="0"/>
        <w:keepLines w:val="0"/>
        <w:pageBreakBefore w:val="0"/>
        <w:widowControl w:val="0"/>
        <w:kinsoku/>
        <w:wordWrap/>
        <w:overflowPunct/>
        <w:topLinePunct w:val="0"/>
        <w:autoSpaceDE/>
        <w:autoSpaceDN/>
        <w:bidi w:val="0"/>
        <w:adjustRightInd w:val="0"/>
        <w:snapToGrid w:val="0"/>
        <w:spacing w:line="360" w:lineRule="auto"/>
        <w:ind w:left="2520" w:leftChars="300" w:hanging="1800" w:hangingChars="500"/>
        <w:textAlignment w:val="auto"/>
        <w:rPr>
          <w:color w:val="auto"/>
          <w:sz w:val="36"/>
          <w:szCs w:val="36"/>
          <w:highlight w:val="none"/>
          <w:u w:val="single"/>
        </w:rPr>
      </w:pPr>
      <w:r>
        <w:rPr>
          <w:color w:val="auto"/>
          <w:sz w:val="36"/>
          <w:szCs w:val="36"/>
          <w:highlight w:val="none"/>
        </w:rPr>
        <w:t>建设单位（盖章）：</w:t>
      </w:r>
      <w:r>
        <w:rPr>
          <w:rFonts w:hint="eastAsia"/>
          <w:color w:val="auto"/>
          <w:spacing w:val="0"/>
          <w:kern w:val="21"/>
          <w:sz w:val="36"/>
          <w:szCs w:val="36"/>
          <w:highlight w:val="none"/>
          <w:u w:val="single"/>
          <w:lang w:val="en-US" w:eastAsia="zh-CN"/>
        </w:rPr>
        <w:t>高安市环鑫环保科技有限公司</w:t>
      </w:r>
      <w:r>
        <w:rPr>
          <w:rFonts w:hint="eastAsia" w:ascii="Times New Roman" w:hAnsi="Times New Roman" w:eastAsia="宋体" w:cs="Times New Roman"/>
          <w:color w:val="auto"/>
          <w:sz w:val="36"/>
          <w:szCs w:val="36"/>
          <w:highlight w:val="none"/>
          <w:u w:val="single"/>
          <w:lang w:bidi="ar"/>
        </w:rPr>
        <w:t xml:space="preserve">  </w:t>
      </w:r>
      <w:r>
        <w:rPr>
          <w:color w:val="auto"/>
          <w:sz w:val="36"/>
          <w:szCs w:val="36"/>
          <w:highlight w:val="none"/>
          <w:u w:val="single"/>
        </w:rPr>
        <w:t xml:space="preserve">           </w:t>
      </w:r>
      <w:r>
        <w:rPr>
          <w:rFonts w:hint="eastAsia"/>
          <w:color w:val="auto"/>
          <w:sz w:val="36"/>
          <w:szCs w:val="36"/>
          <w:highlight w:val="none"/>
          <w:u w:val="single"/>
          <w:lang w:val="en-US" w:eastAsia="zh-CN"/>
        </w:rPr>
        <w:t xml:space="preserve">   </w:t>
      </w:r>
      <w:r>
        <w:rPr>
          <w:color w:val="auto"/>
          <w:sz w:val="36"/>
          <w:szCs w:val="36"/>
          <w:highlight w:val="none"/>
          <w:u w:val="single"/>
        </w:rPr>
        <w:t xml:space="preserve">     </w:t>
      </w:r>
    </w:p>
    <w:p w14:paraId="2CA6F8DA">
      <w:pPr>
        <w:keepNext w:val="0"/>
        <w:keepLines w:val="0"/>
        <w:pageBreakBefore w:val="0"/>
        <w:widowControl w:val="0"/>
        <w:kinsoku/>
        <w:wordWrap/>
        <w:overflowPunct/>
        <w:topLinePunct w:val="0"/>
        <w:autoSpaceDE/>
        <w:autoSpaceDN/>
        <w:bidi w:val="0"/>
        <w:spacing w:line="360" w:lineRule="auto"/>
        <w:ind w:left="2520" w:leftChars="300" w:hanging="1800" w:hangingChars="500"/>
        <w:textAlignment w:val="auto"/>
        <w:rPr>
          <w:rFonts w:ascii="Times New Roman" w:hAnsi="Times New Roman" w:eastAsia="宋体"/>
          <w:color w:val="auto"/>
          <w:spacing w:val="0"/>
          <w:kern w:val="21"/>
          <w:sz w:val="44"/>
          <w:szCs w:val="44"/>
          <w:highlight w:val="none"/>
        </w:rPr>
      </w:pPr>
      <w:r>
        <w:rPr>
          <w:color w:val="auto"/>
          <w:sz w:val="36"/>
          <w:szCs w:val="36"/>
          <w:highlight w:val="none"/>
        </w:rPr>
        <w:t>编制日期：</w:t>
      </w:r>
      <w:r>
        <w:rPr>
          <w:color w:val="auto"/>
          <w:sz w:val="36"/>
          <w:szCs w:val="36"/>
          <w:highlight w:val="none"/>
          <w:u w:val="single"/>
        </w:rPr>
        <w:t xml:space="preserve">       202</w:t>
      </w:r>
      <w:r>
        <w:rPr>
          <w:rFonts w:hint="eastAsia"/>
          <w:color w:val="auto"/>
          <w:sz w:val="36"/>
          <w:szCs w:val="36"/>
          <w:highlight w:val="none"/>
          <w:u w:val="single"/>
          <w:lang w:val="en-US" w:eastAsia="zh-CN"/>
        </w:rPr>
        <w:t>5</w:t>
      </w:r>
      <w:r>
        <w:rPr>
          <w:color w:val="auto"/>
          <w:sz w:val="36"/>
          <w:szCs w:val="36"/>
          <w:highlight w:val="none"/>
          <w:u w:val="single"/>
        </w:rPr>
        <w:t>年</w:t>
      </w:r>
      <w:r>
        <w:rPr>
          <w:rFonts w:hint="eastAsia"/>
          <w:color w:val="auto"/>
          <w:sz w:val="36"/>
          <w:szCs w:val="36"/>
          <w:highlight w:val="none"/>
          <w:u w:val="single"/>
          <w:lang w:val="en-US" w:eastAsia="zh-CN"/>
        </w:rPr>
        <w:t>12</w:t>
      </w:r>
      <w:r>
        <w:rPr>
          <w:color w:val="auto"/>
          <w:sz w:val="36"/>
          <w:szCs w:val="36"/>
          <w:highlight w:val="none"/>
          <w:u w:val="single"/>
        </w:rPr>
        <w:t xml:space="preserve">月                  </w:t>
      </w:r>
    </w:p>
    <w:p w14:paraId="636DCB94">
      <w:pPr>
        <w:adjustRightInd w:val="0"/>
        <w:snapToGrid w:val="0"/>
        <w:spacing w:line="288" w:lineRule="auto"/>
        <w:ind w:firstLine="1040"/>
        <w:rPr>
          <w:rFonts w:ascii="Times New Roman" w:hAnsi="Times New Roman" w:eastAsia="宋体"/>
          <w:color w:val="auto"/>
          <w:spacing w:val="0"/>
          <w:kern w:val="21"/>
          <w:sz w:val="36"/>
          <w:szCs w:val="36"/>
          <w:highlight w:val="none"/>
          <w:u w:val="single"/>
        </w:rPr>
      </w:pPr>
      <w:bookmarkStart w:id="3" w:name="_Hlk57884087"/>
    </w:p>
    <w:p w14:paraId="11432F4A">
      <w:pPr>
        <w:adjustRightInd w:val="0"/>
        <w:snapToGrid w:val="0"/>
        <w:spacing w:line="288" w:lineRule="auto"/>
        <w:rPr>
          <w:rFonts w:ascii="Times New Roman" w:hAnsi="Times New Roman" w:eastAsia="宋体"/>
          <w:color w:val="auto"/>
          <w:spacing w:val="0"/>
          <w:kern w:val="21"/>
          <w:sz w:val="36"/>
          <w:szCs w:val="36"/>
          <w:highlight w:val="none"/>
        </w:rPr>
      </w:pPr>
    </w:p>
    <w:p w14:paraId="4D107386">
      <w:pPr>
        <w:adjustRightInd w:val="0"/>
        <w:snapToGrid w:val="0"/>
        <w:spacing w:line="288" w:lineRule="auto"/>
        <w:ind w:firstLine="1040"/>
        <w:rPr>
          <w:rFonts w:hint="eastAsia" w:ascii="Times New Roman" w:hAnsi="Times New Roman" w:eastAsia="宋体"/>
          <w:color w:val="auto"/>
          <w:spacing w:val="0"/>
          <w:kern w:val="21"/>
          <w:sz w:val="36"/>
          <w:szCs w:val="36"/>
          <w:highlight w:val="none"/>
        </w:rPr>
      </w:pPr>
    </w:p>
    <w:p w14:paraId="570C051D">
      <w:pPr>
        <w:adjustRightInd w:val="0"/>
        <w:snapToGrid w:val="0"/>
        <w:spacing w:line="288" w:lineRule="auto"/>
        <w:ind w:firstLine="1040"/>
        <w:rPr>
          <w:rFonts w:hint="eastAsia" w:ascii="Times New Roman" w:hAnsi="Times New Roman" w:eastAsia="宋体"/>
          <w:color w:val="auto"/>
          <w:spacing w:val="0"/>
          <w:kern w:val="21"/>
          <w:sz w:val="36"/>
          <w:szCs w:val="36"/>
          <w:highlight w:val="none"/>
        </w:rPr>
      </w:pPr>
    </w:p>
    <w:bookmarkEnd w:id="3"/>
    <w:p w14:paraId="4B8E19DD">
      <w:pPr>
        <w:adjustRightInd w:val="0"/>
        <w:snapToGrid w:val="0"/>
        <w:spacing w:line="288" w:lineRule="auto"/>
        <w:jc w:val="center"/>
        <w:rPr>
          <w:rFonts w:hint="eastAsia" w:ascii="Times New Roman" w:hAnsi="Times New Roman" w:eastAsia="宋体"/>
          <w:color w:val="auto"/>
          <w:spacing w:val="0"/>
          <w:kern w:val="21"/>
          <w:sz w:val="36"/>
          <w:szCs w:val="36"/>
          <w:highlight w:val="none"/>
        </w:rPr>
        <w:sectPr>
          <w:footerReference r:id="rId5" w:type="default"/>
          <w:footerReference r:id="rId6"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ascii="Times New Roman" w:hAnsi="Times New Roman" w:eastAsia="宋体"/>
          <w:color w:val="auto"/>
          <w:spacing w:val="0"/>
          <w:kern w:val="21"/>
          <w:sz w:val="36"/>
          <w:szCs w:val="36"/>
          <w:highlight w:val="none"/>
        </w:rPr>
        <w:t>中华人民共和国生态环境部制</w:t>
      </w:r>
    </w:p>
    <w:p w14:paraId="091EB337">
      <w:pPr>
        <w:adjustRightInd w:val="0"/>
        <w:snapToGrid w:val="0"/>
        <w:spacing w:line="288" w:lineRule="auto"/>
        <w:jc w:val="center"/>
        <w:rPr>
          <w:rFonts w:hint="eastAsia" w:ascii="Times New Roman" w:hAnsi="Times New Roman" w:eastAsia="宋体"/>
          <w:color w:val="auto"/>
          <w:spacing w:val="0"/>
          <w:kern w:val="21"/>
          <w:sz w:val="36"/>
          <w:szCs w:val="36"/>
          <w:highlight w:val="none"/>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sdt>
      <w:sdtPr>
        <w:rPr>
          <w:rFonts w:ascii="宋体" w:hAnsi="宋体" w:eastAsia="宋体" w:cstheme="minorBidi"/>
          <w:color w:val="auto"/>
          <w:kern w:val="2"/>
          <w:sz w:val="36"/>
          <w:szCs w:val="36"/>
          <w:highlight w:val="none"/>
          <w:lang w:val="en-US" w:eastAsia="zh-CN" w:bidi="ar-SA"/>
        </w:rPr>
        <w:id w:val="147464933"/>
        <w15:color w:val="DBDBDB"/>
        <w:docPartObj>
          <w:docPartGallery w:val="Table of Contents"/>
          <w:docPartUnique/>
        </w:docPartObj>
      </w:sdtPr>
      <w:sdtEndPr>
        <w:rPr>
          <w:rFonts w:hint="eastAsia" w:ascii="Times New Roman" w:hAnsi="Times New Roman" w:eastAsia="宋体" w:cstheme="minorBidi"/>
          <w:color w:val="auto"/>
          <w:spacing w:val="0"/>
          <w:kern w:val="21"/>
          <w:sz w:val="24"/>
          <w:szCs w:val="36"/>
          <w:highlight w:val="none"/>
          <w:lang w:val="en-US" w:eastAsia="zh-CN" w:bidi="ar-SA"/>
        </w:rPr>
      </w:sdtEndPr>
      <w:sdtContent>
        <w:p w14:paraId="52B2E70D">
          <w:pPr>
            <w:spacing w:before="0" w:beforeLines="0" w:after="0" w:afterLines="0" w:line="240" w:lineRule="auto"/>
            <w:ind w:left="0" w:leftChars="0" w:right="0" w:rightChars="0" w:firstLine="0" w:firstLineChars="0"/>
            <w:jc w:val="center"/>
            <w:rPr>
              <w:color w:val="auto"/>
              <w:sz w:val="36"/>
              <w:szCs w:val="36"/>
              <w:highlight w:val="none"/>
            </w:rPr>
          </w:pPr>
          <w:r>
            <w:rPr>
              <w:rFonts w:ascii="宋体" w:hAnsi="宋体" w:eastAsia="宋体"/>
              <w:color w:val="auto"/>
              <w:sz w:val="36"/>
              <w:szCs w:val="36"/>
              <w:highlight w:val="none"/>
            </w:rPr>
            <w:t>目录</w:t>
          </w:r>
        </w:p>
        <w:p w14:paraId="2D28EDB1">
          <w:pPr>
            <w:pStyle w:val="19"/>
            <w:keepNext w:val="0"/>
            <w:keepLines w:val="0"/>
            <w:pageBreakBefore w:val="0"/>
            <w:widowControl w:val="0"/>
            <w:tabs>
              <w:tab w:val="right" w:leader="middleDot" w:pos="8844"/>
            </w:tabs>
            <w:kinsoku/>
            <w:wordWrap/>
            <w:overflowPunct/>
            <w:topLinePunct w:val="0"/>
            <w:autoSpaceDE/>
            <w:autoSpaceDN/>
            <w:bidi w:val="0"/>
            <w:adjustRightInd/>
            <w:snapToGrid/>
            <w:ind w:left="0" w:leftChars="0" w:firstLine="0" w:firstLineChars="0"/>
            <w:textAlignment w:val="auto"/>
            <w:rPr>
              <w:color w:val="auto"/>
              <w:sz w:val="28"/>
              <w:szCs w:val="28"/>
              <w:highlight w:val="none"/>
            </w:rPr>
          </w:pPr>
          <w:r>
            <w:rPr>
              <w:rFonts w:hint="eastAsia" w:ascii="Times New Roman" w:hAnsi="Times New Roman" w:eastAsia="宋体"/>
              <w:color w:val="auto"/>
              <w:spacing w:val="0"/>
              <w:kern w:val="21"/>
              <w:sz w:val="36"/>
              <w:szCs w:val="36"/>
              <w:highlight w:val="none"/>
            </w:rPr>
            <w:fldChar w:fldCharType="begin"/>
          </w:r>
          <w:r>
            <w:rPr>
              <w:rFonts w:hint="eastAsia" w:ascii="Times New Roman" w:hAnsi="Times New Roman" w:eastAsia="宋体"/>
              <w:color w:val="auto"/>
              <w:spacing w:val="0"/>
              <w:kern w:val="21"/>
              <w:sz w:val="36"/>
              <w:szCs w:val="36"/>
              <w:highlight w:val="none"/>
            </w:rPr>
            <w:instrText xml:space="preserve">TOC \o "1-1" \h \u </w:instrText>
          </w:r>
          <w:r>
            <w:rPr>
              <w:rFonts w:hint="eastAsia" w:ascii="Times New Roman" w:hAnsi="Times New Roman" w:eastAsia="宋体"/>
              <w:color w:val="auto"/>
              <w:spacing w:val="0"/>
              <w:kern w:val="21"/>
              <w:sz w:val="36"/>
              <w:szCs w:val="36"/>
              <w:highlight w:val="none"/>
            </w:rPr>
            <w:fldChar w:fldCharType="separate"/>
          </w: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_Toc21313 </w:instrText>
          </w:r>
          <w:r>
            <w:rPr>
              <w:rFonts w:hint="eastAsia" w:ascii="Times New Roman" w:hAnsi="Times New Roman" w:eastAsia="宋体"/>
              <w:color w:val="auto"/>
              <w:spacing w:val="0"/>
              <w:kern w:val="21"/>
              <w:sz w:val="28"/>
              <w:szCs w:val="28"/>
              <w:highlight w:val="none"/>
            </w:rPr>
            <w:fldChar w:fldCharType="separate"/>
          </w:r>
          <w:r>
            <w:rPr>
              <w:rFonts w:hint="default" w:ascii="Times New Roman" w:hAnsi="Times New Roman" w:eastAsia="黑体" w:cs="Times New Roman"/>
              <w:snapToGrid w:val="0"/>
              <w:color w:val="auto"/>
              <w:sz w:val="28"/>
              <w:szCs w:val="28"/>
              <w:highlight w:val="none"/>
            </w:rPr>
            <w:t>一、建设项目基本情况</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_Toc21313 \h </w:instrText>
          </w:r>
          <w:r>
            <w:rPr>
              <w:color w:val="auto"/>
              <w:sz w:val="28"/>
              <w:szCs w:val="28"/>
              <w:highlight w:val="none"/>
            </w:rPr>
            <w:fldChar w:fldCharType="separate"/>
          </w:r>
          <w:r>
            <w:rPr>
              <w:color w:val="auto"/>
              <w:sz w:val="28"/>
              <w:szCs w:val="28"/>
              <w:highlight w:val="none"/>
            </w:rPr>
            <w:t>1</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3E74999D">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sz w:val="28"/>
              <w:szCs w:val="28"/>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_Toc17602 </w:instrText>
          </w:r>
          <w:r>
            <w:rPr>
              <w:rFonts w:hint="eastAsia" w:ascii="Times New Roman" w:hAnsi="Times New Roman" w:eastAsia="宋体"/>
              <w:color w:val="auto"/>
              <w:spacing w:val="0"/>
              <w:kern w:val="21"/>
              <w:sz w:val="28"/>
              <w:szCs w:val="28"/>
              <w:highlight w:val="none"/>
            </w:rPr>
            <w:fldChar w:fldCharType="separate"/>
          </w:r>
          <w:r>
            <w:rPr>
              <w:rFonts w:hint="eastAsia" w:ascii="Times New Roman" w:hAnsi="Times New Roman" w:eastAsia="黑体" w:cs="Times New Roman"/>
              <w:snapToGrid w:val="0"/>
              <w:color w:val="auto"/>
              <w:sz w:val="28"/>
              <w:szCs w:val="28"/>
              <w:highlight w:val="none"/>
              <w:lang w:val="en-US" w:eastAsia="zh-CN"/>
            </w:rPr>
            <w:t>二</w:t>
          </w:r>
          <w:r>
            <w:rPr>
              <w:rFonts w:hint="default" w:ascii="Times New Roman" w:hAnsi="Times New Roman" w:eastAsia="黑体" w:cs="Times New Roman"/>
              <w:snapToGrid w:val="0"/>
              <w:color w:val="auto"/>
              <w:sz w:val="28"/>
              <w:szCs w:val="28"/>
              <w:highlight w:val="none"/>
            </w:rPr>
            <w:t>、建设项目工程分析</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_Toc17602 \h </w:instrText>
          </w:r>
          <w:r>
            <w:rPr>
              <w:color w:val="auto"/>
              <w:sz w:val="28"/>
              <w:szCs w:val="28"/>
              <w:highlight w:val="none"/>
            </w:rPr>
            <w:fldChar w:fldCharType="separate"/>
          </w:r>
          <w:r>
            <w:rPr>
              <w:color w:val="auto"/>
              <w:sz w:val="28"/>
              <w:szCs w:val="28"/>
              <w:highlight w:val="none"/>
            </w:rPr>
            <w:t>35</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6F268BB4">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sz w:val="28"/>
              <w:szCs w:val="28"/>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_Toc25553 </w:instrText>
          </w:r>
          <w:r>
            <w:rPr>
              <w:rFonts w:hint="eastAsia" w:ascii="Times New Roman" w:hAnsi="Times New Roman" w:eastAsia="宋体"/>
              <w:color w:val="auto"/>
              <w:spacing w:val="0"/>
              <w:kern w:val="21"/>
              <w:sz w:val="28"/>
              <w:szCs w:val="28"/>
              <w:highlight w:val="none"/>
            </w:rPr>
            <w:fldChar w:fldCharType="separate"/>
          </w:r>
          <w:r>
            <w:rPr>
              <w:rFonts w:hint="eastAsia" w:ascii="Times New Roman" w:hAnsi="Times New Roman" w:eastAsia="黑体" w:cs="Times New Roman"/>
              <w:snapToGrid w:val="0"/>
              <w:color w:val="auto"/>
              <w:sz w:val="28"/>
              <w:szCs w:val="28"/>
              <w:highlight w:val="none"/>
              <w:lang w:val="en-US" w:eastAsia="zh-CN"/>
            </w:rPr>
            <w:t>三</w:t>
          </w:r>
          <w:r>
            <w:rPr>
              <w:rFonts w:hint="default" w:ascii="Times New Roman" w:hAnsi="Times New Roman" w:eastAsia="黑体" w:cs="Times New Roman"/>
              <w:snapToGrid w:val="0"/>
              <w:color w:val="auto"/>
              <w:sz w:val="28"/>
              <w:szCs w:val="28"/>
              <w:highlight w:val="none"/>
            </w:rPr>
            <w:t>、区域环境质量现状、环境保护目标及评价标准</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_Toc25553 \h </w:instrText>
          </w:r>
          <w:r>
            <w:rPr>
              <w:color w:val="auto"/>
              <w:sz w:val="28"/>
              <w:szCs w:val="28"/>
              <w:highlight w:val="none"/>
            </w:rPr>
            <w:fldChar w:fldCharType="separate"/>
          </w:r>
          <w:r>
            <w:rPr>
              <w:color w:val="auto"/>
              <w:sz w:val="28"/>
              <w:szCs w:val="28"/>
              <w:highlight w:val="none"/>
            </w:rPr>
            <w:t>69</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780772E9">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sz w:val="28"/>
              <w:szCs w:val="28"/>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_Toc12052 </w:instrText>
          </w:r>
          <w:r>
            <w:rPr>
              <w:rFonts w:hint="eastAsia" w:ascii="Times New Roman" w:hAnsi="Times New Roman" w:eastAsia="宋体"/>
              <w:color w:val="auto"/>
              <w:spacing w:val="0"/>
              <w:kern w:val="21"/>
              <w:sz w:val="28"/>
              <w:szCs w:val="28"/>
              <w:highlight w:val="none"/>
            </w:rPr>
            <w:fldChar w:fldCharType="separate"/>
          </w:r>
          <w:r>
            <w:rPr>
              <w:rFonts w:hint="eastAsia" w:ascii="黑体" w:hAnsi="黑体" w:eastAsia="黑体"/>
              <w:snapToGrid w:val="0"/>
              <w:color w:val="auto"/>
              <w:sz w:val="28"/>
              <w:szCs w:val="28"/>
              <w:highlight w:val="none"/>
            </w:rPr>
            <w:t>四、主要环境影响和保护措施</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_Toc12052 \h </w:instrText>
          </w:r>
          <w:r>
            <w:rPr>
              <w:color w:val="auto"/>
              <w:sz w:val="28"/>
              <w:szCs w:val="28"/>
              <w:highlight w:val="none"/>
            </w:rPr>
            <w:fldChar w:fldCharType="separate"/>
          </w:r>
          <w:r>
            <w:rPr>
              <w:color w:val="auto"/>
              <w:sz w:val="28"/>
              <w:szCs w:val="28"/>
              <w:highlight w:val="none"/>
            </w:rPr>
            <w:t>79</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1AE07919">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sz w:val="28"/>
              <w:szCs w:val="28"/>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_Toc4774 </w:instrText>
          </w:r>
          <w:r>
            <w:rPr>
              <w:rFonts w:hint="eastAsia" w:ascii="Times New Roman" w:hAnsi="Times New Roman" w:eastAsia="宋体"/>
              <w:color w:val="auto"/>
              <w:spacing w:val="0"/>
              <w:kern w:val="21"/>
              <w:sz w:val="28"/>
              <w:szCs w:val="28"/>
              <w:highlight w:val="none"/>
            </w:rPr>
            <w:fldChar w:fldCharType="separate"/>
          </w:r>
          <w:r>
            <w:rPr>
              <w:rFonts w:hint="eastAsia" w:ascii="黑体" w:hAnsi="黑体" w:eastAsia="黑体"/>
              <w:snapToGrid w:val="0"/>
              <w:color w:val="auto"/>
              <w:sz w:val="28"/>
              <w:szCs w:val="28"/>
              <w:highlight w:val="none"/>
            </w:rPr>
            <w:t>五、环境保护措施监督检查清单</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_Toc4774 \h </w:instrText>
          </w:r>
          <w:r>
            <w:rPr>
              <w:color w:val="auto"/>
              <w:sz w:val="28"/>
              <w:szCs w:val="28"/>
              <w:highlight w:val="none"/>
            </w:rPr>
            <w:fldChar w:fldCharType="separate"/>
          </w:r>
          <w:r>
            <w:rPr>
              <w:color w:val="auto"/>
              <w:sz w:val="28"/>
              <w:szCs w:val="28"/>
              <w:highlight w:val="none"/>
            </w:rPr>
            <w:t>131</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10E26DCD">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sz w:val="28"/>
              <w:szCs w:val="28"/>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_Toc7187 </w:instrText>
          </w:r>
          <w:r>
            <w:rPr>
              <w:rFonts w:hint="eastAsia" w:ascii="Times New Roman" w:hAnsi="Times New Roman" w:eastAsia="宋体"/>
              <w:color w:val="auto"/>
              <w:spacing w:val="0"/>
              <w:kern w:val="21"/>
              <w:sz w:val="28"/>
              <w:szCs w:val="28"/>
              <w:highlight w:val="none"/>
            </w:rPr>
            <w:fldChar w:fldCharType="separate"/>
          </w:r>
          <w:r>
            <w:rPr>
              <w:rFonts w:hint="eastAsia" w:ascii="黑体" w:hAnsi="黑体" w:eastAsia="黑体"/>
              <w:snapToGrid w:val="0"/>
              <w:color w:val="auto"/>
              <w:sz w:val="28"/>
              <w:szCs w:val="28"/>
              <w:highlight w:val="none"/>
            </w:rPr>
            <w:t>六、结论</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_Toc7187 \h </w:instrText>
          </w:r>
          <w:r>
            <w:rPr>
              <w:color w:val="auto"/>
              <w:sz w:val="28"/>
              <w:szCs w:val="28"/>
              <w:highlight w:val="none"/>
            </w:rPr>
            <w:fldChar w:fldCharType="separate"/>
          </w:r>
          <w:r>
            <w:rPr>
              <w:color w:val="auto"/>
              <w:sz w:val="28"/>
              <w:szCs w:val="28"/>
              <w:highlight w:val="none"/>
            </w:rPr>
            <w:t>133</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1A83BA8D">
          <w:pPr>
            <w:pStyle w:val="19"/>
            <w:keepNext w:val="0"/>
            <w:keepLines w:val="0"/>
            <w:pageBreakBefore w:val="0"/>
            <w:widowControl w:val="0"/>
            <w:tabs>
              <w:tab w:val="right" w:leader="middleDot" w:pos="8844"/>
            </w:tabs>
            <w:kinsoku/>
            <w:wordWrap/>
            <w:overflowPunct/>
            <w:topLinePunct w:val="0"/>
            <w:autoSpaceDE/>
            <w:autoSpaceDN/>
            <w:bidi w:val="0"/>
            <w:adjustRightInd/>
            <w:snapToGrid/>
            <w:ind w:firstLine="0" w:firstLineChars="0"/>
            <w:textAlignment w:val="auto"/>
            <w:rPr>
              <w:color w:val="auto"/>
              <w:highlight w:val="none"/>
            </w:rPr>
          </w:pP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_Toc22188 </w:instrText>
          </w:r>
          <w:r>
            <w:rPr>
              <w:rFonts w:hint="eastAsia" w:ascii="Times New Roman" w:hAnsi="Times New Roman" w:eastAsia="宋体"/>
              <w:color w:val="auto"/>
              <w:spacing w:val="0"/>
              <w:kern w:val="21"/>
              <w:sz w:val="28"/>
              <w:szCs w:val="28"/>
              <w:highlight w:val="none"/>
            </w:rPr>
            <w:fldChar w:fldCharType="separate"/>
          </w:r>
          <w:r>
            <w:rPr>
              <w:rFonts w:hint="eastAsia" w:ascii="黑体" w:hAnsi="黑体" w:eastAsia="黑体"/>
              <w:snapToGrid w:val="0"/>
              <w:color w:val="auto"/>
              <w:sz w:val="28"/>
              <w:szCs w:val="28"/>
              <w:highlight w:val="none"/>
            </w:rPr>
            <w:t>附表</w:t>
          </w:r>
          <w:r>
            <w:rPr>
              <w:rFonts w:hint="eastAsia" w:ascii="Times New Roman" w:hAnsi="Times New Roman" w:eastAsia="宋体"/>
              <w:color w:val="auto"/>
              <w:spacing w:val="0"/>
              <w:kern w:val="21"/>
              <w:sz w:val="28"/>
              <w:szCs w:val="28"/>
              <w:highlight w:val="none"/>
            </w:rPr>
            <w:fldChar w:fldCharType="end"/>
          </w:r>
          <w:r>
            <w:rPr>
              <w:rFonts w:hint="eastAsia"/>
              <w:color w:val="auto"/>
              <w:spacing w:val="0"/>
              <w:kern w:val="21"/>
              <w:sz w:val="28"/>
              <w:szCs w:val="28"/>
              <w:highlight w:val="none"/>
              <w:lang w:eastAsia="zh-CN"/>
            </w:rPr>
            <w:t>：</w:t>
          </w:r>
          <w:r>
            <w:rPr>
              <w:rFonts w:hint="eastAsia" w:ascii="Times New Roman" w:hAnsi="Times New Roman" w:eastAsia="宋体"/>
              <w:color w:val="auto"/>
              <w:spacing w:val="0"/>
              <w:kern w:val="21"/>
              <w:sz w:val="28"/>
              <w:szCs w:val="28"/>
              <w:highlight w:val="none"/>
            </w:rPr>
            <w:fldChar w:fldCharType="begin"/>
          </w:r>
          <w:r>
            <w:rPr>
              <w:rFonts w:hint="eastAsia" w:ascii="Times New Roman" w:hAnsi="Times New Roman" w:eastAsia="宋体"/>
              <w:color w:val="auto"/>
              <w:spacing w:val="0"/>
              <w:kern w:val="21"/>
              <w:sz w:val="28"/>
              <w:szCs w:val="28"/>
              <w:highlight w:val="none"/>
            </w:rPr>
            <w:instrText xml:space="preserve"> HYPERLINK \l _Toc11443 </w:instrText>
          </w:r>
          <w:r>
            <w:rPr>
              <w:rFonts w:hint="eastAsia" w:ascii="Times New Roman" w:hAnsi="Times New Roman" w:eastAsia="宋体"/>
              <w:color w:val="auto"/>
              <w:spacing w:val="0"/>
              <w:kern w:val="21"/>
              <w:sz w:val="28"/>
              <w:szCs w:val="28"/>
              <w:highlight w:val="none"/>
            </w:rPr>
            <w:fldChar w:fldCharType="separate"/>
          </w:r>
          <w:r>
            <w:rPr>
              <w:rFonts w:hint="eastAsia" w:ascii="黑体" w:hAnsi="黑体" w:eastAsia="黑体"/>
              <w:snapToGrid w:val="0"/>
              <w:color w:val="auto"/>
              <w:sz w:val="28"/>
              <w:szCs w:val="28"/>
              <w:highlight w:val="none"/>
            </w:rPr>
            <w:t>建设项目污染物排放量汇总表单位</w:t>
          </w:r>
          <w:r>
            <w:rPr>
              <w:rFonts w:hint="eastAsia" w:ascii="方正小标宋_GBK" w:hAnsi="黑体" w:eastAsia="方正小标宋_GBK"/>
              <w:snapToGrid w:val="0"/>
              <w:color w:val="auto"/>
              <w:sz w:val="28"/>
              <w:szCs w:val="28"/>
              <w:highlight w:val="none"/>
            </w:rPr>
            <w:t>：</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_Toc11443 \h </w:instrText>
          </w:r>
          <w:r>
            <w:rPr>
              <w:color w:val="auto"/>
              <w:sz w:val="28"/>
              <w:szCs w:val="28"/>
              <w:highlight w:val="none"/>
            </w:rPr>
            <w:fldChar w:fldCharType="separate"/>
          </w:r>
          <w:r>
            <w:rPr>
              <w:color w:val="auto"/>
              <w:sz w:val="28"/>
              <w:szCs w:val="28"/>
              <w:highlight w:val="none"/>
            </w:rPr>
            <w:t>134</w:t>
          </w:r>
          <w:r>
            <w:rPr>
              <w:color w:val="auto"/>
              <w:sz w:val="28"/>
              <w:szCs w:val="28"/>
              <w:highlight w:val="none"/>
            </w:rPr>
            <w:fldChar w:fldCharType="end"/>
          </w:r>
          <w:r>
            <w:rPr>
              <w:rFonts w:hint="eastAsia" w:ascii="Times New Roman" w:hAnsi="Times New Roman" w:eastAsia="宋体"/>
              <w:color w:val="auto"/>
              <w:spacing w:val="0"/>
              <w:kern w:val="21"/>
              <w:sz w:val="28"/>
              <w:szCs w:val="28"/>
              <w:highlight w:val="none"/>
            </w:rPr>
            <w:fldChar w:fldCharType="end"/>
          </w:r>
        </w:p>
        <w:p w14:paraId="1BB2B70B">
          <w:pPr>
            <w:adjustRightInd w:val="0"/>
            <w:snapToGrid w:val="0"/>
            <w:spacing w:line="288" w:lineRule="auto"/>
            <w:jc w:val="center"/>
            <w:rPr>
              <w:rFonts w:hint="eastAsia" w:ascii="Times New Roman" w:hAnsi="Times New Roman" w:eastAsia="宋体" w:cstheme="minorBidi"/>
              <w:color w:val="auto"/>
              <w:spacing w:val="0"/>
              <w:kern w:val="21"/>
              <w:sz w:val="24"/>
              <w:szCs w:val="36"/>
              <w:highlight w:val="none"/>
              <w:lang w:val="en-US" w:eastAsia="zh-CN" w:bidi="ar-SA"/>
            </w:rPr>
          </w:pPr>
          <w:r>
            <w:rPr>
              <w:rFonts w:hint="eastAsia" w:ascii="Times New Roman" w:hAnsi="Times New Roman" w:eastAsia="宋体"/>
              <w:color w:val="auto"/>
              <w:spacing w:val="0"/>
              <w:kern w:val="21"/>
              <w:szCs w:val="36"/>
              <w:highlight w:val="none"/>
            </w:rPr>
            <w:fldChar w:fldCharType="end"/>
          </w:r>
        </w:p>
      </w:sdtContent>
    </w:sdt>
    <w:p w14:paraId="4C3F7B6B">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ascii="宋体" w:hAnsi="宋体" w:eastAsia="宋体" w:cs="宋体"/>
          <w:b/>
          <w:bCs/>
          <w:color w:val="auto"/>
          <w:sz w:val="24"/>
          <w:szCs w:val="24"/>
          <w:highlight w:val="none"/>
        </w:rPr>
      </w:pPr>
      <w:r>
        <w:rPr>
          <w:rFonts w:ascii="宋体" w:hAnsi="宋体" w:eastAsia="宋体" w:cs="宋体"/>
          <w:b/>
          <w:bCs/>
          <w:color w:val="auto"/>
          <w:spacing w:val="-10"/>
          <w:sz w:val="24"/>
          <w:szCs w:val="24"/>
          <w:highlight w:val="none"/>
        </w:rPr>
        <w:t>附图：</w:t>
      </w:r>
    </w:p>
    <w:p w14:paraId="179F4839">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建设项目地理位置图</w:t>
      </w:r>
    </w:p>
    <w:p w14:paraId="100262A7">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附图2</w:t>
      </w:r>
      <w:r>
        <w:rPr>
          <w:rFonts w:hint="default" w:ascii="Times New Roman" w:hAnsi="Times New Roman" w:eastAsia="宋体" w:cs="Times New Roman"/>
          <w:color w:val="auto"/>
          <w:spacing w:val="-3"/>
          <w:sz w:val="24"/>
          <w:szCs w:val="24"/>
          <w:highlight w:val="none"/>
          <w:lang w:val="en-US" w:eastAsia="zh-CN"/>
        </w:rPr>
        <w:t>-1</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本项目平面布置图</w:t>
      </w:r>
    </w:p>
    <w:p w14:paraId="6BF913D2">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w:t>
      </w:r>
      <w:r>
        <w:rPr>
          <w:rFonts w:hint="default" w:ascii="Times New Roman" w:hAnsi="Times New Roman" w:eastAsia="宋体" w:cs="Times New Roman"/>
          <w:color w:val="auto"/>
          <w:spacing w:val="-3"/>
          <w:sz w:val="24"/>
          <w:szCs w:val="24"/>
          <w:highlight w:val="none"/>
          <w:lang w:val="en-US" w:eastAsia="zh-CN"/>
        </w:rPr>
        <w:t>2-2</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全厂平面布置图</w:t>
      </w:r>
    </w:p>
    <w:p w14:paraId="0589FF76">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附图3</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本项目分区防渗图</w:t>
      </w:r>
    </w:p>
    <w:p w14:paraId="26E43E8C">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附图4</w:t>
      </w:r>
      <w:r>
        <w:rPr>
          <w:rFonts w:hint="default" w:ascii="Times New Roman" w:hAnsi="Times New Roman" w:eastAsia="宋体" w:cs="Times New Roman"/>
          <w:color w:val="auto"/>
          <w:spacing w:val="-3"/>
          <w:sz w:val="24"/>
          <w:szCs w:val="24"/>
          <w:highlight w:val="none"/>
          <w:lang w:eastAsia="zh-CN"/>
        </w:rPr>
        <w:t>：建设项目四至现状及工程师现场踏勘图</w:t>
      </w:r>
    </w:p>
    <w:p w14:paraId="0F499E66">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附图5</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建设项目环境敏感</w:t>
      </w:r>
      <w:r>
        <w:rPr>
          <w:rFonts w:hint="default" w:ascii="Times New Roman" w:hAnsi="Times New Roman" w:eastAsia="宋体" w:cs="Times New Roman"/>
          <w:color w:val="auto"/>
          <w:spacing w:val="-3"/>
          <w:sz w:val="24"/>
          <w:szCs w:val="24"/>
          <w:highlight w:val="none"/>
          <w:lang w:eastAsia="zh-CN"/>
        </w:rPr>
        <w:t>目标情况</w:t>
      </w:r>
      <w:r>
        <w:rPr>
          <w:rFonts w:hint="default" w:ascii="Times New Roman" w:hAnsi="Times New Roman" w:eastAsia="宋体" w:cs="Times New Roman"/>
          <w:color w:val="auto"/>
          <w:spacing w:val="-3"/>
          <w:sz w:val="24"/>
          <w:szCs w:val="24"/>
          <w:highlight w:val="none"/>
        </w:rPr>
        <w:t>图</w:t>
      </w:r>
    </w:p>
    <w:p w14:paraId="5DF51CCD">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附图6</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建设项目环境引用监测点位图</w:t>
      </w:r>
    </w:p>
    <w:p w14:paraId="25D0DFB0">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附图7</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建设项目卫生防护距离包络线图</w:t>
      </w:r>
    </w:p>
    <w:p w14:paraId="6DBE019D">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附图8</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江西高安高新技术产业园规划范围图</w:t>
      </w:r>
    </w:p>
    <w:p w14:paraId="40642C69">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附图9</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建筑陶瓷产业园功能分区图</w:t>
      </w:r>
    </w:p>
    <w:p w14:paraId="3B01799B">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附图10</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建筑陶瓷产业园土地现状图</w:t>
      </w:r>
    </w:p>
    <w:p w14:paraId="1B22190B">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附图11</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建筑陶瓷产业园土地利用规划</w:t>
      </w:r>
      <w:r>
        <w:rPr>
          <w:rFonts w:hint="default" w:ascii="Times New Roman" w:hAnsi="Times New Roman" w:eastAsia="宋体" w:cs="Times New Roman"/>
          <w:color w:val="auto"/>
          <w:spacing w:val="-3"/>
          <w:sz w:val="24"/>
          <w:szCs w:val="24"/>
          <w:highlight w:val="none"/>
          <w:lang w:eastAsia="zh-CN"/>
        </w:rPr>
        <w:t>位置</w:t>
      </w:r>
      <w:r>
        <w:rPr>
          <w:rFonts w:hint="default" w:ascii="Times New Roman" w:hAnsi="Times New Roman" w:eastAsia="宋体" w:cs="Times New Roman"/>
          <w:color w:val="auto"/>
          <w:spacing w:val="-3"/>
          <w:sz w:val="24"/>
          <w:szCs w:val="24"/>
          <w:highlight w:val="none"/>
        </w:rPr>
        <w:t>图</w:t>
      </w:r>
    </w:p>
    <w:p w14:paraId="16A17D80">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附图12</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建筑陶瓷产业园污水工程规划</w:t>
      </w:r>
      <w:r>
        <w:rPr>
          <w:rFonts w:hint="default" w:ascii="Times New Roman" w:hAnsi="Times New Roman" w:eastAsia="宋体" w:cs="Times New Roman"/>
          <w:color w:val="auto"/>
          <w:spacing w:val="-3"/>
          <w:sz w:val="24"/>
          <w:szCs w:val="24"/>
          <w:highlight w:val="none"/>
          <w:lang w:eastAsia="zh-CN"/>
        </w:rPr>
        <w:t>位置</w:t>
      </w:r>
      <w:r>
        <w:rPr>
          <w:rFonts w:hint="default" w:ascii="Times New Roman" w:hAnsi="Times New Roman" w:eastAsia="宋体" w:cs="Times New Roman"/>
          <w:color w:val="auto"/>
          <w:spacing w:val="-3"/>
          <w:sz w:val="24"/>
          <w:szCs w:val="24"/>
          <w:highlight w:val="none"/>
        </w:rPr>
        <w:t>图</w:t>
      </w:r>
    </w:p>
    <w:p w14:paraId="6923ED79">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附图13</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建筑陶瓷产业园雨水工程规划</w:t>
      </w:r>
      <w:r>
        <w:rPr>
          <w:rFonts w:hint="default" w:ascii="Times New Roman" w:hAnsi="Times New Roman" w:eastAsia="宋体" w:cs="Times New Roman"/>
          <w:color w:val="auto"/>
          <w:spacing w:val="-3"/>
          <w:sz w:val="24"/>
          <w:szCs w:val="24"/>
          <w:highlight w:val="none"/>
          <w:lang w:eastAsia="zh-CN"/>
        </w:rPr>
        <w:t>位置</w:t>
      </w:r>
      <w:r>
        <w:rPr>
          <w:rFonts w:hint="default" w:ascii="Times New Roman" w:hAnsi="Times New Roman" w:eastAsia="宋体" w:cs="Times New Roman"/>
          <w:color w:val="auto"/>
          <w:spacing w:val="-3"/>
          <w:sz w:val="24"/>
          <w:szCs w:val="24"/>
          <w:highlight w:val="none"/>
        </w:rPr>
        <w:t>图</w:t>
      </w:r>
    </w:p>
    <w:p w14:paraId="057B7C74">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附图14</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管控单元</w:t>
      </w:r>
      <w:r>
        <w:rPr>
          <w:rFonts w:hint="default" w:ascii="Times New Roman" w:hAnsi="Times New Roman" w:eastAsia="宋体" w:cs="Times New Roman"/>
          <w:color w:val="auto"/>
          <w:spacing w:val="-3"/>
          <w:sz w:val="24"/>
          <w:szCs w:val="24"/>
          <w:highlight w:val="none"/>
          <w:lang w:eastAsia="zh-CN"/>
        </w:rPr>
        <w:t>查询</w:t>
      </w:r>
      <w:r>
        <w:rPr>
          <w:rFonts w:hint="default" w:ascii="Times New Roman" w:hAnsi="Times New Roman" w:eastAsia="宋体" w:cs="Times New Roman"/>
          <w:color w:val="auto"/>
          <w:spacing w:val="-3"/>
          <w:sz w:val="24"/>
          <w:szCs w:val="24"/>
          <w:highlight w:val="none"/>
        </w:rPr>
        <w:t>图</w:t>
      </w:r>
    </w:p>
    <w:p w14:paraId="2A7C9FC2">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附图15</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高安市生态保护红线划定范围图</w:t>
      </w:r>
    </w:p>
    <w:p w14:paraId="352EA1ED">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附图16</w:t>
      </w:r>
      <w:r>
        <w:rPr>
          <w:rFonts w:hint="default" w:ascii="Times New Roman" w:hAnsi="Times New Roman" w:eastAsia="宋体" w:cs="Times New Roman"/>
          <w:color w:val="auto"/>
          <w:spacing w:val="-3"/>
          <w:sz w:val="24"/>
          <w:szCs w:val="24"/>
          <w:highlight w:val="none"/>
          <w:lang w:eastAsia="zh-CN"/>
        </w:rPr>
        <w:t>：</w:t>
      </w:r>
      <w:r>
        <w:rPr>
          <w:rFonts w:hint="default" w:ascii="Times New Roman" w:hAnsi="Times New Roman" w:eastAsia="宋体" w:cs="Times New Roman"/>
          <w:color w:val="auto"/>
          <w:spacing w:val="-3"/>
          <w:sz w:val="24"/>
          <w:szCs w:val="24"/>
          <w:highlight w:val="none"/>
        </w:rPr>
        <w:t>地表水功能区划图</w:t>
      </w:r>
    </w:p>
    <w:p w14:paraId="55A4C9F7">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宋体" w:hAnsi="宋体" w:eastAsia="宋体" w:cs="宋体"/>
          <w:color w:val="auto"/>
          <w:spacing w:val="-3"/>
          <w:sz w:val="24"/>
          <w:szCs w:val="24"/>
          <w:highlight w:val="none"/>
        </w:rPr>
      </w:pPr>
      <w:r>
        <w:rPr>
          <w:rFonts w:hint="default" w:ascii="Times New Roman" w:hAnsi="Times New Roman" w:eastAsia="宋体" w:cs="Times New Roman"/>
          <w:color w:val="auto"/>
          <w:spacing w:val="-3"/>
          <w:sz w:val="24"/>
          <w:szCs w:val="24"/>
          <w:highlight w:val="none"/>
        </w:rPr>
        <w:t>附图17</w:t>
      </w:r>
      <w:r>
        <w:rPr>
          <w:rFonts w:hint="eastAsia" w:ascii="宋体" w:hAnsi="宋体" w:eastAsia="宋体" w:cs="宋体"/>
          <w:color w:val="auto"/>
          <w:spacing w:val="-3"/>
          <w:sz w:val="24"/>
          <w:szCs w:val="24"/>
          <w:highlight w:val="none"/>
        </w:rPr>
        <w:t>项目周边企业分布图</w:t>
      </w:r>
    </w:p>
    <w:p w14:paraId="5F24FE5F">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eastAsia="zh-CN"/>
        </w:rPr>
        <w:t>附图</w:t>
      </w:r>
      <w:r>
        <w:rPr>
          <w:rFonts w:hint="eastAsia" w:ascii="Times New Roman" w:hAnsi="Times New Roman" w:eastAsia="宋体" w:cs="Times New Roman"/>
          <w:color w:val="auto"/>
          <w:spacing w:val="-3"/>
          <w:sz w:val="24"/>
          <w:szCs w:val="24"/>
          <w:highlight w:val="none"/>
          <w:lang w:val="en-US" w:eastAsia="zh-CN"/>
        </w:rPr>
        <w:t>18：项目厂区雨污管网图</w:t>
      </w:r>
    </w:p>
    <w:p w14:paraId="2D10C186">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eastAsia" w:ascii="Times New Roman" w:hAnsi="Times New Roman" w:eastAsia="宋体" w:cs="Times New Roman"/>
          <w:color w:val="auto"/>
          <w:spacing w:val="-3"/>
          <w:sz w:val="24"/>
          <w:szCs w:val="24"/>
          <w:highlight w:val="none"/>
          <w:lang w:val="en-US" w:eastAsia="zh-CN"/>
        </w:rPr>
      </w:pPr>
      <w:r>
        <w:rPr>
          <w:rFonts w:hint="eastAsia" w:ascii="Times New Roman" w:hAnsi="Times New Roman" w:eastAsia="宋体" w:cs="Times New Roman"/>
          <w:color w:val="auto"/>
          <w:spacing w:val="-3"/>
          <w:sz w:val="24"/>
          <w:szCs w:val="24"/>
          <w:highlight w:val="none"/>
          <w:lang w:val="en-US" w:eastAsia="zh-CN"/>
        </w:rPr>
        <w:t>附图19：雨水排放路径图</w:t>
      </w:r>
    </w:p>
    <w:p w14:paraId="2B7AADE1">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eastAsia" w:ascii="Times New Roman" w:hAnsi="Times New Roman" w:eastAsia="宋体" w:cs="Times New Roman"/>
          <w:color w:val="auto"/>
          <w:spacing w:val="-3"/>
          <w:sz w:val="24"/>
          <w:szCs w:val="24"/>
          <w:highlight w:val="none"/>
          <w:lang w:val="en-US" w:eastAsia="zh-CN"/>
        </w:rPr>
      </w:pPr>
    </w:p>
    <w:p w14:paraId="1A64B100">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p>
    <w:p w14:paraId="1ACBF8DE">
      <w:pPr>
        <w:keepNext w:val="0"/>
        <w:keepLines w:val="0"/>
        <w:pageBreakBefore w:val="0"/>
        <w:widowControl w:val="0"/>
        <w:kinsoku/>
        <w:wordWrap/>
        <w:overflowPunct/>
        <w:topLinePunct w:val="0"/>
        <w:autoSpaceDE/>
        <w:autoSpaceDN/>
        <w:bidi w:val="0"/>
        <w:adjustRightInd w:val="0"/>
        <w:snapToGrid w:val="0"/>
        <w:spacing w:line="360" w:lineRule="auto"/>
        <w:ind w:left="0" w:firstLine="0" w:firstLineChars="0"/>
        <w:textAlignment w:val="auto"/>
        <w:rPr>
          <w:rFonts w:hint="eastAsia" w:ascii="宋体" w:hAnsi="宋体" w:eastAsia="宋体" w:cs="宋体"/>
          <w:b/>
          <w:bCs/>
          <w:color w:val="auto"/>
          <w:spacing w:val="-10"/>
          <w:sz w:val="24"/>
          <w:szCs w:val="24"/>
          <w:highlight w:val="none"/>
          <w:lang w:val="en-US" w:eastAsia="zh-CN"/>
        </w:rPr>
      </w:pPr>
      <w:r>
        <w:rPr>
          <w:rFonts w:hint="eastAsia" w:ascii="宋体" w:hAnsi="宋体" w:eastAsia="宋体" w:cs="宋体"/>
          <w:b/>
          <w:bCs/>
          <w:color w:val="auto"/>
          <w:spacing w:val="-10"/>
          <w:sz w:val="24"/>
          <w:szCs w:val="24"/>
          <w:highlight w:val="none"/>
          <w:lang w:val="en-US" w:eastAsia="zh-CN"/>
        </w:rPr>
        <w:t>附件</w:t>
      </w:r>
      <w:r>
        <w:rPr>
          <w:rFonts w:hint="eastAsia" w:ascii="宋体" w:hAnsi="宋体" w:cs="宋体"/>
          <w:b/>
          <w:bCs/>
          <w:color w:val="auto"/>
          <w:spacing w:val="-10"/>
          <w:sz w:val="24"/>
          <w:szCs w:val="24"/>
          <w:highlight w:val="none"/>
          <w:lang w:val="en-US" w:eastAsia="zh-CN"/>
        </w:rPr>
        <w:t>：</w:t>
      </w:r>
    </w:p>
    <w:p w14:paraId="24477128">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附件1：委托书</w:t>
      </w:r>
    </w:p>
    <w:p w14:paraId="09F11411">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附件2：江西省企业投资项目备案通知书</w:t>
      </w:r>
    </w:p>
    <w:p w14:paraId="0B9D902C">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附件3：土地证</w:t>
      </w:r>
    </w:p>
    <w:p w14:paraId="17F5CFF7">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附件4：租赁合同</w:t>
      </w:r>
    </w:p>
    <w:p w14:paraId="48FD0704">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附件5：原料锂渣危险特性鉴别报告</w:t>
      </w:r>
    </w:p>
    <w:p w14:paraId="5352E8FC">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附件6：锂渣全元素检测报告</w:t>
      </w:r>
    </w:p>
    <w:p w14:paraId="7999A072">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附件7：大气引用检测报告</w:t>
      </w:r>
    </w:p>
    <w:p w14:paraId="56FBE016">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附件8：现有项目环评批复</w:t>
      </w:r>
    </w:p>
    <w:p w14:paraId="7127FEB0">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附件9：企业承诺书</w:t>
      </w:r>
    </w:p>
    <w:p w14:paraId="3C73F0AB">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附件10：租赁方环评批复及验收批复</w:t>
      </w:r>
    </w:p>
    <w:p w14:paraId="25092451">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附件11：园区环评批复</w:t>
      </w:r>
    </w:p>
    <w:p w14:paraId="3CF0B0AA">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附件12：</w:t>
      </w:r>
      <w:r>
        <w:rPr>
          <w:rFonts w:hint="eastAsia" w:cs="Times New Roman"/>
          <w:color w:val="auto"/>
          <w:spacing w:val="-3"/>
          <w:sz w:val="24"/>
          <w:szCs w:val="24"/>
          <w:highlight w:val="none"/>
          <w:lang w:val="en-US" w:eastAsia="zh-CN"/>
        </w:rPr>
        <w:t>联审单</w:t>
      </w:r>
    </w:p>
    <w:p w14:paraId="0D8B7C87">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default" w:ascii="Times New Roman" w:hAnsi="Times New Roman" w:eastAsia="宋体" w:cs="Times New Roman"/>
          <w:color w:val="auto"/>
          <w:spacing w:val="-3"/>
          <w:sz w:val="24"/>
          <w:szCs w:val="24"/>
          <w:highlight w:val="none"/>
          <w:lang w:val="en-US" w:eastAsia="zh-CN"/>
        </w:rPr>
        <w:t>附件13：排污信息清单</w:t>
      </w:r>
    </w:p>
    <w:p w14:paraId="4DBDA3A9">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ascii="Times New Roman" w:hAnsi="Times New Roman" w:eastAsia="宋体" w:cs="Times New Roman"/>
          <w:color w:val="auto"/>
          <w:spacing w:val="-3"/>
          <w:sz w:val="24"/>
          <w:szCs w:val="24"/>
          <w:highlight w:val="none"/>
          <w:lang w:val="en-US" w:eastAsia="zh-CN"/>
        </w:rPr>
      </w:pPr>
      <w:r>
        <w:rPr>
          <w:rFonts w:hint="eastAsia" w:cs="Times New Roman"/>
          <w:color w:val="auto"/>
          <w:spacing w:val="-3"/>
          <w:sz w:val="24"/>
          <w:szCs w:val="24"/>
          <w:highlight w:val="none"/>
          <w:lang w:val="en-US" w:eastAsia="zh-CN"/>
        </w:rPr>
        <w:t>附件14：</w:t>
      </w:r>
      <w:r>
        <w:rPr>
          <w:rFonts w:hint="default" w:ascii="Times New Roman" w:hAnsi="Times New Roman" w:eastAsia="宋体" w:cs="Times New Roman"/>
          <w:color w:val="auto"/>
          <w:spacing w:val="-3"/>
          <w:sz w:val="24"/>
          <w:szCs w:val="24"/>
          <w:highlight w:val="none"/>
          <w:lang w:val="en-US" w:eastAsia="zh-CN"/>
        </w:rPr>
        <w:t>营业执照</w:t>
      </w:r>
    </w:p>
    <w:p w14:paraId="6B39D23C">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cs="Times New Roman"/>
          <w:color w:val="auto"/>
          <w:spacing w:val="-3"/>
          <w:sz w:val="24"/>
          <w:szCs w:val="24"/>
          <w:highlight w:val="none"/>
          <w:lang w:val="en-US" w:eastAsia="zh-CN"/>
        </w:rPr>
      </w:pPr>
      <w:r>
        <w:rPr>
          <w:rFonts w:hint="eastAsia" w:cs="Times New Roman"/>
          <w:color w:val="auto"/>
          <w:spacing w:val="-3"/>
          <w:sz w:val="24"/>
          <w:szCs w:val="24"/>
          <w:highlight w:val="none"/>
          <w:lang w:val="en-US" w:eastAsia="zh-CN"/>
        </w:rPr>
        <w:t>附件15：锂渣水溶性盐检测报告</w:t>
      </w:r>
    </w:p>
    <w:p w14:paraId="1C508EA7">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cs="Times New Roman"/>
          <w:color w:val="auto"/>
          <w:spacing w:val="-3"/>
          <w:sz w:val="24"/>
          <w:szCs w:val="24"/>
          <w:highlight w:val="none"/>
          <w:lang w:val="en-US" w:eastAsia="zh-CN"/>
        </w:rPr>
      </w:pPr>
      <w:r>
        <w:rPr>
          <w:rFonts w:hint="eastAsia" w:cs="Times New Roman"/>
          <w:color w:val="auto"/>
          <w:spacing w:val="-3"/>
          <w:sz w:val="24"/>
          <w:szCs w:val="24"/>
          <w:highlight w:val="none"/>
          <w:lang w:val="en-US" w:eastAsia="zh-CN"/>
        </w:rPr>
        <w:t>附件16：锂渣供应协议</w:t>
      </w:r>
    </w:p>
    <w:p w14:paraId="2A771245">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default" w:cs="Times New Roman"/>
          <w:color w:val="auto"/>
          <w:spacing w:val="-3"/>
          <w:sz w:val="24"/>
          <w:szCs w:val="24"/>
          <w:highlight w:val="none"/>
          <w:lang w:val="en-US" w:eastAsia="zh-CN"/>
        </w:rPr>
        <w:sectPr>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r>
        <w:rPr>
          <w:rFonts w:hint="eastAsia" w:cs="Times New Roman"/>
          <w:color w:val="auto"/>
          <w:spacing w:val="-3"/>
          <w:sz w:val="24"/>
          <w:szCs w:val="24"/>
          <w:highlight w:val="none"/>
          <w:lang w:val="en-US" w:eastAsia="zh-CN"/>
        </w:rPr>
        <w:t>附件17：产品销售协议</w:t>
      </w:r>
    </w:p>
    <w:p w14:paraId="2DE2E03C">
      <w:pPr>
        <w:pStyle w:val="22"/>
        <w:keepNext w:val="0"/>
        <w:keepLines w:val="0"/>
        <w:pageBreakBefore w:val="0"/>
        <w:widowControl/>
        <w:kinsoku/>
        <w:wordWrap/>
        <w:overflowPunct/>
        <w:topLinePunct w:val="0"/>
        <w:autoSpaceDE/>
        <w:autoSpaceDN/>
        <w:bidi w:val="0"/>
        <w:adjustRightInd/>
        <w:snapToGrid w:val="0"/>
        <w:spacing w:before="0" w:beforeAutospacing="0" w:after="0" w:afterAutospacing="0"/>
        <w:ind w:firstLine="600" w:firstLineChars="200"/>
        <w:jc w:val="center"/>
        <w:textAlignment w:val="auto"/>
        <w:outlineLvl w:val="0"/>
        <w:rPr>
          <w:rFonts w:hint="default" w:ascii="Times New Roman" w:hAnsi="Times New Roman" w:eastAsia="黑体" w:cs="Times New Roman"/>
          <w:snapToGrid w:val="0"/>
          <w:color w:val="auto"/>
          <w:sz w:val="30"/>
          <w:szCs w:val="30"/>
          <w:highlight w:val="none"/>
        </w:rPr>
      </w:pPr>
      <w:bookmarkStart w:id="4" w:name="_Toc4351"/>
      <w:bookmarkStart w:id="5" w:name="_Toc21313"/>
      <w:r>
        <w:rPr>
          <w:rFonts w:hint="default" w:ascii="Times New Roman" w:hAnsi="Times New Roman" w:eastAsia="黑体" w:cs="Times New Roman"/>
          <w:snapToGrid w:val="0"/>
          <w:color w:val="auto"/>
          <w:sz w:val="30"/>
          <w:szCs w:val="30"/>
          <w:highlight w:val="none"/>
        </w:rPr>
        <w:t>一、建设项目基本情况</w:t>
      </w:r>
      <w:bookmarkEnd w:id="0"/>
      <w:bookmarkEnd w:id="1"/>
      <w:bookmarkEnd w:id="4"/>
      <w:bookmarkEnd w:id="5"/>
    </w:p>
    <w:tbl>
      <w:tblPr>
        <w:tblStyle w:val="25"/>
        <w:tblW w:w="5471"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607"/>
        <w:gridCol w:w="2130"/>
        <w:gridCol w:w="1746"/>
        <w:gridCol w:w="3634"/>
      </w:tblGrid>
      <w:tr w14:paraId="4DC6349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51E5AD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建设项目名称</w:t>
            </w:r>
          </w:p>
        </w:tc>
        <w:tc>
          <w:tcPr>
            <w:tcW w:w="4118" w:type="pct"/>
            <w:gridSpan w:val="3"/>
            <w:noWrap w:val="0"/>
            <w:vAlign w:val="center"/>
          </w:tcPr>
          <w:p w14:paraId="4AECB8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lang w:val="en-US" w:eastAsia="zh-CN"/>
              </w:rPr>
              <w:t>高安市环鑫环保科技有限公司环保免烧砖及掺合料生产建设项目</w:t>
            </w:r>
          </w:p>
        </w:tc>
      </w:tr>
      <w:tr w14:paraId="25E0A1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53CA71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项目代码</w:t>
            </w:r>
          </w:p>
        </w:tc>
        <w:tc>
          <w:tcPr>
            <w:tcW w:w="4118" w:type="pct"/>
            <w:gridSpan w:val="3"/>
            <w:noWrap w:val="0"/>
            <w:vAlign w:val="center"/>
          </w:tcPr>
          <w:p w14:paraId="79DE51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color w:val="auto"/>
                <w:highlight w:val="none"/>
                <w:lang w:val="en-US" w:eastAsia="zh-CN"/>
              </w:rPr>
            </w:pPr>
            <w:r>
              <w:rPr>
                <w:rFonts w:hint="eastAsia"/>
                <w:color w:val="auto"/>
                <w:highlight w:val="none"/>
                <w:lang w:val="en-US" w:eastAsia="zh-CN"/>
              </w:rPr>
              <w:t>2509-360983-04-01-738724</w:t>
            </w:r>
          </w:p>
        </w:tc>
      </w:tr>
      <w:tr w14:paraId="057F9AC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043EDA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建设单位联系人</w:t>
            </w:r>
          </w:p>
        </w:tc>
        <w:tc>
          <w:tcPr>
            <w:tcW w:w="1168" w:type="pct"/>
            <w:noWrap w:val="0"/>
            <w:vAlign w:val="center"/>
          </w:tcPr>
          <w:p w14:paraId="7DF5BB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p>
        </w:tc>
        <w:tc>
          <w:tcPr>
            <w:tcW w:w="957" w:type="pct"/>
            <w:noWrap w:val="0"/>
            <w:vAlign w:val="center"/>
          </w:tcPr>
          <w:p w14:paraId="2C06F4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联系方式</w:t>
            </w:r>
          </w:p>
        </w:tc>
        <w:tc>
          <w:tcPr>
            <w:tcW w:w="1992" w:type="pct"/>
            <w:noWrap w:val="0"/>
            <w:vAlign w:val="center"/>
          </w:tcPr>
          <w:p w14:paraId="594683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bookmarkStart w:id="456" w:name="_GoBack"/>
            <w:bookmarkEnd w:id="456"/>
          </w:p>
        </w:tc>
      </w:tr>
      <w:tr w14:paraId="5E0756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4A6A00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建设地点</w:t>
            </w:r>
          </w:p>
        </w:tc>
        <w:tc>
          <w:tcPr>
            <w:tcW w:w="4118" w:type="pct"/>
            <w:gridSpan w:val="3"/>
            <w:noWrap w:val="0"/>
            <w:vAlign w:val="center"/>
          </w:tcPr>
          <w:p w14:paraId="5B84A2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江西省建筑陶瓷产业基地江西恒辉陶瓷有限公司</w:t>
            </w:r>
            <w:r>
              <w:rPr>
                <w:rFonts w:hint="default" w:ascii="Times New Roman" w:hAnsi="Times New Roman" w:eastAsia="宋体" w:cs="Times New Roman"/>
                <w:color w:val="auto"/>
                <w:sz w:val="24"/>
                <w:szCs w:val="24"/>
                <w:highlight w:val="none"/>
                <w:lang w:val="en-US" w:eastAsia="zh-CN"/>
              </w:rPr>
              <w:t>厂区内</w:t>
            </w:r>
          </w:p>
        </w:tc>
      </w:tr>
      <w:tr w14:paraId="340FC92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10BCC7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地理坐标</w:t>
            </w:r>
          </w:p>
        </w:tc>
        <w:tc>
          <w:tcPr>
            <w:tcW w:w="4118" w:type="pct"/>
            <w:gridSpan w:val="3"/>
            <w:noWrap w:val="0"/>
            <w:vAlign w:val="center"/>
          </w:tcPr>
          <w:p w14:paraId="495DC44C">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eastAsia" w:ascii="Times New Roman" w:hAnsi="Times New Roman" w:cs="Times New Roman"/>
                <w:color w:val="auto"/>
                <w:sz w:val="24"/>
                <w:szCs w:val="21"/>
                <w:highlight w:val="none"/>
                <w:lang w:eastAsia="zh-CN"/>
              </w:rPr>
              <w:t>东经：</w:t>
            </w:r>
            <w:r>
              <w:rPr>
                <w:rFonts w:hint="eastAsia" w:ascii="Times New Roman" w:hAnsi="Times New Roman" w:cs="Times New Roman"/>
                <w:color w:val="auto"/>
                <w:sz w:val="24"/>
                <w:szCs w:val="21"/>
                <w:highlight w:val="none"/>
                <w:u w:val="single"/>
                <w:lang w:val="en-US" w:eastAsia="zh-CN"/>
              </w:rPr>
              <w:t>11</w:t>
            </w:r>
            <w:r>
              <w:rPr>
                <w:rFonts w:hint="eastAsia" w:cs="Times New Roman"/>
                <w:color w:val="auto"/>
                <w:sz w:val="24"/>
                <w:szCs w:val="21"/>
                <w:highlight w:val="none"/>
                <w:u w:val="single"/>
                <w:lang w:val="en-US" w:eastAsia="zh-CN"/>
              </w:rPr>
              <w:t>5</w:t>
            </w:r>
            <w:r>
              <w:rPr>
                <w:rFonts w:hint="eastAsia" w:ascii="Times New Roman" w:hAnsi="Times New Roman" w:cs="Times New Roman"/>
                <w:color w:val="auto"/>
                <w:sz w:val="24"/>
                <w:szCs w:val="21"/>
                <w:highlight w:val="none"/>
                <w:lang w:eastAsia="zh-CN"/>
              </w:rPr>
              <w:t>度</w:t>
            </w:r>
            <w:r>
              <w:rPr>
                <w:rFonts w:hint="eastAsia" w:cs="Times New Roman"/>
                <w:color w:val="auto"/>
                <w:sz w:val="24"/>
                <w:szCs w:val="21"/>
                <w:highlight w:val="none"/>
                <w:u w:val="single"/>
                <w:lang w:val="en-US" w:eastAsia="zh-CN"/>
              </w:rPr>
              <w:t>27</w:t>
            </w:r>
            <w:r>
              <w:rPr>
                <w:rFonts w:hint="eastAsia" w:ascii="Times New Roman" w:hAnsi="Times New Roman" w:cs="Times New Roman"/>
                <w:color w:val="auto"/>
                <w:sz w:val="24"/>
                <w:szCs w:val="21"/>
                <w:highlight w:val="none"/>
                <w:lang w:eastAsia="zh-CN"/>
              </w:rPr>
              <w:t>分</w:t>
            </w:r>
            <w:r>
              <w:rPr>
                <w:rFonts w:hint="eastAsia" w:cs="Times New Roman"/>
                <w:color w:val="auto"/>
                <w:sz w:val="24"/>
                <w:szCs w:val="21"/>
                <w:highlight w:val="none"/>
                <w:u w:val="single"/>
                <w:lang w:val="en-US" w:eastAsia="zh-CN"/>
              </w:rPr>
              <w:t>21.090</w:t>
            </w:r>
            <w:r>
              <w:rPr>
                <w:rFonts w:hint="eastAsia" w:ascii="Times New Roman" w:hAnsi="Times New Roman" w:cs="Times New Roman"/>
                <w:color w:val="auto"/>
                <w:sz w:val="24"/>
                <w:szCs w:val="21"/>
                <w:highlight w:val="none"/>
                <w:lang w:eastAsia="zh-CN"/>
              </w:rPr>
              <w:t>秒；北纬：</w:t>
            </w:r>
            <w:r>
              <w:rPr>
                <w:rFonts w:hint="eastAsia" w:cs="Times New Roman"/>
                <w:color w:val="auto"/>
                <w:sz w:val="24"/>
                <w:szCs w:val="21"/>
                <w:highlight w:val="none"/>
                <w:u w:val="single"/>
                <w:lang w:val="en-US" w:eastAsia="zh-CN"/>
              </w:rPr>
              <w:t>28</w:t>
            </w:r>
            <w:r>
              <w:rPr>
                <w:rFonts w:hint="eastAsia" w:ascii="Times New Roman" w:hAnsi="Times New Roman" w:cs="Times New Roman"/>
                <w:color w:val="auto"/>
                <w:sz w:val="24"/>
                <w:szCs w:val="21"/>
                <w:highlight w:val="none"/>
                <w:lang w:eastAsia="zh-CN"/>
              </w:rPr>
              <w:t>度</w:t>
            </w:r>
            <w:r>
              <w:rPr>
                <w:rFonts w:hint="eastAsia" w:cs="Times New Roman"/>
                <w:color w:val="auto"/>
                <w:sz w:val="24"/>
                <w:szCs w:val="21"/>
                <w:highlight w:val="none"/>
                <w:u w:val="single"/>
                <w:lang w:val="en-US" w:eastAsia="zh-CN"/>
              </w:rPr>
              <w:t>12</w:t>
            </w:r>
            <w:r>
              <w:rPr>
                <w:rFonts w:hint="eastAsia" w:ascii="Times New Roman" w:hAnsi="Times New Roman" w:cs="Times New Roman"/>
                <w:color w:val="auto"/>
                <w:sz w:val="24"/>
                <w:szCs w:val="21"/>
                <w:highlight w:val="none"/>
                <w:lang w:eastAsia="zh-CN"/>
              </w:rPr>
              <w:t>分</w:t>
            </w:r>
            <w:r>
              <w:rPr>
                <w:rFonts w:hint="eastAsia" w:cs="Times New Roman"/>
                <w:color w:val="auto"/>
                <w:sz w:val="24"/>
                <w:szCs w:val="21"/>
                <w:highlight w:val="none"/>
                <w:u w:val="single"/>
                <w:lang w:val="en-US" w:eastAsia="zh-CN"/>
              </w:rPr>
              <w:t>16.051</w:t>
            </w:r>
            <w:r>
              <w:rPr>
                <w:rFonts w:hint="eastAsia" w:ascii="Times New Roman" w:hAnsi="Times New Roman" w:cs="Times New Roman"/>
                <w:color w:val="auto"/>
                <w:sz w:val="24"/>
                <w:szCs w:val="21"/>
                <w:highlight w:val="none"/>
                <w:lang w:eastAsia="zh-CN"/>
              </w:rPr>
              <w:t>秒</w:t>
            </w:r>
          </w:p>
        </w:tc>
      </w:tr>
      <w:tr w14:paraId="65592E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81" w:type="pct"/>
            <w:noWrap w:val="0"/>
            <w:tcMar>
              <w:top w:w="16" w:type="dxa"/>
              <w:left w:w="16" w:type="dxa"/>
              <w:right w:w="16" w:type="dxa"/>
            </w:tcMar>
            <w:vAlign w:val="center"/>
          </w:tcPr>
          <w:p w14:paraId="4704D4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国民经济</w:t>
            </w:r>
          </w:p>
          <w:p w14:paraId="1B6247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行业类别</w:t>
            </w:r>
          </w:p>
        </w:tc>
        <w:tc>
          <w:tcPr>
            <w:tcW w:w="1168" w:type="pct"/>
            <w:noWrap w:val="0"/>
            <w:vAlign w:val="center"/>
          </w:tcPr>
          <w:p w14:paraId="234B4A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s="宋体"/>
                <w:color w:val="auto"/>
                <w:spacing w:val="0"/>
                <w:kern w:val="21"/>
                <w:sz w:val="24"/>
                <w:szCs w:val="21"/>
                <w:highlight w:val="none"/>
                <w:lang w:val="en-US" w:eastAsia="zh-CN"/>
              </w:rPr>
            </w:pPr>
            <w:r>
              <w:rPr>
                <w:rFonts w:hint="eastAsia" w:ascii="Times New Roman" w:hAnsi="Times New Roman" w:eastAsia="宋体" w:cs="宋体"/>
                <w:color w:val="auto"/>
                <w:spacing w:val="0"/>
                <w:kern w:val="21"/>
                <w:sz w:val="24"/>
                <w:szCs w:val="21"/>
                <w:highlight w:val="none"/>
                <w:lang w:val="en-US" w:eastAsia="zh-CN"/>
              </w:rPr>
              <w:t>C3031粘土砖瓦及建筑砌块制造</w:t>
            </w:r>
            <w:r>
              <w:rPr>
                <w:rFonts w:hint="eastAsia" w:cs="宋体"/>
                <w:color w:val="auto"/>
                <w:spacing w:val="0"/>
                <w:kern w:val="21"/>
                <w:sz w:val="24"/>
                <w:szCs w:val="21"/>
                <w:highlight w:val="none"/>
                <w:lang w:val="en-US" w:eastAsia="zh-CN"/>
              </w:rPr>
              <w:t>；</w:t>
            </w:r>
          </w:p>
          <w:p w14:paraId="6E78A2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olor w:val="auto"/>
                <w:highlight w:val="none"/>
                <w:lang w:val="en-US" w:eastAsia="zh-CN"/>
              </w:rPr>
              <w:t>N7723固体废物治理</w:t>
            </w:r>
          </w:p>
        </w:tc>
        <w:tc>
          <w:tcPr>
            <w:tcW w:w="957" w:type="pct"/>
            <w:noWrap w:val="0"/>
            <w:vAlign w:val="center"/>
          </w:tcPr>
          <w:p w14:paraId="6803FC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建设项目</w:t>
            </w:r>
            <w:r>
              <w:rPr>
                <w:rFonts w:hint="eastAsia" w:cs="Times New Roman"/>
                <w:b/>
                <w:bCs/>
                <w:color w:val="auto"/>
                <w:sz w:val="24"/>
                <w:szCs w:val="24"/>
                <w:highlight w:val="none"/>
                <w:lang w:val="en-US" w:eastAsia="zh-CN"/>
              </w:rPr>
              <w:t>与</w:t>
            </w:r>
            <w:r>
              <w:rPr>
                <w:rFonts w:hint="default" w:ascii="Times New Roman" w:hAnsi="Times New Roman" w:eastAsia="宋体" w:cs="Times New Roman"/>
                <w:b/>
                <w:bCs/>
                <w:color w:val="auto"/>
                <w:sz w:val="24"/>
                <w:szCs w:val="24"/>
                <w:highlight w:val="none"/>
              </w:rPr>
              <w:t>行业类别</w:t>
            </w:r>
          </w:p>
        </w:tc>
        <w:tc>
          <w:tcPr>
            <w:tcW w:w="1992" w:type="pct"/>
            <w:noWrap w:val="0"/>
            <w:vAlign w:val="center"/>
          </w:tcPr>
          <w:p w14:paraId="796EDE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二十七</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非金属矿物制品业30；5</w:t>
            </w:r>
            <w:r>
              <w:rPr>
                <w:rFonts w:hint="eastAsia" w:ascii="Times New Roman" w:hAnsi="Times New Roman" w:eastAsia="宋体" w:cs="Times New Roman"/>
                <w:color w:val="auto"/>
                <w:sz w:val="24"/>
                <w:szCs w:val="24"/>
                <w:highlight w:val="none"/>
                <w:lang w:val="en-US" w:eastAsia="zh-CN"/>
              </w:rPr>
              <w:t>6砖瓦、石材等建筑材料制造-粘土砖瓦及建筑砌块制造</w:t>
            </w:r>
          </w:p>
          <w:p w14:paraId="470FA1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四十七、生态保护和环境治理业 103、一般工业固体废物(含污水处理污泥)、建筑施工废弃物处置及综合利用 其他</w:t>
            </w:r>
          </w:p>
        </w:tc>
      </w:tr>
      <w:tr w14:paraId="4CE4D3E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81" w:type="pct"/>
            <w:noWrap w:val="0"/>
            <w:tcMar>
              <w:top w:w="16" w:type="dxa"/>
              <w:left w:w="16" w:type="dxa"/>
              <w:right w:w="16" w:type="dxa"/>
            </w:tcMar>
            <w:vAlign w:val="center"/>
          </w:tcPr>
          <w:p w14:paraId="165E63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建设性质</w:t>
            </w:r>
          </w:p>
        </w:tc>
        <w:tc>
          <w:tcPr>
            <w:tcW w:w="1168" w:type="pct"/>
            <w:noWrap w:val="0"/>
            <w:vAlign w:val="center"/>
          </w:tcPr>
          <w:p w14:paraId="13D293C8">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新建（迁建）</w:t>
            </w:r>
          </w:p>
          <w:p w14:paraId="776E94C5">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改建</w:t>
            </w:r>
          </w:p>
          <w:p w14:paraId="1FFD232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52"/>
            </w:r>
            <w:r>
              <w:rPr>
                <w:rFonts w:hint="default" w:ascii="Times New Roman" w:hAnsi="Times New Roman" w:eastAsia="宋体" w:cs="Times New Roman"/>
                <w:color w:val="auto"/>
                <w:sz w:val="24"/>
                <w:szCs w:val="24"/>
                <w:highlight w:val="none"/>
              </w:rPr>
              <w:t>扩建</w:t>
            </w:r>
          </w:p>
          <w:p w14:paraId="6B97D4EB">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技术改造</w:t>
            </w:r>
          </w:p>
        </w:tc>
        <w:tc>
          <w:tcPr>
            <w:tcW w:w="957" w:type="pct"/>
            <w:noWrap w:val="0"/>
            <w:vAlign w:val="center"/>
          </w:tcPr>
          <w:p w14:paraId="75081A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建设项目</w:t>
            </w:r>
          </w:p>
          <w:p w14:paraId="556D55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申报情形</w:t>
            </w:r>
          </w:p>
        </w:tc>
        <w:tc>
          <w:tcPr>
            <w:tcW w:w="1992" w:type="pct"/>
            <w:noWrap w:val="0"/>
            <w:vAlign w:val="center"/>
          </w:tcPr>
          <w:p w14:paraId="55752F91">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52"/>
            </w:r>
            <w:r>
              <w:rPr>
                <w:rFonts w:hint="default" w:ascii="Times New Roman" w:hAnsi="Times New Roman" w:eastAsia="宋体" w:cs="Times New Roman"/>
                <w:color w:val="auto"/>
                <w:sz w:val="24"/>
                <w:szCs w:val="24"/>
                <w:highlight w:val="none"/>
              </w:rPr>
              <w:t>首次申报项目</w:t>
            </w:r>
          </w:p>
          <w:p w14:paraId="09FA6FA7">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不予批准后再次申报项目</w:t>
            </w:r>
          </w:p>
          <w:p w14:paraId="4707C15E">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超五年重新审核项目</w:t>
            </w:r>
          </w:p>
          <w:p w14:paraId="28F6F1E2">
            <w:pPr>
              <w:keepNext w:val="0"/>
              <w:keepLines w:val="0"/>
              <w:pageBreakBefore w:val="0"/>
              <w:widowControl w:val="0"/>
              <w:suppressLineNumbers w:val="0"/>
              <w:kinsoku/>
              <w:wordWrap/>
              <w:overflowPunct/>
              <w:topLinePunct w:val="0"/>
              <w:autoSpaceDE/>
              <w:autoSpaceDN/>
              <w:bidi w:val="0"/>
              <w:spacing w:before="0" w:beforeAutospacing="0" w:after="0" w:afterAutospacing="0" w:line="240" w:lineRule="auto"/>
              <w:ind w:left="0" w:right="0" w:firstLine="0" w:firstLineChars="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重大变动重新报批项目</w:t>
            </w:r>
          </w:p>
        </w:tc>
      </w:tr>
      <w:tr w14:paraId="7F38AA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81" w:type="pct"/>
            <w:noWrap w:val="0"/>
            <w:tcMar>
              <w:top w:w="16" w:type="dxa"/>
              <w:left w:w="16" w:type="dxa"/>
              <w:right w:w="16" w:type="dxa"/>
            </w:tcMar>
            <w:vAlign w:val="center"/>
          </w:tcPr>
          <w:p w14:paraId="2D7BD1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项目审批（核准/备案）部门（选填）</w:t>
            </w:r>
          </w:p>
        </w:tc>
        <w:tc>
          <w:tcPr>
            <w:tcW w:w="1168" w:type="pct"/>
            <w:noWrap w:val="0"/>
            <w:vAlign w:val="center"/>
          </w:tcPr>
          <w:p w14:paraId="642AEB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高安市行政审批局</w:t>
            </w:r>
          </w:p>
        </w:tc>
        <w:tc>
          <w:tcPr>
            <w:tcW w:w="957" w:type="pct"/>
            <w:noWrap w:val="0"/>
            <w:vAlign w:val="center"/>
          </w:tcPr>
          <w:p w14:paraId="7F167A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项目审批（核准/</w:t>
            </w:r>
          </w:p>
          <w:p w14:paraId="45B2C9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备案）文号（选填）</w:t>
            </w:r>
          </w:p>
        </w:tc>
        <w:tc>
          <w:tcPr>
            <w:tcW w:w="1992" w:type="pct"/>
            <w:noWrap w:val="0"/>
            <w:vAlign w:val="center"/>
          </w:tcPr>
          <w:p w14:paraId="60E5CB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2509-360983-04-01-738724</w:t>
            </w:r>
          </w:p>
        </w:tc>
      </w:tr>
      <w:tr w14:paraId="1B0B4BB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7B8E60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总投资（万元）</w:t>
            </w:r>
          </w:p>
        </w:tc>
        <w:tc>
          <w:tcPr>
            <w:tcW w:w="1168" w:type="pct"/>
            <w:noWrap w:val="0"/>
            <w:vAlign w:val="center"/>
          </w:tcPr>
          <w:p w14:paraId="050F9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3000</w:t>
            </w:r>
          </w:p>
        </w:tc>
        <w:tc>
          <w:tcPr>
            <w:tcW w:w="957" w:type="pct"/>
            <w:noWrap w:val="0"/>
            <w:tcMar>
              <w:top w:w="16" w:type="dxa"/>
              <w:left w:w="16" w:type="dxa"/>
              <w:right w:w="16" w:type="dxa"/>
            </w:tcMar>
            <w:vAlign w:val="center"/>
          </w:tcPr>
          <w:p w14:paraId="688A7C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环保投资（万元）</w:t>
            </w:r>
          </w:p>
        </w:tc>
        <w:tc>
          <w:tcPr>
            <w:tcW w:w="1992" w:type="pct"/>
            <w:noWrap w:val="0"/>
            <w:vAlign w:val="center"/>
          </w:tcPr>
          <w:p w14:paraId="5AE3C3F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FF0000"/>
                <w:sz w:val="24"/>
                <w:szCs w:val="24"/>
                <w:highlight w:val="none"/>
                <w:lang w:val="en-US" w:eastAsia="zh-CN"/>
              </w:rPr>
              <w:t>36</w:t>
            </w:r>
          </w:p>
        </w:tc>
      </w:tr>
      <w:tr w14:paraId="73731F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39441D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环保投资占比（%）</w:t>
            </w:r>
          </w:p>
        </w:tc>
        <w:tc>
          <w:tcPr>
            <w:tcW w:w="1168" w:type="pct"/>
            <w:noWrap w:val="0"/>
            <w:vAlign w:val="center"/>
          </w:tcPr>
          <w:p w14:paraId="57DDB2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FF0000"/>
                <w:sz w:val="24"/>
                <w:szCs w:val="24"/>
                <w:highlight w:val="none"/>
                <w:lang w:val="en-US" w:eastAsia="zh-CN"/>
              </w:rPr>
              <w:t>1.2</w:t>
            </w:r>
          </w:p>
        </w:tc>
        <w:tc>
          <w:tcPr>
            <w:tcW w:w="957" w:type="pct"/>
            <w:noWrap w:val="0"/>
            <w:tcMar>
              <w:top w:w="16" w:type="dxa"/>
              <w:left w:w="16" w:type="dxa"/>
              <w:right w:w="16" w:type="dxa"/>
            </w:tcMar>
            <w:vAlign w:val="center"/>
          </w:tcPr>
          <w:p w14:paraId="0C1EA9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施工工期</w:t>
            </w:r>
          </w:p>
        </w:tc>
        <w:tc>
          <w:tcPr>
            <w:tcW w:w="1992" w:type="pct"/>
            <w:noWrap w:val="0"/>
            <w:vAlign w:val="center"/>
          </w:tcPr>
          <w:p w14:paraId="1D13CB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eastAsia="宋体" w:cs="Times New Roman"/>
                <w:color w:val="auto"/>
                <w:sz w:val="24"/>
                <w:szCs w:val="24"/>
                <w:highlight w:val="none"/>
                <w:lang w:val="en-US" w:eastAsia="zh-CN"/>
              </w:rPr>
              <w:t>3个月</w:t>
            </w:r>
          </w:p>
        </w:tc>
      </w:tr>
      <w:tr w14:paraId="506EC1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81" w:type="pct"/>
            <w:noWrap w:val="0"/>
            <w:tcMar>
              <w:top w:w="16" w:type="dxa"/>
              <w:left w:w="16" w:type="dxa"/>
              <w:right w:w="16" w:type="dxa"/>
            </w:tcMar>
            <w:vAlign w:val="center"/>
          </w:tcPr>
          <w:p w14:paraId="6E1D0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是否开工建设</w:t>
            </w:r>
          </w:p>
        </w:tc>
        <w:tc>
          <w:tcPr>
            <w:tcW w:w="1168" w:type="pct"/>
            <w:noWrap w:val="0"/>
            <w:vAlign w:val="center"/>
          </w:tcPr>
          <w:p w14:paraId="5F81F0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sym w:font="Wingdings 2" w:char="0052"/>
            </w:r>
            <w:r>
              <w:rPr>
                <w:rFonts w:hint="default" w:ascii="Times New Roman" w:hAnsi="Times New Roman" w:eastAsia="宋体" w:cs="Times New Roman"/>
                <w:color w:val="auto"/>
                <w:sz w:val="24"/>
                <w:szCs w:val="24"/>
                <w:highlight w:val="none"/>
              </w:rPr>
              <w:t>否</w:t>
            </w:r>
          </w:p>
          <w:p w14:paraId="497A8D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sym w:font="Wingdings 2" w:char="00A3"/>
            </w:r>
            <w:r>
              <w:rPr>
                <w:rFonts w:hint="default" w:ascii="Times New Roman" w:hAnsi="Times New Roman" w:eastAsia="宋体" w:cs="Times New Roman"/>
                <w:color w:val="auto"/>
                <w:sz w:val="24"/>
                <w:szCs w:val="24"/>
                <w:highlight w:val="none"/>
              </w:rPr>
              <w:t>是：</w:t>
            </w:r>
            <w:r>
              <w:rPr>
                <w:rFonts w:hint="eastAsia" w:eastAsia="宋体" w:cs="Times New Roman"/>
                <w:color w:val="auto"/>
                <w:sz w:val="24"/>
                <w:szCs w:val="24"/>
                <w:highlight w:val="none"/>
                <w:u w:val="single"/>
                <w:lang w:val="en-US" w:eastAsia="zh-CN"/>
              </w:rPr>
              <w:t xml:space="preserve">          </w:t>
            </w:r>
          </w:p>
        </w:tc>
        <w:tc>
          <w:tcPr>
            <w:tcW w:w="957" w:type="pct"/>
            <w:noWrap w:val="0"/>
            <w:tcMar>
              <w:top w:w="16" w:type="dxa"/>
              <w:left w:w="16" w:type="dxa"/>
              <w:right w:w="16" w:type="dxa"/>
            </w:tcMar>
            <w:vAlign w:val="center"/>
          </w:tcPr>
          <w:p w14:paraId="0C37C8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pacing w:val="-6"/>
                <w:sz w:val="24"/>
                <w:szCs w:val="24"/>
                <w:highlight w:val="none"/>
              </w:rPr>
            </w:pPr>
            <w:r>
              <w:rPr>
                <w:rFonts w:hint="default" w:ascii="Times New Roman" w:hAnsi="Times New Roman" w:eastAsia="宋体" w:cs="Times New Roman"/>
                <w:b/>
                <w:bCs/>
                <w:color w:val="auto"/>
                <w:spacing w:val="-6"/>
                <w:sz w:val="24"/>
                <w:szCs w:val="24"/>
                <w:highlight w:val="none"/>
              </w:rPr>
              <w:t>用地（用海）</w:t>
            </w:r>
          </w:p>
          <w:p w14:paraId="034AC6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pacing w:val="-6"/>
                <w:sz w:val="24"/>
                <w:szCs w:val="24"/>
                <w:highlight w:val="none"/>
              </w:rPr>
              <w:t>面积（m</w:t>
            </w:r>
            <w:r>
              <w:rPr>
                <w:rFonts w:hint="default" w:ascii="Times New Roman" w:hAnsi="Times New Roman" w:eastAsia="宋体" w:cs="Times New Roman"/>
                <w:b/>
                <w:bCs/>
                <w:color w:val="auto"/>
                <w:spacing w:val="-6"/>
                <w:sz w:val="24"/>
                <w:szCs w:val="24"/>
                <w:highlight w:val="none"/>
                <w:vertAlign w:val="superscript"/>
              </w:rPr>
              <w:t>2</w:t>
            </w:r>
            <w:r>
              <w:rPr>
                <w:rFonts w:hint="default" w:ascii="Times New Roman" w:hAnsi="Times New Roman" w:eastAsia="宋体" w:cs="Times New Roman"/>
                <w:b/>
                <w:bCs/>
                <w:color w:val="auto"/>
                <w:spacing w:val="-6"/>
                <w:sz w:val="24"/>
                <w:szCs w:val="24"/>
                <w:highlight w:val="none"/>
              </w:rPr>
              <w:t>）</w:t>
            </w:r>
          </w:p>
        </w:tc>
        <w:tc>
          <w:tcPr>
            <w:tcW w:w="1992" w:type="pct"/>
            <w:noWrap w:val="0"/>
            <w:vAlign w:val="center"/>
          </w:tcPr>
          <w:p w14:paraId="2EA1E4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4"/>
                <w:szCs w:val="24"/>
                <w:highlight w:val="none"/>
                <w:lang w:val="en-US" w:eastAsia="zh-CN"/>
              </w:rPr>
            </w:pPr>
            <w:r>
              <w:rPr>
                <w:rFonts w:hint="eastAsia"/>
                <w:color w:val="auto"/>
                <w:highlight w:val="none"/>
                <w:lang w:val="en-US" w:eastAsia="zh-CN"/>
              </w:rPr>
              <w:t>12000</w:t>
            </w:r>
          </w:p>
        </w:tc>
      </w:tr>
      <w:tr w14:paraId="0EE91C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6" w:hRule="atLeast"/>
          <w:jc w:val="center"/>
        </w:trPr>
        <w:tc>
          <w:tcPr>
            <w:tcW w:w="881" w:type="pct"/>
            <w:noWrap w:val="0"/>
            <w:vAlign w:val="center"/>
          </w:tcPr>
          <w:p w14:paraId="2C534874">
            <w:pPr>
              <w:pStyle w:val="77"/>
              <w:keepNext w:val="0"/>
              <w:keepLines w:val="0"/>
              <w:suppressLineNumbers w:val="0"/>
              <w:bidi w:val="0"/>
              <w:spacing w:before="0" w:beforeAutospacing="0" w:after="0" w:afterAutospacing="0"/>
              <w:ind w:left="0" w:right="0"/>
              <w:rPr>
                <w:rFonts w:hint="default" w:ascii="Times New Roman" w:hAnsi="Times New Roman" w:eastAsia="宋体" w:cs="Times New Roman"/>
                <w:b/>
                <w:bCs/>
                <w:color w:val="auto"/>
                <w:kern w:val="0"/>
                <w:szCs w:val="24"/>
                <w:highlight w:val="none"/>
              </w:rPr>
            </w:pPr>
            <w:r>
              <w:rPr>
                <w:rFonts w:hint="default"/>
                <w:color w:val="auto"/>
                <w:highlight w:val="none"/>
              </w:rPr>
              <w:t>专项评价设置情况</w:t>
            </w:r>
          </w:p>
        </w:tc>
        <w:tc>
          <w:tcPr>
            <w:tcW w:w="4118" w:type="pct"/>
            <w:gridSpan w:val="3"/>
            <w:noWrap w:val="0"/>
            <w:vAlign w:val="center"/>
          </w:tcPr>
          <w:p w14:paraId="070EF68C">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kern w:val="0"/>
                <w:sz w:val="21"/>
                <w:szCs w:val="21"/>
                <w:highlight w:val="none"/>
              </w:rPr>
            </w:pPr>
            <w:r>
              <w:rPr>
                <w:rFonts w:hint="default"/>
                <w:color w:val="auto"/>
                <w:sz w:val="21"/>
                <w:szCs w:val="21"/>
                <w:highlight w:val="none"/>
              </w:rPr>
              <w:t>专项评价设置原则表</w:t>
            </w:r>
          </w:p>
          <w:tbl>
            <w:tblPr>
              <w:tblStyle w:val="25"/>
              <w:tblpPr w:vertAnchor="text" w:tblpXSpec="center" w:tblpY="1"/>
              <w:tblOverlap w:val="never"/>
              <w:tblW w:w="4997" w:type="pct"/>
              <w:jc w:val="center"/>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Layout w:type="fixed"/>
              <w:tblCellMar>
                <w:top w:w="0" w:type="dxa"/>
                <w:left w:w="0" w:type="dxa"/>
                <w:bottom w:w="0" w:type="dxa"/>
                <w:right w:w="0" w:type="dxa"/>
              </w:tblCellMar>
            </w:tblPr>
            <w:tblGrid>
              <w:gridCol w:w="932"/>
              <w:gridCol w:w="4079"/>
              <w:gridCol w:w="1662"/>
              <w:gridCol w:w="617"/>
            </w:tblGrid>
            <w:tr w14:paraId="30F55414">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584" w:hRule="atLeast"/>
                <w:tblHeader/>
                <w:jc w:val="center"/>
              </w:trPr>
              <w:tc>
                <w:tcPr>
                  <w:tcW w:w="639" w:type="pct"/>
                  <w:tcBorders>
                    <w:tl2br w:val="nil"/>
                    <w:tr2bl w:val="nil"/>
                  </w:tcBorders>
                  <w:noWrap w:val="0"/>
                  <w:vAlign w:val="center"/>
                </w:tcPr>
                <w:p w14:paraId="1F597CE7">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专项评价的类别</w:t>
                  </w:r>
                </w:p>
              </w:tc>
              <w:tc>
                <w:tcPr>
                  <w:tcW w:w="2797" w:type="pct"/>
                  <w:tcBorders>
                    <w:tl2br w:val="nil"/>
                    <w:tr2bl w:val="nil"/>
                  </w:tcBorders>
                  <w:noWrap w:val="0"/>
                  <w:vAlign w:val="center"/>
                </w:tcPr>
                <w:p w14:paraId="10708F6D">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设置原则</w:t>
                  </w:r>
                </w:p>
              </w:tc>
              <w:tc>
                <w:tcPr>
                  <w:tcW w:w="1139" w:type="pct"/>
                  <w:tcBorders>
                    <w:tl2br w:val="nil"/>
                    <w:tr2bl w:val="nil"/>
                  </w:tcBorders>
                  <w:noWrap w:val="0"/>
                  <w:vAlign w:val="center"/>
                </w:tcPr>
                <w:p w14:paraId="1DDE1B09">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本项目情况</w:t>
                  </w:r>
                </w:p>
              </w:tc>
              <w:tc>
                <w:tcPr>
                  <w:tcW w:w="423" w:type="pct"/>
                  <w:tcBorders>
                    <w:tl2br w:val="nil"/>
                    <w:tr2bl w:val="nil"/>
                  </w:tcBorders>
                  <w:noWrap w:val="0"/>
                  <w:vAlign w:val="center"/>
                </w:tcPr>
                <w:p w14:paraId="68B538D9">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设置情况</w:t>
                  </w:r>
                </w:p>
              </w:tc>
            </w:tr>
            <w:tr w14:paraId="5669EEAF">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39" w:type="pct"/>
                  <w:tcBorders>
                    <w:tl2br w:val="nil"/>
                    <w:tr2bl w:val="nil"/>
                  </w:tcBorders>
                  <w:noWrap w:val="0"/>
                  <w:vAlign w:val="center"/>
                </w:tcPr>
                <w:p w14:paraId="666D59A2">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大气</w:t>
                  </w:r>
                </w:p>
              </w:tc>
              <w:tc>
                <w:tcPr>
                  <w:tcW w:w="2797" w:type="pct"/>
                  <w:tcBorders>
                    <w:tl2br w:val="nil"/>
                    <w:tr2bl w:val="nil"/>
                  </w:tcBorders>
                  <w:noWrap w:val="0"/>
                  <w:vAlign w:val="center"/>
                </w:tcPr>
                <w:p w14:paraId="2024BC99">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排放废气含有毒有害污染物</w:t>
                  </w:r>
                  <w:r>
                    <w:rPr>
                      <w:rFonts w:hint="default" w:ascii="Times New Roman" w:hAnsi="Times New Roman" w:cs="Times New Roman"/>
                      <w:color w:val="auto"/>
                      <w:sz w:val="21"/>
                      <w:szCs w:val="21"/>
                      <w:highlight w:val="none"/>
                      <w:vertAlign w:val="superscript"/>
                    </w:rPr>
                    <w:t>1</w:t>
                  </w:r>
                  <w:r>
                    <w:rPr>
                      <w:rFonts w:hint="default" w:ascii="Times New Roman" w:hAnsi="Times New Roman" w:cs="Times New Roman"/>
                      <w:color w:val="auto"/>
                      <w:sz w:val="21"/>
                      <w:szCs w:val="21"/>
                      <w:highlight w:val="none"/>
                    </w:rPr>
                    <w:t>、二噁英、苯并[a]芘、氰化物、氯气且厂界外500米范围内有环境空气保护目标</w:t>
                  </w:r>
                  <w:r>
                    <w:rPr>
                      <w:rFonts w:hint="default" w:ascii="Times New Roman" w:hAnsi="Times New Roman" w:cs="Times New Roman"/>
                      <w:color w:val="auto"/>
                      <w:sz w:val="21"/>
                      <w:szCs w:val="21"/>
                      <w:highlight w:val="none"/>
                      <w:vertAlign w:val="superscript"/>
                    </w:rPr>
                    <w:t>2</w:t>
                  </w:r>
                  <w:r>
                    <w:rPr>
                      <w:rFonts w:hint="default" w:ascii="Times New Roman" w:hAnsi="Times New Roman" w:cs="Times New Roman"/>
                      <w:color w:val="auto"/>
                      <w:sz w:val="21"/>
                      <w:szCs w:val="21"/>
                      <w:highlight w:val="none"/>
                    </w:rPr>
                    <w:t>的建设项目</w:t>
                  </w:r>
                </w:p>
              </w:tc>
              <w:tc>
                <w:tcPr>
                  <w:tcW w:w="1139" w:type="pct"/>
                  <w:tcBorders>
                    <w:tl2br w:val="nil"/>
                    <w:tr2bl w:val="nil"/>
                  </w:tcBorders>
                  <w:noWrap w:val="0"/>
                  <w:vAlign w:val="center"/>
                </w:tcPr>
                <w:p w14:paraId="2A0E7021">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本项目</w:t>
                  </w:r>
                  <w:r>
                    <w:rPr>
                      <w:rFonts w:hint="default" w:ascii="Times New Roman" w:hAnsi="Times New Roman" w:cs="Times New Roman"/>
                      <w:color w:val="auto"/>
                      <w:sz w:val="21"/>
                      <w:szCs w:val="21"/>
                      <w:highlight w:val="none"/>
                    </w:rPr>
                    <w:t>废气不含以上污染物</w:t>
                  </w:r>
                </w:p>
              </w:tc>
              <w:tc>
                <w:tcPr>
                  <w:tcW w:w="423" w:type="pct"/>
                  <w:tcBorders>
                    <w:tl2br w:val="nil"/>
                    <w:tr2bl w:val="nil"/>
                  </w:tcBorders>
                  <w:noWrap w:val="0"/>
                  <w:vAlign w:val="center"/>
                </w:tcPr>
                <w:p w14:paraId="2011E13F">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无需开展</w:t>
                  </w:r>
                </w:p>
              </w:tc>
            </w:tr>
            <w:tr w14:paraId="4961C9E6">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39" w:type="pct"/>
                  <w:tcBorders>
                    <w:tl2br w:val="nil"/>
                    <w:tr2bl w:val="nil"/>
                  </w:tcBorders>
                  <w:noWrap w:val="0"/>
                  <w:vAlign w:val="center"/>
                </w:tcPr>
                <w:p w14:paraId="4442C99E">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地表水</w:t>
                  </w:r>
                </w:p>
              </w:tc>
              <w:tc>
                <w:tcPr>
                  <w:tcW w:w="2797" w:type="pct"/>
                  <w:tcBorders>
                    <w:tl2br w:val="nil"/>
                    <w:tr2bl w:val="nil"/>
                  </w:tcBorders>
                  <w:noWrap w:val="0"/>
                  <w:vAlign w:val="center"/>
                </w:tcPr>
                <w:p w14:paraId="4851975B">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新增工业废水直排建设项目（槽罐车外送污水处理厂的除外）；新增废水直排的污水集中处理厂</w:t>
                  </w:r>
                </w:p>
              </w:tc>
              <w:tc>
                <w:tcPr>
                  <w:tcW w:w="1139" w:type="pct"/>
                  <w:tcBorders>
                    <w:tl2br w:val="nil"/>
                    <w:tr2bl w:val="nil"/>
                  </w:tcBorders>
                  <w:noWrap w:val="0"/>
                  <w:vAlign w:val="center"/>
                </w:tcPr>
                <w:p w14:paraId="2A1442A2">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本项目</w:t>
                  </w:r>
                  <w:r>
                    <w:rPr>
                      <w:rFonts w:hint="eastAsia" w:ascii="Times New Roman" w:hAnsi="Times New Roman" w:cs="Times New Roman"/>
                      <w:color w:val="auto"/>
                      <w:sz w:val="21"/>
                      <w:szCs w:val="21"/>
                      <w:highlight w:val="none"/>
                      <w:lang w:val="en-US" w:eastAsia="zh-CN"/>
                    </w:rPr>
                    <w:t>无</w:t>
                  </w:r>
                  <w:r>
                    <w:rPr>
                      <w:rFonts w:hint="default" w:ascii="Times New Roman" w:hAnsi="Times New Roman" w:cs="Times New Roman"/>
                      <w:color w:val="auto"/>
                      <w:sz w:val="21"/>
                      <w:szCs w:val="21"/>
                      <w:highlight w:val="none"/>
                      <w:lang w:val="en-US" w:eastAsia="zh-CN"/>
                    </w:rPr>
                    <w:t>直排废水</w:t>
                  </w:r>
                </w:p>
              </w:tc>
              <w:tc>
                <w:tcPr>
                  <w:tcW w:w="423" w:type="pct"/>
                  <w:tcBorders>
                    <w:tl2br w:val="nil"/>
                    <w:tr2bl w:val="nil"/>
                  </w:tcBorders>
                  <w:noWrap w:val="0"/>
                  <w:vAlign w:val="center"/>
                </w:tcPr>
                <w:p w14:paraId="21A2E03D">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无需开展</w:t>
                  </w:r>
                </w:p>
              </w:tc>
            </w:tr>
            <w:tr w14:paraId="7DA760B5">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563" w:hRule="atLeast"/>
                <w:jc w:val="center"/>
              </w:trPr>
              <w:tc>
                <w:tcPr>
                  <w:tcW w:w="639" w:type="pct"/>
                  <w:tcBorders>
                    <w:tl2br w:val="nil"/>
                    <w:tr2bl w:val="nil"/>
                  </w:tcBorders>
                  <w:noWrap w:val="0"/>
                  <w:vAlign w:val="center"/>
                </w:tcPr>
                <w:p w14:paraId="39C82068">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w:t>
                  </w:r>
                </w:p>
              </w:tc>
              <w:tc>
                <w:tcPr>
                  <w:tcW w:w="2797" w:type="pct"/>
                  <w:tcBorders>
                    <w:tl2br w:val="nil"/>
                    <w:tr2bl w:val="nil"/>
                  </w:tcBorders>
                  <w:noWrap w:val="0"/>
                  <w:vAlign w:val="center"/>
                </w:tcPr>
                <w:p w14:paraId="197D8E77">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有毒有害和易燃易爆危险物质存储量超过临界量</w:t>
                  </w:r>
                  <w:r>
                    <w:rPr>
                      <w:rFonts w:hint="default" w:ascii="Times New Roman" w:hAnsi="Times New Roman" w:cs="Times New Roman"/>
                      <w:color w:val="auto"/>
                      <w:sz w:val="21"/>
                      <w:szCs w:val="21"/>
                      <w:highlight w:val="none"/>
                      <w:vertAlign w:val="superscript"/>
                    </w:rPr>
                    <w:t>3</w:t>
                  </w:r>
                  <w:r>
                    <w:rPr>
                      <w:rFonts w:hint="default" w:ascii="Times New Roman" w:hAnsi="Times New Roman" w:cs="Times New Roman"/>
                      <w:color w:val="auto"/>
                      <w:sz w:val="21"/>
                      <w:szCs w:val="21"/>
                      <w:highlight w:val="none"/>
                    </w:rPr>
                    <w:t>的建设项目</w:t>
                  </w:r>
                </w:p>
              </w:tc>
              <w:tc>
                <w:tcPr>
                  <w:tcW w:w="1139" w:type="pct"/>
                  <w:tcBorders>
                    <w:tl2br w:val="nil"/>
                    <w:tr2bl w:val="nil"/>
                  </w:tcBorders>
                  <w:noWrap w:val="0"/>
                  <w:vAlign w:val="center"/>
                </w:tcPr>
                <w:p w14:paraId="05385052">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未超过临界量</w:t>
                  </w:r>
                </w:p>
              </w:tc>
              <w:tc>
                <w:tcPr>
                  <w:tcW w:w="423" w:type="pct"/>
                  <w:tcBorders>
                    <w:tl2br w:val="nil"/>
                    <w:tr2bl w:val="nil"/>
                  </w:tcBorders>
                  <w:noWrap w:val="0"/>
                  <w:vAlign w:val="center"/>
                </w:tcPr>
                <w:p w14:paraId="0993E8EE">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无需开展</w:t>
                  </w:r>
                </w:p>
              </w:tc>
            </w:tr>
            <w:tr w14:paraId="37E8DA20">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841" w:hRule="atLeast"/>
                <w:jc w:val="center"/>
              </w:trPr>
              <w:tc>
                <w:tcPr>
                  <w:tcW w:w="639" w:type="pct"/>
                  <w:tcBorders>
                    <w:tl2br w:val="nil"/>
                    <w:tr2bl w:val="nil"/>
                  </w:tcBorders>
                  <w:noWrap w:val="0"/>
                  <w:vAlign w:val="center"/>
                </w:tcPr>
                <w:p w14:paraId="045C9E0B">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生态</w:t>
                  </w:r>
                </w:p>
              </w:tc>
              <w:tc>
                <w:tcPr>
                  <w:tcW w:w="2797" w:type="pct"/>
                  <w:tcBorders>
                    <w:tl2br w:val="nil"/>
                    <w:tr2bl w:val="nil"/>
                  </w:tcBorders>
                  <w:noWrap w:val="0"/>
                  <w:vAlign w:val="center"/>
                </w:tcPr>
                <w:p w14:paraId="05754D76">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取水口下游500米范围内有重要水生生物的自然产卵场、索饵场、越冬场和洄游通道的新增河道取水的污染类建设项目</w:t>
                  </w:r>
                </w:p>
              </w:tc>
              <w:tc>
                <w:tcPr>
                  <w:tcW w:w="1139" w:type="pct"/>
                  <w:tcBorders>
                    <w:tl2br w:val="nil"/>
                    <w:tr2bl w:val="nil"/>
                  </w:tcBorders>
                  <w:noWrap w:val="0"/>
                  <w:vAlign w:val="center"/>
                </w:tcPr>
                <w:p w14:paraId="47670269">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不涉及</w:t>
                  </w:r>
                </w:p>
              </w:tc>
              <w:tc>
                <w:tcPr>
                  <w:tcW w:w="423" w:type="pct"/>
                  <w:tcBorders>
                    <w:tl2br w:val="nil"/>
                    <w:tr2bl w:val="nil"/>
                  </w:tcBorders>
                  <w:noWrap w:val="0"/>
                  <w:vAlign w:val="center"/>
                </w:tcPr>
                <w:p w14:paraId="7BEB90F1">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无需开展</w:t>
                  </w:r>
                </w:p>
              </w:tc>
            </w:tr>
            <w:tr w14:paraId="676088E6">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286" w:hRule="atLeast"/>
                <w:jc w:val="center"/>
              </w:trPr>
              <w:tc>
                <w:tcPr>
                  <w:tcW w:w="639" w:type="pct"/>
                  <w:tcBorders>
                    <w:tl2br w:val="nil"/>
                    <w:tr2bl w:val="nil"/>
                  </w:tcBorders>
                  <w:noWrap w:val="0"/>
                  <w:vAlign w:val="center"/>
                </w:tcPr>
                <w:p w14:paraId="7B484FA4">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海洋</w:t>
                  </w:r>
                </w:p>
              </w:tc>
              <w:tc>
                <w:tcPr>
                  <w:tcW w:w="2797" w:type="pct"/>
                  <w:tcBorders>
                    <w:tl2br w:val="nil"/>
                    <w:tr2bl w:val="nil"/>
                  </w:tcBorders>
                  <w:noWrap w:val="0"/>
                  <w:vAlign w:val="center"/>
                </w:tcPr>
                <w:p w14:paraId="6369DFA4">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直接向海排放污染物的海洋工程建设项目</w:t>
                  </w:r>
                </w:p>
              </w:tc>
              <w:tc>
                <w:tcPr>
                  <w:tcW w:w="1139" w:type="pct"/>
                  <w:tcBorders>
                    <w:tl2br w:val="nil"/>
                    <w:tr2bl w:val="nil"/>
                  </w:tcBorders>
                  <w:noWrap w:val="0"/>
                  <w:vAlign w:val="center"/>
                </w:tcPr>
                <w:p w14:paraId="70F4CB37">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不涉及</w:t>
                  </w:r>
                </w:p>
              </w:tc>
              <w:tc>
                <w:tcPr>
                  <w:tcW w:w="423" w:type="pct"/>
                  <w:tcBorders>
                    <w:tl2br w:val="nil"/>
                    <w:tr2bl w:val="nil"/>
                  </w:tcBorders>
                  <w:noWrap w:val="0"/>
                  <w:vAlign w:val="center"/>
                </w:tcPr>
                <w:p w14:paraId="2FE3B409">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无需开展</w:t>
                  </w:r>
                </w:p>
              </w:tc>
            </w:tr>
            <w:tr w14:paraId="05F96CBF">
              <w:tblPrEx>
                <w:tblBorders>
                  <w:top w:val="single" w:color="auto" w:sz="12" w:space="0"/>
                  <w:left w:val="none" w:color="auto" w:sz="0" w:space="0"/>
                  <w:bottom w:val="single" w:color="auto" w:sz="12" w:space="0"/>
                  <w:right w:val="none" w:color="auto" w:sz="0" w:space="0"/>
                  <w:insideH w:val="single" w:color="auto" w:sz="8" w:space="0"/>
                  <w:insideV w:val="single" w:color="auto" w:sz="4" w:space="0"/>
                </w:tblBorders>
                <w:tblCellMar>
                  <w:top w:w="0" w:type="dxa"/>
                  <w:left w:w="0" w:type="dxa"/>
                  <w:bottom w:w="0" w:type="dxa"/>
                  <w:right w:w="0" w:type="dxa"/>
                </w:tblCellMar>
              </w:tblPrEx>
              <w:trPr>
                <w:trHeight w:val="317" w:hRule="atLeast"/>
                <w:jc w:val="center"/>
              </w:trPr>
              <w:tc>
                <w:tcPr>
                  <w:tcW w:w="5000" w:type="pct"/>
                  <w:gridSpan w:val="4"/>
                  <w:tcBorders>
                    <w:tl2br w:val="nil"/>
                    <w:tr2bl w:val="nil"/>
                  </w:tcBorders>
                  <w:noWrap w:val="0"/>
                  <w:vAlign w:val="center"/>
                </w:tcPr>
                <w:p w14:paraId="5850BC67">
                  <w:pPr>
                    <w:pStyle w:val="40"/>
                    <w:keepNext w:val="0"/>
                    <w:keepLines w:val="0"/>
                    <w:pageBreakBefore w:val="0"/>
                    <w:widowControl w:val="0"/>
                    <w:suppressLineNumbers w:val="0"/>
                    <w:kinsoku/>
                    <w:wordWrap/>
                    <w:topLinePunct w:val="0"/>
                    <w:bidi w:val="0"/>
                    <w:spacing w:before="0" w:beforeAutospacing="0" w:after="0" w:afterAutospacing="0"/>
                    <w:ind w:left="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注：1</w:t>
                  </w:r>
                  <w:r>
                    <w:rPr>
                      <w:rFonts w:hint="eastAsia" w:ascii="Times New Roman" w:hAnsi="Times New Roman" w:cs="Times New Roman"/>
                      <w:color w:val="auto"/>
                      <w:sz w:val="21"/>
                      <w:szCs w:val="21"/>
                      <w:highlight w:val="none"/>
                      <w:lang w:val="en-US" w:eastAsia="zh-CN"/>
                    </w:rPr>
                    <w:t>.</w:t>
                  </w:r>
                  <w:r>
                    <w:rPr>
                      <w:rFonts w:hint="default" w:ascii="Times New Roman" w:hAnsi="Times New Roman" w:cs="Times New Roman"/>
                      <w:color w:val="auto"/>
                      <w:sz w:val="21"/>
                      <w:szCs w:val="21"/>
                      <w:highlight w:val="none"/>
                    </w:rPr>
                    <w:t>废气中有毒有害污染物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bl>
          <w:p w14:paraId="5A501D1A">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2"/>
                <w:szCs w:val="24"/>
                <w:highlight w:val="none"/>
                <w:lang w:val="en-US" w:eastAsia="zh-CN" w:bidi="ar-SA"/>
              </w:rPr>
            </w:pPr>
            <w:r>
              <w:rPr>
                <w:rFonts w:hint="default"/>
                <w:color w:val="auto"/>
                <w:highlight w:val="none"/>
              </w:rPr>
              <w:t>综上所述，本项目不设置专题或专项评价。</w:t>
            </w:r>
          </w:p>
        </w:tc>
      </w:tr>
      <w:tr w14:paraId="0E4076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881" w:type="pct"/>
            <w:noWrap w:val="0"/>
            <w:vAlign w:val="center"/>
          </w:tcPr>
          <w:p w14:paraId="7095B3A1">
            <w:pPr>
              <w:pStyle w:val="7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0"/>
                <w:szCs w:val="24"/>
                <w:highlight w:val="none"/>
                <w:lang w:val="en-US" w:eastAsia="zh-CN"/>
              </w:rPr>
            </w:pPr>
            <w:r>
              <w:rPr>
                <w:rFonts w:hint="default"/>
                <w:color w:val="auto"/>
                <w:highlight w:val="none"/>
                <w:lang w:val="en-US" w:eastAsia="zh-CN"/>
              </w:rPr>
              <w:t>规划情况</w:t>
            </w:r>
          </w:p>
        </w:tc>
        <w:tc>
          <w:tcPr>
            <w:tcW w:w="4118" w:type="pct"/>
            <w:gridSpan w:val="3"/>
            <w:shd w:val="clear" w:color="auto" w:fill="auto"/>
            <w:noWrap w:val="0"/>
            <w:vAlign w:val="center"/>
          </w:tcPr>
          <w:p w14:paraId="0334D4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color w:val="auto"/>
                <w:highlight w:val="none"/>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default"/>
                <w:b/>
                <w:bCs/>
                <w:color w:val="auto"/>
                <w:highlight w:val="none"/>
              </w:rPr>
              <w:t>规划名称：</w:t>
            </w:r>
            <w:r>
              <w:rPr>
                <w:rFonts w:hint="eastAsia"/>
                <w:color w:val="auto"/>
                <w:highlight w:val="none"/>
              </w:rPr>
              <w:t>《高安高新技术产业园区调区规划》</w:t>
            </w:r>
          </w:p>
          <w:p w14:paraId="3A15E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color w:val="auto"/>
                <w:highlight w:val="none"/>
              </w:rPr>
            </w:pPr>
            <w:r>
              <w:rPr>
                <w:rFonts w:hint="eastAsia"/>
                <w:b/>
                <w:bCs/>
                <w:color w:val="auto"/>
                <w:highlight w:val="none"/>
                <w:lang w:eastAsia="zh-CN"/>
              </w:rPr>
              <w:t>（</w:t>
            </w:r>
            <w:r>
              <w:rPr>
                <w:rFonts w:hint="eastAsia"/>
                <w:b/>
                <w:bCs/>
                <w:color w:val="auto"/>
                <w:highlight w:val="none"/>
                <w:lang w:val="en-US" w:eastAsia="zh-CN"/>
              </w:rPr>
              <w:t>2</w:t>
            </w:r>
            <w:r>
              <w:rPr>
                <w:rFonts w:hint="eastAsia"/>
                <w:b/>
                <w:bCs/>
                <w:color w:val="auto"/>
                <w:highlight w:val="none"/>
                <w:lang w:eastAsia="zh-CN"/>
              </w:rPr>
              <w:t>）</w:t>
            </w:r>
            <w:r>
              <w:rPr>
                <w:rFonts w:hint="eastAsia"/>
                <w:b/>
                <w:bCs/>
                <w:color w:val="auto"/>
                <w:highlight w:val="none"/>
              </w:rPr>
              <w:t>报送单位：</w:t>
            </w:r>
            <w:r>
              <w:rPr>
                <w:rFonts w:hint="eastAsia"/>
                <w:color w:val="auto"/>
                <w:highlight w:val="none"/>
              </w:rPr>
              <w:t>江西高安高新技术产业园区管理委员会</w:t>
            </w:r>
          </w:p>
          <w:p w14:paraId="0366D6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eastAsia"/>
                <w:color w:val="auto"/>
                <w:highlight w:val="none"/>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w:t>
            </w:r>
            <w:r>
              <w:rPr>
                <w:rFonts w:hint="eastAsia"/>
                <w:b/>
                <w:bCs/>
                <w:color w:val="auto"/>
                <w:highlight w:val="none"/>
              </w:rPr>
              <w:t>审批机关：</w:t>
            </w:r>
            <w:r>
              <w:rPr>
                <w:rFonts w:hint="eastAsia"/>
                <w:color w:val="auto"/>
                <w:highlight w:val="none"/>
              </w:rPr>
              <w:t>江西省人民政府</w:t>
            </w:r>
          </w:p>
          <w:p w14:paraId="69EBDD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default"/>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4</w:t>
            </w:r>
            <w:r>
              <w:rPr>
                <w:rFonts w:hint="eastAsia"/>
                <w:b/>
                <w:bCs/>
                <w:color w:val="auto"/>
                <w:highlight w:val="none"/>
                <w:lang w:eastAsia="zh-CN"/>
              </w:rPr>
              <w:t>）</w:t>
            </w:r>
            <w:r>
              <w:rPr>
                <w:rFonts w:hint="eastAsia"/>
                <w:b/>
                <w:bCs/>
                <w:color w:val="auto"/>
                <w:highlight w:val="none"/>
              </w:rPr>
              <w:t>审查文件文号及名称：</w:t>
            </w:r>
            <w:r>
              <w:rPr>
                <w:rFonts w:hint="eastAsia"/>
                <w:color w:val="auto"/>
                <w:highlight w:val="none"/>
              </w:rPr>
              <w:t>赣府厅字（2024）32号</w:t>
            </w:r>
          </w:p>
        </w:tc>
      </w:tr>
      <w:tr w14:paraId="1A7097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1" w:type="pct"/>
            <w:noWrap w:val="0"/>
            <w:vAlign w:val="center"/>
          </w:tcPr>
          <w:p w14:paraId="716F5A6C">
            <w:pPr>
              <w:pStyle w:val="7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0"/>
                <w:szCs w:val="24"/>
                <w:highlight w:val="none"/>
              </w:rPr>
            </w:pPr>
            <w:r>
              <w:rPr>
                <w:rFonts w:hint="default"/>
                <w:color w:val="auto"/>
                <w:highlight w:val="none"/>
              </w:rPr>
              <w:t>规划环境影响评价情况</w:t>
            </w:r>
          </w:p>
        </w:tc>
        <w:tc>
          <w:tcPr>
            <w:tcW w:w="4118" w:type="pct"/>
            <w:gridSpan w:val="3"/>
            <w:shd w:val="clear" w:color="auto" w:fill="auto"/>
            <w:noWrap w:val="0"/>
            <w:vAlign w:val="center"/>
          </w:tcPr>
          <w:p w14:paraId="2C2484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default"/>
                <w:color w:val="auto"/>
                <w:highlight w:val="none"/>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default"/>
                <w:b/>
                <w:bCs/>
                <w:color w:val="auto"/>
                <w:highlight w:val="none"/>
              </w:rPr>
              <w:t>规划环境影响评价文件：</w:t>
            </w:r>
            <w:r>
              <w:rPr>
                <w:rFonts w:hint="default"/>
                <w:color w:val="auto"/>
                <w:highlight w:val="none"/>
              </w:rPr>
              <w:t>《江西高安高新技术产业园区扩区调区规划环境影响报告书》</w:t>
            </w:r>
          </w:p>
          <w:p w14:paraId="14E2C5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default"/>
                <w:color w:val="auto"/>
                <w:highlight w:val="none"/>
              </w:rPr>
            </w:pPr>
            <w:r>
              <w:rPr>
                <w:rFonts w:hint="eastAsia"/>
                <w:b/>
                <w:bCs/>
                <w:color w:val="auto"/>
                <w:highlight w:val="none"/>
                <w:lang w:eastAsia="zh-CN"/>
              </w:rPr>
              <w:t>（</w:t>
            </w:r>
            <w:r>
              <w:rPr>
                <w:rFonts w:hint="eastAsia"/>
                <w:b/>
                <w:bCs/>
                <w:color w:val="auto"/>
                <w:highlight w:val="none"/>
                <w:lang w:val="en-US" w:eastAsia="zh-CN"/>
              </w:rPr>
              <w:t>2</w:t>
            </w:r>
            <w:r>
              <w:rPr>
                <w:rFonts w:hint="eastAsia"/>
                <w:b/>
                <w:bCs/>
                <w:color w:val="auto"/>
                <w:highlight w:val="none"/>
                <w:lang w:eastAsia="zh-CN"/>
              </w:rPr>
              <w:t>）</w:t>
            </w:r>
            <w:r>
              <w:rPr>
                <w:rFonts w:hint="default"/>
                <w:b/>
                <w:bCs/>
                <w:color w:val="auto"/>
                <w:highlight w:val="none"/>
              </w:rPr>
              <w:t>审批机关：</w:t>
            </w:r>
            <w:r>
              <w:rPr>
                <w:rFonts w:hint="default"/>
                <w:color w:val="auto"/>
                <w:highlight w:val="none"/>
              </w:rPr>
              <w:t>江西省生态环境厅</w:t>
            </w:r>
          </w:p>
          <w:p w14:paraId="29815F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0" w:firstLineChars="0"/>
              <w:textAlignment w:val="auto"/>
              <w:rPr>
                <w:rFonts w:hint="default" w:ascii="Times New Roman" w:hAnsi="Times New Roman" w:eastAsia="宋体" w:cs="Times New Roman"/>
                <w:color w:val="auto"/>
                <w:kern w:val="2"/>
                <w:szCs w:val="24"/>
                <w:highlight w:val="none"/>
                <w:lang w:val="en-US" w:eastAsia="zh-CN" w:bidi="ar-SA"/>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w:t>
            </w:r>
            <w:r>
              <w:rPr>
                <w:rFonts w:hint="default"/>
                <w:b/>
                <w:bCs/>
                <w:color w:val="auto"/>
                <w:highlight w:val="none"/>
              </w:rPr>
              <w:t>审查文件号及名称：</w:t>
            </w:r>
            <w:r>
              <w:rPr>
                <w:rFonts w:hint="default"/>
                <w:color w:val="auto"/>
                <w:highlight w:val="none"/>
              </w:rPr>
              <w:t>《江西省生态环境厅关于江西高安高新技术产业园扩区规划环境影响报告书审查意见的函》（赣环环评函〔20</w:t>
            </w:r>
            <w:r>
              <w:rPr>
                <w:rFonts w:hint="eastAsia"/>
                <w:color w:val="auto"/>
                <w:highlight w:val="none"/>
                <w:lang w:val="en-US" w:eastAsia="zh-CN"/>
              </w:rPr>
              <w:t>24</w:t>
            </w:r>
            <w:r>
              <w:rPr>
                <w:rFonts w:hint="default"/>
                <w:color w:val="auto"/>
                <w:highlight w:val="none"/>
              </w:rPr>
              <w:t>〕</w:t>
            </w:r>
            <w:r>
              <w:rPr>
                <w:rFonts w:hint="eastAsia"/>
                <w:color w:val="auto"/>
                <w:highlight w:val="none"/>
                <w:lang w:val="en-US" w:eastAsia="zh-CN"/>
              </w:rPr>
              <w:t>69</w:t>
            </w:r>
            <w:r>
              <w:rPr>
                <w:rFonts w:hint="default"/>
                <w:color w:val="auto"/>
                <w:highlight w:val="none"/>
              </w:rPr>
              <w:t>号）</w:t>
            </w:r>
          </w:p>
        </w:tc>
      </w:tr>
      <w:tr w14:paraId="049504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81" w:type="pct"/>
            <w:noWrap w:val="0"/>
            <w:vAlign w:val="center"/>
          </w:tcPr>
          <w:p w14:paraId="070D1C9B">
            <w:pPr>
              <w:pStyle w:val="7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0"/>
                <w:szCs w:val="24"/>
                <w:highlight w:val="none"/>
              </w:rPr>
            </w:pPr>
            <w:r>
              <w:rPr>
                <w:rFonts w:hint="default"/>
                <w:color w:val="auto"/>
                <w:highlight w:val="none"/>
              </w:rPr>
              <w:t>规划及规划环境影响评价符合性分析</w:t>
            </w:r>
          </w:p>
        </w:tc>
        <w:tc>
          <w:tcPr>
            <w:tcW w:w="4118" w:type="pct"/>
            <w:gridSpan w:val="3"/>
            <w:noWrap w:val="0"/>
            <w:vAlign w:val="center"/>
          </w:tcPr>
          <w:p w14:paraId="02BA62C4">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1</w:t>
            </w:r>
            <w:r>
              <w:rPr>
                <w:rFonts w:hint="default"/>
                <w:color w:val="auto"/>
                <w:highlight w:val="none"/>
              </w:rPr>
              <w:t>、与《高安高新技术产业园区调区规划》相符性分析</w:t>
            </w:r>
          </w:p>
          <w:p w14:paraId="3E48A07C">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（1）与江西高安高新技术产业园规划相符性分析</w:t>
            </w:r>
          </w:p>
          <w:p w14:paraId="5F9DFCD8">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江西高安高新技术产业园前身为高安市新世纪工业城，江西省人民政府于2006年8月以赣府字（2006）17号文件批准高安市新世纪工业城为省级工业园区、并将园区更名为江西高安工业园区；2007年9月，原江西省环境保护厅以赣环督函（2007）276号出具规划环评审查意见。</w:t>
            </w:r>
          </w:p>
          <w:p w14:paraId="6CB265EB">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2017年，园区管委会对江西高安工业园区进行扩区调区工作，将原核定的江西高安工业园区调扩为</w:t>
            </w:r>
            <w:r>
              <w:rPr>
                <w:rFonts w:hint="eastAsia"/>
                <w:color w:val="auto"/>
                <w:highlight w:val="none"/>
                <w:lang w:val="en-US" w:eastAsia="zh-CN"/>
              </w:rPr>
              <w:t>“</w:t>
            </w:r>
            <w:r>
              <w:rPr>
                <w:rFonts w:hint="default"/>
                <w:color w:val="auto"/>
                <w:highlight w:val="none"/>
                <w:lang w:val="en-US" w:eastAsia="en-US"/>
              </w:rPr>
              <w:t>一区二园</w:t>
            </w:r>
            <w:r>
              <w:rPr>
                <w:rFonts w:hint="eastAsia"/>
                <w:color w:val="auto"/>
                <w:highlight w:val="none"/>
                <w:lang w:val="en-US" w:eastAsia="zh-CN"/>
              </w:rPr>
              <w:t>”</w:t>
            </w:r>
            <w:r>
              <w:rPr>
                <w:rFonts w:hint="default"/>
                <w:color w:val="auto"/>
                <w:highlight w:val="none"/>
                <w:lang w:val="en-US" w:eastAsia="en-US"/>
              </w:rPr>
              <w:t>五个地块的发展格局，即新世纪产业园、建筑陶瓷产业园；2017年5月，原江西省环境保护厅以赣环评函（2017）19号出具了该园区扩区调区规划环评审查意见。2017年7月，江西省人民政府以赣府字（2017）59号将园区更名为</w:t>
            </w:r>
            <w:r>
              <w:rPr>
                <w:rFonts w:hint="eastAsia"/>
                <w:color w:val="auto"/>
                <w:highlight w:val="none"/>
                <w:lang w:val="en-US" w:eastAsia="zh-CN"/>
              </w:rPr>
              <w:t>“</w:t>
            </w:r>
            <w:r>
              <w:rPr>
                <w:rFonts w:hint="default"/>
                <w:color w:val="auto"/>
                <w:highlight w:val="none"/>
                <w:lang w:val="en-US" w:eastAsia="en-US"/>
              </w:rPr>
              <w:t>江西高安高新技术产业园区</w:t>
            </w:r>
            <w:r>
              <w:rPr>
                <w:rFonts w:hint="eastAsia"/>
                <w:color w:val="auto"/>
                <w:highlight w:val="none"/>
                <w:lang w:val="en-US" w:eastAsia="zh-CN"/>
              </w:rPr>
              <w:t>”</w:t>
            </w:r>
            <w:r>
              <w:rPr>
                <w:rFonts w:hint="default"/>
                <w:color w:val="auto"/>
                <w:highlight w:val="none"/>
                <w:lang w:val="en-US" w:eastAsia="en-US"/>
              </w:rPr>
              <w:t>。2017年12月，江西省人民政府以赣府厅字（2017）145号函复同意扩区调区，园区面积1988.67公顷。</w:t>
            </w:r>
          </w:p>
          <w:p w14:paraId="445A7819">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2020年，产业园规划再次扩区，省发展改革委复函同意开展扩区前期工作。本次扩区规划是在原规划</w:t>
            </w:r>
            <w:r>
              <w:rPr>
                <w:rFonts w:hint="eastAsia"/>
                <w:color w:val="auto"/>
                <w:highlight w:val="none"/>
                <w:lang w:val="en-US" w:eastAsia="zh-CN"/>
              </w:rPr>
              <w:t>“</w:t>
            </w:r>
            <w:r>
              <w:rPr>
                <w:rFonts w:hint="default"/>
                <w:color w:val="auto"/>
                <w:highlight w:val="none"/>
                <w:lang w:val="en-US" w:eastAsia="en-US"/>
              </w:rPr>
              <w:t>一区二园</w:t>
            </w:r>
            <w:r>
              <w:rPr>
                <w:rFonts w:hint="eastAsia"/>
                <w:color w:val="auto"/>
                <w:highlight w:val="none"/>
                <w:lang w:val="en-US" w:eastAsia="zh-CN"/>
              </w:rPr>
              <w:t>”</w:t>
            </w:r>
            <w:r>
              <w:rPr>
                <w:rFonts w:hint="default"/>
                <w:color w:val="auto"/>
                <w:highlight w:val="none"/>
                <w:lang w:val="en-US" w:eastAsia="en-US"/>
              </w:rPr>
              <w:t>基础上，在高安市田南镇扩增1个地块作为建材环保产业园，最终形成</w:t>
            </w:r>
            <w:r>
              <w:rPr>
                <w:rFonts w:hint="eastAsia"/>
                <w:color w:val="auto"/>
                <w:highlight w:val="none"/>
                <w:lang w:val="en-US" w:eastAsia="zh-CN"/>
              </w:rPr>
              <w:t>“</w:t>
            </w:r>
            <w:r>
              <w:rPr>
                <w:rFonts w:hint="default"/>
                <w:color w:val="auto"/>
                <w:highlight w:val="none"/>
                <w:lang w:val="en-US" w:eastAsia="en-US"/>
              </w:rPr>
              <w:t>一区三园</w:t>
            </w:r>
            <w:r>
              <w:rPr>
                <w:rFonts w:hint="eastAsia"/>
                <w:color w:val="auto"/>
                <w:highlight w:val="none"/>
                <w:lang w:val="en-US" w:eastAsia="zh-CN"/>
              </w:rPr>
              <w:t>”</w:t>
            </w:r>
            <w:r>
              <w:rPr>
                <w:rFonts w:hint="default"/>
                <w:color w:val="auto"/>
                <w:highlight w:val="none"/>
                <w:lang w:val="en-US" w:eastAsia="en-US"/>
              </w:rPr>
              <w:t>的格局，即新世纪产业园、建筑陶瓷产业园、建材环保产业园，总规划面积2722.59公顷。各产业园区四至范围如下：</w:t>
            </w:r>
          </w:p>
          <w:p w14:paraId="069F0B1C">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新世纪产业园：规划形成三个功能片区，其中工业园核心组团四至范围为东至东风大道，南至产业园区管委会，西至翠微路，北至平安大道，用地面积884.56公顷，打造为新能源、新材料、装备制造、绿色光源、纺织、电子信息、配套服务产业区</w:t>
            </w:r>
            <w:r>
              <w:rPr>
                <w:rFonts w:hint="eastAsia"/>
                <w:color w:val="auto"/>
                <w:highlight w:val="none"/>
                <w:lang w:val="en-US" w:eastAsia="zh-CN"/>
              </w:rPr>
              <w:t>；</w:t>
            </w:r>
            <w:r>
              <w:rPr>
                <w:rFonts w:hint="default"/>
                <w:color w:val="auto"/>
                <w:highlight w:val="none"/>
                <w:lang w:val="en-US" w:eastAsia="en-US"/>
              </w:rPr>
              <w:t>杨家湖组团四至范围为东至经六路，南至祥符镇城镇开发边界，西至祥符镇城镇开发边界，北至祥符镇区，用地面积144.99公顷，打造为新能源、电子信息、配套服务产业区</w:t>
            </w:r>
            <w:r>
              <w:rPr>
                <w:rFonts w:hint="eastAsia"/>
                <w:color w:val="auto"/>
                <w:highlight w:val="none"/>
                <w:lang w:val="en-US" w:eastAsia="zh-CN"/>
              </w:rPr>
              <w:t>；</w:t>
            </w:r>
            <w:r>
              <w:rPr>
                <w:rFonts w:hint="default"/>
                <w:color w:val="auto"/>
                <w:highlight w:val="none"/>
                <w:lang w:val="en-US" w:eastAsia="en-US"/>
              </w:rPr>
              <w:t>祥符收费站组团四至范围为东至经十二路，南至纬八路，西至经八路，北至高安东高速管理中心，用地面积415.25公顷，打造为新能源、装备制造、配套服务产业区。</w:t>
            </w:r>
          </w:p>
          <w:p w14:paraId="6AC7FFE6">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建筑陶瓷产业园：规划形成五个功能片区，其中</w:t>
            </w:r>
            <w:r>
              <w:rPr>
                <w:rFonts w:hint="eastAsia"/>
                <w:color w:val="auto"/>
                <w:highlight w:val="none"/>
                <w:lang w:val="en-US" w:eastAsia="zh-CN"/>
              </w:rPr>
              <w:t>：</w:t>
            </w:r>
            <w:r>
              <w:rPr>
                <w:rFonts w:hint="default"/>
                <w:color w:val="auto"/>
                <w:highlight w:val="none"/>
                <w:lang w:val="en-US" w:eastAsia="en-US"/>
              </w:rPr>
              <w:t>西组团四至范围为东至新街镇城镇开发边界，南至新街镇城镇开发边界，西至新街镇城镇开发边界，北至新街镇城镇开发边界，用地面积272.55公顷，打造为建陶、锂电产业区</w:t>
            </w:r>
            <w:r>
              <w:rPr>
                <w:rFonts w:hint="eastAsia"/>
                <w:color w:val="auto"/>
                <w:highlight w:val="none"/>
                <w:lang w:val="en-US" w:eastAsia="zh-CN"/>
              </w:rPr>
              <w:t>；</w:t>
            </w:r>
            <w:r>
              <w:rPr>
                <w:rFonts w:hint="default"/>
                <w:color w:val="auto"/>
                <w:highlight w:val="none"/>
                <w:lang w:val="en-US" w:eastAsia="en-US"/>
              </w:rPr>
              <w:t>建陶核心组团四至范围为东至独城镇山东水库，南至新中源南路，西至高胡公路，北至独城镇城镇开发边界，用地面积1398.14公顷，打造为建陶、锂电、配套服务产业区；铁路沿线组团四至范围为东至龛塘水库，南至八景镇城镇开发边界，西至八景镇城镇开发边界，北至独八路，用地面积460.61公顷，打造为锂电、建陶产业区</w:t>
            </w:r>
            <w:r>
              <w:rPr>
                <w:rFonts w:hint="eastAsia"/>
                <w:color w:val="auto"/>
                <w:highlight w:val="none"/>
                <w:lang w:val="en-US" w:eastAsia="zh-CN"/>
              </w:rPr>
              <w:t>；</w:t>
            </w:r>
            <w:r>
              <w:rPr>
                <w:rFonts w:hint="default"/>
                <w:color w:val="auto"/>
                <w:highlight w:val="none"/>
                <w:lang w:val="en-US" w:eastAsia="en-US"/>
              </w:rPr>
              <w:t>南组团四至范围为东至高胡公路，南至八景镇城镇开发边界，西至铁路张建线，北至高胡公路，用地面积147.72公顷，打造为建陶产业区</w:t>
            </w:r>
            <w:r>
              <w:rPr>
                <w:rFonts w:hint="eastAsia"/>
                <w:color w:val="auto"/>
                <w:highlight w:val="none"/>
                <w:lang w:val="en-US" w:eastAsia="zh-CN"/>
              </w:rPr>
              <w:t>；</w:t>
            </w:r>
            <w:r>
              <w:rPr>
                <w:rFonts w:hint="default"/>
                <w:color w:val="auto"/>
                <w:highlight w:val="none"/>
                <w:lang w:val="en-US" w:eastAsia="en-US"/>
              </w:rPr>
              <w:t>胡家坊组团四至范围为东至高胡公路，南至沪昆高速公路，西至八景镇城镇开发边界，北至八景镇城镇开发边界，用地面积129.40公顷，打造为建材锂电产业片。</w:t>
            </w:r>
          </w:p>
          <w:p w14:paraId="1E6FCB80">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en-US"/>
              </w:rPr>
              <w:t>建材环保产业园：整体形成一个建材环保产业园区，重点发展建材水泥产业。建材环保产业园四至范围为东至田南镇城镇开发边界，南至田南镇罗家村，西至田南镇罗家村以西林地，北至田南镇罗家村以北林地。</w:t>
            </w:r>
          </w:p>
          <w:p w14:paraId="110AA378">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rPr>
              <w:t>本项目位于</w:t>
            </w:r>
            <w:r>
              <w:rPr>
                <w:rFonts w:hint="eastAsia"/>
                <w:color w:val="auto"/>
                <w:highlight w:val="none"/>
                <w:lang w:eastAsia="zh-CN"/>
              </w:rPr>
              <w:t>江西省建筑陶瓷产业基地江西恒辉陶瓷有限公司厂区内</w:t>
            </w:r>
            <w:r>
              <w:rPr>
                <w:rFonts w:hint="default"/>
                <w:color w:val="auto"/>
                <w:highlight w:val="none"/>
              </w:rPr>
              <w:t>，位于建筑陶瓷产业园区</w:t>
            </w:r>
            <w:r>
              <w:rPr>
                <w:rFonts w:hint="eastAsia"/>
                <w:color w:val="auto"/>
                <w:highlight w:val="none"/>
                <w:lang w:val="en-US" w:eastAsia="zh-CN"/>
              </w:rPr>
              <w:t>内，</w:t>
            </w:r>
            <w:r>
              <w:rPr>
                <w:rFonts w:hint="default"/>
                <w:color w:val="auto"/>
                <w:highlight w:val="none"/>
                <w:lang w:val="en-US" w:eastAsia="en-US"/>
              </w:rPr>
              <w:t>根据《高安高新技术产业园区调区规划》，建筑陶瓷产业园以建筑陶瓷产业、新能源（主要为锂电行业）为主导产业，补位产业为现代物流、主导产业配套服务产业等；对建筑陶瓷产品品类、技术研发等方面进行提质更新，坚持环保优先、品牌引领、转型升级、科学发展，围绕</w:t>
            </w:r>
            <w:r>
              <w:rPr>
                <w:rFonts w:hint="eastAsia"/>
                <w:color w:val="auto"/>
                <w:highlight w:val="none"/>
                <w:lang w:val="en-US" w:eastAsia="en-US"/>
              </w:rPr>
              <w:t>“绿色智能、高端高质”</w:t>
            </w:r>
            <w:r>
              <w:rPr>
                <w:rFonts w:hint="default"/>
                <w:color w:val="auto"/>
                <w:highlight w:val="none"/>
                <w:lang w:val="en-US" w:eastAsia="en-US"/>
              </w:rPr>
              <w:t>，加快建陶产业绿色化、高端化、品牌化、智能化步伐。发展锂电新能源，助推建陶产业转型升级。</w:t>
            </w:r>
          </w:p>
          <w:p w14:paraId="145DD1C4">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en-US"/>
              </w:rPr>
              <w:t>本项目为N7723固体废物治理</w:t>
            </w:r>
            <w:r>
              <w:rPr>
                <w:rFonts w:hint="eastAsia"/>
                <w:color w:val="auto"/>
                <w:highlight w:val="none"/>
                <w:lang w:val="en-US" w:eastAsia="zh-CN"/>
              </w:rPr>
              <w:t>、</w:t>
            </w:r>
            <w:r>
              <w:rPr>
                <w:rFonts w:hint="default"/>
                <w:color w:val="auto"/>
                <w:highlight w:val="none"/>
              </w:rPr>
              <w:t>C3031粘土砖瓦及建筑砌块制造，</w:t>
            </w:r>
            <w:r>
              <w:rPr>
                <w:rFonts w:hint="eastAsia"/>
                <w:color w:val="auto"/>
                <w:highlight w:val="none"/>
                <w:lang w:val="en-US" w:eastAsia="zh-CN"/>
              </w:rPr>
              <w:t>以上游锂电企业鉴定为一般固废的锂冶炼剩余物、粉煤灰等一般固废</w:t>
            </w:r>
            <w:r>
              <w:rPr>
                <w:rFonts w:hint="default"/>
                <w:color w:val="auto"/>
                <w:highlight w:val="none"/>
              </w:rPr>
              <w:t>作</w:t>
            </w:r>
            <w:r>
              <w:rPr>
                <w:rFonts w:hint="eastAsia"/>
                <w:color w:val="auto"/>
                <w:highlight w:val="none"/>
                <w:lang w:val="en-US" w:eastAsia="zh-CN"/>
              </w:rPr>
              <w:t>原料生产</w:t>
            </w:r>
            <w:r>
              <w:rPr>
                <w:rFonts w:hint="default"/>
                <w:color w:val="auto"/>
                <w:highlight w:val="none"/>
              </w:rPr>
              <w:t>建筑材料，属于</w:t>
            </w:r>
            <w:r>
              <w:rPr>
                <w:rFonts w:hint="default"/>
                <w:color w:val="auto"/>
                <w:highlight w:val="none"/>
                <w:lang w:val="en-US" w:eastAsia="en-US"/>
              </w:rPr>
              <w:t>对锂渣</w:t>
            </w:r>
            <w:r>
              <w:rPr>
                <w:rFonts w:hint="default"/>
                <w:color w:val="auto"/>
                <w:highlight w:val="none"/>
              </w:rPr>
              <w:t>再生资源利用，</w:t>
            </w:r>
            <w:r>
              <w:rPr>
                <w:rFonts w:hint="default"/>
                <w:color w:val="auto"/>
                <w:highlight w:val="none"/>
                <w:lang w:val="en-US" w:eastAsia="en-US"/>
              </w:rPr>
              <w:t>选址位于建筑陶瓷产业园的</w:t>
            </w:r>
            <w:r>
              <w:rPr>
                <w:rFonts w:hint="eastAsia"/>
                <w:color w:val="auto"/>
                <w:highlight w:val="none"/>
                <w:lang w:val="en-US" w:eastAsia="zh-CN"/>
              </w:rPr>
              <w:t>核心</w:t>
            </w:r>
            <w:r>
              <w:rPr>
                <w:rFonts w:hint="default"/>
                <w:color w:val="auto"/>
                <w:highlight w:val="none"/>
                <w:lang w:val="en-US" w:eastAsia="en-US"/>
              </w:rPr>
              <w:t>组团，为建陶、锂电产业区</w:t>
            </w:r>
            <w:r>
              <w:rPr>
                <w:rFonts w:hint="eastAsia"/>
                <w:color w:val="auto"/>
                <w:highlight w:val="none"/>
                <w:lang w:val="en-US" w:eastAsia="zh-CN"/>
              </w:rPr>
              <w:t>的</w:t>
            </w:r>
            <w:r>
              <w:rPr>
                <w:rFonts w:hint="default"/>
                <w:color w:val="auto"/>
                <w:highlight w:val="none"/>
                <w:lang w:val="en-US" w:eastAsia="en-US"/>
              </w:rPr>
              <w:t>配套产业，不属于禁止引入产业，与园区产业定位一致。</w:t>
            </w:r>
          </w:p>
          <w:p w14:paraId="5F168496">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与《江西高安高新技术产业园区扩区调区规划环境影响报告书》相符性分析</w:t>
            </w:r>
          </w:p>
          <w:p w14:paraId="0708D744">
            <w:pPr>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根据《江西高安高新技术产业园区扩区调区规划环境影响报告书》，产业园设置了环境准入要求。江西高安高新技术产业园分“一园三区”，即新世纪产业园、建筑陶瓷产业园、建材环保产业园，本项目位于建筑陶瓷产业园区，因此仅分析项目与建筑陶瓷产业园生态环境准入清单相符性。本项目与其相符性分析见下表。</w:t>
            </w:r>
          </w:p>
          <w:p w14:paraId="1D698B0B">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本项目与规划环评生态环境准入清单相符性分析</w:t>
            </w:r>
            <w:r>
              <w:rPr>
                <w:rFonts w:hint="eastAsia" w:cs="Times New Roman"/>
                <w:color w:val="auto"/>
                <w:sz w:val="21"/>
                <w:szCs w:val="21"/>
                <w:highlight w:val="none"/>
                <w:lang w:val="en-US" w:eastAsia="zh-CN"/>
              </w:rPr>
              <w:t>表</w:t>
            </w:r>
          </w:p>
          <w:tbl>
            <w:tblPr>
              <w:tblStyle w:val="9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00"/>
              <w:gridCol w:w="666"/>
              <w:gridCol w:w="3537"/>
              <w:gridCol w:w="1708"/>
              <w:gridCol w:w="682"/>
            </w:tblGrid>
            <w:tr w14:paraId="309F1BA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tcBorders>
                    <w:tl2br w:val="nil"/>
                    <w:tr2bl w:val="nil"/>
                  </w:tcBorders>
                  <w:vAlign w:val="center"/>
                </w:tcPr>
                <w:p w14:paraId="358BA6BA">
                  <w:pPr>
                    <w:pStyle w:val="78"/>
                    <w:bidi w:val="0"/>
                    <w:rPr>
                      <w:b/>
                      <w:bCs/>
                      <w:color w:val="auto"/>
                      <w:highlight w:val="none"/>
                    </w:rPr>
                  </w:pPr>
                  <w:r>
                    <w:rPr>
                      <w:b/>
                      <w:bCs/>
                      <w:color w:val="auto"/>
                      <w:highlight w:val="none"/>
                    </w:rPr>
                    <w:t>清单维度</w:t>
                  </w:r>
                </w:p>
              </w:tc>
              <w:tc>
                <w:tcPr>
                  <w:tcW w:w="667" w:type="dxa"/>
                  <w:tcBorders>
                    <w:tl2br w:val="nil"/>
                    <w:tr2bl w:val="nil"/>
                  </w:tcBorders>
                  <w:vAlign w:val="center"/>
                </w:tcPr>
                <w:p w14:paraId="355328ED">
                  <w:pPr>
                    <w:pStyle w:val="78"/>
                    <w:bidi w:val="0"/>
                    <w:rPr>
                      <w:b/>
                      <w:bCs/>
                      <w:color w:val="auto"/>
                      <w:highlight w:val="none"/>
                    </w:rPr>
                  </w:pPr>
                  <w:r>
                    <w:rPr>
                      <w:b/>
                      <w:bCs/>
                      <w:color w:val="auto"/>
                      <w:highlight w:val="none"/>
                    </w:rPr>
                    <w:t>类别</w:t>
                  </w:r>
                </w:p>
              </w:tc>
              <w:tc>
                <w:tcPr>
                  <w:tcW w:w="3541" w:type="dxa"/>
                  <w:tcBorders>
                    <w:tl2br w:val="nil"/>
                    <w:tr2bl w:val="nil"/>
                  </w:tcBorders>
                  <w:vAlign w:val="center"/>
                </w:tcPr>
                <w:p w14:paraId="3A396F1A">
                  <w:pPr>
                    <w:pStyle w:val="78"/>
                    <w:bidi w:val="0"/>
                    <w:rPr>
                      <w:b/>
                      <w:bCs/>
                      <w:color w:val="auto"/>
                      <w:highlight w:val="none"/>
                    </w:rPr>
                  </w:pPr>
                  <w:r>
                    <w:rPr>
                      <w:b/>
                      <w:bCs/>
                      <w:color w:val="auto"/>
                      <w:highlight w:val="none"/>
                    </w:rPr>
                    <w:t>准入内容</w:t>
                  </w:r>
                </w:p>
              </w:tc>
              <w:tc>
                <w:tcPr>
                  <w:tcW w:w="1709" w:type="dxa"/>
                  <w:tcBorders>
                    <w:tl2br w:val="nil"/>
                    <w:tr2bl w:val="nil"/>
                  </w:tcBorders>
                  <w:vAlign w:val="center"/>
                </w:tcPr>
                <w:p w14:paraId="25D48C8F">
                  <w:pPr>
                    <w:pStyle w:val="78"/>
                    <w:bidi w:val="0"/>
                    <w:rPr>
                      <w:b/>
                      <w:bCs/>
                      <w:color w:val="auto"/>
                      <w:highlight w:val="none"/>
                    </w:rPr>
                  </w:pPr>
                  <w:r>
                    <w:rPr>
                      <w:b/>
                      <w:bCs/>
                      <w:color w:val="auto"/>
                      <w:highlight w:val="none"/>
                    </w:rPr>
                    <w:t>本项目情况</w:t>
                  </w:r>
                </w:p>
              </w:tc>
              <w:tc>
                <w:tcPr>
                  <w:tcW w:w="683" w:type="dxa"/>
                  <w:tcBorders>
                    <w:tl2br w:val="nil"/>
                    <w:tr2bl w:val="nil"/>
                  </w:tcBorders>
                  <w:vAlign w:val="center"/>
                </w:tcPr>
                <w:p w14:paraId="1EE61895">
                  <w:pPr>
                    <w:pStyle w:val="78"/>
                    <w:bidi w:val="0"/>
                    <w:rPr>
                      <w:b/>
                      <w:bCs/>
                      <w:color w:val="auto"/>
                      <w:highlight w:val="none"/>
                    </w:rPr>
                  </w:pPr>
                  <w:r>
                    <w:rPr>
                      <w:b/>
                      <w:bCs/>
                      <w:color w:val="auto"/>
                      <w:highlight w:val="none"/>
                    </w:rPr>
                    <w:t>符合性分析</w:t>
                  </w:r>
                </w:p>
              </w:tc>
            </w:tr>
            <w:tr w14:paraId="4BECB64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0" w:hRule="atLeast"/>
                <w:jc w:val="center"/>
              </w:trPr>
              <w:tc>
                <w:tcPr>
                  <w:tcW w:w="701" w:type="dxa"/>
                  <w:tcBorders>
                    <w:tl2br w:val="nil"/>
                    <w:tr2bl w:val="nil"/>
                  </w:tcBorders>
                  <w:vAlign w:val="center"/>
                </w:tcPr>
                <w:p w14:paraId="41AA22A4">
                  <w:pPr>
                    <w:pStyle w:val="78"/>
                    <w:bidi w:val="0"/>
                    <w:rPr>
                      <w:color w:val="auto"/>
                      <w:highlight w:val="none"/>
                    </w:rPr>
                  </w:pPr>
                  <w:r>
                    <w:rPr>
                      <w:color w:val="auto"/>
                      <w:highlight w:val="none"/>
                    </w:rPr>
                    <w:t>空间布局约束</w:t>
                  </w:r>
                </w:p>
              </w:tc>
              <w:tc>
                <w:tcPr>
                  <w:tcW w:w="667" w:type="dxa"/>
                  <w:tcBorders>
                    <w:tl2br w:val="nil"/>
                    <w:tr2bl w:val="nil"/>
                  </w:tcBorders>
                  <w:vAlign w:val="center"/>
                </w:tcPr>
                <w:p w14:paraId="28701002">
                  <w:pPr>
                    <w:pStyle w:val="78"/>
                    <w:bidi w:val="0"/>
                    <w:rPr>
                      <w:color w:val="auto"/>
                      <w:highlight w:val="none"/>
                    </w:rPr>
                  </w:pPr>
                  <w:r>
                    <w:rPr>
                      <w:color w:val="auto"/>
                      <w:highlight w:val="none"/>
                    </w:rPr>
                    <w:t>建筑陶瓷产业园</w:t>
                  </w:r>
                </w:p>
              </w:tc>
              <w:tc>
                <w:tcPr>
                  <w:tcW w:w="3541" w:type="dxa"/>
                  <w:tcBorders>
                    <w:tl2br w:val="nil"/>
                    <w:tr2bl w:val="nil"/>
                  </w:tcBorders>
                  <w:vAlign w:val="center"/>
                </w:tcPr>
                <w:p w14:paraId="6B9D607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1、规划产业：</w:t>
                  </w:r>
                </w:p>
                <w:p w14:paraId="76ADCB5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建筑陶瓷产业园建陶核心组团、西组团、铁路沿线组团、南组团、胡家坊组团地块，建筑陶瓷产业：根据区域环境容量严格控制建筑陶瓷产业规模，引进高精陶瓷及配套产业入园，鼓励陶瓷行业减量替代，总体建筑陶瓷产业规模不新增。</w:t>
                  </w:r>
                </w:p>
                <w:p w14:paraId="36709C60">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新能源：规划的新能源行业碳酸锂生产企业产能控制在10.32万吨规模以内；严格控制污染较大的太阳能电池前端工序多晶硅或单晶硅生产。</w:t>
                  </w:r>
                </w:p>
                <w:p w14:paraId="7300C4F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2、建筑陶瓷产业园区胡家坊污水处理厂下游约8.4km处为省控断面（皮家组），建议胡家坊组团严格控制新建废水排放量大且含重金属等有毒有害污染物、难降解的有机污染物排放的项目。同时，建议胡家坊组团优先发展新能源产业的配套产业。</w:t>
                  </w:r>
                </w:p>
              </w:tc>
              <w:tc>
                <w:tcPr>
                  <w:tcW w:w="1709" w:type="dxa"/>
                  <w:tcBorders>
                    <w:tl2br w:val="nil"/>
                    <w:tr2bl w:val="nil"/>
                  </w:tcBorders>
                  <w:vAlign w:val="center"/>
                </w:tcPr>
                <w:p w14:paraId="0CBDAF27">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color w:val="auto"/>
                      <w:highlight w:val="none"/>
                    </w:rPr>
                  </w:pPr>
                  <w:r>
                    <w:rPr>
                      <w:color w:val="auto"/>
                      <w:highlight w:val="none"/>
                    </w:rPr>
                    <w:t>1、本项目</w:t>
                  </w:r>
                  <w:r>
                    <w:rPr>
                      <w:rFonts w:hint="eastAsia"/>
                      <w:color w:val="auto"/>
                      <w:highlight w:val="none"/>
                      <w:lang w:val="en-US" w:eastAsia="zh-CN"/>
                    </w:rPr>
                    <w:t>为</w:t>
                  </w:r>
                  <w:r>
                    <w:rPr>
                      <w:rFonts w:hint="eastAsia"/>
                      <w:color w:val="auto"/>
                      <w:highlight w:val="none"/>
                    </w:rPr>
                    <w:t>锂渣再生资源利用，属于主导产业配套产业</w:t>
                  </w:r>
                  <w:r>
                    <w:rPr>
                      <w:color w:val="auto"/>
                      <w:highlight w:val="none"/>
                    </w:rPr>
                    <w:t>；</w:t>
                  </w:r>
                </w:p>
                <w:p w14:paraId="1E91B748">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color w:val="auto"/>
                      <w:highlight w:val="none"/>
                    </w:rPr>
                  </w:pPr>
                  <w:r>
                    <w:rPr>
                      <w:color w:val="auto"/>
                      <w:highlight w:val="none"/>
                    </w:rPr>
                    <w:t>2、本项目不位于胡家坊组团，且不排放生产废水。</w:t>
                  </w:r>
                </w:p>
              </w:tc>
              <w:tc>
                <w:tcPr>
                  <w:tcW w:w="683" w:type="dxa"/>
                  <w:tcBorders>
                    <w:tl2br w:val="nil"/>
                    <w:tr2bl w:val="nil"/>
                  </w:tcBorders>
                  <w:vAlign w:val="center"/>
                </w:tcPr>
                <w:p w14:paraId="0FB978D0">
                  <w:pPr>
                    <w:pStyle w:val="78"/>
                    <w:bidi w:val="0"/>
                    <w:rPr>
                      <w:color w:val="auto"/>
                      <w:highlight w:val="none"/>
                    </w:rPr>
                  </w:pPr>
                  <w:r>
                    <w:rPr>
                      <w:color w:val="auto"/>
                      <w:highlight w:val="none"/>
                    </w:rPr>
                    <w:t>符合</w:t>
                  </w:r>
                </w:p>
              </w:tc>
            </w:tr>
            <w:tr w14:paraId="66E4EF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restart"/>
                  <w:tcBorders>
                    <w:tl2br w:val="nil"/>
                    <w:tr2bl w:val="nil"/>
                  </w:tcBorders>
                  <w:vAlign w:val="center"/>
                </w:tcPr>
                <w:p w14:paraId="0CE07EE0">
                  <w:pPr>
                    <w:pStyle w:val="78"/>
                    <w:bidi w:val="0"/>
                    <w:rPr>
                      <w:color w:val="auto"/>
                      <w:highlight w:val="none"/>
                    </w:rPr>
                  </w:pPr>
                  <w:r>
                    <w:rPr>
                      <w:color w:val="auto"/>
                      <w:highlight w:val="none"/>
                    </w:rPr>
                    <w:t>污染物排放管控</w:t>
                  </w:r>
                </w:p>
              </w:tc>
              <w:tc>
                <w:tcPr>
                  <w:tcW w:w="667" w:type="dxa"/>
                  <w:tcBorders>
                    <w:tl2br w:val="nil"/>
                    <w:tr2bl w:val="nil"/>
                  </w:tcBorders>
                  <w:vAlign w:val="center"/>
                </w:tcPr>
                <w:p w14:paraId="776DF77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现有源提标升级改造</w:t>
                  </w:r>
                </w:p>
              </w:tc>
              <w:tc>
                <w:tcPr>
                  <w:tcW w:w="3541" w:type="dxa"/>
                  <w:tcBorders>
                    <w:tl2br w:val="nil"/>
                    <w:tr2bl w:val="nil"/>
                  </w:tcBorders>
                  <w:vAlign w:val="center"/>
                </w:tcPr>
                <w:p w14:paraId="482182D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现有企业提标改造或转型升级，不断提高清洁生产水平。</w:t>
                  </w:r>
                </w:p>
              </w:tc>
              <w:tc>
                <w:tcPr>
                  <w:tcW w:w="1709" w:type="dxa"/>
                  <w:tcBorders>
                    <w:tl2br w:val="nil"/>
                    <w:tr2bl w:val="nil"/>
                  </w:tcBorders>
                  <w:vAlign w:val="center"/>
                </w:tcPr>
                <w:p w14:paraId="563AD489">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本项目清洁生产满足相应要求。</w:t>
                  </w:r>
                </w:p>
              </w:tc>
              <w:tc>
                <w:tcPr>
                  <w:tcW w:w="683" w:type="dxa"/>
                  <w:tcBorders>
                    <w:tl2br w:val="nil"/>
                    <w:tr2bl w:val="nil"/>
                  </w:tcBorders>
                  <w:vAlign w:val="center"/>
                </w:tcPr>
                <w:p w14:paraId="1E8EF37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6BA87CE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40D844C3">
                  <w:pPr>
                    <w:pStyle w:val="78"/>
                    <w:bidi w:val="0"/>
                    <w:rPr>
                      <w:color w:val="auto"/>
                      <w:highlight w:val="none"/>
                    </w:rPr>
                  </w:pPr>
                </w:p>
              </w:tc>
              <w:tc>
                <w:tcPr>
                  <w:tcW w:w="667" w:type="dxa"/>
                  <w:tcBorders>
                    <w:tl2br w:val="nil"/>
                    <w:tr2bl w:val="nil"/>
                  </w:tcBorders>
                  <w:vAlign w:val="center"/>
                </w:tcPr>
                <w:p w14:paraId="34F938E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新增源等量或倍量替代</w:t>
                  </w:r>
                </w:p>
              </w:tc>
              <w:tc>
                <w:tcPr>
                  <w:tcW w:w="3541" w:type="dxa"/>
                  <w:tcBorders>
                    <w:tl2br w:val="nil"/>
                    <w:tr2bl w:val="nil"/>
                  </w:tcBorders>
                  <w:vAlign w:val="center"/>
                </w:tcPr>
                <w:p w14:paraId="1C165B6C">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区域环境质量达标，新建、改扩建项目保证区域环境质量维持基本稳定；新建、扩建、改建项目污染物排放量符合总量控制指标要求。2025年，氮氧化物、挥发性有机物、化学需氧量、氨氮重点工程减排量分别达</w:t>
                  </w:r>
                  <w:r>
                    <w:rPr>
                      <w:rFonts w:hint="eastAsia" w:ascii="宋体" w:hAnsi="宋体" w:eastAsia="宋体" w:cs="宋体"/>
                      <w:color w:val="auto"/>
                      <w:highlight w:val="none"/>
                    </w:rPr>
                    <w:t>到“十四五”减排目</w:t>
                  </w:r>
                  <w:r>
                    <w:rPr>
                      <w:color w:val="auto"/>
                      <w:highlight w:val="none"/>
                    </w:rPr>
                    <w:t>标。</w:t>
                  </w:r>
                </w:p>
              </w:tc>
              <w:tc>
                <w:tcPr>
                  <w:tcW w:w="1709" w:type="dxa"/>
                  <w:tcBorders>
                    <w:tl2br w:val="nil"/>
                    <w:tr2bl w:val="nil"/>
                  </w:tcBorders>
                  <w:vAlign w:val="center"/>
                </w:tcPr>
                <w:p w14:paraId="74F8314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w:t>
                  </w:r>
                  <w:r>
                    <w:rPr>
                      <w:rFonts w:hint="eastAsia"/>
                      <w:color w:val="auto"/>
                      <w:highlight w:val="none"/>
                      <w:lang w:val="en-US" w:eastAsia="zh-CN"/>
                    </w:rPr>
                    <w:t>建成后</w:t>
                  </w:r>
                  <w:r>
                    <w:rPr>
                      <w:color w:val="auto"/>
                      <w:highlight w:val="none"/>
                    </w:rPr>
                    <w:t>，区域环境质量维持基本稳定，污染物排放量符合总量控制指标。</w:t>
                  </w:r>
                </w:p>
              </w:tc>
              <w:tc>
                <w:tcPr>
                  <w:tcW w:w="683" w:type="dxa"/>
                  <w:tcBorders>
                    <w:tl2br w:val="nil"/>
                    <w:tr2bl w:val="nil"/>
                  </w:tcBorders>
                  <w:vAlign w:val="center"/>
                </w:tcPr>
                <w:p w14:paraId="17089D3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68254D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3068AEC7">
                  <w:pPr>
                    <w:pStyle w:val="78"/>
                    <w:bidi w:val="0"/>
                    <w:rPr>
                      <w:color w:val="auto"/>
                      <w:highlight w:val="none"/>
                    </w:rPr>
                  </w:pPr>
                </w:p>
              </w:tc>
              <w:tc>
                <w:tcPr>
                  <w:tcW w:w="667" w:type="dxa"/>
                  <w:tcBorders>
                    <w:tl2br w:val="nil"/>
                    <w:tr2bl w:val="nil"/>
                  </w:tcBorders>
                  <w:vAlign w:val="center"/>
                </w:tcPr>
                <w:p w14:paraId="0636A5AA">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新增源排放标准限值</w:t>
                  </w:r>
                </w:p>
              </w:tc>
              <w:tc>
                <w:tcPr>
                  <w:tcW w:w="3541" w:type="dxa"/>
                  <w:tcBorders>
                    <w:tl2br w:val="nil"/>
                    <w:tr2bl w:val="nil"/>
                  </w:tcBorders>
                  <w:vAlign w:val="center"/>
                </w:tcPr>
                <w:p w14:paraId="39AB913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新建、改建、扩建排放废水的项目，废水必须经预处理达到园区污水处理厂接管要求，其中一类污染物需在车间或污染治理设施排口处达标；新建、改建、扩建污水集中处理设施的出水水质应当达到《城镇污水处理厂污染物排放标准》一级A标准。严格控制五类重金属外排。</w:t>
                  </w:r>
                </w:p>
              </w:tc>
              <w:tc>
                <w:tcPr>
                  <w:tcW w:w="1709" w:type="dxa"/>
                  <w:tcBorders>
                    <w:tl2br w:val="nil"/>
                    <w:tr2bl w:val="nil"/>
                  </w:tcBorders>
                  <w:vAlign w:val="center"/>
                </w:tcPr>
                <w:p w14:paraId="6064A04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本项目生产废水不外排，生活污水经厂区处理后达</w:t>
                  </w:r>
                  <w:r>
                    <w:rPr>
                      <w:rFonts w:hint="default"/>
                      <w:color w:val="auto"/>
                      <w:highlight w:val="none"/>
                      <w:lang w:val="en-US" w:eastAsia="en-US"/>
                    </w:rPr>
                    <w:t>江西建筑陶瓷产业园污水处理厂接管标准</w:t>
                  </w:r>
                  <w:r>
                    <w:rPr>
                      <w:rFonts w:hint="eastAsia"/>
                      <w:color w:val="auto"/>
                      <w:highlight w:val="none"/>
                      <w:lang w:val="en-US" w:eastAsia="zh-CN"/>
                    </w:rPr>
                    <w:t>后</w:t>
                  </w:r>
                  <w:r>
                    <w:rPr>
                      <w:color w:val="auto"/>
                      <w:highlight w:val="none"/>
                    </w:rPr>
                    <w:t>，</w:t>
                  </w:r>
                  <w:r>
                    <w:rPr>
                      <w:rFonts w:hint="eastAsia"/>
                      <w:color w:val="auto"/>
                      <w:highlight w:val="none"/>
                      <w:lang w:val="en-US" w:eastAsia="zh-CN"/>
                    </w:rPr>
                    <w:t>排入园区污水处理厂，</w:t>
                  </w:r>
                  <w:r>
                    <w:rPr>
                      <w:color w:val="auto"/>
                      <w:highlight w:val="none"/>
                    </w:rPr>
                    <w:t>出水水质</w:t>
                  </w:r>
                  <w:r>
                    <w:rPr>
                      <w:rFonts w:hint="eastAsia"/>
                      <w:color w:val="auto"/>
                      <w:highlight w:val="none"/>
                      <w:lang w:val="en-US" w:eastAsia="zh-CN"/>
                    </w:rPr>
                    <w:t>满足</w:t>
                  </w:r>
                  <w:r>
                    <w:rPr>
                      <w:color w:val="auto"/>
                      <w:highlight w:val="none"/>
                    </w:rPr>
                    <w:t>《城镇污水处理厂污染物排放标准》一级A标准</w:t>
                  </w:r>
                  <w:r>
                    <w:rPr>
                      <w:rFonts w:hint="eastAsia"/>
                      <w:color w:val="auto"/>
                      <w:highlight w:val="none"/>
                      <w:lang w:eastAsia="zh-CN"/>
                    </w:rPr>
                    <w:t>。</w:t>
                  </w:r>
                </w:p>
              </w:tc>
              <w:tc>
                <w:tcPr>
                  <w:tcW w:w="683" w:type="dxa"/>
                  <w:tcBorders>
                    <w:tl2br w:val="nil"/>
                    <w:tr2bl w:val="nil"/>
                  </w:tcBorders>
                  <w:vAlign w:val="center"/>
                </w:tcPr>
                <w:p w14:paraId="3381FA1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2EC2F9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39937869">
                  <w:pPr>
                    <w:pStyle w:val="78"/>
                    <w:bidi w:val="0"/>
                    <w:rPr>
                      <w:color w:val="auto"/>
                      <w:highlight w:val="none"/>
                    </w:rPr>
                  </w:pPr>
                </w:p>
              </w:tc>
              <w:tc>
                <w:tcPr>
                  <w:tcW w:w="667" w:type="dxa"/>
                  <w:tcBorders>
                    <w:tl2br w:val="nil"/>
                    <w:tr2bl w:val="nil"/>
                  </w:tcBorders>
                  <w:vAlign w:val="center"/>
                </w:tcPr>
                <w:p w14:paraId="1A07AE8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污染物排放绩效水平准入要求</w:t>
                  </w:r>
                </w:p>
              </w:tc>
              <w:tc>
                <w:tcPr>
                  <w:tcW w:w="3541" w:type="dxa"/>
                  <w:tcBorders>
                    <w:tl2br w:val="nil"/>
                    <w:tr2bl w:val="nil"/>
                  </w:tcBorders>
                  <w:vAlign w:val="center"/>
                </w:tcPr>
                <w:p w14:paraId="75C4446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污染物排放应达到相应排放标准，污染物排放绩效水平应达到良好水平。水泥企业废气排放执行《水泥工业大气污染物排放标准》（GB4915-2013）表2中污染物特别排放限值。</w:t>
                  </w:r>
                </w:p>
              </w:tc>
              <w:tc>
                <w:tcPr>
                  <w:tcW w:w="1709" w:type="dxa"/>
                  <w:tcBorders>
                    <w:tl2br w:val="nil"/>
                    <w:tr2bl w:val="nil"/>
                  </w:tcBorders>
                  <w:vAlign w:val="center"/>
                </w:tcPr>
                <w:p w14:paraId="61B7AE0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项目污染物排放能够达到相应标准排放，不会改变区域环境质量。本项目</w:t>
                  </w:r>
                  <w:r>
                    <w:rPr>
                      <w:rFonts w:hint="eastAsia"/>
                      <w:color w:val="auto"/>
                      <w:highlight w:val="none"/>
                      <w:lang w:eastAsia="zh-CN"/>
                    </w:rPr>
                    <w:t>为固体废物治理项目，</w:t>
                  </w:r>
                  <w:r>
                    <w:rPr>
                      <w:rFonts w:hint="eastAsia"/>
                      <w:color w:val="auto"/>
                      <w:highlight w:val="none"/>
                      <w:lang w:val="en-US" w:eastAsia="zh-CN"/>
                    </w:rPr>
                    <w:t>不属于水泥企业</w:t>
                  </w:r>
                </w:p>
              </w:tc>
              <w:tc>
                <w:tcPr>
                  <w:tcW w:w="683" w:type="dxa"/>
                  <w:tcBorders>
                    <w:tl2br w:val="nil"/>
                    <w:tr2bl w:val="nil"/>
                  </w:tcBorders>
                  <w:vAlign w:val="center"/>
                </w:tcPr>
                <w:p w14:paraId="1552F14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07693B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restart"/>
                  <w:tcBorders>
                    <w:tl2br w:val="nil"/>
                    <w:tr2bl w:val="nil"/>
                  </w:tcBorders>
                  <w:vAlign w:val="center"/>
                </w:tcPr>
                <w:p w14:paraId="1B923F06">
                  <w:pPr>
                    <w:pStyle w:val="78"/>
                    <w:bidi w:val="0"/>
                    <w:rPr>
                      <w:color w:val="auto"/>
                      <w:highlight w:val="none"/>
                    </w:rPr>
                  </w:pPr>
                  <w:r>
                    <w:rPr>
                      <w:color w:val="auto"/>
                      <w:highlight w:val="none"/>
                    </w:rPr>
                    <w:t>环境风险防控</w:t>
                  </w:r>
                </w:p>
              </w:tc>
              <w:tc>
                <w:tcPr>
                  <w:tcW w:w="667" w:type="dxa"/>
                  <w:tcBorders>
                    <w:tl2br w:val="nil"/>
                    <w:tr2bl w:val="nil"/>
                  </w:tcBorders>
                  <w:vAlign w:val="center"/>
                </w:tcPr>
                <w:p w14:paraId="6DA45FE9">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用地环境风险防控要求</w:t>
                  </w:r>
                </w:p>
              </w:tc>
              <w:tc>
                <w:tcPr>
                  <w:tcW w:w="3541" w:type="dxa"/>
                  <w:tcBorders>
                    <w:tl2br w:val="nil"/>
                    <w:tr2bl w:val="nil"/>
                  </w:tcBorders>
                  <w:vAlign w:val="center"/>
                </w:tcPr>
                <w:p w14:paraId="4874DBE6">
                  <w:pPr>
                    <w:pStyle w:val="78"/>
                    <w:keepNext w:val="0"/>
                    <w:keepLines w:val="0"/>
                    <w:pageBreakBefore w:val="0"/>
                    <w:widowControl w:val="0"/>
                    <w:kinsoku/>
                    <w:wordWrap/>
                    <w:overflowPunct/>
                    <w:topLinePunct w:val="0"/>
                    <w:autoSpaceDE/>
                    <w:autoSpaceDN/>
                    <w:bidi w:val="0"/>
                    <w:adjustRightInd w:val="0"/>
                    <w:snapToGrid w:val="0"/>
                    <w:spacing w:before="0"/>
                    <w:jc w:val="both"/>
                    <w:textAlignment w:val="auto"/>
                    <w:rPr>
                      <w:color w:val="auto"/>
                      <w:highlight w:val="none"/>
                    </w:rPr>
                  </w:pPr>
                  <w:r>
                    <w:rPr>
                      <w:color w:val="auto"/>
                      <w:highlight w:val="none"/>
                    </w:rPr>
                    <w:t>区内部分紧邻规划居住用地等环境敏感目标的工业用地，严格限制涉及使用剧毒化学品的企业进入。</w:t>
                  </w:r>
                </w:p>
              </w:tc>
              <w:tc>
                <w:tcPr>
                  <w:tcW w:w="1709" w:type="dxa"/>
                  <w:tcBorders>
                    <w:tl2br w:val="nil"/>
                    <w:tr2bl w:val="nil"/>
                  </w:tcBorders>
                  <w:vAlign w:val="center"/>
                </w:tcPr>
                <w:p w14:paraId="62C2CBE0">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本项目不使用剧毒化学品。</w:t>
                  </w:r>
                </w:p>
              </w:tc>
              <w:tc>
                <w:tcPr>
                  <w:tcW w:w="683" w:type="dxa"/>
                  <w:tcBorders>
                    <w:tl2br w:val="nil"/>
                    <w:tr2bl w:val="nil"/>
                  </w:tcBorders>
                  <w:vAlign w:val="center"/>
                </w:tcPr>
                <w:p w14:paraId="005AD74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388E98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55FE07C9">
                  <w:pPr>
                    <w:pStyle w:val="78"/>
                    <w:bidi w:val="0"/>
                    <w:rPr>
                      <w:color w:val="auto"/>
                      <w:highlight w:val="none"/>
                    </w:rPr>
                  </w:pPr>
                </w:p>
              </w:tc>
              <w:tc>
                <w:tcPr>
                  <w:tcW w:w="667" w:type="dxa"/>
                  <w:tcBorders>
                    <w:tl2br w:val="nil"/>
                    <w:tr2bl w:val="nil"/>
                  </w:tcBorders>
                  <w:vAlign w:val="center"/>
                </w:tcPr>
                <w:p w14:paraId="0D5908A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园区环境风险防控要求</w:t>
                  </w:r>
                </w:p>
              </w:tc>
              <w:tc>
                <w:tcPr>
                  <w:tcW w:w="3541" w:type="dxa"/>
                  <w:tcBorders>
                    <w:tl2br w:val="nil"/>
                    <w:tr2bl w:val="nil"/>
                  </w:tcBorders>
                  <w:vAlign w:val="center"/>
                </w:tcPr>
                <w:p w14:paraId="2F2C334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紧邻居住、行政等环境敏感点的工业用地，禁止新建环境风险等级高的建设项目。园区应建立三级环境风险防控体系。</w:t>
                  </w:r>
                </w:p>
              </w:tc>
              <w:tc>
                <w:tcPr>
                  <w:tcW w:w="1709" w:type="dxa"/>
                  <w:tcBorders>
                    <w:tl2br w:val="nil"/>
                    <w:tr2bl w:val="nil"/>
                  </w:tcBorders>
                  <w:vAlign w:val="center"/>
                </w:tcPr>
                <w:p w14:paraId="14CDAAB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本项目危险物质数 量与临界量比值Q&lt;1，环境风险较低</w:t>
                  </w:r>
                  <w:r>
                    <w:rPr>
                      <w:rFonts w:hint="eastAsia"/>
                      <w:color w:val="auto"/>
                      <w:highlight w:val="none"/>
                      <w:lang w:eastAsia="zh-CN"/>
                    </w:rPr>
                    <w:t>，且园区已建立三级环境风险防控体系</w:t>
                  </w:r>
                  <w:r>
                    <w:rPr>
                      <w:color w:val="auto"/>
                      <w:highlight w:val="none"/>
                    </w:rPr>
                    <w:t>。</w:t>
                  </w:r>
                </w:p>
              </w:tc>
              <w:tc>
                <w:tcPr>
                  <w:tcW w:w="683" w:type="dxa"/>
                  <w:tcBorders>
                    <w:tl2br w:val="nil"/>
                    <w:tr2bl w:val="nil"/>
                  </w:tcBorders>
                  <w:vAlign w:val="center"/>
                </w:tcPr>
                <w:p w14:paraId="55D5144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23CE98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31E518E9">
                  <w:pPr>
                    <w:pStyle w:val="78"/>
                    <w:bidi w:val="0"/>
                    <w:rPr>
                      <w:color w:val="auto"/>
                      <w:highlight w:val="none"/>
                    </w:rPr>
                  </w:pPr>
                </w:p>
              </w:tc>
              <w:tc>
                <w:tcPr>
                  <w:tcW w:w="667" w:type="dxa"/>
                  <w:tcBorders>
                    <w:tl2br w:val="nil"/>
                    <w:tr2bl w:val="nil"/>
                  </w:tcBorders>
                  <w:vAlign w:val="center"/>
                </w:tcPr>
                <w:p w14:paraId="51E1CAB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企业环境风险防控要求</w:t>
                  </w:r>
                </w:p>
              </w:tc>
              <w:tc>
                <w:tcPr>
                  <w:tcW w:w="3541" w:type="dxa"/>
                  <w:tcBorders>
                    <w:tl2br w:val="nil"/>
                    <w:tr2bl w:val="nil"/>
                  </w:tcBorders>
                  <w:vAlign w:val="center"/>
                </w:tcPr>
                <w:p w14:paraId="01358DA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新增或改扩建存在环境风险的项目，在建设项目环评阶段须重点开展环境风险评价，与项目周边环境敏感目标之前控制合理的风险控制距离，提出并落实风险防范措施及应急联动要求，编制应急预案，并与园区应急预案联动。</w:t>
                  </w:r>
                </w:p>
              </w:tc>
              <w:tc>
                <w:tcPr>
                  <w:tcW w:w="1709" w:type="dxa"/>
                  <w:tcBorders>
                    <w:tl2br w:val="nil"/>
                    <w:tr2bl w:val="nil"/>
                  </w:tcBorders>
                  <w:vAlign w:val="center"/>
                </w:tcPr>
                <w:p w14:paraId="5C7957F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w:t>
                  </w:r>
                  <w:r>
                    <w:rPr>
                      <w:rFonts w:hint="eastAsia"/>
                      <w:color w:val="auto"/>
                      <w:highlight w:val="none"/>
                      <w:lang w:eastAsia="zh-CN"/>
                    </w:rPr>
                    <w:t>为扩建项目，</w:t>
                  </w:r>
                  <w:r>
                    <w:rPr>
                      <w:color w:val="auto"/>
                      <w:highlight w:val="none"/>
                    </w:rPr>
                    <w:t>已开展环境风险评价</w:t>
                  </w:r>
                  <w:r>
                    <w:rPr>
                      <w:rFonts w:hint="eastAsia"/>
                      <w:color w:val="auto"/>
                      <w:highlight w:val="none"/>
                    </w:rPr>
                    <w:t>并编制应急预案</w:t>
                  </w:r>
                  <w:r>
                    <w:rPr>
                      <w:rFonts w:hint="eastAsia"/>
                      <w:color w:val="auto"/>
                      <w:highlight w:val="none"/>
                      <w:lang w:eastAsia="zh-CN"/>
                    </w:rPr>
                    <w:t>，建设单位应按要求需重新编制应急预案</w:t>
                  </w:r>
                  <w:r>
                    <w:rPr>
                      <w:color w:val="auto"/>
                      <w:highlight w:val="none"/>
                    </w:rPr>
                    <w:t>。</w:t>
                  </w:r>
                </w:p>
              </w:tc>
              <w:tc>
                <w:tcPr>
                  <w:tcW w:w="683" w:type="dxa"/>
                  <w:tcBorders>
                    <w:tl2br w:val="nil"/>
                    <w:tr2bl w:val="nil"/>
                  </w:tcBorders>
                  <w:vAlign w:val="center"/>
                </w:tcPr>
                <w:p w14:paraId="099C944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0E4CE3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restart"/>
                  <w:tcBorders>
                    <w:tl2br w:val="nil"/>
                    <w:tr2bl w:val="nil"/>
                  </w:tcBorders>
                  <w:vAlign w:val="center"/>
                </w:tcPr>
                <w:p w14:paraId="661C31C0">
                  <w:pPr>
                    <w:pStyle w:val="78"/>
                    <w:bidi w:val="0"/>
                    <w:rPr>
                      <w:color w:val="auto"/>
                      <w:highlight w:val="none"/>
                    </w:rPr>
                  </w:pPr>
                  <w:r>
                    <w:rPr>
                      <w:color w:val="auto"/>
                      <w:highlight w:val="none"/>
                    </w:rPr>
                    <w:t>资源开发利用管控</w:t>
                  </w:r>
                </w:p>
              </w:tc>
              <w:tc>
                <w:tcPr>
                  <w:tcW w:w="667" w:type="dxa"/>
                  <w:tcBorders>
                    <w:tl2br w:val="nil"/>
                    <w:tr2bl w:val="nil"/>
                  </w:tcBorders>
                  <w:vAlign w:val="center"/>
                </w:tcPr>
                <w:p w14:paraId="53F052C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水资源利用效率要求</w:t>
                  </w:r>
                </w:p>
              </w:tc>
              <w:tc>
                <w:tcPr>
                  <w:tcW w:w="3541" w:type="dxa"/>
                  <w:tcBorders>
                    <w:tl2br w:val="nil"/>
                    <w:tr2bl w:val="nil"/>
                  </w:tcBorders>
                  <w:vAlign w:val="center"/>
                </w:tcPr>
                <w:p w14:paraId="4D50D3BC">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单位工业增加值新鲜水耗≤9(m</w:t>
                  </w:r>
                  <w:r>
                    <w:rPr>
                      <w:color w:val="auto"/>
                      <w:highlight w:val="none"/>
                      <w:vertAlign w:val="superscript"/>
                    </w:rPr>
                    <w:t>3</w:t>
                  </w:r>
                  <w:r>
                    <w:rPr>
                      <w:color w:val="auto"/>
                      <w:highlight w:val="none"/>
                    </w:rPr>
                    <w:t>/万元)</w:t>
                  </w:r>
                </w:p>
              </w:tc>
              <w:tc>
                <w:tcPr>
                  <w:tcW w:w="1709" w:type="dxa"/>
                  <w:tcBorders>
                    <w:tl2br w:val="nil"/>
                    <w:tr2bl w:val="nil"/>
                  </w:tcBorders>
                  <w:vAlign w:val="center"/>
                </w:tcPr>
                <w:p w14:paraId="25810CC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单位工业增加值鲜水耗≤9m</w:t>
                  </w:r>
                  <w:r>
                    <w:rPr>
                      <w:color w:val="auto"/>
                      <w:highlight w:val="none"/>
                      <w:vertAlign w:val="superscript"/>
                    </w:rPr>
                    <w:t>3</w:t>
                  </w:r>
                  <w:r>
                    <w:rPr>
                      <w:color w:val="auto"/>
                      <w:highlight w:val="none"/>
                    </w:rPr>
                    <w:t>/万元</w:t>
                  </w:r>
                </w:p>
              </w:tc>
              <w:tc>
                <w:tcPr>
                  <w:tcW w:w="683" w:type="dxa"/>
                  <w:tcBorders>
                    <w:tl2br w:val="nil"/>
                    <w:tr2bl w:val="nil"/>
                  </w:tcBorders>
                  <w:vAlign w:val="center"/>
                </w:tcPr>
                <w:p w14:paraId="6860989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517F9D8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5970B3F3">
                  <w:pPr>
                    <w:pStyle w:val="78"/>
                    <w:bidi w:val="0"/>
                    <w:rPr>
                      <w:color w:val="auto"/>
                      <w:highlight w:val="none"/>
                    </w:rPr>
                  </w:pPr>
                </w:p>
              </w:tc>
              <w:tc>
                <w:tcPr>
                  <w:tcW w:w="667" w:type="dxa"/>
                  <w:tcBorders>
                    <w:tl2br w:val="nil"/>
                    <w:tr2bl w:val="nil"/>
                  </w:tcBorders>
                  <w:vAlign w:val="center"/>
                </w:tcPr>
                <w:p w14:paraId="0B74875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土地资源利用要求</w:t>
                  </w:r>
                </w:p>
              </w:tc>
              <w:tc>
                <w:tcPr>
                  <w:tcW w:w="3541" w:type="dxa"/>
                  <w:tcBorders>
                    <w:tl2br w:val="nil"/>
                    <w:tr2bl w:val="nil"/>
                  </w:tcBorders>
                  <w:vAlign w:val="center"/>
                </w:tcPr>
                <w:p w14:paraId="45FC9C0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满足《江西省建设用地控制指标》（2018年）中的相关要求</w:t>
                  </w:r>
                </w:p>
              </w:tc>
              <w:tc>
                <w:tcPr>
                  <w:tcW w:w="1709" w:type="dxa"/>
                  <w:tcBorders>
                    <w:tl2br w:val="nil"/>
                    <w:tr2bl w:val="nil"/>
                  </w:tcBorders>
                  <w:vAlign w:val="center"/>
                </w:tcPr>
                <w:p w14:paraId="2430CE3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本项目用地为工业用地，满足要求。</w:t>
                  </w:r>
                </w:p>
              </w:tc>
              <w:tc>
                <w:tcPr>
                  <w:tcW w:w="683" w:type="dxa"/>
                  <w:tcBorders>
                    <w:tl2br w:val="nil"/>
                    <w:tr2bl w:val="nil"/>
                  </w:tcBorders>
                  <w:vAlign w:val="center"/>
                </w:tcPr>
                <w:p w14:paraId="0C26143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1C36F4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701" w:type="dxa"/>
                  <w:vMerge w:val="continue"/>
                  <w:tcBorders>
                    <w:tl2br w:val="nil"/>
                    <w:tr2bl w:val="nil"/>
                  </w:tcBorders>
                  <w:vAlign w:val="center"/>
                </w:tcPr>
                <w:p w14:paraId="386E9E81">
                  <w:pPr>
                    <w:pStyle w:val="78"/>
                    <w:bidi w:val="0"/>
                    <w:rPr>
                      <w:color w:val="auto"/>
                      <w:highlight w:val="none"/>
                    </w:rPr>
                  </w:pPr>
                </w:p>
              </w:tc>
              <w:tc>
                <w:tcPr>
                  <w:tcW w:w="667" w:type="dxa"/>
                  <w:tcBorders>
                    <w:tl2br w:val="nil"/>
                    <w:tr2bl w:val="nil"/>
                  </w:tcBorders>
                  <w:vAlign w:val="center"/>
                </w:tcPr>
                <w:p w14:paraId="5C50223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能源利用效</w:t>
                  </w:r>
                </w:p>
              </w:tc>
              <w:tc>
                <w:tcPr>
                  <w:tcW w:w="3541" w:type="dxa"/>
                  <w:tcBorders>
                    <w:tl2br w:val="nil"/>
                    <w:tr2bl w:val="nil"/>
                  </w:tcBorders>
                  <w:vAlign w:val="center"/>
                </w:tcPr>
                <w:p w14:paraId="5D56521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单位工业增加值能耗≤0.50(t标煤/万元)</w:t>
                  </w:r>
                </w:p>
              </w:tc>
              <w:tc>
                <w:tcPr>
                  <w:tcW w:w="1709" w:type="dxa"/>
                  <w:tcBorders>
                    <w:tl2br w:val="nil"/>
                    <w:tr2bl w:val="nil"/>
                  </w:tcBorders>
                  <w:vAlign w:val="center"/>
                </w:tcPr>
                <w:p w14:paraId="0AF2DDA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单位工业增加值能耗≤0.50t标煤/万元</w:t>
                  </w:r>
                </w:p>
              </w:tc>
              <w:tc>
                <w:tcPr>
                  <w:tcW w:w="683" w:type="dxa"/>
                  <w:tcBorders>
                    <w:tl2br w:val="nil"/>
                    <w:tr2bl w:val="nil"/>
                  </w:tcBorders>
                  <w:vAlign w:val="center"/>
                </w:tcPr>
                <w:p w14:paraId="77DAA24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bl>
          <w:p w14:paraId="3B04E336">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综上，本项目与《江西高安高新技术产业园区扩区调区规划环境影响报告书》相符。</w:t>
            </w:r>
          </w:p>
          <w:p w14:paraId="1DDEB4FF">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3</w:t>
            </w:r>
            <w:r>
              <w:rPr>
                <w:rFonts w:hint="default"/>
                <w:color w:val="auto"/>
                <w:highlight w:val="none"/>
                <w:lang w:val="en-US" w:eastAsia="zh-CN"/>
              </w:rPr>
              <w:t>、</w:t>
            </w:r>
            <w:r>
              <w:rPr>
                <w:rFonts w:hint="eastAsia"/>
                <w:color w:val="auto"/>
                <w:highlight w:val="none"/>
                <w:lang w:val="en-US" w:eastAsia="zh-CN"/>
              </w:rPr>
              <w:t>与</w:t>
            </w:r>
            <w:r>
              <w:rPr>
                <w:rFonts w:hint="default"/>
                <w:color w:val="auto"/>
                <w:highlight w:val="none"/>
                <w:lang w:val="en-US" w:eastAsia="zh-CN"/>
              </w:rPr>
              <w:t>《江西省生态环境厅关于江西高安高新技术产业园区扩区调区规划环境影响报告书审查意见的函》</w:t>
            </w:r>
            <w:r>
              <w:rPr>
                <w:rFonts w:hint="default"/>
                <w:color w:val="auto"/>
                <w:highlight w:val="none"/>
              </w:rPr>
              <w:t>（赣环环评函〔20</w:t>
            </w:r>
            <w:r>
              <w:rPr>
                <w:rFonts w:hint="eastAsia"/>
                <w:color w:val="auto"/>
                <w:highlight w:val="none"/>
                <w:lang w:val="en-US" w:eastAsia="zh-CN"/>
              </w:rPr>
              <w:t>24</w:t>
            </w:r>
            <w:r>
              <w:rPr>
                <w:rFonts w:hint="default"/>
                <w:color w:val="auto"/>
                <w:highlight w:val="none"/>
              </w:rPr>
              <w:t>〕</w:t>
            </w:r>
            <w:r>
              <w:rPr>
                <w:rFonts w:hint="eastAsia"/>
                <w:color w:val="auto"/>
                <w:highlight w:val="none"/>
                <w:lang w:val="en-US" w:eastAsia="zh-CN"/>
              </w:rPr>
              <w:t>69</w:t>
            </w:r>
            <w:r>
              <w:rPr>
                <w:rFonts w:hint="default"/>
                <w:color w:val="auto"/>
                <w:highlight w:val="none"/>
              </w:rPr>
              <w:t>号）</w:t>
            </w:r>
            <w:r>
              <w:rPr>
                <w:rFonts w:hint="eastAsia"/>
                <w:color w:val="auto"/>
                <w:highlight w:val="none"/>
                <w:lang w:val="en-US" w:eastAsia="zh-CN"/>
              </w:rPr>
              <w:t>相符性分析</w:t>
            </w:r>
          </w:p>
          <w:p w14:paraId="72520576">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与（赣环环评函〔2024〕69号）相符性分析</w:t>
            </w:r>
            <w:r>
              <w:rPr>
                <w:rFonts w:hint="eastAsia" w:cs="Times New Roman"/>
                <w:color w:val="auto"/>
                <w:sz w:val="21"/>
                <w:szCs w:val="21"/>
                <w:highlight w:val="none"/>
                <w:lang w:val="en-US" w:eastAsia="zh-CN"/>
              </w:rPr>
              <w:t>表</w:t>
            </w:r>
          </w:p>
          <w:tbl>
            <w:tblPr>
              <w:tblStyle w:val="96"/>
              <w:tblW w:w="7301"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732"/>
              <w:gridCol w:w="2062"/>
              <w:gridCol w:w="507"/>
            </w:tblGrid>
            <w:tr w14:paraId="7DA9A7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0BB00579">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审查意见</w:t>
                  </w:r>
                </w:p>
              </w:tc>
              <w:tc>
                <w:tcPr>
                  <w:tcW w:w="2062" w:type="dxa"/>
                  <w:tcBorders>
                    <w:tl2br w:val="nil"/>
                    <w:tr2bl w:val="nil"/>
                  </w:tcBorders>
                  <w:vAlign w:val="center"/>
                </w:tcPr>
                <w:p w14:paraId="2F743302">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本项目情况</w:t>
                  </w:r>
                </w:p>
              </w:tc>
              <w:tc>
                <w:tcPr>
                  <w:tcW w:w="507" w:type="dxa"/>
                  <w:tcBorders>
                    <w:tl2br w:val="nil"/>
                    <w:tr2bl w:val="nil"/>
                  </w:tcBorders>
                  <w:vAlign w:val="center"/>
                </w:tcPr>
                <w:p w14:paraId="7722C116">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b/>
                      <w:bCs/>
                      <w:color w:val="auto"/>
                      <w:highlight w:val="none"/>
                      <w:lang w:val="en-US" w:eastAsia="zh-CN"/>
                    </w:rPr>
                  </w:pPr>
                  <w:r>
                    <w:rPr>
                      <w:rFonts w:hint="eastAsia"/>
                      <w:b/>
                      <w:bCs/>
                      <w:color w:val="auto"/>
                      <w:highlight w:val="none"/>
                      <w:lang w:val="en-US" w:eastAsia="zh-CN"/>
                    </w:rPr>
                    <w:t>相符性</w:t>
                  </w:r>
                </w:p>
              </w:tc>
            </w:tr>
            <w:tr w14:paraId="182D2F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478" w:hRule="atLeast"/>
                <w:jc w:val="center"/>
              </w:trPr>
              <w:tc>
                <w:tcPr>
                  <w:tcW w:w="7301" w:type="dxa"/>
                  <w:gridSpan w:val="3"/>
                  <w:tcBorders>
                    <w:tl2br w:val="nil"/>
                    <w:tr2bl w:val="nil"/>
                  </w:tcBorders>
                  <w:vAlign w:val="center"/>
                </w:tcPr>
                <w:p w14:paraId="54EAADA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规划优化调整和实施建议</w:t>
                  </w:r>
                </w:p>
              </w:tc>
            </w:tr>
            <w:tr w14:paraId="52D18A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2CD7BDC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（一）新世纪产业园祥符收费站组团内涉及国家二级生态公益林，应符合用林管理要求，相关要求未落实之前，建议不开发利用。</w:t>
                  </w:r>
                </w:p>
              </w:tc>
              <w:tc>
                <w:tcPr>
                  <w:tcW w:w="2062" w:type="dxa"/>
                  <w:tcBorders>
                    <w:tl2br w:val="nil"/>
                    <w:tr2bl w:val="nil"/>
                  </w:tcBorders>
                  <w:vAlign w:val="center"/>
                </w:tcPr>
                <w:p w14:paraId="3B870A0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本项目不在新世纪产业园。</w:t>
                  </w:r>
                </w:p>
              </w:tc>
              <w:tc>
                <w:tcPr>
                  <w:tcW w:w="507" w:type="dxa"/>
                  <w:tcBorders>
                    <w:tl2br w:val="nil"/>
                    <w:tr2bl w:val="nil"/>
                  </w:tcBorders>
                  <w:vAlign w:val="center"/>
                </w:tcPr>
                <w:p w14:paraId="26214EA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47EA154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1514" w:hRule="atLeast"/>
                <w:jc w:val="center"/>
              </w:trPr>
              <w:tc>
                <w:tcPr>
                  <w:tcW w:w="4732" w:type="dxa"/>
                  <w:tcBorders>
                    <w:tl2br w:val="nil"/>
                    <w:tr2bl w:val="nil"/>
                  </w:tcBorders>
                  <w:vAlign w:val="center"/>
                </w:tcPr>
                <w:p w14:paraId="209BA55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二）新世纪产业园工业园核心组团属于高安市中心城区，位于高安市主导风向的上风向，在引进项目过程中应充分考虑对居民区等敏感目标的影响，慎重引进大气污染型企业。针对不符合产业定位的化工、皮革、冶炼等企业，不得新增污染物排放。</w:t>
                  </w:r>
                </w:p>
              </w:tc>
              <w:tc>
                <w:tcPr>
                  <w:tcW w:w="2062" w:type="dxa"/>
                  <w:tcBorders>
                    <w:tl2br w:val="nil"/>
                    <w:tr2bl w:val="nil"/>
                  </w:tcBorders>
                  <w:vAlign w:val="center"/>
                </w:tcPr>
                <w:p w14:paraId="0EF456A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本项目位于建筑陶瓷产业园。</w:t>
                  </w:r>
                </w:p>
              </w:tc>
              <w:tc>
                <w:tcPr>
                  <w:tcW w:w="507" w:type="dxa"/>
                  <w:tcBorders>
                    <w:tl2br w:val="nil"/>
                    <w:tr2bl w:val="nil"/>
                  </w:tcBorders>
                  <w:vAlign w:val="center"/>
                </w:tcPr>
                <w:p w14:paraId="70EB4A4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46C3DE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3ECB4760">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（三）建筑陶瓷产业园规划布局建筑陶瓷、新能源产业，废气污染物排放量较大，要科学确定防护距离，合理设置缓冲隔离带或绿化屏障。</w:t>
                  </w:r>
                </w:p>
              </w:tc>
              <w:tc>
                <w:tcPr>
                  <w:tcW w:w="2062" w:type="dxa"/>
                  <w:tcBorders>
                    <w:tl2br w:val="nil"/>
                    <w:tr2bl w:val="nil"/>
                  </w:tcBorders>
                  <w:vAlign w:val="center"/>
                </w:tcPr>
                <w:p w14:paraId="791C522C">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本项目位于建筑陶瓷产业园，已设置卫生防护距离，防护距离内无敏感目标。</w:t>
                  </w:r>
                </w:p>
              </w:tc>
              <w:tc>
                <w:tcPr>
                  <w:tcW w:w="507" w:type="dxa"/>
                  <w:tcBorders>
                    <w:tl2br w:val="nil"/>
                    <w:tr2bl w:val="nil"/>
                  </w:tcBorders>
                  <w:vAlign w:val="center"/>
                </w:tcPr>
                <w:p w14:paraId="481980E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78ABDE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895" w:hRule="atLeast"/>
                <w:jc w:val="center"/>
              </w:trPr>
              <w:tc>
                <w:tcPr>
                  <w:tcW w:w="4732" w:type="dxa"/>
                  <w:tcBorders>
                    <w:tl2br w:val="nil"/>
                    <w:tr2bl w:val="nil"/>
                  </w:tcBorders>
                  <w:vAlign w:val="center"/>
                </w:tcPr>
                <w:p w14:paraId="422C7AE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（四）针对大港河氟化物因子超标问题，尽快推进高安市大港河水质净化工程及江西省建筑陶瓷产业基地污水处理厂入河排污口迁移工作。</w:t>
                  </w:r>
                </w:p>
              </w:tc>
              <w:tc>
                <w:tcPr>
                  <w:tcW w:w="2062" w:type="dxa"/>
                  <w:tcBorders>
                    <w:tl2br w:val="nil"/>
                    <w:tr2bl w:val="nil"/>
                  </w:tcBorders>
                  <w:vAlign w:val="center"/>
                </w:tcPr>
                <w:p w14:paraId="1337839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不涉及。</w:t>
                  </w:r>
                </w:p>
              </w:tc>
              <w:tc>
                <w:tcPr>
                  <w:tcW w:w="507" w:type="dxa"/>
                  <w:tcBorders>
                    <w:tl2br w:val="nil"/>
                    <w:tr2bl w:val="nil"/>
                  </w:tcBorders>
                  <w:vAlign w:val="center"/>
                </w:tcPr>
                <w:p w14:paraId="434F9C4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7D8DE5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59CD379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（五）合理规划碳酸锂等新能源产业发展规模并配</w:t>
                  </w:r>
                </w:p>
                <w:p w14:paraId="24764EF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套固体废物处置设施建设。</w:t>
                  </w:r>
                </w:p>
              </w:tc>
              <w:tc>
                <w:tcPr>
                  <w:tcW w:w="2062" w:type="dxa"/>
                  <w:tcBorders>
                    <w:tl2br w:val="nil"/>
                    <w:tr2bl w:val="nil"/>
                  </w:tcBorders>
                  <w:vAlign w:val="center"/>
                </w:tcPr>
                <w:p w14:paraId="5528112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rPr>
                    <w:t>本项目为N7723固体废物治理、C3031粘土砖瓦及建筑砌块制造，</w:t>
                  </w:r>
                  <w:r>
                    <w:rPr>
                      <w:color w:val="auto"/>
                      <w:highlight w:val="none"/>
                    </w:rPr>
                    <w:t>不涉及碳酸锂等新能源产业。</w:t>
                  </w:r>
                </w:p>
              </w:tc>
              <w:tc>
                <w:tcPr>
                  <w:tcW w:w="507" w:type="dxa"/>
                  <w:tcBorders>
                    <w:tl2br w:val="nil"/>
                    <w:tr2bl w:val="nil"/>
                  </w:tcBorders>
                  <w:vAlign w:val="center"/>
                </w:tcPr>
                <w:p w14:paraId="4C58287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28E6C1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0" w:hRule="atLeast"/>
                <w:jc w:val="center"/>
              </w:trPr>
              <w:tc>
                <w:tcPr>
                  <w:tcW w:w="7301" w:type="dxa"/>
                  <w:gridSpan w:val="3"/>
                  <w:tcBorders>
                    <w:tl2br w:val="nil"/>
                    <w:tr2bl w:val="nil"/>
                  </w:tcBorders>
                  <w:vAlign w:val="center"/>
                </w:tcPr>
                <w:p w14:paraId="2E9B55F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规划实施过程中的环境管理意见</w:t>
                  </w:r>
                </w:p>
              </w:tc>
            </w:tr>
            <w:tr w14:paraId="52C1A0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72E0A06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一）下阶段入园项目的环评重点应放在敏感目标环境空气影响分析、防护距离设置、地表水影响分析、规划相符性分析、环境风险影响分析及污染治理措施可行性论证等方面，对符合规划环评环境管控要求和生态环境准入清单的具体建设项目，应将规划环评结论作为重要依据。当规划环评中资源、环境现状调查与评价结果仍具有时效性时，规划所包含的建设项目环评中的现状调查与评价内容可适当简化。</w:t>
                  </w:r>
                </w:p>
              </w:tc>
              <w:tc>
                <w:tcPr>
                  <w:tcW w:w="2062" w:type="dxa"/>
                  <w:tcBorders>
                    <w:tl2br w:val="nil"/>
                    <w:tr2bl w:val="nil"/>
                  </w:tcBorders>
                  <w:vAlign w:val="center"/>
                </w:tcPr>
                <w:p w14:paraId="433CE03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不涉及。</w:t>
                  </w:r>
                </w:p>
              </w:tc>
              <w:tc>
                <w:tcPr>
                  <w:tcW w:w="507" w:type="dxa"/>
                  <w:tcBorders>
                    <w:tl2br w:val="nil"/>
                    <w:tr2bl w:val="nil"/>
                  </w:tcBorders>
                  <w:vAlign w:val="center"/>
                </w:tcPr>
                <w:p w14:paraId="54BD96F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18034A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0" w:hRule="atLeast"/>
                <w:jc w:val="center"/>
              </w:trPr>
              <w:tc>
                <w:tcPr>
                  <w:tcW w:w="4732" w:type="dxa"/>
                  <w:tcBorders>
                    <w:tl2br w:val="nil"/>
                    <w:tr2bl w:val="nil"/>
                  </w:tcBorders>
                  <w:vAlign w:val="center"/>
                </w:tcPr>
                <w:p w14:paraId="2C39D86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（二）园区管理部门应制定环境管理计划，建立有效的环境监控体系，实现园区环境目标。及时开展规划实施后不同阶段的环境影响跟踪评价，掌握规划实施后环境变化趋势。</w:t>
                  </w:r>
                </w:p>
              </w:tc>
              <w:tc>
                <w:tcPr>
                  <w:tcW w:w="2062" w:type="dxa"/>
                  <w:tcBorders>
                    <w:tl2br w:val="nil"/>
                    <w:tr2bl w:val="nil"/>
                  </w:tcBorders>
                  <w:vAlign w:val="center"/>
                </w:tcPr>
                <w:p w14:paraId="67E0739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不涉及。</w:t>
                  </w:r>
                </w:p>
              </w:tc>
              <w:tc>
                <w:tcPr>
                  <w:tcW w:w="507" w:type="dxa"/>
                  <w:tcBorders>
                    <w:tl2br w:val="nil"/>
                    <w:tr2bl w:val="nil"/>
                  </w:tcBorders>
                  <w:vAlign w:val="center"/>
                </w:tcPr>
                <w:p w14:paraId="57A98F9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r w14:paraId="39B083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4732" w:type="dxa"/>
                  <w:tcBorders>
                    <w:tl2br w:val="nil"/>
                    <w:tr2bl w:val="nil"/>
                  </w:tcBorders>
                  <w:vAlign w:val="center"/>
                </w:tcPr>
                <w:p w14:paraId="08A1150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（三）高安市政府应制定污染物总量年度减排计划并严格执行，全面推进污染治理，积极优化产业结构，鼓励支持低碳产业发展，实现总量控制目标。</w:t>
                  </w:r>
                </w:p>
              </w:tc>
              <w:tc>
                <w:tcPr>
                  <w:tcW w:w="2062" w:type="dxa"/>
                  <w:tcBorders>
                    <w:tl2br w:val="nil"/>
                    <w:tr2bl w:val="nil"/>
                  </w:tcBorders>
                  <w:vAlign w:val="center"/>
                </w:tcPr>
                <w:p w14:paraId="1EB1829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本项目不外排生产废水，生活污水总量已纳入污水处理厂控制指标</w:t>
                  </w:r>
                </w:p>
              </w:tc>
              <w:tc>
                <w:tcPr>
                  <w:tcW w:w="507" w:type="dxa"/>
                  <w:tcBorders>
                    <w:tl2br w:val="nil"/>
                    <w:tr2bl w:val="nil"/>
                  </w:tcBorders>
                  <w:vAlign w:val="center"/>
                </w:tcPr>
                <w:p w14:paraId="6915487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color w:val="auto"/>
                      <w:highlight w:val="none"/>
                      <w:lang w:val="en-US" w:eastAsia="zh-CN"/>
                    </w:rPr>
                    <w:t>相符</w:t>
                  </w:r>
                </w:p>
              </w:tc>
            </w:tr>
          </w:tbl>
          <w:p w14:paraId="6677CC81">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综上所述，根据《江西省生态环境厅关于江西高安高新技术产业园区扩区调区规划环境影响报告书审查意见的函》（赣环环评函〔2024〕69号）提出的规划优化调整和实施建议及规划实施过程中的环境管理意见，本项目符合该审查意见。</w:t>
            </w:r>
          </w:p>
          <w:p w14:paraId="467E9351">
            <w:pPr>
              <w:keepNext w:val="0"/>
              <w:keepLines w:val="0"/>
              <w:suppressLineNumbers w:val="0"/>
              <w:bidi w:val="0"/>
              <w:spacing w:before="0" w:beforeAutospacing="0" w:after="0" w:afterAutospacing="0"/>
              <w:ind w:left="0" w:right="0"/>
              <w:rPr>
                <w:rFonts w:hint="default"/>
                <w:color w:val="auto"/>
                <w:highlight w:val="none"/>
                <w:lang w:val="en-US" w:eastAsia="zh-CN"/>
              </w:rPr>
            </w:pPr>
          </w:p>
          <w:p w14:paraId="272AC328">
            <w:pPr>
              <w:keepNext w:val="0"/>
              <w:keepLines w:val="0"/>
              <w:suppressLineNumbers w:val="0"/>
              <w:bidi w:val="0"/>
              <w:spacing w:before="0" w:beforeAutospacing="0" w:after="0" w:afterAutospacing="0"/>
              <w:ind w:left="0" w:right="0"/>
              <w:rPr>
                <w:rFonts w:hint="default"/>
                <w:color w:val="auto"/>
                <w:highlight w:val="none"/>
                <w:lang w:val="en-US" w:eastAsia="zh-CN"/>
              </w:rPr>
            </w:pPr>
          </w:p>
          <w:p w14:paraId="3D01EEDE">
            <w:pPr>
              <w:keepNext w:val="0"/>
              <w:keepLines w:val="0"/>
              <w:suppressLineNumbers w:val="0"/>
              <w:bidi w:val="0"/>
              <w:spacing w:before="0" w:beforeAutospacing="0" w:after="0" w:afterAutospacing="0"/>
              <w:ind w:left="0" w:right="0"/>
              <w:rPr>
                <w:rFonts w:hint="default"/>
                <w:color w:val="auto"/>
                <w:highlight w:val="none"/>
                <w:lang w:val="en-US" w:eastAsia="zh-CN"/>
              </w:rPr>
            </w:pPr>
          </w:p>
          <w:p w14:paraId="4980BBE1">
            <w:pPr>
              <w:keepNext w:val="0"/>
              <w:keepLines w:val="0"/>
              <w:suppressLineNumbers w:val="0"/>
              <w:bidi w:val="0"/>
              <w:spacing w:before="0" w:beforeAutospacing="0" w:after="0" w:afterAutospacing="0"/>
              <w:ind w:left="0" w:right="0"/>
              <w:rPr>
                <w:rFonts w:hint="default"/>
                <w:color w:val="auto"/>
                <w:highlight w:val="none"/>
                <w:lang w:val="en-US" w:eastAsia="zh-CN"/>
              </w:rPr>
            </w:pPr>
          </w:p>
          <w:p w14:paraId="15E6FB6E">
            <w:pPr>
              <w:keepNext w:val="0"/>
              <w:keepLines w:val="0"/>
              <w:suppressLineNumbers w:val="0"/>
              <w:bidi w:val="0"/>
              <w:spacing w:before="0" w:beforeAutospacing="0" w:after="0" w:afterAutospacing="0"/>
              <w:ind w:left="0" w:right="0"/>
              <w:rPr>
                <w:rFonts w:hint="default"/>
                <w:color w:val="auto"/>
                <w:highlight w:val="none"/>
                <w:lang w:val="en-US" w:eastAsia="zh-CN"/>
              </w:rPr>
            </w:pPr>
          </w:p>
          <w:p w14:paraId="7EB8990F">
            <w:pPr>
              <w:keepNext w:val="0"/>
              <w:keepLines w:val="0"/>
              <w:suppressLineNumbers w:val="0"/>
              <w:bidi w:val="0"/>
              <w:spacing w:before="0" w:beforeAutospacing="0" w:after="0" w:afterAutospacing="0"/>
              <w:ind w:left="0" w:right="0"/>
              <w:rPr>
                <w:rFonts w:hint="default"/>
                <w:color w:val="auto"/>
                <w:highlight w:val="none"/>
                <w:lang w:val="en-US" w:eastAsia="zh-CN"/>
              </w:rPr>
            </w:pPr>
          </w:p>
          <w:p w14:paraId="231C156D">
            <w:pPr>
              <w:keepNext w:val="0"/>
              <w:keepLines w:val="0"/>
              <w:suppressLineNumbers w:val="0"/>
              <w:bidi w:val="0"/>
              <w:spacing w:before="0" w:beforeAutospacing="0" w:after="0" w:afterAutospacing="0"/>
              <w:ind w:left="0" w:right="0"/>
              <w:rPr>
                <w:rFonts w:hint="default"/>
                <w:color w:val="auto"/>
                <w:highlight w:val="none"/>
                <w:lang w:val="en-US" w:eastAsia="zh-CN"/>
              </w:rPr>
            </w:pPr>
          </w:p>
          <w:p w14:paraId="39493C98">
            <w:pPr>
              <w:keepNext w:val="0"/>
              <w:keepLines w:val="0"/>
              <w:suppressLineNumbers w:val="0"/>
              <w:bidi w:val="0"/>
              <w:spacing w:before="0" w:beforeAutospacing="0" w:after="0" w:afterAutospacing="0"/>
              <w:ind w:left="0" w:right="0"/>
              <w:rPr>
                <w:rFonts w:hint="default"/>
                <w:color w:val="auto"/>
                <w:highlight w:val="none"/>
                <w:lang w:val="en-US" w:eastAsia="zh-CN"/>
              </w:rPr>
            </w:pPr>
          </w:p>
          <w:p w14:paraId="0C6FF811">
            <w:pPr>
              <w:keepNext w:val="0"/>
              <w:keepLines w:val="0"/>
              <w:suppressLineNumbers w:val="0"/>
              <w:bidi w:val="0"/>
              <w:spacing w:before="0" w:beforeAutospacing="0" w:after="0" w:afterAutospacing="0"/>
              <w:ind w:left="0" w:right="0"/>
              <w:rPr>
                <w:rFonts w:hint="default"/>
                <w:color w:val="auto"/>
                <w:highlight w:val="none"/>
                <w:lang w:val="en-US" w:eastAsia="zh-CN"/>
              </w:rPr>
            </w:pPr>
          </w:p>
          <w:p w14:paraId="3237839F">
            <w:pPr>
              <w:keepNext w:val="0"/>
              <w:keepLines w:val="0"/>
              <w:suppressLineNumbers w:val="0"/>
              <w:bidi w:val="0"/>
              <w:spacing w:before="0" w:beforeAutospacing="0" w:after="0" w:afterAutospacing="0"/>
              <w:ind w:left="0" w:right="0"/>
              <w:rPr>
                <w:rFonts w:hint="default"/>
                <w:color w:val="auto"/>
                <w:highlight w:val="none"/>
                <w:lang w:val="en-US" w:eastAsia="zh-CN"/>
              </w:rPr>
            </w:pPr>
          </w:p>
          <w:p w14:paraId="2D583922">
            <w:pPr>
              <w:keepNext w:val="0"/>
              <w:keepLines w:val="0"/>
              <w:suppressLineNumbers w:val="0"/>
              <w:bidi w:val="0"/>
              <w:spacing w:before="0" w:beforeAutospacing="0" w:after="0" w:afterAutospacing="0"/>
              <w:ind w:left="0" w:right="0"/>
              <w:rPr>
                <w:rFonts w:hint="default"/>
                <w:color w:val="auto"/>
                <w:highlight w:val="none"/>
                <w:lang w:val="en-US" w:eastAsia="zh-CN"/>
              </w:rPr>
            </w:pPr>
          </w:p>
        </w:tc>
      </w:tr>
    </w:tbl>
    <w:p w14:paraId="2799367E">
      <w:pPr>
        <w:pStyle w:val="77"/>
        <w:keepNext w:val="0"/>
        <w:keepLines w:val="0"/>
        <w:suppressLineNumbers w:val="0"/>
        <w:bidi w:val="0"/>
        <w:spacing w:before="0" w:beforeAutospacing="0" w:after="0" w:afterAutospacing="0"/>
        <w:ind w:left="0" w:right="0"/>
        <w:rPr>
          <w:rFonts w:hint="default"/>
          <w:color w:val="auto"/>
          <w:highlight w:val="none"/>
        </w:rPr>
        <w:sectPr>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tbl>
      <w:tblPr>
        <w:tblStyle w:val="25"/>
        <w:tblW w:w="5353"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32"/>
        <w:gridCol w:w="8592"/>
      </w:tblGrid>
      <w:tr w14:paraId="4F2BB7D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021" w:hRule="atLeast"/>
          <w:jc w:val="center"/>
        </w:trPr>
        <w:tc>
          <w:tcPr>
            <w:tcW w:w="291" w:type="pct"/>
            <w:noWrap w:val="0"/>
            <w:vAlign w:val="center"/>
          </w:tcPr>
          <w:p w14:paraId="6DB3EE28">
            <w:pPr>
              <w:pStyle w:val="77"/>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0"/>
                <w:szCs w:val="24"/>
                <w:highlight w:val="none"/>
              </w:rPr>
            </w:pPr>
            <w:r>
              <w:rPr>
                <w:rFonts w:hint="default"/>
                <w:color w:val="auto"/>
                <w:highlight w:val="none"/>
              </w:rPr>
              <w:t>其他符合性分析</w:t>
            </w:r>
          </w:p>
        </w:tc>
        <w:tc>
          <w:tcPr>
            <w:tcW w:w="4708" w:type="pct"/>
            <w:noWrap w:val="0"/>
            <w:vAlign w:val="center"/>
          </w:tcPr>
          <w:p w14:paraId="63A151C0">
            <w:pPr>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color w:val="auto"/>
                <w:highlight w:val="none"/>
                <w:lang w:val="en-US" w:eastAsia="zh-CN"/>
              </w:rPr>
              <w:t>1、</w:t>
            </w:r>
            <w:r>
              <w:rPr>
                <w:rFonts w:hint="default"/>
                <w:b/>
                <w:bCs/>
                <w:color w:val="auto"/>
                <w:highlight w:val="none"/>
              </w:rPr>
              <w:t>产业政策符合性分析</w:t>
            </w:r>
          </w:p>
          <w:p w14:paraId="61D55254">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（1）与《产业结构调整指导目录》（20</w:t>
            </w:r>
            <w:r>
              <w:rPr>
                <w:rFonts w:hint="eastAsia"/>
                <w:color w:val="auto"/>
                <w:highlight w:val="none"/>
                <w:lang w:val="en-US" w:eastAsia="zh-CN"/>
              </w:rPr>
              <w:t>24</w:t>
            </w:r>
            <w:r>
              <w:rPr>
                <w:rFonts w:hint="default"/>
                <w:color w:val="auto"/>
                <w:highlight w:val="none"/>
                <w:lang w:val="en-US" w:eastAsia="zh-CN"/>
              </w:rPr>
              <w:t>本）相符性</w:t>
            </w:r>
          </w:p>
          <w:p w14:paraId="087A4753">
            <w:pPr>
              <w:keepNext w:val="0"/>
              <w:keepLines w:val="0"/>
              <w:suppressLineNumbers w:val="0"/>
              <w:bidi w:val="0"/>
              <w:spacing w:before="0" w:beforeAutospacing="0" w:after="0" w:afterAutospacing="0"/>
              <w:ind w:left="0" w:right="0"/>
              <w:rPr>
                <w:rFonts w:hint="eastAsia"/>
                <w:color w:val="auto"/>
                <w:highlight w:val="none"/>
                <w:lang w:val="zh-CN" w:eastAsia="zh-CN"/>
              </w:rPr>
            </w:pPr>
            <w:r>
              <w:rPr>
                <w:rFonts w:hint="eastAsia"/>
                <w:color w:val="auto"/>
                <w:highlight w:val="none"/>
                <w:lang w:val="zh-CN" w:eastAsia="zh-CN"/>
              </w:rPr>
              <w:t>根据《产业结构调整指导目录（2024年本）》，本项目为N7723固体废物治理、C3031粘土砖瓦及建筑砌块制造，以上游锂电企业鉴定为一般固废的锂冶炼剩余物、</w:t>
            </w:r>
            <w:r>
              <w:rPr>
                <w:rFonts w:hint="eastAsia"/>
                <w:color w:val="auto"/>
                <w:highlight w:val="none"/>
                <w:lang w:val="en-US" w:eastAsia="zh-CN"/>
              </w:rPr>
              <w:t>粉煤灰</w:t>
            </w:r>
            <w:r>
              <w:rPr>
                <w:rFonts w:hint="eastAsia"/>
                <w:color w:val="auto"/>
                <w:highlight w:val="none"/>
                <w:lang w:val="zh-CN" w:eastAsia="zh-CN"/>
              </w:rPr>
              <w:t>和陶瓷砖厂的一般固废作原料生产建筑材料，属于“第一类鼓励类”中“四十二、环境保护与资源节约综合利用8、废弃物循环利用：</w:t>
            </w:r>
            <w:r>
              <w:rPr>
                <w:rFonts w:hint="eastAsia"/>
                <w:lang w:val="zh-CN"/>
              </w:rPr>
              <w:t>煤</w:t>
            </w:r>
            <w:r>
              <w:rPr>
                <w:rFonts w:hint="eastAsia"/>
                <w:highlight w:val="green"/>
                <w:lang w:val="zh-CN"/>
              </w:rPr>
              <w:t>矸</w:t>
            </w:r>
            <w:r>
              <w:rPr>
                <w:rFonts w:hint="eastAsia"/>
                <w:lang w:val="zh-CN"/>
              </w:rPr>
              <w:t>石</w:t>
            </w:r>
            <w:r>
              <w:rPr>
                <w:rFonts w:hint="eastAsia"/>
                <w:color w:val="auto"/>
                <w:highlight w:val="none"/>
                <w:lang w:val="zh-CN" w:eastAsia="zh-CN"/>
              </w:rPr>
              <w:t>、粉煤灰、尾矿（共伴生矿）、冶炼渣、工业副产石膏、赤泥、建筑废料等工业废弃物循环利用”，项目建设符合当前国家产业政策。</w:t>
            </w:r>
          </w:p>
          <w:p w14:paraId="70390DA3">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（2）与《自然资源要素支撑产业高质量发展指导目录（2024年本）》符合性</w:t>
            </w:r>
          </w:p>
          <w:p w14:paraId="795D4E09">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本项目位于江西省建筑陶瓷产业基地江西恒辉陶瓷有限公司厂区内，所属用地为工业用地，对照《自然资源要素支撑产业高质量发展指导目录（2024年本）》的通知，本项目在鼓励类、限制类和禁止类之外，且符合国家有关法律法规和政策规定，属于允许类，符合国家土地供应政策。</w:t>
            </w:r>
          </w:p>
          <w:p w14:paraId="68E6A7FC">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（3）产业政策相符性分析</w:t>
            </w:r>
          </w:p>
          <w:p w14:paraId="25B8BE35">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高安市行政审批局对本项目进行了备案，并下发《江西省企业投资项目备案登记信息表》（项目统一代码为：2509-360983-04-01-738724），因此，该项目建设符合地方产业政策。</w:t>
            </w:r>
          </w:p>
          <w:p w14:paraId="47AE1D6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综上，本项目的实施符合国家及地方的产业政策要求。</w:t>
            </w:r>
          </w:p>
          <w:p w14:paraId="52844778">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2、选址规划合理性分析</w:t>
            </w:r>
          </w:p>
          <w:p w14:paraId="4C23996B">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w:t>
            </w:r>
            <w:r>
              <w:rPr>
                <w:rFonts w:hint="default"/>
                <w:color w:val="auto"/>
                <w:highlight w:val="none"/>
                <w:lang w:val="en-US"/>
              </w:rPr>
              <w:t>1</w:t>
            </w:r>
            <w:r>
              <w:rPr>
                <w:rFonts w:hint="default"/>
                <w:color w:val="auto"/>
                <w:highlight w:val="none"/>
              </w:rPr>
              <w:t>）规划符合性分析</w:t>
            </w:r>
          </w:p>
          <w:p w14:paraId="56821F76">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项目位于</w:t>
            </w:r>
            <w:r>
              <w:rPr>
                <w:rFonts w:hint="eastAsia"/>
                <w:color w:val="auto"/>
                <w:highlight w:val="none"/>
                <w:lang w:val="en-US" w:eastAsia="zh-CN"/>
              </w:rPr>
              <w:t>江西省建筑陶瓷产业基地江西恒辉陶瓷有限公司厂区内</w:t>
            </w:r>
            <w:r>
              <w:rPr>
                <w:rFonts w:hint="default"/>
                <w:color w:val="auto"/>
                <w:highlight w:val="none"/>
                <w:lang w:val="en-US"/>
              </w:rPr>
              <w:t>，</w:t>
            </w:r>
            <w:r>
              <w:rPr>
                <w:rFonts w:hint="eastAsia"/>
                <w:color w:val="auto"/>
                <w:sz w:val="24"/>
                <w:highlight w:val="none"/>
                <w:lang w:val="en-US" w:eastAsia="zh-CN"/>
              </w:rPr>
              <w:t>根据</w:t>
            </w:r>
            <w:r>
              <w:rPr>
                <w:rFonts w:hint="eastAsia"/>
                <w:color w:val="auto"/>
                <w:sz w:val="24"/>
                <w:highlight w:val="none"/>
                <w:lang w:eastAsia="zh-CN"/>
              </w:rPr>
              <w:t>园区土地利用</w:t>
            </w:r>
            <w:r>
              <w:rPr>
                <w:rFonts w:hint="eastAsia"/>
                <w:color w:val="auto"/>
                <w:sz w:val="24"/>
                <w:highlight w:val="none"/>
              </w:rPr>
              <w:t>规划图（附图</w:t>
            </w:r>
            <w:r>
              <w:rPr>
                <w:rFonts w:hint="eastAsia"/>
                <w:color w:val="auto"/>
                <w:sz w:val="24"/>
                <w:highlight w:val="none"/>
                <w:lang w:val="en-US" w:eastAsia="zh-CN"/>
              </w:rPr>
              <w:t>十一</w:t>
            </w:r>
            <w:r>
              <w:rPr>
                <w:rFonts w:hint="eastAsia"/>
                <w:color w:val="auto"/>
                <w:sz w:val="24"/>
                <w:highlight w:val="none"/>
              </w:rPr>
              <w:t>）</w:t>
            </w:r>
            <w:r>
              <w:rPr>
                <w:rFonts w:hint="eastAsia"/>
                <w:color w:val="auto"/>
                <w:sz w:val="24"/>
                <w:highlight w:val="none"/>
                <w:lang w:eastAsia="zh-CN"/>
              </w:rPr>
              <w:t>和建设单位提供的土地证（附件三）可知</w:t>
            </w:r>
            <w:r>
              <w:rPr>
                <w:rFonts w:hint="eastAsia"/>
                <w:color w:val="auto"/>
                <w:sz w:val="24"/>
                <w:highlight w:val="none"/>
              </w:rPr>
              <w:t>，</w:t>
            </w:r>
            <w:r>
              <w:rPr>
                <w:rFonts w:hint="eastAsia"/>
                <w:color w:val="auto"/>
                <w:sz w:val="24"/>
                <w:highlight w:val="none"/>
                <w:lang w:eastAsia="zh-CN"/>
              </w:rPr>
              <w:t>本项目用地</w:t>
            </w:r>
            <w:r>
              <w:rPr>
                <w:rFonts w:hint="eastAsia"/>
                <w:color w:val="auto"/>
                <w:sz w:val="24"/>
                <w:highlight w:val="none"/>
                <w:lang w:val="en-US" w:eastAsia="zh-CN"/>
              </w:rPr>
              <w:t>性质为</w:t>
            </w:r>
            <w:r>
              <w:rPr>
                <w:rFonts w:hint="eastAsia"/>
                <w:color w:val="auto"/>
                <w:sz w:val="24"/>
                <w:highlight w:val="none"/>
              </w:rPr>
              <w:t>工业用地</w:t>
            </w:r>
            <w:r>
              <w:rPr>
                <w:rFonts w:hint="default"/>
                <w:color w:val="auto"/>
                <w:highlight w:val="none"/>
                <w:lang w:val="en-US" w:eastAsia="zh-CN"/>
              </w:rPr>
              <w:t>，</w:t>
            </w:r>
            <w:r>
              <w:rPr>
                <w:rFonts w:hint="default"/>
                <w:color w:val="auto"/>
                <w:highlight w:val="none"/>
              </w:rPr>
              <w:t>用地性质符合。</w:t>
            </w:r>
          </w:p>
          <w:p w14:paraId="1268E3EB">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w:t>
            </w:r>
            <w:r>
              <w:rPr>
                <w:rFonts w:hint="default"/>
                <w:color w:val="auto"/>
                <w:highlight w:val="none"/>
                <w:lang w:val="en-US"/>
              </w:rPr>
              <w:t>2</w:t>
            </w:r>
            <w:r>
              <w:rPr>
                <w:rFonts w:hint="default"/>
                <w:color w:val="auto"/>
                <w:highlight w:val="none"/>
              </w:rPr>
              <w:t>）环境相容性分析</w:t>
            </w:r>
          </w:p>
          <w:p w14:paraId="2E66925F">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项目</w:t>
            </w:r>
            <w:r>
              <w:rPr>
                <w:rFonts w:hint="default"/>
                <w:color w:val="auto"/>
                <w:highlight w:val="none"/>
              </w:rPr>
              <w:t>所在区域不处在国家法律、法规、行政规章及规划确定或县级以上人民政府批准的饮用水水源保护区、自然保护区、风景名胜区、生态功能保护区等需要特殊保护的地区范围内</w:t>
            </w:r>
            <w:r>
              <w:rPr>
                <w:rFonts w:hint="default"/>
                <w:color w:val="auto"/>
                <w:highlight w:val="none"/>
                <w:lang w:eastAsia="zh-CN"/>
              </w:rPr>
              <w:t>。</w:t>
            </w:r>
            <w:r>
              <w:rPr>
                <w:rFonts w:hint="default"/>
                <w:color w:val="auto"/>
                <w:highlight w:val="none"/>
              </w:rPr>
              <w:t>根据项目现场实地调查可知，项目东面</w:t>
            </w:r>
            <w:r>
              <w:rPr>
                <w:rFonts w:hint="eastAsia"/>
                <w:color w:val="auto"/>
                <w:highlight w:val="none"/>
                <w:lang w:eastAsia="zh-CN"/>
              </w:rPr>
              <w:t>为空地，南面为农田，西面、北面为</w:t>
            </w:r>
            <w:r>
              <w:rPr>
                <w:rFonts w:hint="eastAsia"/>
                <w:color w:val="auto"/>
                <w:highlight w:val="none"/>
                <w:lang w:val="en-US" w:eastAsia="zh-CN"/>
              </w:rPr>
              <w:t>江西恒辉陶瓷有限公司厂房。</w:t>
            </w:r>
            <w:r>
              <w:rPr>
                <w:rFonts w:hint="default"/>
                <w:color w:val="auto"/>
                <w:spacing w:val="5"/>
                <w:highlight w:val="none"/>
              </w:rPr>
              <w:t>本项目卫生防</w:t>
            </w:r>
            <w:r>
              <w:rPr>
                <w:rFonts w:hint="default"/>
                <w:color w:val="auto"/>
                <w:spacing w:val="2"/>
                <w:highlight w:val="none"/>
              </w:rPr>
              <w:t>护距离</w:t>
            </w:r>
            <w:r>
              <w:rPr>
                <w:rFonts w:hint="default" w:ascii="Times New Roman" w:hAnsi="Times New Roman" w:eastAsia="Times New Roman" w:cs="Times New Roman"/>
                <w:color w:val="auto"/>
                <w:spacing w:val="2"/>
                <w:highlight w:val="none"/>
              </w:rPr>
              <w:t>50</w:t>
            </w:r>
            <w:r>
              <w:rPr>
                <w:rFonts w:hint="default"/>
                <w:color w:val="auto"/>
                <w:spacing w:val="2"/>
                <w:highlight w:val="none"/>
              </w:rPr>
              <w:t>米</w:t>
            </w:r>
            <w:r>
              <w:rPr>
                <w:rFonts w:hint="eastAsia"/>
                <w:color w:val="auto"/>
                <w:spacing w:val="2"/>
                <w:highlight w:val="none"/>
                <w:lang w:eastAsia="zh-CN"/>
              </w:rPr>
              <w:t>。</w:t>
            </w:r>
            <w:r>
              <w:rPr>
                <w:rFonts w:hint="eastAsia"/>
                <w:color w:val="auto"/>
                <w:highlight w:val="none"/>
                <w:lang w:val="en-US" w:eastAsia="zh-CN"/>
              </w:rPr>
              <w:t>项目距离最近的敏感点为东北面446m处的毛家，</w:t>
            </w:r>
            <w:r>
              <w:rPr>
                <w:rFonts w:hint="default"/>
                <w:color w:val="auto"/>
                <w:spacing w:val="2"/>
                <w:highlight w:val="none"/>
              </w:rPr>
              <w:t>项目废气主要污染</w:t>
            </w:r>
            <w:r>
              <w:rPr>
                <w:rFonts w:hint="default"/>
                <w:color w:val="auto"/>
                <w:spacing w:val="13"/>
                <w:highlight w:val="none"/>
              </w:rPr>
              <w:t>物经收集后，均可实现达标排放，总体污染较小。项目与周边环境相容性较</w:t>
            </w:r>
            <w:r>
              <w:rPr>
                <w:rFonts w:hint="default"/>
                <w:color w:val="auto"/>
                <w:spacing w:val="-5"/>
                <w:highlight w:val="none"/>
              </w:rPr>
              <w:t>好。</w:t>
            </w:r>
          </w:p>
          <w:p w14:paraId="43D6C81C">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3</w:t>
            </w:r>
            <w:r>
              <w:rPr>
                <w:rFonts w:hint="default"/>
                <w:b/>
                <w:bCs/>
                <w:color w:val="auto"/>
                <w:highlight w:val="none"/>
              </w:rPr>
              <w:t>、</w:t>
            </w:r>
            <w:r>
              <w:rPr>
                <w:rFonts w:hint="eastAsia"/>
                <w:b/>
                <w:bCs/>
                <w:color w:val="auto"/>
                <w:highlight w:val="none"/>
              </w:rPr>
              <w:t>“三线一单”</w:t>
            </w:r>
            <w:r>
              <w:rPr>
                <w:rFonts w:hint="default"/>
                <w:b/>
                <w:bCs/>
                <w:color w:val="auto"/>
                <w:highlight w:val="none"/>
              </w:rPr>
              <w:t>相符性分析</w:t>
            </w:r>
          </w:p>
          <w:p w14:paraId="4A010A65">
            <w:pPr>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rPr>
              <w:t>根据原环保部《关于以改善环境质量为核心加强环境影响评价管理的通知》（环环评〔2016〕150号）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w:t>
            </w:r>
          </w:p>
          <w:p w14:paraId="07439DAD">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（1）生态保护红线</w:t>
            </w:r>
          </w:p>
          <w:p w14:paraId="74BFACDA">
            <w:pPr>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ascii="Times New Roman" w:hAnsi="Times New Roman" w:eastAsia="宋体" w:cs="宋体"/>
                <w:color w:val="auto"/>
                <w:kern w:val="0"/>
                <w:sz w:val="24"/>
                <w:highlight w:val="none"/>
                <w:lang w:val="en-US" w:eastAsia="zh-CN" w:bidi="ar"/>
              </w:rPr>
              <w:t>生态保护红线是生态空间范围内具有特殊重要生态功能必须实行强制性严格保护的区域。</w:t>
            </w:r>
            <w:r>
              <w:rPr>
                <w:rFonts w:hint="default"/>
                <w:color w:val="auto"/>
                <w:highlight w:val="none"/>
              </w:rPr>
              <w:t>本项目位于</w:t>
            </w:r>
            <w:r>
              <w:rPr>
                <w:rFonts w:hint="eastAsia"/>
                <w:color w:val="auto"/>
                <w:highlight w:val="none"/>
                <w:lang w:eastAsia="zh-CN"/>
              </w:rPr>
              <w:t>江西省建筑陶瓷产业基地江西恒辉陶瓷有限公司厂区内</w:t>
            </w:r>
            <w:r>
              <w:rPr>
                <w:rFonts w:hint="default"/>
                <w:color w:val="auto"/>
                <w:highlight w:val="none"/>
              </w:rPr>
              <w:t>，对照生态保护红线划定范围图（详见附图</w:t>
            </w:r>
            <w:r>
              <w:rPr>
                <w:rFonts w:hint="eastAsia"/>
                <w:color w:val="auto"/>
                <w:highlight w:val="none"/>
                <w:lang w:eastAsia="zh-CN"/>
              </w:rPr>
              <w:t>十五</w:t>
            </w:r>
            <w:r>
              <w:rPr>
                <w:rFonts w:hint="default"/>
                <w:color w:val="auto"/>
                <w:highlight w:val="none"/>
              </w:rPr>
              <w:t>），项目不在生态保护红线内</w:t>
            </w:r>
            <w:r>
              <w:rPr>
                <w:rFonts w:hint="eastAsia"/>
                <w:color w:val="auto"/>
                <w:highlight w:val="none"/>
                <w:lang w:eastAsia="zh-CN"/>
              </w:rPr>
              <w:t>。</w:t>
            </w:r>
          </w:p>
          <w:p w14:paraId="76F49A68">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（2）环境质量底线</w:t>
            </w:r>
          </w:p>
          <w:p w14:paraId="20D47B8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项目所在区域的环境质量底线为：环境空气质量为《环境空气质量标准》（GB3095-2012）二级；水环境质量目标为《地表水环境质量标准》（GB3838-2002）III类；</w:t>
            </w:r>
            <w:r>
              <w:rPr>
                <w:rFonts w:hint="eastAsia"/>
                <w:color w:val="auto"/>
                <w:highlight w:val="none"/>
              </w:rPr>
              <w:t>声环境质量执行《声环境质量标准》（GB3906-2008）中的3类标准</w:t>
            </w:r>
            <w:r>
              <w:rPr>
                <w:rFonts w:hint="default"/>
                <w:color w:val="auto"/>
                <w:highlight w:val="none"/>
              </w:rPr>
              <w:t>。</w:t>
            </w:r>
          </w:p>
          <w:p w14:paraId="129475C4">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采取本环评提出的相关防治措施后，本项目排放的污染物不会突破区域环境质量底线。</w:t>
            </w:r>
          </w:p>
          <w:p w14:paraId="647693C0">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（3）资源利用上线</w:t>
            </w:r>
          </w:p>
          <w:p w14:paraId="340F2BC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自然资源利用上线是从促进资源能源节约、保障资源高效利用、确保必不可少的环境容量角度，不应突破资源利用最高限值。本项目运行期间占用电源、水资源、土地等资源消耗占当地资源能源比例较低，不会突破地区的资源利用上限。</w:t>
            </w:r>
          </w:p>
          <w:p w14:paraId="450E6062">
            <w:pPr>
              <w:keepNext w:val="0"/>
              <w:keepLines w:val="0"/>
              <w:suppressLineNumbers w:val="0"/>
              <w:bidi w:val="0"/>
              <w:spacing w:before="0" w:beforeAutospacing="0" w:after="0" w:afterAutospacing="0"/>
              <w:ind w:left="0" w:right="0"/>
              <w:rPr>
                <w:rFonts w:hint="default" w:ascii="Times New Roman" w:hAnsi="Times New Roman"/>
                <w:color w:val="auto"/>
                <w:highlight w:val="none"/>
              </w:rPr>
            </w:pPr>
            <w:r>
              <w:rPr>
                <w:rFonts w:hint="default" w:ascii="Times New Roman" w:hAnsi="Times New Roman"/>
                <w:color w:val="auto"/>
                <w:highlight w:val="none"/>
              </w:rPr>
              <w:t>（4）生态环境准入负面清单</w:t>
            </w:r>
          </w:p>
          <w:p w14:paraId="56AD1C12">
            <w:pPr>
              <w:keepNext w:val="0"/>
              <w:keepLines w:val="0"/>
              <w:suppressLineNumbers w:val="0"/>
              <w:bidi w:val="0"/>
              <w:spacing w:before="0" w:beforeAutospacing="0" w:after="0" w:afterAutospacing="0"/>
              <w:ind w:left="0" w:right="0"/>
              <w:rPr>
                <w:rFonts w:hint="default" w:ascii="Times New Roman" w:hAnsi="Times New Roman"/>
                <w:color w:val="auto"/>
                <w:highlight w:val="none"/>
              </w:rPr>
            </w:pPr>
            <w:r>
              <w:rPr>
                <w:rFonts w:hint="default" w:ascii="Times New Roman" w:hAnsi="Times New Roman"/>
                <w:color w:val="auto"/>
                <w:highlight w:val="none"/>
              </w:rPr>
              <w:t>对照宜春市2023年“三线一单”分区管控成果动态更新情况，本项目位于</w:t>
            </w:r>
            <w:r>
              <w:rPr>
                <w:rFonts w:hint="eastAsia" w:ascii="Times New Roman" w:hAnsi="Times New Roman"/>
                <w:color w:val="auto"/>
                <w:highlight w:val="none"/>
                <w:lang w:val="en-US" w:eastAsia="zh-CN"/>
              </w:rPr>
              <w:t>江西省建筑陶瓷产业基地江西恒辉陶瓷有限公司厂区内</w:t>
            </w:r>
            <w:r>
              <w:rPr>
                <w:rFonts w:hint="default" w:ascii="Times New Roman" w:hAnsi="Times New Roman"/>
                <w:color w:val="auto"/>
                <w:highlight w:val="none"/>
              </w:rPr>
              <w:t>，属于江西省宜春市</w:t>
            </w:r>
            <w:r>
              <w:rPr>
                <w:rFonts w:hint="eastAsia" w:ascii="Times New Roman" w:hAnsi="Times New Roman"/>
                <w:color w:val="auto"/>
                <w:highlight w:val="none"/>
                <w:lang w:val="en-US" w:eastAsia="zh-CN"/>
              </w:rPr>
              <w:t>高安市重点管控单元</w:t>
            </w:r>
            <w:r>
              <w:rPr>
                <w:rFonts w:hint="eastAsia"/>
                <w:color w:val="auto"/>
                <w:highlight w:val="none"/>
                <w:lang w:val="en-US" w:eastAsia="zh-CN"/>
              </w:rPr>
              <w:t>5</w:t>
            </w:r>
            <w:r>
              <w:rPr>
                <w:rFonts w:hint="eastAsia" w:ascii="Times New Roman" w:hAnsi="Times New Roman"/>
                <w:color w:val="auto"/>
                <w:highlight w:val="none"/>
                <w:lang w:val="en-US" w:eastAsia="zh-CN"/>
              </w:rPr>
              <w:t>（环境管控单元编码：ZH3609832000</w:t>
            </w:r>
            <w:r>
              <w:rPr>
                <w:rFonts w:hint="eastAsia"/>
                <w:color w:val="auto"/>
                <w:highlight w:val="none"/>
                <w:lang w:val="en-US" w:eastAsia="zh-CN"/>
              </w:rPr>
              <w:t>5</w:t>
            </w:r>
            <w:r>
              <w:rPr>
                <w:rFonts w:hint="eastAsia" w:ascii="Times New Roman" w:hAnsi="Times New Roman"/>
                <w:color w:val="auto"/>
                <w:highlight w:val="none"/>
                <w:lang w:val="en-US" w:eastAsia="zh-CN"/>
              </w:rPr>
              <w:t>）</w:t>
            </w:r>
            <w:r>
              <w:rPr>
                <w:rFonts w:hint="default" w:ascii="Times New Roman" w:hAnsi="Times New Roman"/>
                <w:color w:val="auto"/>
                <w:highlight w:val="none"/>
              </w:rPr>
              <w:t>；项目主要污染物经治理后可达标排放，满足该区域生态环境保护的要求，符合生态环境分区管控的要求该单元生态环境准入清单见</w:t>
            </w:r>
            <w:r>
              <w:rPr>
                <w:rFonts w:hint="eastAsia" w:ascii="Times New Roman" w:hAnsi="Times New Roman"/>
                <w:color w:val="auto"/>
                <w:highlight w:val="none"/>
                <w:lang w:val="en-US" w:eastAsia="zh-CN"/>
              </w:rPr>
              <w:t>下</w:t>
            </w:r>
            <w:r>
              <w:rPr>
                <w:rFonts w:hint="default" w:ascii="Times New Roman" w:hAnsi="Times New Roman"/>
                <w:color w:val="auto"/>
                <w:highlight w:val="none"/>
              </w:rPr>
              <w:t>表。</w:t>
            </w:r>
          </w:p>
          <w:p w14:paraId="0466B2B6">
            <w:pPr>
              <w:keepNext w:val="0"/>
              <w:keepLines w:val="0"/>
              <w:suppressLineNumbers w:val="0"/>
              <w:bidi w:val="0"/>
              <w:spacing w:before="0" w:beforeAutospacing="0" w:after="0" w:afterAutospacing="0"/>
              <w:ind w:left="0" w:right="0"/>
              <w:rPr>
                <w:rFonts w:hint="default" w:ascii="Times New Roman" w:hAnsi="Times New Roman"/>
                <w:color w:val="auto"/>
                <w:highlight w:val="none"/>
              </w:rPr>
            </w:pPr>
          </w:p>
          <w:p w14:paraId="1147FBED">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江西省生态环境总体准入清单相符性分析表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3"/>
              <w:gridCol w:w="5113"/>
              <w:gridCol w:w="1722"/>
              <w:gridCol w:w="798"/>
            </w:tblGrid>
            <w:tr w14:paraId="1959C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3495" w:type="pct"/>
                  <w:gridSpan w:val="2"/>
                  <w:tcBorders>
                    <w:tl2br w:val="nil"/>
                    <w:tr2bl w:val="nil"/>
                  </w:tcBorders>
                  <w:vAlign w:val="center"/>
                </w:tcPr>
                <w:p w14:paraId="4A40B7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清单要求</w:t>
                  </w:r>
                </w:p>
              </w:tc>
              <w:tc>
                <w:tcPr>
                  <w:tcW w:w="1027" w:type="pct"/>
                  <w:tcBorders>
                    <w:tl2br w:val="nil"/>
                    <w:tr2bl w:val="nil"/>
                  </w:tcBorders>
                  <w:vAlign w:val="center"/>
                </w:tcPr>
                <w:p w14:paraId="2FDF94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本项目情况</w:t>
                  </w:r>
                </w:p>
              </w:tc>
              <w:tc>
                <w:tcPr>
                  <w:tcW w:w="476" w:type="pct"/>
                  <w:tcBorders>
                    <w:tl2br w:val="nil"/>
                    <w:tr2bl w:val="nil"/>
                  </w:tcBorders>
                  <w:vAlign w:val="center"/>
                </w:tcPr>
                <w:p w14:paraId="2F4F89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相符性</w:t>
                  </w:r>
                </w:p>
              </w:tc>
            </w:tr>
            <w:tr w14:paraId="39AA53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23D5DD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空间布局约束</w:t>
                  </w:r>
                </w:p>
              </w:tc>
              <w:tc>
                <w:tcPr>
                  <w:tcW w:w="3051" w:type="pct"/>
                  <w:tcBorders>
                    <w:tl2br w:val="nil"/>
                    <w:tr2bl w:val="nil"/>
                  </w:tcBorders>
                  <w:vAlign w:val="center"/>
                </w:tcPr>
                <w:p w14:paraId="5E9837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新、扩建不符合国家石化、现代煤化工等产业布局规划的项目。禁止新建、扩建法律法规和相关政策明令禁止的落后产能项目。禁止开展投资建设属于淘汰类的项目及其相关活动，禁止开展投资新建、扩建属于限制类的项目及其相关活动。禁止新建、扩建不符合国家产能置换要求的钢铁、电解铝、水泥熟料、平板玻璃、船舶等严重过剩产能行业的项目。对确有必要建设的，必须严格执行产能置换实施办法，实施减量或等量置换，依法依规办理有关手续。禁止新建、扩建不符合要求的高耗能高排放项目。</w:t>
                  </w:r>
                </w:p>
              </w:tc>
              <w:tc>
                <w:tcPr>
                  <w:tcW w:w="1027" w:type="pct"/>
                  <w:tcBorders>
                    <w:tl2br w:val="nil"/>
                    <w:tr2bl w:val="nil"/>
                  </w:tcBorders>
                  <w:vAlign w:val="center"/>
                </w:tcPr>
                <w:p w14:paraId="109909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5A16D9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699C64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64623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5BDBB8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县级及以上城市建成区原则上不再新建35蒸吨/小时及以下燃煤锅炉。</w:t>
                  </w:r>
                </w:p>
              </w:tc>
              <w:tc>
                <w:tcPr>
                  <w:tcW w:w="1027" w:type="pct"/>
                  <w:tcBorders>
                    <w:tl2br w:val="nil"/>
                    <w:tr2bl w:val="nil"/>
                  </w:tcBorders>
                  <w:vAlign w:val="center"/>
                </w:tcPr>
                <w:p w14:paraId="173A069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w:t>
                  </w:r>
                  <w:r>
                    <w:rPr>
                      <w:rFonts w:hint="eastAsia"/>
                      <w:color w:val="auto"/>
                      <w:highlight w:val="none"/>
                      <w:lang w:val="en-US" w:eastAsia="zh-CN"/>
                    </w:rPr>
                    <w:t>不涉及燃煤锅炉</w:t>
                  </w:r>
                </w:p>
              </w:tc>
              <w:tc>
                <w:tcPr>
                  <w:tcW w:w="476" w:type="pct"/>
                  <w:tcBorders>
                    <w:tl2br w:val="nil"/>
                    <w:tr2bl w:val="nil"/>
                  </w:tcBorders>
                  <w:vAlign w:val="center"/>
                </w:tcPr>
                <w:p w14:paraId="281C88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4B2A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2FD476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04DA83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禁止在长江干支流、重要湖泊岸线1公里范围内新建、扩建化工园区和化工项目。禁止在合规园区外新建、扩建钢铁、石化、化工、焦化、建材、有色、制浆造纸等高污染项目。</w:t>
                  </w:r>
                </w:p>
              </w:tc>
              <w:tc>
                <w:tcPr>
                  <w:tcW w:w="1027" w:type="pct"/>
                  <w:tcBorders>
                    <w:tl2br w:val="nil"/>
                    <w:tr2bl w:val="nil"/>
                  </w:tcBorders>
                  <w:vAlign w:val="center"/>
                </w:tcPr>
                <w:p w14:paraId="4DF484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本项目不属于化工项目，本项目</w:t>
                  </w:r>
                  <w:r>
                    <w:rPr>
                      <w:rFonts w:hint="eastAsia"/>
                      <w:color w:val="auto"/>
                      <w:highlight w:val="none"/>
                      <w:lang w:val="en-US" w:eastAsia="zh-CN"/>
                    </w:rPr>
                    <w:t>位于建筑陶瓷产业园</w:t>
                  </w:r>
                  <w:r>
                    <w:rPr>
                      <w:rFonts w:hint="default"/>
                      <w:color w:val="auto"/>
                      <w:highlight w:val="none"/>
                    </w:rPr>
                    <w:t>，</w:t>
                  </w:r>
                  <w:r>
                    <w:rPr>
                      <w:rFonts w:hint="eastAsia"/>
                      <w:color w:val="auto"/>
                      <w:highlight w:val="none"/>
                      <w:lang w:val="en-US" w:eastAsia="zh-CN"/>
                    </w:rPr>
                    <w:t>且本项目不属于</w:t>
                  </w:r>
                  <w:r>
                    <w:rPr>
                      <w:rFonts w:hint="default"/>
                      <w:color w:val="auto"/>
                      <w:highlight w:val="none"/>
                    </w:rPr>
                    <w:t>高污染项目</w:t>
                  </w:r>
                </w:p>
              </w:tc>
              <w:tc>
                <w:tcPr>
                  <w:tcW w:w="476" w:type="pct"/>
                  <w:tcBorders>
                    <w:tl2br w:val="nil"/>
                    <w:tr2bl w:val="nil"/>
                  </w:tcBorders>
                  <w:vAlign w:val="center"/>
                </w:tcPr>
                <w:p w14:paraId="389EF1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64571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15CC8D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6367EF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禁止建设不符合国家和省级港口布局规划以及港口总体规划的码头项目。</w:t>
                  </w:r>
                </w:p>
              </w:tc>
              <w:tc>
                <w:tcPr>
                  <w:tcW w:w="1027" w:type="pct"/>
                  <w:tcBorders>
                    <w:tl2br w:val="nil"/>
                    <w:tr2bl w:val="nil"/>
                  </w:tcBorders>
                  <w:vAlign w:val="center"/>
                </w:tcPr>
                <w:p w14:paraId="256368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本项目不属于</w:t>
                  </w:r>
                  <w:r>
                    <w:rPr>
                      <w:rFonts w:hint="eastAsia"/>
                      <w:color w:val="auto"/>
                      <w:highlight w:val="none"/>
                      <w:lang w:eastAsia="zh-CN"/>
                    </w:rPr>
                    <w:t>码头项目</w:t>
                  </w:r>
                </w:p>
              </w:tc>
              <w:tc>
                <w:tcPr>
                  <w:tcW w:w="476" w:type="pct"/>
                  <w:tcBorders>
                    <w:tl2br w:val="nil"/>
                    <w:tr2bl w:val="nil"/>
                  </w:tcBorders>
                  <w:vAlign w:val="center"/>
                </w:tcPr>
                <w:p w14:paraId="71B7E1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5456D7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212DAC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7041C7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禁止在江河、湖泊、运河、渠道、水库最高水位线以下的滩地和岸坡堆放、存贮固体废弃物和其他污染物。</w:t>
                  </w:r>
                </w:p>
              </w:tc>
              <w:tc>
                <w:tcPr>
                  <w:tcW w:w="1027" w:type="pct"/>
                  <w:tcBorders>
                    <w:tl2br w:val="nil"/>
                    <w:tr2bl w:val="nil"/>
                  </w:tcBorders>
                  <w:vAlign w:val="center"/>
                </w:tcPr>
                <w:p w14:paraId="268248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F1A05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5C7E2A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2297B2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309E61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城市建成区内人口密集区、环境脆弱敏感区周边的钢铁、石油、化工、有色金属、水泥、平板玻璃、建筑陶瓷等行业中的高排放、高污染项目，应当逐步进行搬迁、改造或者转型、退出。</w:t>
                  </w:r>
                </w:p>
              </w:tc>
              <w:tc>
                <w:tcPr>
                  <w:tcW w:w="1027" w:type="pct"/>
                  <w:tcBorders>
                    <w:tl2br w:val="nil"/>
                    <w:tr2bl w:val="nil"/>
                  </w:tcBorders>
                  <w:vAlign w:val="center"/>
                </w:tcPr>
                <w:p w14:paraId="4718B9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1A80DB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8CFFB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6F2802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6CF262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禁止在居民区和学校、医院、疗养院、养老院等单位周边新建、改扩建可能造成土壤污染的建设项目；在永久基本农田集中区域，不得新建可能造成土壤污染的项目，已经建成的，限期关闭拆除。</w:t>
                  </w:r>
                </w:p>
              </w:tc>
              <w:tc>
                <w:tcPr>
                  <w:tcW w:w="1027" w:type="pct"/>
                  <w:tcBorders>
                    <w:tl2br w:val="nil"/>
                    <w:tr2bl w:val="nil"/>
                  </w:tcBorders>
                  <w:vAlign w:val="center"/>
                </w:tcPr>
                <w:p w14:paraId="29A92F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5A8559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22038B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6DDD25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污染物排放管控</w:t>
                  </w:r>
                </w:p>
              </w:tc>
              <w:tc>
                <w:tcPr>
                  <w:tcW w:w="3051" w:type="pct"/>
                  <w:tcBorders>
                    <w:tl2br w:val="nil"/>
                    <w:tr2bl w:val="nil"/>
                  </w:tcBorders>
                  <w:vAlign w:val="center"/>
                </w:tcPr>
                <w:p w14:paraId="57ED40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城镇开发边界内划定的特别用途区原则上禁止任何新增城镇集中建设行为，实施建设用地总量控制，原则上不得新增除市政基础设施、交通物流基础设施、生态修复工程、必要的配套及游憩设施外的其他城镇建设用地。</w:t>
                  </w:r>
                </w:p>
              </w:tc>
              <w:tc>
                <w:tcPr>
                  <w:tcW w:w="1027" w:type="pct"/>
                  <w:tcBorders>
                    <w:tl2br w:val="nil"/>
                    <w:tr2bl w:val="nil"/>
                  </w:tcBorders>
                  <w:vAlign w:val="center"/>
                </w:tcPr>
                <w:p w14:paraId="43D567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CE82C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8CC03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7D00F8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295C5E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到2025年，全省单位生产总值能源消耗比2020年下降14%，力争达到14.5%，能源消费总量得到合理控制，氮氧化物、挥发性有机物、化学需氧量、氨氮重点工程减排量分别达到2.73万吨、1.41万吨、8.41万吨、0.55万吨。</w:t>
                  </w:r>
                </w:p>
              </w:tc>
              <w:tc>
                <w:tcPr>
                  <w:tcW w:w="1027" w:type="pct"/>
                  <w:tcBorders>
                    <w:tl2br w:val="nil"/>
                    <w:tr2bl w:val="nil"/>
                  </w:tcBorders>
                  <w:vAlign w:val="center"/>
                </w:tcPr>
                <w:p w14:paraId="57A3DE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本项目各类污染物可实现达标排放</w:t>
                  </w:r>
                </w:p>
              </w:tc>
              <w:tc>
                <w:tcPr>
                  <w:tcW w:w="476" w:type="pct"/>
                  <w:tcBorders>
                    <w:tl2br w:val="nil"/>
                    <w:tr2bl w:val="nil"/>
                  </w:tcBorders>
                  <w:vAlign w:val="center"/>
                </w:tcPr>
                <w:p w14:paraId="449CA7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6A3B00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5B02C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62B5AD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禁止新建不符合国家产业政策的小型造纸、制革、印染、染料、炼焦、炼硫、炼砷、炼汞、炼油、电镀、农药、石棉、水泥、玻璃、钢铁、火电以及其他严重污染水环境的生产项目。</w:t>
                  </w:r>
                </w:p>
              </w:tc>
              <w:tc>
                <w:tcPr>
                  <w:tcW w:w="1027" w:type="pct"/>
                  <w:tcBorders>
                    <w:tl2br w:val="nil"/>
                    <w:tr2bl w:val="nil"/>
                  </w:tcBorders>
                  <w:vAlign w:val="center"/>
                </w:tcPr>
                <w:p w14:paraId="6EBE3B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130CB9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63E0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747ED2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406D1D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新建、改建、扩建造纸、焦化、氮肥、有色金属、印染、农副食品加工、原料药制造、制革、农药、电镀等重点行业建设项目，实行主要污染物排放等量或减量置换。</w:t>
                  </w:r>
                </w:p>
              </w:tc>
              <w:tc>
                <w:tcPr>
                  <w:tcW w:w="1027" w:type="pct"/>
                  <w:tcBorders>
                    <w:tl2br w:val="nil"/>
                    <w:tr2bl w:val="nil"/>
                  </w:tcBorders>
                  <w:vAlign w:val="center"/>
                </w:tcPr>
                <w:p w14:paraId="35069D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59CA70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72BC0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3B965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0A89B6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严格落实钢铁、水泥、平板玻璃产能减量置换政策。推进钢铁、水泥、焦化行业及燃煤锅炉超低排放改造。</w:t>
                  </w:r>
                </w:p>
              </w:tc>
              <w:tc>
                <w:tcPr>
                  <w:tcW w:w="1027" w:type="pct"/>
                  <w:tcBorders>
                    <w:tl2br w:val="nil"/>
                    <w:tr2bl w:val="nil"/>
                  </w:tcBorders>
                  <w:vAlign w:val="center"/>
                </w:tcPr>
                <w:p w14:paraId="602883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0D5955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7EA82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247E02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112734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推动全省34个涉气重点行业企业绩效分级，积极引导污染物排放总量大、污染物排放浓度高的行业企业开展超低排放改造。</w:t>
                  </w:r>
                </w:p>
              </w:tc>
              <w:tc>
                <w:tcPr>
                  <w:tcW w:w="1027" w:type="pct"/>
                  <w:tcBorders>
                    <w:tl2br w:val="nil"/>
                    <w:tr2bl w:val="nil"/>
                  </w:tcBorders>
                  <w:vAlign w:val="center"/>
                </w:tcPr>
                <w:p w14:paraId="2811E6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51CB48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54F94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147A8E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3CC852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禁止新建、扩建不符合要求的高耗能高排放项目。</w:t>
                  </w:r>
                </w:p>
              </w:tc>
              <w:tc>
                <w:tcPr>
                  <w:tcW w:w="1027" w:type="pct"/>
                  <w:tcBorders>
                    <w:tl2br w:val="nil"/>
                    <w:tr2bl w:val="nil"/>
                  </w:tcBorders>
                  <w:vAlign w:val="center"/>
                </w:tcPr>
                <w:p w14:paraId="6C03E0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BDAD5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14E97F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1909E4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环境风险防控</w:t>
                  </w:r>
                </w:p>
              </w:tc>
              <w:tc>
                <w:tcPr>
                  <w:tcW w:w="3051" w:type="pct"/>
                  <w:tcBorders>
                    <w:tl2br w:val="nil"/>
                    <w:tr2bl w:val="nil"/>
                  </w:tcBorders>
                  <w:vAlign w:val="center"/>
                </w:tcPr>
                <w:p w14:paraId="2B7F05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在居民集中区、医院和学校附近、重要水源涵养生态功能区等环境风险防控重点区域，禁止新建或扩建化工石化、有色冶炼、制浆造纸等可能引发环境风险的项目。</w:t>
                  </w:r>
                </w:p>
              </w:tc>
              <w:tc>
                <w:tcPr>
                  <w:tcW w:w="1027" w:type="pct"/>
                  <w:tcBorders>
                    <w:tl2br w:val="nil"/>
                    <w:tr2bl w:val="nil"/>
                  </w:tcBorders>
                  <w:vAlign w:val="center"/>
                </w:tcPr>
                <w:p w14:paraId="430837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2D46EC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3BE2C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5CDE39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543EEB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含有毒有害氰化物电镀工艺（电镀金、银、铜基合金</w:t>
                  </w:r>
                  <w:r>
                    <w:rPr>
                      <w:rFonts w:hint="default"/>
                      <w:highlight w:val="green"/>
                    </w:rPr>
                    <w:t>及予</w:t>
                  </w:r>
                  <w:r>
                    <w:rPr>
                      <w:rFonts w:hint="default"/>
                      <w:color w:val="auto"/>
                      <w:highlight w:val="none"/>
                    </w:rPr>
                    <w:t>镀铜打底工艺除外）。</w:t>
                  </w:r>
                </w:p>
              </w:tc>
              <w:tc>
                <w:tcPr>
                  <w:tcW w:w="1027" w:type="pct"/>
                  <w:tcBorders>
                    <w:tl2br w:val="nil"/>
                    <w:tr2bl w:val="nil"/>
                  </w:tcBorders>
                  <w:vAlign w:val="center"/>
                </w:tcPr>
                <w:p w14:paraId="0CCE46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07A02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E3F19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71B4B8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3D0FDB2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港口、码头、装卸站和船舶修造厂应当备有足够的船舶污染物、废弃物的接收设施；从事船舶污染物、废弃物接收作业，或者从事装载油类、污染危害性货物船舱清洗作业的单位，应当具备与其运营规模相适应的接收处理能力。</w:t>
                  </w:r>
                </w:p>
              </w:tc>
              <w:tc>
                <w:tcPr>
                  <w:tcW w:w="1027" w:type="pct"/>
                  <w:tcBorders>
                    <w:tl2br w:val="nil"/>
                    <w:tr2bl w:val="nil"/>
                  </w:tcBorders>
                  <w:vAlign w:val="center"/>
                </w:tcPr>
                <w:p w14:paraId="245879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7132A0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3005F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15CADD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22AD892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位于城镇人口密集区内，安全、卫生防护距离不能满足相关要求和不符合规划的现有危险化学品生产企业限期退出或依法关停。</w:t>
                  </w:r>
                </w:p>
              </w:tc>
              <w:tc>
                <w:tcPr>
                  <w:tcW w:w="1027" w:type="pct"/>
                  <w:tcBorders>
                    <w:tl2br w:val="nil"/>
                    <w:tr2bl w:val="nil"/>
                  </w:tcBorders>
                  <w:vAlign w:val="center"/>
                </w:tcPr>
                <w:p w14:paraId="767457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858D5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6A18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305FBE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6422F4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禁止在长江干流岸线三公里范围内和重要支流岸线一公里范围内新建、改建、扩建尾矿库、冶炼渣库和磷</w:t>
                  </w:r>
                  <w:r>
                    <w:rPr>
                      <w:rFonts w:hint="eastAsia"/>
                      <w:color w:val="auto"/>
                      <w:highlight w:val="none"/>
                      <w:lang w:eastAsia="zh-CN"/>
                    </w:rPr>
                    <w:t>石膏</w:t>
                  </w:r>
                  <w:r>
                    <w:rPr>
                      <w:rFonts w:hint="default"/>
                      <w:color w:val="auto"/>
                      <w:highlight w:val="none"/>
                    </w:rPr>
                    <w:t>库，以提升安全、生态环境保护水平为目的的改建除外。</w:t>
                  </w:r>
                </w:p>
              </w:tc>
              <w:tc>
                <w:tcPr>
                  <w:tcW w:w="1027" w:type="pct"/>
                  <w:tcBorders>
                    <w:tl2br w:val="nil"/>
                    <w:tr2bl w:val="nil"/>
                  </w:tcBorders>
                  <w:vAlign w:val="center"/>
                </w:tcPr>
                <w:p w14:paraId="2BFB49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6242C5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4CB228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restart"/>
                  <w:tcBorders>
                    <w:tl2br w:val="nil"/>
                    <w:tr2bl w:val="nil"/>
                  </w:tcBorders>
                  <w:vAlign w:val="center"/>
                </w:tcPr>
                <w:p w14:paraId="6D92BE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资源利用效率要求</w:t>
                  </w:r>
                </w:p>
              </w:tc>
              <w:tc>
                <w:tcPr>
                  <w:tcW w:w="3051" w:type="pct"/>
                  <w:tcBorders>
                    <w:tl2br w:val="nil"/>
                    <w:tr2bl w:val="nil"/>
                  </w:tcBorders>
                  <w:vAlign w:val="center"/>
                </w:tcPr>
                <w:p w14:paraId="31A22C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对取用水总量已达到或超过控制指标的地区，暂停审批建设项目新增取水。对取用水总量接近控制指标的地区，限制审批建设项目新增取水。</w:t>
                  </w:r>
                </w:p>
              </w:tc>
              <w:tc>
                <w:tcPr>
                  <w:tcW w:w="1027" w:type="pct"/>
                  <w:tcBorders>
                    <w:tl2br w:val="nil"/>
                    <w:tr2bl w:val="nil"/>
                  </w:tcBorders>
                  <w:vAlign w:val="center"/>
                </w:tcPr>
                <w:p w14:paraId="359AD6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102A95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24C5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43" w:type="pct"/>
                  <w:vMerge w:val="continue"/>
                  <w:tcBorders>
                    <w:tl2br w:val="nil"/>
                    <w:tr2bl w:val="nil"/>
                  </w:tcBorders>
                  <w:vAlign w:val="center"/>
                </w:tcPr>
                <w:p w14:paraId="69D2E8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051" w:type="pct"/>
                  <w:tcBorders>
                    <w:tl2br w:val="nil"/>
                    <w:tr2bl w:val="nil"/>
                  </w:tcBorders>
                  <w:vAlign w:val="center"/>
                </w:tcPr>
                <w:p w14:paraId="5B3530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在禁燃区内，禁止新建、扩建燃用高污染燃料的项目和设施，已建成的应逐步改用天然气、电或者其他清洁能源。</w:t>
                  </w:r>
                </w:p>
              </w:tc>
              <w:tc>
                <w:tcPr>
                  <w:tcW w:w="1027" w:type="pct"/>
                  <w:tcBorders>
                    <w:tl2br w:val="nil"/>
                    <w:tr2bl w:val="nil"/>
                  </w:tcBorders>
                  <w:vAlign w:val="center"/>
                </w:tcPr>
                <w:p w14:paraId="22890D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w:t>
                  </w:r>
                </w:p>
              </w:tc>
              <w:tc>
                <w:tcPr>
                  <w:tcW w:w="476" w:type="pct"/>
                  <w:tcBorders>
                    <w:tl2br w:val="nil"/>
                    <w:tr2bl w:val="nil"/>
                  </w:tcBorders>
                  <w:vAlign w:val="center"/>
                </w:tcPr>
                <w:p w14:paraId="7EDE54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bl>
          <w:p w14:paraId="039A2720">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olor w:val="auto"/>
                <w:highlight w:val="none"/>
                <w:lang w:val="en-US" w:eastAsia="zh-CN"/>
              </w:rPr>
            </w:pPr>
            <w:r>
              <w:rPr>
                <w:rFonts w:hint="eastAsia" w:cs="Times New Roman"/>
                <w:color w:val="auto"/>
                <w:sz w:val="21"/>
                <w:szCs w:val="21"/>
                <w:highlight w:val="none"/>
                <w:lang w:val="en-US" w:eastAsia="zh-CN"/>
              </w:rPr>
              <w:t>宜春市生态环境总体准入要求清单相符性分析表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797"/>
              <w:gridCol w:w="1117"/>
              <w:gridCol w:w="4033"/>
              <w:gridCol w:w="1733"/>
              <w:gridCol w:w="695"/>
            </w:tblGrid>
            <w:tr w14:paraId="52C5DD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tcBorders>
                    <w:tl2br w:val="nil"/>
                    <w:tr2bl w:val="nil"/>
                  </w:tcBorders>
                  <w:tcMar>
                    <w:top w:w="15" w:type="dxa"/>
                    <w:left w:w="15" w:type="dxa"/>
                    <w:bottom w:w="0" w:type="dxa"/>
                    <w:right w:w="15" w:type="dxa"/>
                  </w:tcMar>
                  <w:vAlign w:val="center"/>
                </w:tcPr>
                <w:p w14:paraId="28C6CC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维度</w:t>
                  </w:r>
                </w:p>
              </w:tc>
              <w:tc>
                <w:tcPr>
                  <w:tcW w:w="867" w:type="dxa"/>
                  <w:tcBorders>
                    <w:tl2br w:val="nil"/>
                    <w:tr2bl w:val="nil"/>
                  </w:tcBorders>
                  <w:tcMar>
                    <w:top w:w="15" w:type="dxa"/>
                    <w:left w:w="15" w:type="dxa"/>
                    <w:bottom w:w="0" w:type="dxa"/>
                    <w:right w:w="15" w:type="dxa"/>
                  </w:tcMar>
                  <w:vAlign w:val="center"/>
                </w:tcPr>
                <w:p w14:paraId="0A74D4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类别</w:t>
                  </w:r>
                </w:p>
              </w:tc>
              <w:tc>
                <w:tcPr>
                  <w:tcW w:w="3129" w:type="dxa"/>
                  <w:tcBorders>
                    <w:tl2br w:val="nil"/>
                    <w:tr2bl w:val="nil"/>
                  </w:tcBorders>
                  <w:tcMar>
                    <w:top w:w="15" w:type="dxa"/>
                    <w:left w:w="15" w:type="dxa"/>
                    <w:bottom w:w="0" w:type="dxa"/>
                    <w:right w:w="15" w:type="dxa"/>
                  </w:tcMar>
                  <w:vAlign w:val="center"/>
                </w:tcPr>
                <w:p w14:paraId="2C0FFF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准入要求</w:t>
                  </w:r>
                </w:p>
              </w:tc>
              <w:tc>
                <w:tcPr>
                  <w:tcW w:w="1344" w:type="dxa"/>
                  <w:tcBorders>
                    <w:tl2br w:val="nil"/>
                    <w:tr2bl w:val="nil"/>
                  </w:tcBorders>
                  <w:vAlign w:val="center"/>
                </w:tcPr>
                <w:p w14:paraId="11177C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本项目情况</w:t>
                  </w:r>
                </w:p>
              </w:tc>
              <w:tc>
                <w:tcPr>
                  <w:tcW w:w="541" w:type="dxa"/>
                  <w:tcBorders>
                    <w:tl2br w:val="nil"/>
                    <w:tr2bl w:val="nil"/>
                  </w:tcBorders>
                  <w:vAlign w:val="center"/>
                </w:tcPr>
                <w:p w14:paraId="0F1F6CD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相符性</w:t>
                  </w:r>
                </w:p>
              </w:tc>
            </w:tr>
            <w:tr w14:paraId="21D15E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4EE2EB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空间布局约束</w:t>
                  </w:r>
                </w:p>
              </w:tc>
              <w:tc>
                <w:tcPr>
                  <w:tcW w:w="867" w:type="dxa"/>
                  <w:tcBorders>
                    <w:tl2br w:val="nil"/>
                    <w:tr2bl w:val="nil"/>
                  </w:tcBorders>
                  <w:tcMar>
                    <w:top w:w="15" w:type="dxa"/>
                    <w:left w:w="15" w:type="dxa"/>
                    <w:bottom w:w="0" w:type="dxa"/>
                    <w:right w:w="15" w:type="dxa"/>
                  </w:tcMar>
                  <w:vAlign w:val="center"/>
                </w:tcPr>
                <w:p w14:paraId="7BF1A9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禁止开发建设活动的要求</w:t>
                  </w:r>
                </w:p>
              </w:tc>
              <w:tc>
                <w:tcPr>
                  <w:tcW w:w="3129" w:type="dxa"/>
                  <w:tcBorders>
                    <w:tl2br w:val="nil"/>
                    <w:tr2bl w:val="nil"/>
                  </w:tcBorders>
                  <w:tcMar>
                    <w:top w:w="15" w:type="dxa"/>
                    <w:left w:w="15" w:type="dxa"/>
                    <w:bottom w:w="0" w:type="dxa"/>
                    <w:right w:w="15" w:type="dxa"/>
                  </w:tcMar>
                  <w:vAlign w:val="center"/>
                </w:tcPr>
                <w:p w14:paraId="2FCD1C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禁止新建《产业结构调整指导目录》限制类和淘汰类项目，现有产业改、扩建不得使用《产业结构调整指导目录》规定的淘汰类规模和生产工艺。</w:t>
                  </w:r>
                </w:p>
              </w:tc>
              <w:tc>
                <w:tcPr>
                  <w:tcW w:w="1344" w:type="dxa"/>
                  <w:tcBorders>
                    <w:tl2br w:val="nil"/>
                    <w:tr2bl w:val="nil"/>
                  </w:tcBorders>
                  <w:vAlign w:val="center"/>
                </w:tcPr>
                <w:p w14:paraId="1D7962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default"/>
                      <w:color w:val="auto"/>
                      <w:highlight w:val="none"/>
                    </w:rPr>
                    <w:t>本项目属于《产业结构调整指导目录》</w:t>
                  </w:r>
                  <w:r>
                    <w:rPr>
                      <w:rFonts w:hint="eastAsia"/>
                      <w:color w:val="auto"/>
                      <w:highlight w:val="none"/>
                      <w:lang w:val="en-US" w:eastAsia="zh-CN"/>
                    </w:rPr>
                    <w:t>鼓励类</w:t>
                  </w:r>
                </w:p>
              </w:tc>
              <w:tc>
                <w:tcPr>
                  <w:tcW w:w="541" w:type="dxa"/>
                  <w:tcBorders>
                    <w:tl2br w:val="nil"/>
                    <w:tr2bl w:val="nil"/>
                  </w:tcBorders>
                  <w:vAlign w:val="center"/>
                </w:tcPr>
                <w:p w14:paraId="41801A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default"/>
                      <w:color w:val="auto"/>
                      <w:highlight w:val="none"/>
                    </w:rPr>
                    <w:t>相符</w:t>
                  </w:r>
                </w:p>
              </w:tc>
            </w:tr>
            <w:tr w14:paraId="396276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C5E24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vMerge w:val="restart"/>
                  <w:tcBorders>
                    <w:tl2br w:val="nil"/>
                    <w:tr2bl w:val="nil"/>
                  </w:tcBorders>
                  <w:tcMar>
                    <w:top w:w="15" w:type="dxa"/>
                    <w:left w:w="15" w:type="dxa"/>
                    <w:bottom w:w="0" w:type="dxa"/>
                    <w:right w:w="15" w:type="dxa"/>
                  </w:tcMar>
                  <w:vAlign w:val="center"/>
                </w:tcPr>
                <w:p w14:paraId="3B7FE3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限制开发建设活动的要求</w:t>
                  </w:r>
                </w:p>
              </w:tc>
              <w:tc>
                <w:tcPr>
                  <w:tcW w:w="3129" w:type="dxa"/>
                  <w:tcBorders>
                    <w:tl2br w:val="nil"/>
                    <w:tr2bl w:val="nil"/>
                  </w:tcBorders>
                  <w:tcMar>
                    <w:top w:w="15" w:type="dxa"/>
                    <w:left w:w="15" w:type="dxa"/>
                    <w:bottom w:w="0" w:type="dxa"/>
                    <w:right w:w="15" w:type="dxa"/>
                  </w:tcMar>
                  <w:vAlign w:val="center"/>
                </w:tcPr>
                <w:p w14:paraId="203EB5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在赣江岸线一公里范围内新建、扩建化工园区和化工项目；禁止在赣江岸线一公里范围内新建、改建、扩建冶炼渣库和磷石膏库，以提升安全、生态环境保护水平为目的改建除外；严禁新建“头顶库”、总坝高超过200米的尾矿库，严禁在距离水源地以及流域面积大于1000平方公里的河流和禾水、渌水岸线1公里范围内新（改、扩）建尾矿库。</w:t>
                  </w:r>
                </w:p>
              </w:tc>
              <w:tc>
                <w:tcPr>
                  <w:tcW w:w="1344" w:type="dxa"/>
                  <w:tcBorders>
                    <w:tl2br w:val="nil"/>
                    <w:tr2bl w:val="nil"/>
                  </w:tcBorders>
                  <w:vAlign w:val="center"/>
                </w:tcPr>
                <w:p w14:paraId="555518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本项目不在此范围</w:t>
                  </w:r>
                </w:p>
              </w:tc>
              <w:tc>
                <w:tcPr>
                  <w:tcW w:w="541" w:type="dxa"/>
                  <w:tcBorders>
                    <w:tl2br w:val="nil"/>
                    <w:tr2bl w:val="nil"/>
                  </w:tcBorders>
                  <w:vAlign w:val="center"/>
                </w:tcPr>
                <w:p w14:paraId="112564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7F7E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3D3F77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vMerge w:val="continue"/>
                  <w:tcBorders>
                    <w:tl2br w:val="nil"/>
                    <w:tr2bl w:val="nil"/>
                  </w:tcBorders>
                  <w:tcMar>
                    <w:top w:w="15" w:type="dxa"/>
                    <w:left w:w="15" w:type="dxa"/>
                    <w:bottom w:w="0" w:type="dxa"/>
                    <w:right w:w="15" w:type="dxa"/>
                  </w:tcMar>
                  <w:vAlign w:val="center"/>
                </w:tcPr>
                <w:p w14:paraId="74E46A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129" w:type="dxa"/>
                  <w:tcBorders>
                    <w:tl2br w:val="nil"/>
                    <w:tr2bl w:val="nil"/>
                  </w:tcBorders>
                  <w:tcMar>
                    <w:top w:w="15" w:type="dxa"/>
                    <w:left w:w="15" w:type="dxa"/>
                    <w:bottom w:w="0" w:type="dxa"/>
                    <w:right w:w="15" w:type="dxa"/>
                  </w:tcMar>
                  <w:vAlign w:val="center"/>
                </w:tcPr>
                <w:p w14:paraId="7F59E4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不得在城镇居民聚集区域、规划区，主导风上风向，以城镇中心为界线，向外延伸5公里，新建化工（单纯混合、互配除外）、农药（原药生产）、钢铁、焦化、水泥（熟料）、有色金属冶炼等大气污染型项目。</w:t>
                  </w:r>
                </w:p>
              </w:tc>
              <w:tc>
                <w:tcPr>
                  <w:tcW w:w="1344" w:type="dxa"/>
                  <w:tcBorders>
                    <w:tl2br w:val="nil"/>
                    <w:tr2bl w:val="nil"/>
                  </w:tcBorders>
                  <w:vAlign w:val="center"/>
                </w:tcPr>
                <w:p w14:paraId="7CB389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不涉及</w:t>
                  </w:r>
                </w:p>
              </w:tc>
              <w:tc>
                <w:tcPr>
                  <w:tcW w:w="541" w:type="dxa"/>
                  <w:tcBorders>
                    <w:tl2br w:val="nil"/>
                    <w:tr2bl w:val="nil"/>
                  </w:tcBorders>
                  <w:vAlign w:val="center"/>
                </w:tcPr>
                <w:p w14:paraId="799C73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ACD3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157B21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vMerge w:val="continue"/>
                  <w:tcBorders>
                    <w:tl2br w:val="nil"/>
                    <w:tr2bl w:val="nil"/>
                  </w:tcBorders>
                  <w:tcMar>
                    <w:top w:w="15" w:type="dxa"/>
                    <w:left w:w="15" w:type="dxa"/>
                    <w:bottom w:w="0" w:type="dxa"/>
                    <w:right w:w="15" w:type="dxa"/>
                  </w:tcMar>
                  <w:vAlign w:val="center"/>
                </w:tcPr>
                <w:p w14:paraId="262638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129" w:type="dxa"/>
                  <w:tcBorders>
                    <w:tl2br w:val="nil"/>
                    <w:tr2bl w:val="nil"/>
                  </w:tcBorders>
                  <w:tcMar>
                    <w:top w:w="15" w:type="dxa"/>
                    <w:left w:w="15" w:type="dxa"/>
                    <w:bottom w:w="0" w:type="dxa"/>
                    <w:right w:w="15" w:type="dxa"/>
                  </w:tcMar>
                  <w:vAlign w:val="center"/>
                </w:tcPr>
                <w:p w14:paraId="6F37B8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生态保护红线内，自然保护地核心保护区原则上禁止人为活动，其他区域严格禁止开发性、生产性建设活动。</w:t>
                  </w:r>
                </w:p>
              </w:tc>
              <w:tc>
                <w:tcPr>
                  <w:tcW w:w="1344" w:type="dxa"/>
                  <w:tcBorders>
                    <w:tl2br w:val="nil"/>
                    <w:tr2bl w:val="nil"/>
                  </w:tcBorders>
                  <w:vAlign w:val="center"/>
                </w:tcPr>
                <w:p w14:paraId="09EBBE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项目不涉及保护地、生态保护红线等</w:t>
                  </w:r>
                </w:p>
              </w:tc>
              <w:tc>
                <w:tcPr>
                  <w:tcW w:w="541" w:type="dxa"/>
                  <w:tcBorders>
                    <w:tl2br w:val="nil"/>
                    <w:tr2bl w:val="nil"/>
                  </w:tcBorders>
                  <w:vAlign w:val="center"/>
                </w:tcPr>
                <w:p w14:paraId="22DD4D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B639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505ACC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vMerge w:val="continue"/>
                  <w:tcBorders>
                    <w:tl2br w:val="nil"/>
                    <w:tr2bl w:val="nil"/>
                  </w:tcBorders>
                  <w:tcMar>
                    <w:top w:w="15" w:type="dxa"/>
                    <w:left w:w="15" w:type="dxa"/>
                    <w:bottom w:w="0" w:type="dxa"/>
                    <w:right w:w="15" w:type="dxa"/>
                  </w:tcMar>
                  <w:vAlign w:val="center"/>
                </w:tcPr>
                <w:p w14:paraId="1034E3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3129" w:type="dxa"/>
                  <w:tcBorders>
                    <w:tl2br w:val="nil"/>
                    <w:tr2bl w:val="nil"/>
                  </w:tcBorders>
                  <w:tcMar>
                    <w:top w:w="15" w:type="dxa"/>
                    <w:left w:w="15" w:type="dxa"/>
                    <w:bottom w:w="0" w:type="dxa"/>
                    <w:right w:w="15" w:type="dxa"/>
                  </w:tcMar>
                  <w:vAlign w:val="center"/>
                </w:tcPr>
                <w:p w14:paraId="17F766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加强重金属污染源头防控，减少使用高铊矿石原料。废水、废气排放的涉铊企业要设置除铊治理设施，需相应达到排放标准要求，对于生产废水零排放的项目，企业废水总排口中铊不得检出。</w:t>
                  </w:r>
                </w:p>
              </w:tc>
              <w:tc>
                <w:tcPr>
                  <w:tcW w:w="1344" w:type="dxa"/>
                  <w:tcBorders>
                    <w:tl2br w:val="nil"/>
                    <w:tr2bl w:val="nil"/>
                  </w:tcBorders>
                  <w:vAlign w:val="center"/>
                </w:tcPr>
                <w:p w14:paraId="737356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本项目仅生活污水外排，经隔油池、化粪池处理后达建筑陶瓷产业园污水处理厂接管标准后，通过市政污水管网排入；经园区污水处理厂处理后，能达标排放。</w:t>
                  </w:r>
                </w:p>
              </w:tc>
              <w:tc>
                <w:tcPr>
                  <w:tcW w:w="541" w:type="dxa"/>
                  <w:tcBorders>
                    <w:tl2br w:val="nil"/>
                    <w:tr2bl w:val="nil"/>
                  </w:tcBorders>
                  <w:vAlign w:val="center"/>
                </w:tcPr>
                <w:p w14:paraId="631EC6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0CBB6B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39DB7C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tcBorders>
                    <w:tl2br w:val="nil"/>
                    <w:tr2bl w:val="nil"/>
                  </w:tcBorders>
                  <w:tcMar>
                    <w:top w:w="15" w:type="dxa"/>
                    <w:left w:w="15" w:type="dxa"/>
                    <w:bottom w:w="0" w:type="dxa"/>
                    <w:right w:w="15" w:type="dxa"/>
                  </w:tcMar>
                  <w:vAlign w:val="center"/>
                </w:tcPr>
                <w:p w14:paraId="7EDE22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不符合空间布局要求活动的退出要求</w:t>
                  </w:r>
                </w:p>
              </w:tc>
              <w:tc>
                <w:tcPr>
                  <w:tcW w:w="3129" w:type="dxa"/>
                  <w:tcBorders>
                    <w:tl2br w:val="nil"/>
                    <w:tr2bl w:val="nil"/>
                  </w:tcBorders>
                  <w:tcMar>
                    <w:top w:w="15" w:type="dxa"/>
                    <w:left w:w="15" w:type="dxa"/>
                    <w:bottom w:w="0" w:type="dxa"/>
                    <w:right w:w="15" w:type="dxa"/>
                  </w:tcMar>
                  <w:vAlign w:val="center"/>
                </w:tcPr>
                <w:p w14:paraId="3FFE52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城市建成区现有重污染企业（钢铁、水泥、浮化玻璃等）限期退出或改造；依法依规清除距离赣江岸线1公里范围内未入园的化工企业，依法关闭“小化工”企业，全面加强化工企业环境监管。</w:t>
                  </w:r>
                </w:p>
              </w:tc>
              <w:tc>
                <w:tcPr>
                  <w:tcW w:w="1344" w:type="dxa"/>
                  <w:tcBorders>
                    <w:tl2br w:val="nil"/>
                    <w:tr2bl w:val="nil"/>
                  </w:tcBorders>
                  <w:vAlign w:val="center"/>
                </w:tcPr>
                <w:p w14:paraId="657499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本项目不在此范围</w:t>
                  </w:r>
                </w:p>
              </w:tc>
              <w:tc>
                <w:tcPr>
                  <w:tcW w:w="541" w:type="dxa"/>
                  <w:tcBorders>
                    <w:tl2br w:val="nil"/>
                    <w:tr2bl w:val="nil"/>
                  </w:tcBorders>
                  <w:vAlign w:val="center"/>
                </w:tcPr>
                <w:p w14:paraId="738885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0D2205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3A331E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污染物排放管控</w:t>
                  </w:r>
                </w:p>
              </w:tc>
              <w:tc>
                <w:tcPr>
                  <w:tcW w:w="867" w:type="dxa"/>
                  <w:tcBorders>
                    <w:tl2br w:val="nil"/>
                    <w:tr2bl w:val="nil"/>
                  </w:tcBorders>
                  <w:tcMar>
                    <w:top w:w="15" w:type="dxa"/>
                    <w:left w:w="15" w:type="dxa"/>
                    <w:bottom w:w="0" w:type="dxa"/>
                    <w:right w:w="15" w:type="dxa"/>
                  </w:tcMar>
                  <w:vAlign w:val="center"/>
                </w:tcPr>
                <w:p w14:paraId="40CBFD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允许排放量要求</w:t>
                  </w:r>
                </w:p>
              </w:tc>
              <w:tc>
                <w:tcPr>
                  <w:tcW w:w="3129" w:type="dxa"/>
                  <w:tcBorders>
                    <w:tl2br w:val="nil"/>
                    <w:tr2bl w:val="nil"/>
                  </w:tcBorders>
                  <w:tcMar>
                    <w:top w:w="15" w:type="dxa"/>
                    <w:left w:w="15" w:type="dxa"/>
                    <w:bottom w:w="0" w:type="dxa"/>
                    <w:right w:w="15" w:type="dxa"/>
                  </w:tcMar>
                  <w:vAlign w:val="center"/>
                </w:tcPr>
                <w:p w14:paraId="4BD25F2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到2025年，全市氮氧化物、挥发性有机物、化学需氧量、氨氮重点工程减排量分别达到2665吨、1920吨、10088吨、653吨。强化涉铊项目环境监管，铊污染物水环境承载能力不足的地区限制引入碳酸锂等涉铊项目。</w:t>
                  </w:r>
                </w:p>
              </w:tc>
              <w:tc>
                <w:tcPr>
                  <w:tcW w:w="1344" w:type="dxa"/>
                  <w:tcBorders>
                    <w:tl2br w:val="nil"/>
                    <w:tr2bl w:val="nil"/>
                  </w:tcBorders>
                  <w:vAlign w:val="center"/>
                </w:tcPr>
                <w:p w14:paraId="6BE94F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default"/>
                      <w:color w:val="auto"/>
                      <w:highlight w:val="none"/>
                    </w:rPr>
                    <w:t>项目氮氧化物</w:t>
                  </w:r>
                  <w:r>
                    <w:rPr>
                      <w:rFonts w:hint="eastAsia"/>
                      <w:color w:val="auto"/>
                      <w:highlight w:val="none"/>
                    </w:rPr>
                    <w:t>、</w:t>
                  </w:r>
                  <w:r>
                    <w:rPr>
                      <w:rFonts w:hint="default"/>
                      <w:color w:val="auto"/>
                      <w:highlight w:val="none"/>
                    </w:rPr>
                    <w:t>COD</w:t>
                  </w:r>
                  <w:r>
                    <w:rPr>
                      <w:rFonts w:hint="default"/>
                      <w:color w:val="auto"/>
                      <w:highlight w:val="none"/>
                      <w:vertAlign w:val="subscript"/>
                    </w:rPr>
                    <w:t>Cr</w:t>
                  </w:r>
                  <w:r>
                    <w:rPr>
                      <w:rFonts w:hint="default"/>
                      <w:color w:val="auto"/>
                      <w:highlight w:val="none"/>
                    </w:rPr>
                    <w:t>、NH</w:t>
                  </w:r>
                  <w:r>
                    <w:rPr>
                      <w:rFonts w:hint="default"/>
                      <w:color w:val="auto"/>
                      <w:highlight w:val="none"/>
                      <w:vertAlign w:val="subscript"/>
                    </w:rPr>
                    <w:t>3</w:t>
                  </w:r>
                  <w:r>
                    <w:rPr>
                      <w:rFonts w:hint="default"/>
                      <w:color w:val="auto"/>
                      <w:highlight w:val="none"/>
                    </w:rPr>
                    <w:t>-N</w:t>
                  </w:r>
                  <w:r>
                    <w:rPr>
                      <w:rFonts w:hint="eastAsia"/>
                      <w:color w:val="auto"/>
                      <w:highlight w:val="none"/>
                    </w:rPr>
                    <w:t>排放满足相应污染物排放标准</w:t>
                  </w:r>
                  <w:r>
                    <w:rPr>
                      <w:rFonts w:hint="eastAsia"/>
                      <w:color w:val="auto"/>
                      <w:highlight w:val="none"/>
                      <w:lang w:eastAsia="zh-CN"/>
                    </w:rPr>
                    <w:t>，</w:t>
                  </w:r>
                  <w:r>
                    <w:rPr>
                      <w:rFonts w:hint="eastAsia"/>
                      <w:color w:val="auto"/>
                      <w:highlight w:val="none"/>
                      <w:lang w:val="en-US" w:eastAsia="zh-CN"/>
                    </w:rPr>
                    <w:t>环评要求设置</w:t>
                  </w:r>
                  <w:r>
                    <w:rPr>
                      <w:rFonts w:hint="default"/>
                      <w:color w:val="auto"/>
                      <w:highlight w:val="none"/>
                    </w:rPr>
                    <w:t>铊</w:t>
                  </w:r>
                  <w:r>
                    <w:rPr>
                      <w:rFonts w:hint="eastAsia"/>
                      <w:color w:val="auto"/>
                      <w:highlight w:val="none"/>
                      <w:lang w:val="en-US" w:eastAsia="zh-CN"/>
                    </w:rPr>
                    <w:t>监测。</w:t>
                  </w:r>
                </w:p>
              </w:tc>
              <w:tc>
                <w:tcPr>
                  <w:tcW w:w="541" w:type="dxa"/>
                  <w:tcBorders>
                    <w:tl2br w:val="nil"/>
                    <w:tr2bl w:val="nil"/>
                  </w:tcBorders>
                  <w:vAlign w:val="center"/>
                </w:tcPr>
                <w:p w14:paraId="7EF541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29ABF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25059D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tcBorders>
                    <w:tl2br w:val="nil"/>
                    <w:tr2bl w:val="nil"/>
                  </w:tcBorders>
                  <w:tcMar>
                    <w:top w:w="15" w:type="dxa"/>
                    <w:left w:w="15" w:type="dxa"/>
                    <w:bottom w:w="0" w:type="dxa"/>
                    <w:right w:w="15" w:type="dxa"/>
                  </w:tcMar>
                  <w:vAlign w:val="center"/>
                </w:tcPr>
                <w:p w14:paraId="757CFD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现有源提标升级改造</w:t>
                  </w:r>
                </w:p>
              </w:tc>
              <w:tc>
                <w:tcPr>
                  <w:tcW w:w="3129" w:type="dxa"/>
                  <w:tcBorders>
                    <w:tl2br w:val="nil"/>
                    <w:tr2bl w:val="nil"/>
                  </w:tcBorders>
                  <w:tcMar>
                    <w:top w:w="15" w:type="dxa"/>
                    <w:left w:w="15" w:type="dxa"/>
                    <w:bottom w:w="0" w:type="dxa"/>
                    <w:right w:w="15" w:type="dxa"/>
                  </w:tcMar>
                  <w:vAlign w:val="center"/>
                </w:tcPr>
                <w:p w14:paraId="62B1AB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到2025年底，城市生活污水集中收集率力争达到70%以上，进水BOD浓度高于100mg/L的城市生活污水处理厂规模占比达90%以上；县城生活污水集中收集率较2021年提高10个百分点以上，各县城生活污水处理率达到95%以上，城镇生活污水处理厂进水生化需氧量（BOD）浓度力争达到100mg/L以上或较2021年底提升20mg/L以上。</w:t>
                  </w:r>
                </w:p>
              </w:tc>
              <w:tc>
                <w:tcPr>
                  <w:tcW w:w="1344" w:type="dxa"/>
                  <w:tcBorders>
                    <w:tl2br w:val="nil"/>
                    <w:tr2bl w:val="nil"/>
                  </w:tcBorders>
                  <w:vAlign w:val="center"/>
                </w:tcPr>
                <w:p w14:paraId="19BBDF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本项目不涉及</w:t>
                  </w:r>
                </w:p>
              </w:tc>
              <w:tc>
                <w:tcPr>
                  <w:tcW w:w="541" w:type="dxa"/>
                  <w:tcBorders>
                    <w:tl2br w:val="nil"/>
                    <w:tr2bl w:val="nil"/>
                  </w:tcBorders>
                  <w:vAlign w:val="center"/>
                </w:tcPr>
                <w:p w14:paraId="7844A1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r>
            <w:tr w14:paraId="53E77A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tcBorders>
                    <w:tl2br w:val="nil"/>
                    <w:tr2bl w:val="nil"/>
                  </w:tcBorders>
                  <w:vAlign w:val="center"/>
                </w:tcPr>
                <w:p w14:paraId="10AD5D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环境风险防控</w:t>
                  </w:r>
                </w:p>
              </w:tc>
              <w:tc>
                <w:tcPr>
                  <w:tcW w:w="867" w:type="dxa"/>
                  <w:tcBorders>
                    <w:tl2br w:val="nil"/>
                    <w:tr2bl w:val="nil"/>
                  </w:tcBorders>
                  <w:tcMar>
                    <w:top w:w="15" w:type="dxa"/>
                    <w:left w:w="15" w:type="dxa"/>
                    <w:bottom w:w="0" w:type="dxa"/>
                    <w:right w:w="15" w:type="dxa"/>
                  </w:tcMar>
                  <w:vAlign w:val="center"/>
                </w:tcPr>
                <w:p w14:paraId="1C31C7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联防联控要求</w:t>
                  </w:r>
                </w:p>
              </w:tc>
              <w:tc>
                <w:tcPr>
                  <w:tcW w:w="3129" w:type="dxa"/>
                  <w:tcBorders>
                    <w:tl2br w:val="nil"/>
                    <w:tr2bl w:val="nil"/>
                  </w:tcBorders>
                  <w:tcMar>
                    <w:top w:w="15" w:type="dxa"/>
                    <w:left w:w="15" w:type="dxa"/>
                    <w:bottom w:w="0" w:type="dxa"/>
                    <w:right w:w="15" w:type="dxa"/>
                  </w:tcMar>
                  <w:vAlign w:val="center"/>
                </w:tcPr>
                <w:p w14:paraId="6EDAB6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建立企业、园区、地方政府之间环境风险联防联控体系和联合应急体系；增强与萍乡、新余等地的联系，完善流域合作，推动建立跨区域的袁河流域水污染防治联动协作机制。</w:t>
                  </w:r>
                </w:p>
              </w:tc>
              <w:tc>
                <w:tcPr>
                  <w:tcW w:w="1344" w:type="dxa"/>
                  <w:tcBorders>
                    <w:tl2br w:val="nil"/>
                    <w:tr2bl w:val="nil"/>
                  </w:tcBorders>
                  <w:vAlign w:val="center"/>
                </w:tcPr>
                <w:p w14:paraId="525A64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rPr>
                    <w:t>本项目</w:t>
                  </w:r>
                  <w:r>
                    <w:rPr>
                      <w:rFonts w:hint="eastAsia"/>
                      <w:color w:val="auto"/>
                      <w:highlight w:val="none"/>
                      <w:lang w:val="en-US" w:eastAsia="zh-CN"/>
                    </w:rPr>
                    <w:t>将按要求设置</w:t>
                  </w:r>
                  <w:r>
                    <w:rPr>
                      <w:rFonts w:hint="default"/>
                      <w:color w:val="auto"/>
                      <w:highlight w:val="none"/>
                    </w:rPr>
                    <w:t>环境风险联防联控体系和联合应急体系</w:t>
                  </w:r>
                  <w:r>
                    <w:rPr>
                      <w:rFonts w:hint="eastAsia"/>
                      <w:color w:val="auto"/>
                      <w:highlight w:val="none"/>
                      <w:lang w:eastAsia="zh-CN"/>
                    </w:rPr>
                    <w:t>。</w:t>
                  </w:r>
                </w:p>
              </w:tc>
              <w:tc>
                <w:tcPr>
                  <w:tcW w:w="541" w:type="dxa"/>
                  <w:tcBorders>
                    <w:tl2br w:val="nil"/>
                    <w:tr2bl w:val="nil"/>
                  </w:tcBorders>
                  <w:vAlign w:val="center"/>
                </w:tcPr>
                <w:p w14:paraId="2F60EE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r>
            <w:tr w14:paraId="074E59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restart"/>
                  <w:tcBorders>
                    <w:tl2br w:val="nil"/>
                    <w:tr2bl w:val="nil"/>
                  </w:tcBorders>
                  <w:tcMar>
                    <w:top w:w="15" w:type="dxa"/>
                    <w:left w:w="15" w:type="dxa"/>
                    <w:bottom w:w="0" w:type="dxa"/>
                    <w:right w:w="15" w:type="dxa"/>
                  </w:tcMar>
                  <w:vAlign w:val="center"/>
                </w:tcPr>
                <w:p w14:paraId="4F364C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能源利用效率要求</w:t>
                  </w:r>
                </w:p>
              </w:tc>
              <w:tc>
                <w:tcPr>
                  <w:tcW w:w="867" w:type="dxa"/>
                  <w:tcBorders>
                    <w:tl2br w:val="nil"/>
                    <w:tr2bl w:val="nil"/>
                  </w:tcBorders>
                  <w:tcMar>
                    <w:top w:w="15" w:type="dxa"/>
                    <w:left w:w="15" w:type="dxa"/>
                    <w:bottom w:w="0" w:type="dxa"/>
                    <w:right w:w="15" w:type="dxa"/>
                  </w:tcMar>
                  <w:vAlign w:val="center"/>
                </w:tcPr>
                <w:p w14:paraId="52F268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水资源利用效率和强度要求</w:t>
                  </w:r>
                </w:p>
              </w:tc>
              <w:tc>
                <w:tcPr>
                  <w:tcW w:w="3129" w:type="dxa"/>
                  <w:tcBorders>
                    <w:tl2br w:val="nil"/>
                    <w:tr2bl w:val="nil"/>
                  </w:tcBorders>
                  <w:tcMar>
                    <w:top w:w="15" w:type="dxa"/>
                    <w:left w:w="15" w:type="dxa"/>
                    <w:bottom w:w="0" w:type="dxa"/>
                    <w:right w:w="15" w:type="dxa"/>
                  </w:tcMar>
                  <w:vAlign w:val="center"/>
                </w:tcPr>
                <w:p w14:paraId="0629B8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到2025年全市水资源利用量控制在36.87亿立方米，万元国内生产总值用水量比2020年下降23%，万元工业增加值用水量比2020年下降16%。</w:t>
                  </w:r>
                </w:p>
              </w:tc>
              <w:tc>
                <w:tcPr>
                  <w:tcW w:w="1344" w:type="dxa"/>
                  <w:tcBorders>
                    <w:tl2br w:val="nil"/>
                    <w:tr2bl w:val="nil"/>
                  </w:tcBorders>
                  <w:vAlign w:val="center"/>
                </w:tcPr>
                <w:p w14:paraId="7366FE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本项目用水在控制范围内</w:t>
                  </w:r>
                  <w:r>
                    <w:rPr>
                      <w:rFonts w:hint="eastAsia"/>
                      <w:color w:val="auto"/>
                      <w:highlight w:val="none"/>
                      <w:lang w:eastAsia="zh-CN"/>
                    </w:rPr>
                    <w:t>。</w:t>
                  </w:r>
                </w:p>
              </w:tc>
              <w:tc>
                <w:tcPr>
                  <w:tcW w:w="541" w:type="dxa"/>
                  <w:tcBorders>
                    <w:tl2br w:val="nil"/>
                    <w:tr2bl w:val="nil"/>
                  </w:tcBorders>
                  <w:vAlign w:val="center"/>
                </w:tcPr>
                <w:p w14:paraId="66E4A5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1BD28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1A402E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tcBorders>
                    <w:tl2br w:val="nil"/>
                    <w:tr2bl w:val="nil"/>
                  </w:tcBorders>
                  <w:tcMar>
                    <w:top w:w="15" w:type="dxa"/>
                    <w:left w:w="15" w:type="dxa"/>
                    <w:bottom w:w="0" w:type="dxa"/>
                    <w:right w:w="15" w:type="dxa"/>
                  </w:tcMar>
                  <w:vAlign w:val="center"/>
                </w:tcPr>
                <w:p w14:paraId="3CD64C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地下水开采要求</w:t>
                  </w:r>
                </w:p>
              </w:tc>
              <w:tc>
                <w:tcPr>
                  <w:tcW w:w="3129" w:type="dxa"/>
                  <w:tcBorders>
                    <w:tl2br w:val="nil"/>
                    <w:tr2bl w:val="nil"/>
                  </w:tcBorders>
                  <w:tcMar>
                    <w:top w:w="15" w:type="dxa"/>
                    <w:left w:w="15" w:type="dxa"/>
                    <w:bottom w:w="0" w:type="dxa"/>
                    <w:right w:w="15" w:type="dxa"/>
                  </w:tcMar>
                  <w:vAlign w:val="center"/>
                </w:tcPr>
                <w:p w14:paraId="365B8D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禁止在塌陷区、地质灾害危险区域开采地下水</w:t>
                  </w:r>
                  <w:r>
                    <w:rPr>
                      <w:rFonts w:hint="eastAsia"/>
                      <w:color w:val="auto"/>
                      <w:highlight w:val="none"/>
                      <w:lang w:eastAsia="zh-CN"/>
                    </w:rPr>
                    <w:t>。</w:t>
                  </w:r>
                </w:p>
              </w:tc>
              <w:tc>
                <w:tcPr>
                  <w:tcW w:w="1344" w:type="dxa"/>
                  <w:tcBorders>
                    <w:tl2br w:val="nil"/>
                    <w:tr2bl w:val="nil"/>
                  </w:tcBorders>
                  <w:vAlign w:val="center"/>
                </w:tcPr>
                <w:p w14:paraId="2AA196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本项目无地下水开采</w:t>
                  </w:r>
                  <w:r>
                    <w:rPr>
                      <w:rFonts w:hint="eastAsia"/>
                      <w:color w:val="auto"/>
                      <w:highlight w:val="none"/>
                      <w:lang w:eastAsia="zh-CN"/>
                    </w:rPr>
                    <w:t>。</w:t>
                  </w:r>
                </w:p>
              </w:tc>
              <w:tc>
                <w:tcPr>
                  <w:tcW w:w="541" w:type="dxa"/>
                  <w:tcBorders>
                    <w:tl2br w:val="nil"/>
                    <w:tr2bl w:val="nil"/>
                  </w:tcBorders>
                  <w:vAlign w:val="center"/>
                </w:tcPr>
                <w:p w14:paraId="3D9CB1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3D1D1B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234D9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tcBorders>
                    <w:tl2br w:val="nil"/>
                    <w:tr2bl w:val="nil"/>
                  </w:tcBorders>
                  <w:tcMar>
                    <w:top w:w="15" w:type="dxa"/>
                    <w:left w:w="15" w:type="dxa"/>
                    <w:bottom w:w="0" w:type="dxa"/>
                    <w:right w:w="15" w:type="dxa"/>
                  </w:tcMar>
                  <w:vAlign w:val="center"/>
                </w:tcPr>
                <w:p w14:paraId="310251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能源利用效率要求</w:t>
                  </w:r>
                </w:p>
              </w:tc>
              <w:tc>
                <w:tcPr>
                  <w:tcW w:w="3129" w:type="dxa"/>
                  <w:tcBorders>
                    <w:tl2br w:val="nil"/>
                    <w:tr2bl w:val="nil"/>
                  </w:tcBorders>
                  <w:tcMar>
                    <w:top w:w="15" w:type="dxa"/>
                    <w:left w:w="15" w:type="dxa"/>
                    <w:bottom w:w="0" w:type="dxa"/>
                    <w:right w:w="15" w:type="dxa"/>
                  </w:tcMar>
                  <w:vAlign w:val="center"/>
                </w:tcPr>
                <w:p w14:paraId="29102C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到2025年，全市单位生产总值能源消耗比2020年下降15.5%，力争达到16%，能源消费总量得到合理控制。</w:t>
                  </w:r>
                </w:p>
              </w:tc>
              <w:tc>
                <w:tcPr>
                  <w:tcW w:w="1344" w:type="dxa"/>
                  <w:tcBorders>
                    <w:tl2br w:val="nil"/>
                    <w:tr2bl w:val="nil"/>
                  </w:tcBorders>
                  <w:vAlign w:val="center"/>
                </w:tcPr>
                <w:p w14:paraId="5869F3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本项目能耗在控制范围内</w:t>
                  </w:r>
                  <w:r>
                    <w:rPr>
                      <w:rFonts w:hint="eastAsia"/>
                      <w:color w:val="auto"/>
                      <w:highlight w:val="none"/>
                      <w:lang w:eastAsia="zh-CN"/>
                    </w:rPr>
                    <w:t>。</w:t>
                  </w:r>
                </w:p>
              </w:tc>
              <w:tc>
                <w:tcPr>
                  <w:tcW w:w="541" w:type="dxa"/>
                  <w:tcBorders>
                    <w:tl2br w:val="nil"/>
                    <w:tr2bl w:val="nil"/>
                  </w:tcBorders>
                  <w:vAlign w:val="center"/>
                </w:tcPr>
                <w:p w14:paraId="2B5392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r w14:paraId="704F48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0" w:hRule="atLeast"/>
                <w:jc w:val="center"/>
              </w:trPr>
              <w:tc>
                <w:tcPr>
                  <w:tcW w:w="619" w:type="dxa"/>
                  <w:vMerge w:val="continue"/>
                  <w:tcBorders>
                    <w:tl2br w:val="nil"/>
                    <w:tr2bl w:val="nil"/>
                  </w:tcBorders>
                  <w:vAlign w:val="center"/>
                </w:tcPr>
                <w:p w14:paraId="49B20F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67" w:type="dxa"/>
                  <w:tcBorders>
                    <w:tl2br w:val="nil"/>
                    <w:tr2bl w:val="nil"/>
                  </w:tcBorders>
                  <w:tcMar>
                    <w:top w:w="15" w:type="dxa"/>
                    <w:left w:w="15" w:type="dxa"/>
                    <w:bottom w:w="0" w:type="dxa"/>
                    <w:right w:w="15" w:type="dxa"/>
                  </w:tcMar>
                  <w:vAlign w:val="center"/>
                </w:tcPr>
                <w:p w14:paraId="68300B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禁燃区要求</w:t>
                  </w:r>
                </w:p>
              </w:tc>
              <w:tc>
                <w:tcPr>
                  <w:tcW w:w="3129" w:type="dxa"/>
                  <w:tcBorders>
                    <w:tl2br w:val="nil"/>
                    <w:tr2bl w:val="nil"/>
                  </w:tcBorders>
                  <w:tcMar>
                    <w:top w:w="15" w:type="dxa"/>
                    <w:left w:w="15" w:type="dxa"/>
                    <w:bottom w:w="0" w:type="dxa"/>
                    <w:right w:w="15" w:type="dxa"/>
                  </w:tcMar>
                  <w:vAlign w:val="center"/>
                </w:tcPr>
                <w:p w14:paraId="4C57E6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禁止新建、扩建燃用高污染燃料的项目和设施，已建成的应逐步或依法限期改用天然气、电或者其他清洁能源。</w:t>
                  </w:r>
                </w:p>
              </w:tc>
              <w:tc>
                <w:tcPr>
                  <w:tcW w:w="1344" w:type="dxa"/>
                  <w:tcBorders>
                    <w:tl2br w:val="nil"/>
                    <w:tr2bl w:val="nil"/>
                  </w:tcBorders>
                  <w:vAlign w:val="center"/>
                </w:tcPr>
                <w:p w14:paraId="47629B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本项目不使用高污染燃料</w:t>
                  </w:r>
                  <w:r>
                    <w:rPr>
                      <w:rFonts w:hint="eastAsia"/>
                      <w:color w:val="auto"/>
                      <w:highlight w:val="none"/>
                      <w:lang w:eastAsia="zh-CN"/>
                    </w:rPr>
                    <w:t>。</w:t>
                  </w:r>
                </w:p>
              </w:tc>
              <w:tc>
                <w:tcPr>
                  <w:tcW w:w="541" w:type="dxa"/>
                  <w:tcBorders>
                    <w:tl2br w:val="nil"/>
                    <w:tr2bl w:val="nil"/>
                  </w:tcBorders>
                  <w:vAlign w:val="center"/>
                </w:tcPr>
                <w:p w14:paraId="0F1C36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相符</w:t>
                  </w:r>
                </w:p>
              </w:tc>
            </w:tr>
          </w:tbl>
          <w:p w14:paraId="4579BDFD">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与宜春市管控单元生态环境准入清单相符性分析表</w:t>
            </w:r>
          </w:p>
          <w:tbl>
            <w:tblPr>
              <w:tblStyle w:val="25"/>
              <w:tblW w:w="497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22"/>
              <w:gridCol w:w="205"/>
              <w:gridCol w:w="2067"/>
              <w:gridCol w:w="1953"/>
              <w:gridCol w:w="3185"/>
            </w:tblGrid>
            <w:tr w14:paraId="12C799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6" w:type="pct"/>
                  <w:gridSpan w:val="2"/>
                  <w:tcBorders>
                    <w:tl2br w:val="nil"/>
                    <w:tr2bl w:val="nil"/>
                  </w:tcBorders>
                  <w:noWrap w:val="0"/>
                  <w:vAlign w:val="center"/>
                </w:tcPr>
                <w:p w14:paraId="3349F9D7">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单元编码</w:t>
                  </w:r>
                </w:p>
              </w:tc>
              <w:tc>
                <w:tcPr>
                  <w:tcW w:w="1240" w:type="pct"/>
                  <w:tcBorders>
                    <w:tl2br w:val="nil"/>
                    <w:tr2bl w:val="nil"/>
                  </w:tcBorders>
                  <w:noWrap w:val="0"/>
                  <w:vAlign w:val="center"/>
                </w:tcPr>
                <w:p w14:paraId="6BDA2211">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rPr>
                    <w:t>ZH3609</w:t>
                  </w:r>
                  <w:r>
                    <w:rPr>
                      <w:rFonts w:hint="eastAsia" w:ascii="Times New Roman" w:hAnsi="Times New Roman" w:eastAsia="宋体" w:cs="Times New Roman"/>
                      <w:b/>
                      <w:bCs/>
                      <w:color w:val="auto"/>
                      <w:sz w:val="21"/>
                      <w:szCs w:val="21"/>
                      <w:highlight w:val="none"/>
                      <w:lang w:val="en-US" w:eastAsia="zh-CN"/>
                    </w:rPr>
                    <w:t>8</w:t>
                  </w:r>
                  <w:r>
                    <w:rPr>
                      <w:rFonts w:hint="default" w:ascii="Times New Roman" w:hAnsi="Times New Roman" w:eastAsia="宋体" w:cs="Times New Roman"/>
                      <w:b/>
                      <w:bCs/>
                      <w:color w:val="auto"/>
                      <w:sz w:val="21"/>
                      <w:szCs w:val="21"/>
                      <w:highlight w:val="none"/>
                    </w:rPr>
                    <w:t>3</w:t>
                  </w:r>
                  <w:r>
                    <w:rPr>
                      <w:rFonts w:hint="eastAsia" w:ascii="Times New Roman" w:hAnsi="Times New Roman" w:eastAsia="宋体" w:cs="Times New Roman"/>
                      <w:b/>
                      <w:bCs/>
                      <w:color w:val="auto"/>
                      <w:sz w:val="21"/>
                      <w:szCs w:val="21"/>
                      <w:highlight w:val="none"/>
                      <w:lang w:val="en-US" w:eastAsia="zh-CN"/>
                    </w:rPr>
                    <w:t>2</w:t>
                  </w:r>
                  <w:r>
                    <w:rPr>
                      <w:rFonts w:hint="default" w:ascii="Times New Roman" w:hAnsi="Times New Roman" w:eastAsia="宋体" w:cs="Times New Roman"/>
                      <w:b/>
                      <w:bCs/>
                      <w:color w:val="auto"/>
                      <w:sz w:val="21"/>
                      <w:szCs w:val="21"/>
                      <w:highlight w:val="none"/>
                    </w:rPr>
                    <w:t>000</w:t>
                  </w:r>
                  <w:r>
                    <w:rPr>
                      <w:rFonts w:hint="eastAsia" w:ascii="Times New Roman" w:hAnsi="Times New Roman" w:eastAsia="宋体" w:cs="Times New Roman"/>
                      <w:b/>
                      <w:bCs/>
                      <w:color w:val="auto"/>
                      <w:sz w:val="21"/>
                      <w:szCs w:val="21"/>
                      <w:highlight w:val="none"/>
                      <w:lang w:val="en-US" w:eastAsia="zh-CN"/>
                    </w:rPr>
                    <w:t>5</w:t>
                  </w:r>
                </w:p>
              </w:tc>
              <w:tc>
                <w:tcPr>
                  <w:tcW w:w="1171" w:type="pct"/>
                  <w:tcBorders>
                    <w:tl2br w:val="nil"/>
                    <w:tr2bl w:val="nil"/>
                  </w:tcBorders>
                  <w:noWrap w:val="0"/>
                  <w:vAlign w:val="center"/>
                </w:tcPr>
                <w:p w14:paraId="0148EFEB">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单元名称</w:t>
                  </w:r>
                </w:p>
              </w:tc>
              <w:tc>
                <w:tcPr>
                  <w:tcW w:w="1911" w:type="pct"/>
                  <w:tcBorders>
                    <w:tl2br w:val="nil"/>
                    <w:tr2bl w:val="nil"/>
                  </w:tcBorders>
                  <w:noWrap w:val="0"/>
                  <w:vAlign w:val="center"/>
                </w:tcPr>
                <w:p w14:paraId="6A9989BB">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rPr>
                    <w:t>江西省宜春市高安市重点管控单元5</w:t>
                  </w:r>
                </w:p>
              </w:tc>
            </w:tr>
            <w:tr w14:paraId="70A6D9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676" w:type="pct"/>
                  <w:gridSpan w:val="2"/>
                  <w:tcBorders>
                    <w:tl2br w:val="nil"/>
                    <w:tr2bl w:val="nil"/>
                  </w:tcBorders>
                  <w:noWrap w:val="0"/>
                  <w:vAlign w:val="center"/>
                </w:tcPr>
                <w:p w14:paraId="50683030">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单元类型</w:t>
                  </w:r>
                </w:p>
              </w:tc>
              <w:tc>
                <w:tcPr>
                  <w:tcW w:w="1240" w:type="pct"/>
                  <w:tcBorders>
                    <w:tl2br w:val="nil"/>
                    <w:tr2bl w:val="nil"/>
                  </w:tcBorders>
                  <w:noWrap w:val="0"/>
                  <w:vAlign w:val="center"/>
                </w:tcPr>
                <w:p w14:paraId="7CD18D2D">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eastAsia="zh-CN"/>
                    </w:rPr>
                    <w:t>重点</w:t>
                  </w:r>
                  <w:r>
                    <w:rPr>
                      <w:rFonts w:hint="default" w:ascii="Times New Roman" w:hAnsi="Times New Roman" w:eastAsia="宋体" w:cs="Times New Roman"/>
                      <w:b/>
                      <w:bCs/>
                      <w:color w:val="auto"/>
                      <w:sz w:val="21"/>
                      <w:szCs w:val="21"/>
                      <w:highlight w:val="none"/>
                    </w:rPr>
                    <w:t>管控单元</w:t>
                  </w:r>
                </w:p>
              </w:tc>
              <w:tc>
                <w:tcPr>
                  <w:tcW w:w="1171" w:type="pct"/>
                  <w:tcBorders>
                    <w:tl2br w:val="nil"/>
                    <w:tr2bl w:val="nil"/>
                  </w:tcBorders>
                  <w:noWrap w:val="0"/>
                  <w:vAlign w:val="center"/>
                </w:tcPr>
                <w:p w14:paraId="4730D31B">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单元范围</w:t>
                  </w:r>
                </w:p>
              </w:tc>
              <w:tc>
                <w:tcPr>
                  <w:tcW w:w="1911" w:type="pct"/>
                  <w:tcBorders>
                    <w:tl2br w:val="nil"/>
                    <w:tr2bl w:val="nil"/>
                  </w:tcBorders>
                  <w:noWrap w:val="0"/>
                  <w:vAlign w:val="center"/>
                </w:tcPr>
                <w:p w14:paraId="6C319E00">
                  <w:pPr>
                    <w:pStyle w:val="127"/>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受体敏感区</w:t>
                  </w:r>
                </w:p>
              </w:tc>
            </w:tr>
            <w:tr w14:paraId="1BD94D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6" w:hRule="atLeast"/>
                <w:jc w:val="center"/>
              </w:trPr>
              <w:tc>
                <w:tcPr>
                  <w:tcW w:w="5000" w:type="pct"/>
                  <w:gridSpan w:val="5"/>
                  <w:tcBorders>
                    <w:tl2br w:val="nil"/>
                    <w:tr2bl w:val="nil"/>
                  </w:tcBorders>
                  <w:noWrap w:val="0"/>
                  <w:vAlign w:val="center"/>
                </w:tcPr>
                <w:p w14:paraId="7FA6AA55">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环境管控单元准入清单</w:t>
                  </w:r>
                </w:p>
              </w:tc>
            </w:tr>
            <w:tr w14:paraId="16CEC6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76" w:type="pct"/>
                  <w:gridSpan w:val="2"/>
                  <w:tcBorders>
                    <w:tl2br w:val="nil"/>
                    <w:tr2bl w:val="nil"/>
                  </w:tcBorders>
                  <w:noWrap w:val="0"/>
                  <w:vAlign w:val="center"/>
                </w:tcPr>
                <w:p w14:paraId="790B83B7">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维度</w:t>
                  </w:r>
                </w:p>
              </w:tc>
              <w:tc>
                <w:tcPr>
                  <w:tcW w:w="2412" w:type="pct"/>
                  <w:gridSpan w:val="2"/>
                  <w:tcBorders>
                    <w:tl2br w:val="nil"/>
                    <w:tr2bl w:val="nil"/>
                  </w:tcBorders>
                  <w:noWrap w:val="0"/>
                  <w:vAlign w:val="center"/>
                </w:tcPr>
                <w:p w14:paraId="62135D8E">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清单编制要求</w:t>
                  </w:r>
                </w:p>
              </w:tc>
              <w:tc>
                <w:tcPr>
                  <w:tcW w:w="1911" w:type="pct"/>
                  <w:tcBorders>
                    <w:tl2br w:val="nil"/>
                    <w:tr2bl w:val="nil"/>
                  </w:tcBorders>
                  <w:noWrap w:val="0"/>
                  <w:vAlign w:val="center"/>
                </w:tcPr>
                <w:p w14:paraId="09E17E78">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符合性分析</w:t>
                  </w:r>
                </w:p>
              </w:tc>
            </w:tr>
            <w:tr w14:paraId="24B44F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553" w:type="pct"/>
                  <w:vMerge w:val="restart"/>
                  <w:tcBorders>
                    <w:tl2br w:val="nil"/>
                    <w:tr2bl w:val="nil"/>
                  </w:tcBorders>
                  <w:noWrap w:val="0"/>
                  <w:vAlign w:val="center"/>
                </w:tcPr>
                <w:p w14:paraId="3390B8DF">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空间约束布局</w:t>
                  </w:r>
                </w:p>
              </w:tc>
              <w:tc>
                <w:tcPr>
                  <w:tcW w:w="2535" w:type="pct"/>
                  <w:gridSpan w:val="3"/>
                  <w:tcBorders>
                    <w:tl2br w:val="nil"/>
                    <w:tr2bl w:val="nil"/>
                  </w:tcBorders>
                  <w:noWrap w:val="0"/>
                  <w:vAlign w:val="center"/>
                </w:tcPr>
                <w:p w14:paraId="5B960FF1">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在居民集中区、医院和学校附近区等环境风险防控重点区域,以及因环境污染导致环境质量不能稳定达标的区域,禁止新建或扩建可能引发环境风险的项目。禁止焚烧沥青、油毡、橡胶、塑料、皮革、垃圾以及其他产生有毒有害烟尘和恶臭气体的物质，禁止露天焚烧落叶、树枝、枯草。</w:t>
                  </w:r>
                </w:p>
              </w:tc>
              <w:tc>
                <w:tcPr>
                  <w:tcW w:w="1911" w:type="pct"/>
                  <w:tcBorders>
                    <w:tl2br w:val="nil"/>
                    <w:tr2bl w:val="nil"/>
                  </w:tcBorders>
                  <w:noWrap w:val="0"/>
                  <w:vAlign w:val="center"/>
                </w:tcPr>
                <w:p w14:paraId="1EDE0F48">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本项目环境风险物质未超过临界量，环境风险潜势为Ⅰ,在采取本项目提出的风险防范措施后，事故发生率、损失和环境影响方面达到可接受水平。项目不焚烧沥青、油毡、橡胶、塑料、皮革、垃圾以及其他产生有毒有害烟尘和恶臭气体的物质，不焚烧落叶、树枝、枯草。</w:t>
                  </w:r>
                  <w:r>
                    <w:rPr>
                      <w:rFonts w:hint="eastAsia" w:ascii="Times New Roman" w:hAnsi="Times New Roman" w:eastAsia="宋体" w:cs="Times New Roman"/>
                      <w:color w:val="auto"/>
                      <w:sz w:val="21"/>
                      <w:szCs w:val="21"/>
                      <w:highlight w:val="none"/>
                      <w:lang w:eastAsia="zh-CN"/>
                    </w:rPr>
                    <w:t>符合。</w:t>
                  </w:r>
                </w:p>
              </w:tc>
            </w:tr>
            <w:tr w14:paraId="6131BB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553" w:type="pct"/>
                  <w:vMerge w:val="continue"/>
                  <w:tcBorders>
                    <w:tl2br w:val="nil"/>
                    <w:tr2bl w:val="nil"/>
                  </w:tcBorders>
                  <w:noWrap w:val="0"/>
                  <w:vAlign w:val="center"/>
                </w:tcPr>
                <w:p w14:paraId="2E1539AC">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2535" w:type="pct"/>
                  <w:gridSpan w:val="3"/>
                  <w:tcBorders>
                    <w:tl2br w:val="nil"/>
                    <w:tr2bl w:val="nil"/>
                  </w:tcBorders>
                  <w:noWrap w:val="0"/>
                  <w:vAlign w:val="center"/>
                </w:tcPr>
                <w:p w14:paraId="79A6C646">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按照畜禽养殖规划,现有禁养区养殖场逐步退出或关停。</w:t>
                  </w:r>
                </w:p>
              </w:tc>
              <w:tc>
                <w:tcPr>
                  <w:tcW w:w="1911" w:type="pct"/>
                  <w:tcBorders>
                    <w:tl2br w:val="nil"/>
                    <w:tr2bl w:val="nil"/>
                  </w:tcBorders>
                  <w:noWrap w:val="0"/>
                  <w:vAlign w:val="center"/>
                </w:tcPr>
                <w:p w14:paraId="5D59B71B">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本项目</w:t>
                  </w:r>
                  <w:r>
                    <w:rPr>
                      <w:rFonts w:hint="default" w:ascii="Times New Roman" w:hAnsi="Times New Roman" w:eastAsia="宋体" w:cs="Times New Roman"/>
                      <w:color w:val="auto"/>
                      <w:sz w:val="21"/>
                      <w:szCs w:val="21"/>
                      <w:highlight w:val="none"/>
                    </w:rPr>
                    <w:t>不</w:t>
                  </w:r>
                  <w:r>
                    <w:rPr>
                      <w:rFonts w:hint="default" w:ascii="Times New Roman" w:hAnsi="Times New Roman" w:eastAsia="宋体" w:cs="Times New Roman"/>
                      <w:color w:val="auto"/>
                      <w:sz w:val="21"/>
                      <w:szCs w:val="21"/>
                      <w:highlight w:val="none"/>
                      <w:lang w:eastAsia="zh-CN"/>
                    </w:rPr>
                    <w:t>属于</w:t>
                  </w:r>
                  <w:r>
                    <w:rPr>
                      <w:rFonts w:hint="eastAsia" w:ascii="Times New Roman" w:hAnsi="Times New Roman" w:eastAsia="宋体" w:cs="Times New Roman"/>
                      <w:color w:val="auto"/>
                      <w:sz w:val="21"/>
                      <w:szCs w:val="21"/>
                      <w:highlight w:val="none"/>
                      <w:lang w:eastAsia="zh-CN"/>
                    </w:rPr>
                    <w:t>畜禽养殖项目</w:t>
                  </w:r>
                  <w:r>
                    <w:rPr>
                      <w:rFonts w:hint="default" w:ascii="Times New Roman" w:hAnsi="Times New Roman" w:eastAsia="宋体" w:cs="Times New Roman"/>
                      <w:color w:val="auto"/>
                      <w:sz w:val="21"/>
                      <w:szCs w:val="21"/>
                      <w:highlight w:val="none"/>
                    </w:rPr>
                    <w:t>，符合</w:t>
                  </w:r>
                </w:p>
              </w:tc>
            </w:tr>
            <w:tr w14:paraId="5EFAF7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53" w:type="pct"/>
                  <w:vMerge w:val="restart"/>
                  <w:tcBorders>
                    <w:tl2br w:val="nil"/>
                    <w:tr2bl w:val="nil"/>
                  </w:tcBorders>
                  <w:noWrap w:val="0"/>
                  <w:vAlign w:val="center"/>
                </w:tcPr>
                <w:p w14:paraId="02EE1F20">
                  <w:pPr>
                    <w:pStyle w:val="127"/>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污染物排放管控</w:t>
                  </w:r>
                </w:p>
              </w:tc>
              <w:tc>
                <w:tcPr>
                  <w:tcW w:w="2535" w:type="pct"/>
                  <w:gridSpan w:val="3"/>
                  <w:tcBorders>
                    <w:tl2br w:val="nil"/>
                    <w:tr2bl w:val="nil"/>
                  </w:tcBorders>
                  <w:noWrap w:val="0"/>
                  <w:vAlign w:val="center"/>
                </w:tcPr>
                <w:p w14:paraId="0E73ABB8">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城市建成区不再审批35蒸吨/小时及以下燃煤锅炉。</w:t>
                  </w:r>
                </w:p>
              </w:tc>
              <w:tc>
                <w:tcPr>
                  <w:tcW w:w="1911" w:type="pct"/>
                  <w:tcBorders>
                    <w:tl2br w:val="nil"/>
                    <w:tr2bl w:val="nil"/>
                  </w:tcBorders>
                  <w:noWrap w:val="0"/>
                  <w:vAlign w:val="center"/>
                </w:tcPr>
                <w:p w14:paraId="11138899">
                  <w:pPr>
                    <w:keepNext w:val="0"/>
                    <w:keepLines w:val="0"/>
                    <w:pageBreakBefore w:val="0"/>
                    <w:widowControl/>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eastAsia="zh-CN"/>
                    </w:rPr>
                    <w:t>不涉及燃煤锅炉</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符合</w:t>
                  </w:r>
                </w:p>
              </w:tc>
            </w:tr>
            <w:tr w14:paraId="606D6B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53" w:type="pct"/>
                  <w:vMerge w:val="continue"/>
                  <w:tcBorders>
                    <w:tl2br w:val="nil"/>
                    <w:tr2bl w:val="nil"/>
                  </w:tcBorders>
                  <w:noWrap w:val="0"/>
                  <w:vAlign w:val="center"/>
                </w:tcPr>
                <w:p w14:paraId="5169FDD2">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2535" w:type="pct"/>
                  <w:gridSpan w:val="3"/>
                  <w:tcBorders>
                    <w:tl2br w:val="nil"/>
                    <w:tr2bl w:val="nil"/>
                  </w:tcBorders>
                  <w:noWrap w:val="0"/>
                  <w:vAlign w:val="center"/>
                </w:tcPr>
                <w:p w14:paraId="0B78770F">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污染物排放应达到相应排放标准。</w:t>
                  </w:r>
                </w:p>
              </w:tc>
              <w:tc>
                <w:tcPr>
                  <w:tcW w:w="1911" w:type="pct"/>
                  <w:tcBorders>
                    <w:tl2br w:val="nil"/>
                    <w:tr2bl w:val="nil"/>
                  </w:tcBorders>
                  <w:noWrap w:val="0"/>
                  <w:vAlign w:val="top"/>
                </w:tcPr>
                <w:p w14:paraId="6ED6722E">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本项目污染物排放均可以达到相应排放标准。</w:t>
                  </w:r>
                  <w:r>
                    <w:rPr>
                      <w:rFonts w:hint="eastAsia" w:ascii="Times New Roman" w:hAnsi="Times New Roman" w:eastAsia="宋体" w:cs="Times New Roman"/>
                      <w:color w:val="auto"/>
                      <w:kern w:val="2"/>
                      <w:sz w:val="21"/>
                      <w:szCs w:val="21"/>
                      <w:highlight w:val="none"/>
                      <w:lang w:val="en-US" w:eastAsia="zh-CN" w:bidi="ar-SA"/>
                    </w:rPr>
                    <w:t>符合</w:t>
                  </w:r>
                </w:p>
              </w:tc>
            </w:tr>
            <w:tr w14:paraId="6CA7C2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53" w:type="pct"/>
                  <w:vMerge w:val="continue"/>
                  <w:tcBorders>
                    <w:tl2br w:val="nil"/>
                    <w:tr2bl w:val="nil"/>
                  </w:tcBorders>
                  <w:noWrap w:val="0"/>
                  <w:vAlign w:val="center"/>
                </w:tcPr>
                <w:p w14:paraId="61ED693D">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p>
              </w:tc>
              <w:tc>
                <w:tcPr>
                  <w:tcW w:w="2535" w:type="pct"/>
                  <w:gridSpan w:val="3"/>
                  <w:tcBorders>
                    <w:tl2br w:val="nil"/>
                    <w:tr2bl w:val="nil"/>
                  </w:tcBorders>
                  <w:noWrap w:val="0"/>
                  <w:vAlign w:val="center"/>
                </w:tcPr>
                <w:p w14:paraId="352EB3AD">
                  <w:pPr>
                    <w:keepNext w:val="0"/>
                    <w:keepLines w:val="0"/>
                    <w:pageBreakBefore w:val="0"/>
                    <w:suppressLineNumbers w:val="0"/>
                    <w:kinsoku/>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污染物排放绩效水平应达到良好水平。</w:t>
                  </w:r>
                </w:p>
              </w:tc>
              <w:tc>
                <w:tcPr>
                  <w:tcW w:w="1911" w:type="pct"/>
                  <w:tcBorders>
                    <w:tl2br w:val="nil"/>
                    <w:tr2bl w:val="nil"/>
                  </w:tcBorders>
                  <w:noWrap w:val="0"/>
                  <w:vAlign w:val="top"/>
                </w:tcPr>
                <w:p w14:paraId="170AC152">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本项目行业污染物排放绩效数值能达到良好水平。</w:t>
                  </w:r>
                  <w:r>
                    <w:rPr>
                      <w:rFonts w:hint="eastAsia" w:ascii="Times New Roman" w:hAnsi="Times New Roman" w:eastAsia="宋体" w:cs="Times New Roman"/>
                      <w:color w:val="auto"/>
                      <w:kern w:val="2"/>
                      <w:sz w:val="21"/>
                      <w:szCs w:val="21"/>
                      <w:highlight w:val="none"/>
                      <w:lang w:val="en-US" w:eastAsia="zh-CN" w:bidi="ar-SA"/>
                    </w:rPr>
                    <w:t>符合</w:t>
                  </w:r>
                </w:p>
              </w:tc>
            </w:tr>
            <w:tr w14:paraId="4B08CE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553" w:type="pct"/>
                  <w:vMerge w:val="restart"/>
                  <w:tcBorders>
                    <w:tl2br w:val="nil"/>
                    <w:tr2bl w:val="nil"/>
                  </w:tcBorders>
                  <w:noWrap w:val="0"/>
                  <w:vAlign w:val="center"/>
                </w:tcPr>
                <w:p w14:paraId="68999316">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环境风险防控</w:t>
                  </w:r>
                </w:p>
              </w:tc>
              <w:tc>
                <w:tcPr>
                  <w:tcW w:w="2535" w:type="pct"/>
                  <w:gridSpan w:val="3"/>
                  <w:tcBorders>
                    <w:tl2br w:val="nil"/>
                    <w:tr2bl w:val="nil"/>
                  </w:tcBorders>
                  <w:noWrap w:val="0"/>
                  <w:vAlign w:val="center"/>
                </w:tcPr>
                <w:p w14:paraId="37F8D473">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限制易导致环境风险的有毒有害和易燃易爆物质的生产、使用、排放、贮运等新建、改扩建项目。</w:t>
                  </w:r>
                </w:p>
              </w:tc>
              <w:tc>
                <w:tcPr>
                  <w:tcW w:w="1911" w:type="pct"/>
                  <w:tcBorders>
                    <w:tl2br w:val="nil"/>
                    <w:tr2bl w:val="nil"/>
                  </w:tcBorders>
                  <w:noWrap w:val="0"/>
                  <w:vAlign w:val="center"/>
                </w:tcPr>
                <w:p w14:paraId="0107C6A3">
                  <w:pPr>
                    <w:keepNext w:val="0"/>
                    <w:keepLines w:val="0"/>
                    <w:pageBreakBefore w:val="0"/>
                    <w:widowControl/>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本</w:t>
                  </w:r>
                  <w:r>
                    <w:rPr>
                      <w:rFonts w:hint="default" w:ascii="Times New Roman" w:hAnsi="Times New Roman" w:eastAsia="宋体" w:cs="Times New Roman"/>
                      <w:color w:val="auto"/>
                      <w:sz w:val="21"/>
                      <w:szCs w:val="21"/>
                      <w:highlight w:val="none"/>
                    </w:rPr>
                    <w:t>项目不使用有毒有害和易燃易爆物质</w:t>
                  </w:r>
                  <w:r>
                    <w:rPr>
                      <w:rFonts w:hint="eastAsia" w:cs="Times New Roman"/>
                      <w:sz w:val="21"/>
                      <w:szCs w:val="21"/>
                      <w:highlight w:val="none"/>
                    </w:rPr>
                    <w:t>。</w:t>
                  </w:r>
                  <w:r>
                    <w:rPr>
                      <w:rFonts w:hint="eastAsia" w:ascii="Times New Roman" w:hAnsi="Times New Roman" w:eastAsia="宋体" w:cs="Times New Roman"/>
                      <w:color w:val="auto"/>
                      <w:sz w:val="21"/>
                      <w:szCs w:val="21"/>
                      <w:highlight w:val="none"/>
                      <w:lang w:eastAsia="zh-CN"/>
                    </w:rPr>
                    <w:t>符合</w:t>
                  </w:r>
                </w:p>
              </w:tc>
            </w:tr>
            <w:tr w14:paraId="374DA5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553" w:type="pct"/>
                  <w:vMerge w:val="continue"/>
                  <w:tcBorders>
                    <w:tl2br w:val="nil"/>
                    <w:tr2bl w:val="nil"/>
                  </w:tcBorders>
                  <w:noWrap w:val="0"/>
                  <w:vAlign w:val="center"/>
                </w:tcPr>
                <w:p w14:paraId="772E8FF6">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2535" w:type="pct"/>
                  <w:gridSpan w:val="3"/>
                  <w:tcBorders>
                    <w:tl2br w:val="nil"/>
                    <w:tr2bl w:val="nil"/>
                  </w:tcBorders>
                  <w:noWrap w:val="0"/>
                  <w:vAlign w:val="center"/>
                </w:tcPr>
                <w:p w14:paraId="15500D95">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安全利用类农用地，应制定农用地等安全利用方案，降低农产品超标风险。</w:t>
                  </w:r>
                </w:p>
              </w:tc>
              <w:tc>
                <w:tcPr>
                  <w:tcW w:w="1911" w:type="pct"/>
                  <w:tcBorders>
                    <w:tl2br w:val="nil"/>
                    <w:tr2bl w:val="nil"/>
                  </w:tcBorders>
                  <w:noWrap w:val="0"/>
                  <w:vAlign w:val="center"/>
                </w:tcPr>
                <w:p w14:paraId="6FDAE5D0">
                  <w:pPr>
                    <w:keepNext w:val="0"/>
                    <w:keepLines w:val="0"/>
                    <w:pageBreakBefore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本项目用地不涉及</w:t>
                  </w:r>
                  <w:r>
                    <w:rPr>
                      <w:rFonts w:hint="eastAsia" w:ascii="Times New Roman" w:hAnsi="Times New Roman" w:eastAsia="宋体" w:cs="Times New Roman"/>
                      <w:color w:val="auto"/>
                      <w:sz w:val="21"/>
                      <w:szCs w:val="21"/>
                      <w:highlight w:val="none"/>
                      <w:lang w:eastAsia="zh-CN"/>
                    </w:rPr>
                    <w:t>农用地</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符合。</w:t>
                  </w:r>
                </w:p>
              </w:tc>
            </w:tr>
          </w:tbl>
          <w:p w14:paraId="42A96245">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对照</w:t>
            </w:r>
            <w:r>
              <w:rPr>
                <w:rFonts w:hint="eastAsia"/>
                <w:color w:val="auto"/>
                <w:highlight w:val="none"/>
                <w:lang w:val="en-US" w:eastAsia="zh-CN"/>
              </w:rPr>
              <w:t>宜春市</w:t>
            </w:r>
            <w:r>
              <w:rPr>
                <w:rFonts w:hint="default"/>
                <w:color w:val="auto"/>
                <w:highlight w:val="none"/>
                <w:lang w:val="en-US" w:eastAsia="zh-CN"/>
              </w:rPr>
              <w:t>生态环境分区管控单元图，项目属于</w:t>
            </w:r>
            <w:r>
              <w:rPr>
                <w:rFonts w:hint="eastAsia"/>
                <w:color w:val="auto"/>
                <w:highlight w:val="none"/>
                <w:lang w:val="en-US" w:eastAsia="zh-CN"/>
              </w:rPr>
              <w:t>重点</w:t>
            </w:r>
            <w:r>
              <w:rPr>
                <w:rFonts w:hint="default"/>
                <w:color w:val="auto"/>
                <w:highlight w:val="none"/>
                <w:lang w:val="en-US" w:eastAsia="zh-CN"/>
              </w:rPr>
              <w:t>管控单元，不属于优先保护单元。综上所述，本项目与</w:t>
            </w:r>
            <w:r>
              <w:rPr>
                <w:rFonts w:hint="eastAsia"/>
                <w:color w:val="auto"/>
                <w:highlight w:val="none"/>
                <w:lang w:val="en-US" w:eastAsia="zh-CN"/>
              </w:rPr>
              <w:t>宜春市</w:t>
            </w:r>
            <w:r>
              <w:rPr>
                <w:rFonts w:hint="default"/>
                <w:color w:val="auto"/>
                <w:highlight w:val="none"/>
                <w:lang w:val="en-US" w:eastAsia="zh-CN"/>
              </w:rPr>
              <w:t>环境管控单元生态环境准入清单相符；即本项目不属于“环境准入负面清单”。</w:t>
            </w:r>
          </w:p>
          <w:p w14:paraId="0010FBE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因此，项目符合“生态保护红线、环境质量底线、资源利用上线和环境准入负面清单（简称“三线一单”）”的要求。</w:t>
            </w:r>
          </w:p>
          <w:p w14:paraId="69BBBD27">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4、</w:t>
            </w:r>
            <w:r>
              <w:rPr>
                <w:rFonts w:hint="eastAsia"/>
                <w:b/>
                <w:bCs/>
                <w:color w:val="auto"/>
                <w:highlight w:val="none"/>
              </w:rPr>
              <w:t>与《长江经济带发展负面清单指南（试行，</w:t>
            </w:r>
            <w:r>
              <w:rPr>
                <w:rFonts w:hint="default"/>
                <w:b/>
                <w:bCs/>
                <w:color w:val="auto"/>
                <w:highlight w:val="none"/>
              </w:rPr>
              <w:t>2022</w:t>
            </w:r>
            <w:r>
              <w:rPr>
                <w:rFonts w:hint="eastAsia"/>
                <w:b/>
                <w:bCs/>
                <w:color w:val="auto"/>
                <w:highlight w:val="none"/>
              </w:rPr>
              <w:t>年版）》（长江办</w:t>
            </w:r>
            <w:r>
              <w:rPr>
                <w:rFonts w:hint="default"/>
                <w:b/>
                <w:bCs/>
                <w:color w:val="auto"/>
                <w:highlight w:val="none"/>
              </w:rPr>
              <w:t>[2022]7</w:t>
            </w:r>
            <w:r>
              <w:rPr>
                <w:rFonts w:hint="eastAsia"/>
                <w:b/>
                <w:bCs/>
                <w:color w:val="auto"/>
                <w:highlight w:val="none"/>
              </w:rPr>
              <w:t>号）相符性分析</w:t>
            </w:r>
          </w:p>
          <w:p w14:paraId="625482A4">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与长江办[2022]7号相符性一览表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5"/>
              <w:gridCol w:w="2908"/>
              <w:gridCol w:w="833"/>
            </w:tblGrid>
            <w:tr w14:paraId="1B6D73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5F24C8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内容</w:t>
                  </w:r>
                </w:p>
              </w:tc>
              <w:tc>
                <w:tcPr>
                  <w:tcW w:w="1735" w:type="pct"/>
                  <w:tcBorders>
                    <w:tl2br w:val="nil"/>
                    <w:tr2bl w:val="nil"/>
                  </w:tcBorders>
                  <w:vAlign w:val="center"/>
                </w:tcPr>
                <w:p w14:paraId="213F4B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本项目情况</w:t>
                  </w:r>
                </w:p>
              </w:tc>
              <w:tc>
                <w:tcPr>
                  <w:tcW w:w="497" w:type="pct"/>
                  <w:tcBorders>
                    <w:tl2br w:val="nil"/>
                    <w:tr2bl w:val="nil"/>
                  </w:tcBorders>
                  <w:vAlign w:val="center"/>
                </w:tcPr>
                <w:p w14:paraId="14444D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eastAsia"/>
                      <w:b/>
                      <w:bCs/>
                      <w:color w:val="auto"/>
                      <w:highlight w:val="none"/>
                    </w:rPr>
                    <w:t>符合性</w:t>
                  </w:r>
                </w:p>
              </w:tc>
            </w:tr>
            <w:tr w14:paraId="2B8A8B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66" w:type="pct"/>
                  <w:tcBorders>
                    <w:tl2br w:val="nil"/>
                    <w:tr2bl w:val="nil"/>
                  </w:tcBorders>
                  <w:vAlign w:val="center"/>
                </w:tcPr>
                <w:p w14:paraId="50F5EF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禁止建设不符合全国和省级港口布局规划以及港口总体规划的码头项目，禁止建设不符合《长江干线过江通道布局规划）的过长江通道项目。</w:t>
                  </w:r>
                </w:p>
              </w:tc>
              <w:tc>
                <w:tcPr>
                  <w:tcW w:w="1735" w:type="pct"/>
                  <w:tcBorders>
                    <w:tl2br w:val="nil"/>
                    <w:tr2bl w:val="nil"/>
                  </w:tcBorders>
                  <w:vAlign w:val="center"/>
                </w:tcPr>
                <w:p w14:paraId="05EC9D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本项目属于固体废物治理</w:t>
                  </w:r>
                  <w:r>
                    <w:rPr>
                      <w:rFonts w:hint="eastAsia"/>
                      <w:color w:val="auto"/>
                      <w:highlight w:val="none"/>
                      <w:lang w:eastAsia="zh-CN"/>
                    </w:rPr>
                    <w:t>项目</w:t>
                  </w:r>
                  <w:r>
                    <w:rPr>
                      <w:rFonts w:hint="eastAsia"/>
                      <w:color w:val="auto"/>
                      <w:highlight w:val="none"/>
                    </w:rPr>
                    <w:t>，不属于码头项目及其配套设施、锚地等工程和过长江通道项目。</w:t>
                  </w:r>
                </w:p>
              </w:tc>
              <w:tc>
                <w:tcPr>
                  <w:tcW w:w="497" w:type="pct"/>
                  <w:tcBorders>
                    <w:tl2br w:val="nil"/>
                    <w:tr2bl w:val="nil"/>
                  </w:tcBorders>
                  <w:vAlign w:val="center"/>
                </w:tcPr>
                <w:p w14:paraId="615596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3BE754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7D1F7C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禁止在自然保护区核心区、缓冲区的岸线和河段范围内投资建设旅游和生产经营项目。禁止在风景名胜区核心景区的岸线和河段范围内投资建设与风景名胜资源保护无关的项目。</w:t>
                  </w:r>
                </w:p>
              </w:tc>
              <w:tc>
                <w:tcPr>
                  <w:tcW w:w="1735" w:type="pct"/>
                  <w:tcBorders>
                    <w:tl2br w:val="nil"/>
                    <w:tr2bl w:val="nil"/>
                  </w:tcBorders>
                  <w:vAlign w:val="center"/>
                </w:tcPr>
                <w:p w14:paraId="3BEA70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本项目位于</w:t>
                  </w:r>
                  <w:r>
                    <w:rPr>
                      <w:rFonts w:hint="eastAsia"/>
                      <w:color w:val="auto"/>
                      <w:highlight w:val="none"/>
                      <w:lang w:eastAsia="zh-CN"/>
                    </w:rPr>
                    <w:t>江西省建筑陶瓷产业基地</w:t>
                  </w:r>
                  <w:r>
                    <w:rPr>
                      <w:rFonts w:hint="eastAsia"/>
                      <w:color w:val="auto"/>
                      <w:highlight w:val="none"/>
                    </w:rPr>
                    <w:t>，不在自然保护区核心区、缓冲区的岸线和河段范围内。</w:t>
                  </w:r>
                </w:p>
              </w:tc>
              <w:tc>
                <w:tcPr>
                  <w:tcW w:w="497" w:type="pct"/>
                  <w:tcBorders>
                    <w:tl2br w:val="nil"/>
                    <w:tr2bl w:val="nil"/>
                  </w:tcBorders>
                  <w:vAlign w:val="center"/>
                </w:tcPr>
                <w:p w14:paraId="2BFA49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658F5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34A8F4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w:t>
                  </w:r>
                </w:p>
              </w:tc>
              <w:tc>
                <w:tcPr>
                  <w:tcW w:w="1735" w:type="pct"/>
                  <w:tcBorders>
                    <w:tl2br w:val="nil"/>
                    <w:tr2bl w:val="nil"/>
                  </w:tcBorders>
                  <w:vAlign w:val="center"/>
                </w:tcPr>
                <w:p w14:paraId="50C32E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本项目位于</w:t>
                  </w:r>
                  <w:r>
                    <w:rPr>
                      <w:rFonts w:hint="eastAsia"/>
                      <w:color w:val="auto"/>
                      <w:highlight w:val="none"/>
                      <w:lang w:eastAsia="zh-CN"/>
                    </w:rPr>
                    <w:t>江西省建筑陶瓷产业基地</w:t>
                  </w:r>
                  <w:r>
                    <w:rPr>
                      <w:rFonts w:hint="eastAsia"/>
                      <w:color w:val="auto"/>
                      <w:highlight w:val="none"/>
                    </w:rPr>
                    <w:t>，不在饮用水水源一级、二级保护区的岸线和河段范围内。</w:t>
                  </w:r>
                </w:p>
              </w:tc>
              <w:tc>
                <w:tcPr>
                  <w:tcW w:w="497" w:type="pct"/>
                  <w:tcBorders>
                    <w:tl2br w:val="nil"/>
                    <w:tr2bl w:val="nil"/>
                  </w:tcBorders>
                  <w:vAlign w:val="center"/>
                </w:tcPr>
                <w:p w14:paraId="6ACA14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3E629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47FBD0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禁止在水产种质资源保护区的岸线和河段范围内新建围湖造田、围海造地或围填海等投资建设项目。禁止在国家湿地公园的岸线和河段范围内挖沙、采矿，以及任何不符合主体功能定位的投资建设项目。</w:t>
                  </w:r>
                </w:p>
              </w:tc>
              <w:tc>
                <w:tcPr>
                  <w:tcW w:w="1735" w:type="pct"/>
                  <w:tcBorders>
                    <w:tl2br w:val="nil"/>
                    <w:tr2bl w:val="nil"/>
                  </w:tcBorders>
                  <w:vAlign w:val="center"/>
                </w:tcPr>
                <w:p w14:paraId="226D5F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本项目位于</w:t>
                  </w:r>
                  <w:r>
                    <w:rPr>
                      <w:rFonts w:hint="eastAsia"/>
                      <w:color w:val="auto"/>
                      <w:highlight w:val="none"/>
                      <w:lang w:eastAsia="zh-CN"/>
                    </w:rPr>
                    <w:t>江西省建筑陶瓷产业基地</w:t>
                  </w:r>
                  <w:r>
                    <w:rPr>
                      <w:rFonts w:hint="eastAsia"/>
                      <w:color w:val="auto"/>
                      <w:highlight w:val="none"/>
                    </w:rPr>
                    <w:t>，不在水产种质资源保护区、国家湿地公园的岸线和河段范围内。</w:t>
                  </w:r>
                </w:p>
              </w:tc>
              <w:tc>
                <w:tcPr>
                  <w:tcW w:w="497" w:type="pct"/>
                  <w:tcBorders>
                    <w:tl2br w:val="nil"/>
                    <w:tr2bl w:val="nil"/>
                  </w:tcBorders>
                  <w:vAlign w:val="center"/>
                </w:tcPr>
                <w:p w14:paraId="58EE05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2DDB9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671594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泊水功能区划》划定的河流及湖泊保护区、保留区内投资建设不利于水资源及自然生态保护的项目。</w:t>
                  </w:r>
                </w:p>
              </w:tc>
              <w:tc>
                <w:tcPr>
                  <w:tcW w:w="1735" w:type="pct"/>
                  <w:tcBorders>
                    <w:tl2br w:val="nil"/>
                    <w:tr2bl w:val="nil"/>
                  </w:tcBorders>
                  <w:vAlign w:val="center"/>
                </w:tcPr>
                <w:p w14:paraId="41FEF1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本项目位于</w:t>
                  </w:r>
                  <w:r>
                    <w:rPr>
                      <w:rFonts w:hint="eastAsia"/>
                      <w:color w:val="auto"/>
                      <w:highlight w:val="none"/>
                      <w:lang w:eastAsia="zh-CN"/>
                    </w:rPr>
                    <w:t>江西省建筑陶瓷产业基地</w:t>
                  </w:r>
                  <w:r>
                    <w:rPr>
                      <w:rFonts w:hint="eastAsia"/>
                      <w:color w:val="auto"/>
                      <w:highlight w:val="none"/>
                    </w:rPr>
                    <w:t>，不在《长江岸线保护和开发利用总体规划》划定的岸线保护区和保留区内。</w:t>
                  </w:r>
                </w:p>
              </w:tc>
              <w:tc>
                <w:tcPr>
                  <w:tcW w:w="497" w:type="pct"/>
                  <w:tcBorders>
                    <w:tl2br w:val="nil"/>
                    <w:tr2bl w:val="nil"/>
                  </w:tcBorders>
                  <w:vAlign w:val="center"/>
                </w:tcPr>
                <w:p w14:paraId="6C87B9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2FB83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5C3652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禁止未经许可在长江干支流及湖泊新设、改设或扩大排污口。</w:t>
                  </w:r>
                </w:p>
              </w:tc>
              <w:tc>
                <w:tcPr>
                  <w:tcW w:w="1735" w:type="pct"/>
                  <w:tcBorders>
                    <w:tl2br w:val="nil"/>
                    <w:tr2bl w:val="nil"/>
                  </w:tcBorders>
                  <w:vAlign w:val="center"/>
                </w:tcPr>
                <w:p w14:paraId="2B07F2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本项目未新设、改设或扩大排污口。</w:t>
                  </w:r>
                </w:p>
              </w:tc>
              <w:tc>
                <w:tcPr>
                  <w:tcW w:w="497" w:type="pct"/>
                  <w:tcBorders>
                    <w:tl2br w:val="nil"/>
                    <w:tr2bl w:val="nil"/>
                  </w:tcBorders>
                  <w:vAlign w:val="center"/>
                </w:tcPr>
                <w:p w14:paraId="6AF40D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0D9FC5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48D856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w:t>
                  </w:r>
                  <w:r>
                    <w:rPr>
                      <w:rFonts w:hint="default"/>
                      <w:color w:val="auto"/>
                      <w:highlight w:val="none"/>
                    </w:rPr>
                    <w:t>“</w:t>
                  </w:r>
                  <w:r>
                    <w:rPr>
                      <w:rFonts w:hint="eastAsia"/>
                      <w:color w:val="auto"/>
                      <w:highlight w:val="none"/>
                    </w:rPr>
                    <w:t>一江一口两湖七河</w:t>
                  </w:r>
                  <w:r>
                    <w:rPr>
                      <w:rFonts w:hint="default"/>
                      <w:color w:val="auto"/>
                      <w:highlight w:val="none"/>
                    </w:rPr>
                    <w:t>”</w:t>
                  </w:r>
                  <w:r>
                    <w:rPr>
                      <w:rFonts w:hint="eastAsia"/>
                      <w:color w:val="auto"/>
                      <w:highlight w:val="none"/>
                    </w:rPr>
                    <w:t>和</w:t>
                  </w:r>
                  <w:r>
                    <w:rPr>
                      <w:rFonts w:hint="default"/>
                      <w:color w:val="auto"/>
                      <w:highlight w:val="none"/>
                    </w:rPr>
                    <w:t>332</w:t>
                  </w:r>
                  <w:r>
                    <w:rPr>
                      <w:rFonts w:hint="eastAsia"/>
                      <w:color w:val="auto"/>
                      <w:highlight w:val="none"/>
                    </w:rPr>
                    <w:t>个水生生物保护区开展生产性捕捞。</w:t>
                  </w:r>
                </w:p>
              </w:tc>
              <w:tc>
                <w:tcPr>
                  <w:tcW w:w="1735" w:type="pct"/>
                  <w:tcBorders>
                    <w:tl2br w:val="nil"/>
                    <w:tr2bl w:val="nil"/>
                  </w:tcBorders>
                  <w:vAlign w:val="center"/>
                </w:tcPr>
                <w:p w14:paraId="2E82A0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本项目未开展生产性捕捞。</w:t>
                  </w:r>
                </w:p>
              </w:tc>
              <w:tc>
                <w:tcPr>
                  <w:tcW w:w="497" w:type="pct"/>
                  <w:tcBorders>
                    <w:tl2br w:val="nil"/>
                    <w:tr2bl w:val="nil"/>
                  </w:tcBorders>
                  <w:vAlign w:val="center"/>
                </w:tcPr>
                <w:p w14:paraId="645E38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039BFF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456169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禁止在长江干支流、重要湖泊岸线一公里范围内新建、扩建化工园区和化工项目。禁止在长江干流岸线三公里范围内和重要支流岸线一公里范围内新建、改建、扩建尾矿库、冶炼渣库和磷</w:t>
                  </w:r>
                  <w:r>
                    <w:rPr>
                      <w:rFonts w:hint="eastAsia"/>
                      <w:color w:val="auto"/>
                      <w:highlight w:val="none"/>
                      <w:lang w:eastAsia="zh-CN"/>
                    </w:rPr>
                    <w:t>石膏</w:t>
                  </w:r>
                  <w:r>
                    <w:rPr>
                      <w:rFonts w:hint="eastAsia"/>
                      <w:color w:val="auto"/>
                      <w:highlight w:val="none"/>
                    </w:rPr>
                    <w:t>库，以提升安全、生态环境保护水平为目的的改建除外。</w:t>
                  </w:r>
                </w:p>
              </w:tc>
              <w:tc>
                <w:tcPr>
                  <w:tcW w:w="1735" w:type="pct"/>
                  <w:tcBorders>
                    <w:tl2br w:val="nil"/>
                    <w:tr2bl w:val="nil"/>
                  </w:tcBorders>
                  <w:vAlign w:val="center"/>
                </w:tcPr>
                <w:p w14:paraId="451558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本项目不在长江干支流、重要湖泊岸线一公里范围内。</w:t>
                  </w:r>
                </w:p>
              </w:tc>
              <w:tc>
                <w:tcPr>
                  <w:tcW w:w="497" w:type="pct"/>
                  <w:tcBorders>
                    <w:tl2br w:val="nil"/>
                    <w:tr2bl w:val="nil"/>
                  </w:tcBorders>
                  <w:vAlign w:val="center"/>
                </w:tcPr>
                <w:p w14:paraId="5EDDF2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69B77E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1298E6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禁止在合规园区外新建、扩建钢铁、石化、化工、焦化、建材、有色、制浆造纸高污染项目。</w:t>
                  </w:r>
                </w:p>
              </w:tc>
              <w:tc>
                <w:tcPr>
                  <w:tcW w:w="1735" w:type="pct"/>
                  <w:tcBorders>
                    <w:tl2br w:val="nil"/>
                    <w:tr2bl w:val="nil"/>
                  </w:tcBorders>
                  <w:vAlign w:val="center"/>
                </w:tcPr>
                <w:p w14:paraId="0ED603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w:t>
                  </w:r>
                  <w:r>
                    <w:rPr>
                      <w:rFonts w:hint="eastAsia"/>
                      <w:color w:val="auto"/>
                      <w:highlight w:val="none"/>
                      <w:lang w:val="en-US" w:eastAsia="zh-CN"/>
                    </w:rPr>
                    <w:t>位于建筑陶瓷产业园</w:t>
                  </w:r>
                  <w:r>
                    <w:rPr>
                      <w:rFonts w:hint="default"/>
                      <w:color w:val="auto"/>
                      <w:highlight w:val="none"/>
                    </w:rPr>
                    <w:t>，</w:t>
                  </w:r>
                  <w:r>
                    <w:rPr>
                      <w:rFonts w:hint="eastAsia"/>
                      <w:color w:val="auto"/>
                      <w:highlight w:val="none"/>
                      <w:lang w:val="en-US" w:eastAsia="zh-CN"/>
                    </w:rPr>
                    <w:t>且本项目不属于</w:t>
                  </w:r>
                  <w:r>
                    <w:rPr>
                      <w:rFonts w:hint="default"/>
                      <w:color w:val="auto"/>
                      <w:highlight w:val="none"/>
                    </w:rPr>
                    <w:t>高污染项目</w:t>
                  </w:r>
                  <w:r>
                    <w:rPr>
                      <w:rFonts w:hint="eastAsia"/>
                      <w:color w:val="auto"/>
                      <w:highlight w:val="none"/>
                      <w:lang w:eastAsia="zh-CN"/>
                    </w:rPr>
                    <w:t>。</w:t>
                  </w:r>
                </w:p>
              </w:tc>
              <w:tc>
                <w:tcPr>
                  <w:tcW w:w="497" w:type="pct"/>
                  <w:tcBorders>
                    <w:tl2br w:val="nil"/>
                    <w:tr2bl w:val="nil"/>
                  </w:tcBorders>
                  <w:vAlign w:val="center"/>
                </w:tcPr>
                <w:p w14:paraId="4363E0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34B3E7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3F88F8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禁止新建、扩建不符合国家石化、现代煤化工等产业布局规划的项目。</w:t>
                  </w:r>
                </w:p>
              </w:tc>
              <w:tc>
                <w:tcPr>
                  <w:tcW w:w="1735" w:type="pct"/>
                  <w:tcBorders>
                    <w:tl2br w:val="nil"/>
                    <w:tr2bl w:val="nil"/>
                  </w:tcBorders>
                  <w:vAlign w:val="center"/>
                </w:tcPr>
                <w:p w14:paraId="04B831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本项目不属于国家石化、现代煤化工等产业布局规划的项目。</w:t>
                  </w:r>
                </w:p>
              </w:tc>
              <w:tc>
                <w:tcPr>
                  <w:tcW w:w="497" w:type="pct"/>
                  <w:tcBorders>
                    <w:tl2br w:val="nil"/>
                    <w:tr2bl w:val="nil"/>
                  </w:tcBorders>
                  <w:vAlign w:val="center"/>
                </w:tcPr>
                <w:p w14:paraId="296221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r w14:paraId="563B9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2766" w:type="pct"/>
                  <w:tcBorders>
                    <w:tl2br w:val="nil"/>
                    <w:tr2bl w:val="nil"/>
                  </w:tcBorders>
                  <w:vAlign w:val="center"/>
                </w:tcPr>
                <w:p w14:paraId="5CA7C2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禁止新建、扩建法律法规和相关政策明令禁止的落后产能项目。禁止新建、扩建不符合国家产能置换要求的严重过剩产能行业的项目。禁止新建、扩建不符合要求的高耗能高排放项目。</w:t>
                  </w:r>
                </w:p>
              </w:tc>
              <w:tc>
                <w:tcPr>
                  <w:tcW w:w="1735" w:type="pct"/>
                  <w:tcBorders>
                    <w:tl2br w:val="nil"/>
                    <w:tr2bl w:val="nil"/>
                  </w:tcBorders>
                  <w:vAlign w:val="center"/>
                </w:tcPr>
                <w:p w14:paraId="2AEAF2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本项目不属于法律法规和相关政策明令禁止的落后产能项目。本项目不属于国家产能置换要求的严重过剩产能行业的项目。</w:t>
                  </w:r>
                </w:p>
              </w:tc>
              <w:tc>
                <w:tcPr>
                  <w:tcW w:w="497" w:type="pct"/>
                  <w:tcBorders>
                    <w:tl2br w:val="nil"/>
                    <w:tr2bl w:val="nil"/>
                  </w:tcBorders>
                  <w:vAlign w:val="center"/>
                </w:tcPr>
                <w:p w14:paraId="126F63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符合</w:t>
                  </w:r>
                </w:p>
              </w:tc>
            </w:tr>
          </w:tbl>
          <w:p w14:paraId="478ADD8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综上，本项目符合《长江经济带发展负面清单指南（试行，2022年版）》的内容。</w:t>
            </w:r>
          </w:p>
          <w:p w14:paraId="35612B88">
            <w:pPr>
              <w:keepNext w:val="0"/>
              <w:keepLines w:val="0"/>
              <w:numPr>
                <w:ilvl w:val="0"/>
                <w:numId w:val="7"/>
              </w:numPr>
              <w:suppressLineNumbers w:val="0"/>
              <w:bidi w:val="0"/>
              <w:spacing w:before="0" w:beforeAutospacing="0" w:after="0" w:afterAutospacing="0"/>
              <w:ind w:left="0" w:right="0"/>
              <w:rPr>
                <w:rFonts w:hint="eastAsia"/>
                <w:b/>
                <w:bCs/>
                <w:color w:val="auto"/>
                <w:highlight w:val="none"/>
              </w:rPr>
            </w:pPr>
            <w:r>
              <w:rPr>
                <w:rFonts w:hint="eastAsia"/>
                <w:b/>
                <w:bCs/>
                <w:color w:val="auto"/>
                <w:highlight w:val="none"/>
              </w:rPr>
              <w:t>与《江西省长江经济带发展负面清单实施细则（试行，</w:t>
            </w:r>
            <w:r>
              <w:rPr>
                <w:rFonts w:hint="default"/>
                <w:b/>
                <w:bCs/>
                <w:color w:val="auto"/>
                <w:highlight w:val="none"/>
              </w:rPr>
              <w:t>2022</w:t>
            </w:r>
            <w:r>
              <w:rPr>
                <w:rFonts w:hint="eastAsia"/>
                <w:b/>
                <w:bCs/>
                <w:color w:val="auto"/>
                <w:highlight w:val="none"/>
              </w:rPr>
              <w:t>年版）》（赣长江办</w:t>
            </w:r>
            <w:r>
              <w:rPr>
                <w:rFonts w:hint="default"/>
                <w:b/>
                <w:bCs/>
                <w:color w:val="auto"/>
                <w:highlight w:val="none"/>
              </w:rPr>
              <w:t>[2022]7</w:t>
            </w:r>
            <w:r>
              <w:rPr>
                <w:rFonts w:hint="eastAsia"/>
                <w:b/>
                <w:bCs/>
                <w:color w:val="auto"/>
                <w:highlight w:val="none"/>
              </w:rPr>
              <w:t>号）相符性分析</w:t>
            </w:r>
          </w:p>
          <w:p w14:paraId="7EDCB6EB">
            <w:pPr>
              <w:keepNext w:val="0"/>
              <w:keepLines w:val="0"/>
              <w:numPr>
                <w:ilvl w:val="0"/>
                <w:numId w:val="0"/>
              </w:numPr>
              <w:suppressLineNumbers w:val="0"/>
              <w:bidi w:val="0"/>
              <w:spacing w:before="0" w:beforeAutospacing="0" w:after="0" w:afterAutospacing="0"/>
              <w:ind w:left="480" w:leftChars="200" w:right="0" w:rightChars="0"/>
              <w:rPr>
                <w:rFonts w:hint="default"/>
                <w:b/>
                <w:bCs/>
                <w:color w:val="auto"/>
                <w:highlight w:val="none"/>
              </w:rPr>
            </w:pPr>
          </w:p>
          <w:p w14:paraId="6BCFCFAE">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与赣长江办[2022]7号相符性分析一览表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726"/>
              <w:gridCol w:w="2372"/>
              <w:gridCol w:w="508"/>
            </w:tblGrid>
            <w:tr w14:paraId="49DABB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459" w:type="pct"/>
                  <w:tcBorders>
                    <w:tl2br w:val="nil"/>
                    <w:tr2bl w:val="nil"/>
                  </w:tcBorders>
                  <w:vAlign w:val="center"/>
                </w:tcPr>
                <w:p w14:paraId="1E5F26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类别</w:t>
                  </w:r>
                </w:p>
              </w:tc>
              <w:tc>
                <w:tcPr>
                  <w:tcW w:w="2821" w:type="pct"/>
                  <w:tcBorders>
                    <w:tl2br w:val="nil"/>
                    <w:tr2bl w:val="nil"/>
                  </w:tcBorders>
                  <w:vAlign w:val="center"/>
                </w:tcPr>
                <w:p w14:paraId="436018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内容</w:t>
                  </w:r>
                </w:p>
              </w:tc>
              <w:tc>
                <w:tcPr>
                  <w:tcW w:w="1415" w:type="pct"/>
                  <w:tcBorders>
                    <w:tl2br w:val="nil"/>
                    <w:tr2bl w:val="nil"/>
                  </w:tcBorders>
                  <w:vAlign w:val="center"/>
                </w:tcPr>
                <w:p w14:paraId="58A56A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本项目情况</w:t>
                  </w:r>
                </w:p>
              </w:tc>
              <w:tc>
                <w:tcPr>
                  <w:tcW w:w="303" w:type="pct"/>
                  <w:tcBorders>
                    <w:tl2br w:val="nil"/>
                    <w:tr2bl w:val="nil"/>
                  </w:tcBorders>
                  <w:vAlign w:val="center"/>
                </w:tcPr>
                <w:p w14:paraId="5CE49F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eastAsia"/>
                      <w:b/>
                      <w:bCs/>
                      <w:color w:val="auto"/>
                      <w:highlight w:val="none"/>
                    </w:rPr>
                    <w:t>相符性</w:t>
                  </w:r>
                </w:p>
              </w:tc>
            </w:tr>
            <w:tr w14:paraId="008D5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restart"/>
                  <w:tcBorders>
                    <w:tl2br w:val="nil"/>
                    <w:tr2bl w:val="nil"/>
                  </w:tcBorders>
                  <w:vAlign w:val="center"/>
                </w:tcPr>
                <w:p w14:paraId="676089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严格岸线河段管控</w:t>
                  </w:r>
                </w:p>
              </w:tc>
              <w:tc>
                <w:tcPr>
                  <w:tcW w:w="2821" w:type="pct"/>
                  <w:tcBorders>
                    <w:tl2br w:val="nil"/>
                    <w:tr2bl w:val="nil"/>
                  </w:tcBorders>
                  <w:vAlign w:val="center"/>
                </w:tcPr>
                <w:p w14:paraId="7D9A8A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禁止建设不符合国家和省级港口布局规划以及港口总体规划的码头项目。禁止建设不符合《长江干线过江通道布局规划》的过长江通道项目</w:t>
                  </w:r>
                </w:p>
              </w:tc>
              <w:tc>
                <w:tcPr>
                  <w:tcW w:w="1415" w:type="pct"/>
                  <w:tcBorders>
                    <w:tl2br w:val="nil"/>
                    <w:tr2bl w:val="nil"/>
                  </w:tcBorders>
                  <w:vAlign w:val="center"/>
                </w:tcPr>
                <w:p w14:paraId="2CB95C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本项目属于固体废物治理</w:t>
                  </w:r>
                  <w:r>
                    <w:rPr>
                      <w:rFonts w:hint="eastAsia"/>
                      <w:color w:val="auto"/>
                      <w:highlight w:val="none"/>
                      <w:lang w:eastAsia="zh-CN"/>
                    </w:rPr>
                    <w:t>项目</w:t>
                  </w:r>
                  <w:r>
                    <w:rPr>
                      <w:rFonts w:hint="eastAsia"/>
                      <w:color w:val="auto"/>
                      <w:highlight w:val="none"/>
                    </w:rPr>
                    <w:t>，不属于码头项目和过长江通道项目</w:t>
                  </w:r>
                </w:p>
              </w:tc>
              <w:tc>
                <w:tcPr>
                  <w:tcW w:w="303" w:type="pct"/>
                  <w:tcBorders>
                    <w:tl2br w:val="nil"/>
                    <w:tr2bl w:val="nil"/>
                  </w:tcBorders>
                  <w:vAlign w:val="center"/>
                </w:tcPr>
                <w:p w14:paraId="5E265B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7D25A8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49FB48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8095B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禁止在自然保护区核心区、缓冲区的岸线和河段范围内投资建设旅游和生产经营项目</w:t>
                  </w:r>
                </w:p>
              </w:tc>
              <w:tc>
                <w:tcPr>
                  <w:tcW w:w="1415" w:type="pct"/>
                  <w:tcBorders>
                    <w:tl2br w:val="nil"/>
                    <w:tr2bl w:val="nil"/>
                  </w:tcBorders>
                  <w:vAlign w:val="center"/>
                </w:tcPr>
                <w:p w14:paraId="2A1B09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本项目不在自然保护区核心区、缓冲区的岸线和河段范围内</w:t>
                  </w:r>
                </w:p>
              </w:tc>
              <w:tc>
                <w:tcPr>
                  <w:tcW w:w="303" w:type="pct"/>
                  <w:tcBorders>
                    <w:tl2br w:val="nil"/>
                    <w:tr2bl w:val="nil"/>
                  </w:tcBorders>
                  <w:vAlign w:val="center"/>
                </w:tcPr>
                <w:p w14:paraId="6A37E3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4BDDC0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28B87C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8878C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风景名胜区核心景区的岸线和河段范围内开展以下行为：（一）开山、采石、开矿、开荒、修坟立碑等破坏景观、植被和地形地貌的活动。（二）修建储存爆炸性、易燃性、放射性、毒害性、腐蚀性物品的设施。（三）违反风景名胜区规划，建设与风景名胜资源保护无关的设施。</w:t>
                  </w:r>
                </w:p>
              </w:tc>
              <w:tc>
                <w:tcPr>
                  <w:tcW w:w="1415" w:type="pct"/>
                  <w:tcBorders>
                    <w:tl2br w:val="nil"/>
                    <w:tr2bl w:val="nil"/>
                  </w:tcBorders>
                  <w:vAlign w:val="center"/>
                </w:tcPr>
                <w:p w14:paraId="13146B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本项目不在风景名胜区核心景区的岸线和河段范围内</w:t>
                  </w:r>
                </w:p>
              </w:tc>
              <w:tc>
                <w:tcPr>
                  <w:tcW w:w="303" w:type="pct"/>
                  <w:tcBorders>
                    <w:tl2br w:val="nil"/>
                    <w:tr2bl w:val="nil"/>
                  </w:tcBorders>
                  <w:vAlign w:val="center"/>
                </w:tcPr>
                <w:p w14:paraId="117836D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57FDA0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031" w:hRule="atLeast"/>
                <w:jc w:val="center"/>
              </w:trPr>
              <w:tc>
                <w:tcPr>
                  <w:tcW w:w="459" w:type="pct"/>
                  <w:vMerge w:val="continue"/>
                  <w:tcBorders>
                    <w:tl2br w:val="nil"/>
                    <w:tr2bl w:val="nil"/>
                  </w:tcBorders>
                  <w:vAlign w:val="center"/>
                </w:tcPr>
                <w:p w14:paraId="1532F1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5E7994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饮用水水源一级保护区的岸线和河段范围内开展下列行为：（一）新建、改建、扩建与供水设施和保护水源无关的建设项目；已建成的与供水设施和保护水源无关的建设项目，由县级以上人民政府责令拆除或者关闭。（二）禁止在饮用水水源一级保护区内从事网箱养殖、旅游、游泳、垂钓或者其他可能污染饮用水水体的活动。</w:t>
                  </w:r>
                </w:p>
              </w:tc>
              <w:tc>
                <w:tcPr>
                  <w:tcW w:w="1415" w:type="pct"/>
                  <w:tcBorders>
                    <w:tl2br w:val="nil"/>
                    <w:tr2bl w:val="nil"/>
                  </w:tcBorders>
                  <w:vAlign w:val="center"/>
                </w:tcPr>
                <w:p w14:paraId="792FCD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本项目不在饮用水水源一级保护区的岸线和河段范围内</w:t>
                  </w:r>
                </w:p>
              </w:tc>
              <w:tc>
                <w:tcPr>
                  <w:tcW w:w="303" w:type="pct"/>
                  <w:tcBorders>
                    <w:tl2br w:val="nil"/>
                    <w:tr2bl w:val="nil"/>
                  </w:tcBorders>
                  <w:vAlign w:val="center"/>
                </w:tcPr>
                <w:p w14:paraId="39DFC1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368CE6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380C08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0B631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饮用水水源二级保护区的岸线和河段范围内开展下列行为：（一）新建、改建、扩建排放污染物的建设项目；已建成的排放污染物的建设项目，由县级以上人民政府责令拆除或者关闭。（二）在饮用水水源二级保护区内从事网箱养殖、旅游等活动的，应当按照规定采取措施，防止污染饮用水水体。</w:t>
                  </w:r>
                </w:p>
              </w:tc>
              <w:tc>
                <w:tcPr>
                  <w:tcW w:w="1415" w:type="pct"/>
                  <w:tcBorders>
                    <w:tl2br w:val="nil"/>
                    <w:tr2bl w:val="nil"/>
                  </w:tcBorders>
                  <w:vAlign w:val="center"/>
                </w:tcPr>
                <w:p w14:paraId="288AC6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本项目不在饮用水水源二级保护区的岸线和河段范围内</w:t>
                  </w:r>
                </w:p>
              </w:tc>
              <w:tc>
                <w:tcPr>
                  <w:tcW w:w="303" w:type="pct"/>
                  <w:tcBorders>
                    <w:tl2br w:val="nil"/>
                    <w:tr2bl w:val="nil"/>
                  </w:tcBorders>
                  <w:vAlign w:val="center"/>
                </w:tcPr>
                <w:p w14:paraId="6EE732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4C4783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14" w:hRule="atLeast"/>
                <w:jc w:val="center"/>
              </w:trPr>
              <w:tc>
                <w:tcPr>
                  <w:tcW w:w="459" w:type="pct"/>
                  <w:vMerge w:val="continue"/>
                  <w:tcBorders>
                    <w:tl2br w:val="nil"/>
                    <w:tr2bl w:val="nil"/>
                  </w:tcBorders>
                  <w:vAlign w:val="center"/>
                </w:tcPr>
                <w:p w14:paraId="566A41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558F4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水产种质资源保护区的岸线和河段范围内新建围湖（河）造田（地）等投资建设项目。单位和个人在水产种质资源保护区内从事水生生物资源调查、科学研究、教学实习、参观游览、影视拍摄等活动，应当遵守有关法律法规和保护区管理制度，不得损害水产种质资源及其生存环境。</w:t>
                  </w:r>
                </w:p>
              </w:tc>
              <w:tc>
                <w:tcPr>
                  <w:tcW w:w="1415" w:type="pct"/>
                  <w:tcBorders>
                    <w:tl2br w:val="nil"/>
                    <w:tr2bl w:val="nil"/>
                  </w:tcBorders>
                  <w:vAlign w:val="center"/>
                </w:tcPr>
                <w:p w14:paraId="00B078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本项目不在水产种质资源保护区的岸线和河段范围内</w:t>
                  </w:r>
                </w:p>
              </w:tc>
              <w:tc>
                <w:tcPr>
                  <w:tcW w:w="303" w:type="pct"/>
                  <w:tcBorders>
                    <w:tl2br w:val="nil"/>
                    <w:tr2bl w:val="nil"/>
                  </w:tcBorders>
                  <w:vAlign w:val="center"/>
                </w:tcPr>
                <w:p w14:paraId="0D0322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405B9A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57" w:hRule="atLeast"/>
                <w:jc w:val="center"/>
              </w:trPr>
              <w:tc>
                <w:tcPr>
                  <w:tcW w:w="459" w:type="pct"/>
                  <w:vMerge w:val="continue"/>
                  <w:tcBorders>
                    <w:tl2br w:val="nil"/>
                    <w:tr2bl w:val="nil"/>
                  </w:tcBorders>
                  <w:vAlign w:val="center"/>
                </w:tcPr>
                <w:p w14:paraId="6E9316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1BC366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除国家规定的外，禁止在国家湿地公园的岸线和河段范围内挖沙、采矿以及任何不符合主体功能定位的投资建设项目</w:t>
                  </w:r>
                </w:p>
              </w:tc>
              <w:tc>
                <w:tcPr>
                  <w:tcW w:w="1415" w:type="pct"/>
                  <w:tcBorders>
                    <w:tl2br w:val="nil"/>
                    <w:tr2bl w:val="nil"/>
                  </w:tcBorders>
                  <w:vAlign w:val="center"/>
                </w:tcPr>
                <w:p w14:paraId="323261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本项目不在国家湿地公园的岸线和河段范围内</w:t>
                  </w:r>
                </w:p>
              </w:tc>
              <w:tc>
                <w:tcPr>
                  <w:tcW w:w="303" w:type="pct"/>
                  <w:tcBorders>
                    <w:tl2br w:val="nil"/>
                    <w:tr2bl w:val="nil"/>
                  </w:tcBorders>
                  <w:vAlign w:val="center"/>
                </w:tcPr>
                <w:p w14:paraId="51D701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03337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1537CC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189FD9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违法利用、占用长江流域河湖岸线。禁止在《长江岸线保护和开发利用总体规划》划定的岸线保护区和保留区内投资建设除事关公共安全及公众利益的防洪护岸、河道治理、供水、生态环境保护、航道整治、国家重要基础设施以外的项目</w:t>
                  </w:r>
                </w:p>
              </w:tc>
              <w:tc>
                <w:tcPr>
                  <w:tcW w:w="1415" w:type="pct"/>
                  <w:tcBorders>
                    <w:tl2br w:val="nil"/>
                    <w:tr2bl w:val="nil"/>
                  </w:tcBorders>
                  <w:vAlign w:val="center"/>
                </w:tcPr>
                <w:p w14:paraId="4763E0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本项目不在长江流域河湖岸线内</w:t>
                  </w:r>
                </w:p>
              </w:tc>
              <w:tc>
                <w:tcPr>
                  <w:tcW w:w="303" w:type="pct"/>
                  <w:tcBorders>
                    <w:tl2br w:val="nil"/>
                    <w:tr2bl w:val="nil"/>
                  </w:tcBorders>
                  <w:vAlign w:val="center"/>
                </w:tcPr>
                <w:p w14:paraId="5DB1A5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52A871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676E2C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08AADE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禁止在《全国重要江河湖泊水功能区划》划定的河段及湖泊保护区、保留区内投资建设不利于水资源及自然生态保护的项目</w:t>
                  </w:r>
                </w:p>
              </w:tc>
              <w:tc>
                <w:tcPr>
                  <w:tcW w:w="1415" w:type="pct"/>
                  <w:tcBorders>
                    <w:tl2br w:val="nil"/>
                    <w:tr2bl w:val="nil"/>
                  </w:tcBorders>
                  <w:vAlign w:val="center"/>
                </w:tcPr>
                <w:p w14:paraId="1E2BF4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本项目不在《全国重要江河湖泊水功能区划》划定的河段及湖泊保护区、保留区内</w:t>
                  </w:r>
                </w:p>
              </w:tc>
              <w:tc>
                <w:tcPr>
                  <w:tcW w:w="303" w:type="pct"/>
                  <w:tcBorders>
                    <w:tl2br w:val="nil"/>
                    <w:tr2bl w:val="nil"/>
                  </w:tcBorders>
                  <w:vAlign w:val="center"/>
                </w:tcPr>
                <w:p w14:paraId="175FD6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701FD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restart"/>
                  <w:tcBorders>
                    <w:tl2br w:val="nil"/>
                    <w:tr2bl w:val="nil"/>
                  </w:tcBorders>
                  <w:vAlign w:val="center"/>
                </w:tcPr>
                <w:p w14:paraId="2312B2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严格区域管控</w:t>
                  </w:r>
                </w:p>
              </w:tc>
              <w:tc>
                <w:tcPr>
                  <w:tcW w:w="2821" w:type="pct"/>
                  <w:tcBorders>
                    <w:tl2br w:val="nil"/>
                    <w:tr2bl w:val="nil"/>
                  </w:tcBorders>
                  <w:vAlign w:val="center"/>
                </w:tcPr>
                <w:p w14:paraId="1F49CE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未经许可在长江干支流及湖泊新设、改设或扩大排污口。（省生态环境厅、省水利厅）第十四条禁止在长江干流江西段、鄱阳湖和《率先全面禁捕的长江流域水生生物保护区名录》中的水生生物保护区开展生产性捕捞</w:t>
                  </w:r>
                </w:p>
              </w:tc>
              <w:tc>
                <w:tcPr>
                  <w:tcW w:w="1415" w:type="pct"/>
                  <w:tcBorders>
                    <w:tl2br w:val="nil"/>
                    <w:tr2bl w:val="nil"/>
                  </w:tcBorders>
                  <w:vAlign w:val="center"/>
                </w:tcPr>
                <w:p w14:paraId="6D9224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本项目不属于新设、改设或扩大排污口</w:t>
                  </w:r>
                </w:p>
              </w:tc>
              <w:tc>
                <w:tcPr>
                  <w:tcW w:w="303" w:type="pct"/>
                  <w:tcBorders>
                    <w:tl2br w:val="nil"/>
                    <w:tr2bl w:val="nil"/>
                  </w:tcBorders>
                  <w:vAlign w:val="center"/>
                </w:tcPr>
                <w:p w14:paraId="1A815E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37328F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11ACAA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281F16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禁止在长江干支流、重要湖泊岸线一公里范围内新建、扩建化工园区和化工项目</w:t>
                  </w:r>
                </w:p>
              </w:tc>
              <w:tc>
                <w:tcPr>
                  <w:tcW w:w="1415" w:type="pct"/>
                  <w:tcBorders>
                    <w:tl2br w:val="nil"/>
                    <w:tr2bl w:val="nil"/>
                  </w:tcBorders>
                  <w:vAlign w:val="center"/>
                </w:tcPr>
                <w:p w14:paraId="4BA9B1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本项目不属于新建、扩建化工园区和化工项目</w:t>
                  </w:r>
                </w:p>
              </w:tc>
              <w:tc>
                <w:tcPr>
                  <w:tcW w:w="303" w:type="pct"/>
                  <w:tcBorders>
                    <w:tl2br w:val="nil"/>
                    <w:tr2bl w:val="nil"/>
                  </w:tcBorders>
                  <w:vAlign w:val="center"/>
                </w:tcPr>
                <w:p w14:paraId="48065D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4E484F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29CA15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8A7CB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禁止在长江干流岸线三公里范围内和重要支流岸线一公里范围内新建、改建、扩建尾矿库、冶炼渣库和鳞</w:t>
                  </w:r>
                  <w:r>
                    <w:rPr>
                      <w:rFonts w:hint="eastAsia"/>
                      <w:color w:val="auto"/>
                      <w:highlight w:val="none"/>
                      <w:lang w:eastAsia="zh-CN"/>
                    </w:rPr>
                    <w:t>石膏</w:t>
                  </w:r>
                  <w:r>
                    <w:rPr>
                      <w:rFonts w:hint="eastAsia"/>
                      <w:color w:val="auto"/>
                      <w:highlight w:val="none"/>
                    </w:rPr>
                    <w:t>库，以提升安全、生态环境保护水平为目的的改建除外</w:t>
                  </w:r>
                </w:p>
              </w:tc>
              <w:tc>
                <w:tcPr>
                  <w:tcW w:w="1415" w:type="pct"/>
                  <w:tcBorders>
                    <w:tl2br w:val="nil"/>
                    <w:tr2bl w:val="nil"/>
                  </w:tcBorders>
                  <w:vAlign w:val="center"/>
                </w:tcPr>
                <w:p w14:paraId="683FA4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本项目不属于新建、改建、扩建尾矿库、冶炼渣库和鳞</w:t>
                  </w:r>
                  <w:r>
                    <w:rPr>
                      <w:rFonts w:hint="eastAsia"/>
                      <w:color w:val="auto"/>
                      <w:highlight w:val="none"/>
                      <w:lang w:eastAsia="zh-CN"/>
                    </w:rPr>
                    <w:t>石膏</w:t>
                  </w:r>
                  <w:r>
                    <w:rPr>
                      <w:rFonts w:hint="eastAsia"/>
                      <w:color w:val="auto"/>
                      <w:highlight w:val="none"/>
                    </w:rPr>
                    <w:t>库</w:t>
                  </w:r>
                </w:p>
              </w:tc>
              <w:tc>
                <w:tcPr>
                  <w:tcW w:w="303" w:type="pct"/>
                  <w:tcBorders>
                    <w:tl2br w:val="nil"/>
                    <w:tr2bl w:val="nil"/>
                  </w:tcBorders>
                  <w:vAlign w:val="center"/>
                </w:tcPr>
                <w:p w14:paraId="6CA698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33CD88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 w:hRule="atLeast"/>
                <w:jc w:val="center"/>
              </w:trPr>
              <w:tc>
                <w:tcPr>
                  <w:tcW w:w="459" w:type="pct"/>
                  <w:vMerge w:val="continue"/>
                  <w:tcBorders>
                    <w:tl2br w:val="nil"/>
                    <w:tr2bl w:val="nil"/>
                  </w:tcBorders>
                  <w:vAlign w:val="center"/>
                </w:tcPr>
                <w:p w14:paraId="4719B6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06E74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禁止在合规园区外新建、扩建钢铁、石化、化工、焦化、建材、有色、制浆造纸等高污染项目</w:t>
                  </w:r>
                </w:p>
              </w:tc>
              <w:tc>
                <w:tcPr>
                  <w:tcW w:w="1415" w:type="pct"/>
                  <w:tcBorders>
                    <w:tl2br w:val="nil"/>
                    <w:tr2bl w:val="nil"/>
                  </w:tcBorders>
                  <w:vAlign w:val="center"/>
                </w:tcPr>
                <w:p w14:paraId="687732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w:t>
                  </w:r>
                  <w:r>
                    <w:rPr>
                      <w:rFonts w:hint="eastAsia"/>
                      <w:color w:val="auto"/>
                      <w:highlight w:val="none"/>
                      <w:lang w:val="en-US" w:eastAsia="zh-CN"/>
                    </w:rPr>
                    <w:t>位于建筑陶瓷产业园</w:t>
                  </w:r>
                  <w:r>
                    <w:rPr>
                      <w:rFonts w:hint="default"/>
                      <w:color w:val="auto"/>
                      <w:highlight w:val="none"/>
                    </w:rPr>
                    <w:t>，</w:t>
                  </w:r>
                  <w:r>
                    <w:rPr>
                      <w:rFonts w:hint="eastAsia"/>
                      <w:color w:val="auto"/>
                      <w:highlight w:val="none"/>
                      <w:lang w:val="en-US" w:eastAsia="zh-CN"/>
                    </w:rPr>
                    <w:t>且本项目不属于</w:t>
                  </w:r>
                  <w:r>
                    <w:rPr>
                      <w:rFonts w:hint="default"/>
                      <w:color w:val="auto"/>
                      <w:highlight w:val="none"/>
                    </w:rPr>
                    <w:t>高污染项目</w:t>
                  </w:r>
                </w:p>
              </w:tc>
              <w:tc>
                <w:tcPr>
                  <w:tcW w:w="303" w:type="pct"/>
                  <w:tcBorders>
                    <w:tl2br w:val="nil"/>
                    <w:tr2bl w:val="nil"/>
                  </w:tcBorders>
                  <w:vAlign w:val="center"/>
                </w:tcPr>
                <w:p w14:paraId="3FDA46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7C1B05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restart"/>
                  <w:tcBorders>
                    <w:tl2br w:val="nil"/>
                    <w:tr2bl w:val="nil"/>
                  </w:tcBorders>
                  <w:vAlign w:val="center"/>
                </w:tcPr>
                <w:p w14:paraId="6F028D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严格产业准入</w:t>
                  </w:r>
                </w:p>
              </w:tc>
              <w:tc>
                <w:tcPr>
                  <w:tcW w:w="2821" w:type="pct"/>
                  <w:tcBorders>
                    <w:tl2br w:val="nil"/>
                    <w:tr2bl w:val="nil"/>
                  </w:tcBorders>
                  <w:vAlign w:val="center"/>
                </w:tcPr>
                <w:p w14:paraId="4FF2AA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禁止新建、扩建不符合国家石化、现代煤化工等产业布局规划的项目</w:t>
                  </w:r>
                </w:p>
              </w:tc>
              <w:tc>
                <w:tcPr>
                  <w:tcW w:w="1415" w:type="pct"/>
                  <w:tcBorders>
                    <w:tl2br w:val="nil"/>
                    <w:tr2bl w:val="nil"/>
                  </w:tcBorders>
                  <w:vAlign w:val="center"/>
                </w:tcPr>
                <w:p w14:paraId="2B838B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不属于此类项目</w:t>
                  </w:r>
                </w:p>
              </w:tc>
              <w:tc>
                <w:tcPr>
                  <w:tcW w:w="303" w:type="pct"/>
                  <w:tcBorders>
                    <w:tl2br w:val="nil"/>
                    <w:tr2bl w:val="nil"/>
                  </w:tcBorders>
                  <w:vAlign w:val="center"/>
                </w:tcPr>
                <w:p w14:paraId="708D69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064DB9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33BA9D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193761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法律法规和相关政策明令禁止的落后产能项目，严格执行《产业结构调整指导目录》中淘汰类和限制类有关规定，禁止开展投资建设属于淘汰类的项目及其相关活动，禁止开展投资新建、扩建属于限制类的项目及其相关活动。对于属于限制类的现有生产能力，允许企业在一定期限内采取措施改造升级，严禁以改造为名扩大产能</w:t>
                  </w:r>
                </w:p>
              </w:tc>
              <w:tc>
                <w:tcPr>
                  <w:tcW w:w="1415" w:type="pct"/>
                  <w:tcBorders>
                    <w:tl2br w:val="nil"/>
                    <w:tr2bl w:val="nil"/>
                  </w:tcBorders>
                  <w:vAlign w:val="center"/>
                </w:tcPr>
                <w:p w14:paraId="7CA271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本项目不属于明令禁止的落后产能项目</w:t>
                  </w:r>
                </w:p>
              </w:tc>
              <w:tc>
                <w:tcPr>
                  <w:tcW w:w="303" w:type="pct"/>
                  <w:tcBorders>
                    <w:tl2br w:val="nil"/>
                    <w:tr2bl w:val="nil"/>
                  </w:tcBorders>
                  <w:vAlign w:val="center"/>
                </w:tcPr>
                <w:p w14:paraId="7EF133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45302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6ED72C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4FDDBF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不符合国家产能置换要求的钢铁、电解铝、水泥熟料、平板玻璃、船舶等严重过剩产能行业的项目。严格执行《国务院关于化解产能严重过剩矛盾的指导意见》，各地各部门不得以任何名义、任何方式新增产能片；对确有必要建设的，必须严格执行产能置换实施办法，实施减量或等量置换，依法依规办理有关手续</w:t>
                  </w:r>
                </w:p>
              </w:tc>
              <w:tc>
                <w:tcPr>
                  <w:tcW w:w="1415" w:type="pct"/>
                  <w:tcBorders>
                    <w:tl2br w:val="nil"/>
                    <w:tr2bl w:val="nil"/>
                  </w:tcBorders>
                  <w:vAlign w:val="center"/>
                </w:tcPr>
                <w:p w14:paraId="090BA9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本项目不属于新建、扩建不符合国家产能置换要求的钢铁、电解铝、水泥熟料、平板玻璃、船舶等严重过剩产能行业的项目</w:t>
                  </w:r>
                </w:p>
              </w:tc>
              <w:tc>
                <w:tcPr>
                  <w:tcW w:w="303" w:type="pct"/>
                  <w:tcBorders>
                    <w:tl2br w:val="nil"/>
                    <w:tr2bl w:val="nil"/>
                  </w:tcBorders>
                  <w:vAlign w:val="center"/>
                </w:tcPr>
                <w:p w14:paraId="1F7421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r w14:paraId="09B53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459" w:type="pct"/>
                  <w:vMerge w:val="continue"/>
                  <w:tcBorders>
                    <w:tl2br w:val="nil"/>
                    <w:tr2bl w:val="nil"/>
                  </w:tcBorders>
                  <w:vAlign w:val="center"/>
                </w:tcPr>
                <w:p w14:paraId="62D792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821" w:type="pct"/>
                  <w:tcBorders>
                    <w:tl2br w:val="nil"/>
                    <w:tr2bl w:val="nil"/>
                  </w:tcBorders>
                  <w:vAlign w:val="center"/>
                </w:tcPr>
                <w:p w14:paraId="032D62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禁止新建、扩建不符合要求的高耗能高排放项目。严格执行《江西省人民政府办公厅关于严格高耗能高排放项目准入管理的实施意见》（赣府厅发〔</w:t>
                  </w:r>
                  <w:r>
                    <w:rPr>
                      <w:rFonts w:hint="default"/>
                      <w:color w:val="auto"/>
                      <w:highlight w:val="none"/>
                    </w:rPr>
                    <w:t>2021</w:t>
                  </w:r>
                  <w:r>
                    <w:rPr>
                      <w:rFonts w:hint="eastAsia"/>
                      <w:color w:val="auto"/>
                      <w:highlight w:val="none"/>
                    </w:rPr>
                    <w:t>〕</w:t>
                  </w:r>
                  <w:r>
                    <w:rPr>
                      <w:rFonts w:hint="default"/>
                      <w:color w:val="auto"/>
                      <w:highlight w:val="none"/>
                    </w:rPr>
                    <w:t>33</w:t>
                  </w:r>
                  <w:r>
                    <w:rPr>
                      <w:rFonts w:hint="eastAsia"/>
                      <w:color w:val="auto"/>
                      <w:highlight w:val="none"/>
                    </w:rPr>
                    <w:t>号），加强项目审查论证，落实等量、减量替代要求，规范项目行政审批</w:t>
                  </w:r>
                </w:p>
              </w:tc>
              <w:tc>
                <w:tcPr>
                  <w:tcW w:w="1415" w:type="pct"/>
                  <w:tcBorders>
                    <w:tl2br w:val="nil"/>
                    <w:tr2bl w:val="nil"/>
                  </w:tcBorders>
                  <w:vAlign w:val="center"/>
                </w:tcPr>
                <w:p w14:paraId="7F1D03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本项目不属于高耗能高排放项目</w:t>
                  </w:r>
                </w:p>
              </w:tc>
              <w:tc>
                <w:tcPr>
                  <w:tcW w:w="303" w:type="pct"/>
                  <w:tcBorders>
                    <w:tl2br w:val="nil"/>
                    <w:tr2bl w:val="nil"/>
                  </w:tcBorders>
                  <w:vAlign w:val="center"/>
                </w:tcPr>
                <w:p w14:paraId="172BE3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auto"/>
                      <w:highlight w:val="none"/>
                    </w:rPr>
                    <w:t>符合</w:t>
                  </w:r>
                </w:p>
              </w:tc>
            </w:tr>
          </w:tbl>
          <w:p w14:paraId="1E783BE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eastAsia="zh-CN"/>
              </w:rPr>
              <w:t>综上，</w:t>
            </w:r>
            <w:r>
              <w:rPr>
                <w:rFonts w:hint="eastAsia"/>
                <w:color w:val="auto"/>
                <w:highlight w:val="none"/>
              </w:rPr>
              <w:t>本项目与《江西省长江经济带发展负面清单实施细则（试行，</w:t>
            </w:r>
            <w:r>
              <w:rPr>
                <w:rFonts w:hint="default"/>
                <w:color w:val="auto"/>
                <w:highlight w:val="none"/>
              </w:rPr>
              <w:t>2022</w:t>
            </w:r>
            <w:r>
              <w:rPr>
                <w:rFonts w:hint="eastAsia"/>
                <w:color w:val="auto"/>
                <w:highlight w:val="none"/>
              </w:rPr>
              <w:t>年版）》（赣长江办〔</w:t>
            </w:r>
            <w:r>
              <w:rPr>
                <w:rFonts w:hint="default"/>
                <w:color w:val="auto"/>
                <w:highlight w:val="none"/>
              </w:rPr>
              <w:t>2022</w:t>
            </w:r>
            <w:r>
              <w:rPr>
                <w:rFonts w:hint="eastAsia"/>
                <w:color w:val="auto"/>
                <w:highlight w:val="none"/>
              </w:rPr>
              <w:t>〕</w:t>
            </w:r>
            <w:r>
              <w:rPr>
                <w:rFonts w:hint="default"/>
                <w:color w:val="auto"/>
                <w:highlight w:val="none"/>
              </w:rPr>
              <w:t>7</w:t>
            </w:r>
            <w:r>
              <w:rPr>
                <w:rFonts w:hint="eastAsia"/>
                <w:color w:val="auto"/>
                <w:highlight w:val="none"/>
              </w:rPr>
              <w:t>号）相符。</w:t>
            </w:r>
          </w:p>
          <w:p w14:paraId="569A67D4">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6、与江西省生态环境厅关于印发《固体废物管理指南锂盐生产(试行)》（赣环固体字〔2023〕372号）的通知相符性分析</w:t>
            </w:r>
          </w:p>
          <w:p w14:paraId="0F4F61C7">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根据政府发布批文〔关于以更高标准推动高水平生态环境保护促进锂电新能源产业高质量发展的实施意见〕，（五）、强化锂冶炼剩余物监管。全面掌握锂盐企业数量、布局、产能、产量及锂冶炼剩余物产生情况，指导督促属地压实企业主体责任，做好锂盐企业的生产管理工作，如实规范填写固废产生、储存、处置利用三本台账，并及时在监管平台填报有关数据，实现工业固废可追溯、可查询闭环管理；按照国家标准建设一般固体废物和危险废物贮存设施、场所，安全分类存放。指导企业对锂冶炼剩余物进行属性鉴定，鉴定结果出具前按照省生态环境厅制定的《固体废物环境管理指南锂盐生产(试行)》要求进行管理。本项目与江西省生态环境厅关于印发《固体废物管理指南锂盐生产(试行)》（赣环固体字〔2023〕372号）的通知相符性分析见下表。</w:t>
            </w:r>
          </w:p>
          <w:p w14:paraId="48A132B9">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与（赣环固体字〔2023〕372号）相符性分析表</w:t>
            </w:r>
          </w:p>
          <w:tbl>
            <w:tblPr>
              <w:tblStyle w:val="26"/>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1"/>
              <w:gridCol w:w="4491"/>
              <w:gridCol w:w="2761"/>
              <w:gridCol w:w="523"/>
            </w:tblGrid>
            <w:tr w14:paraId="6231B1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1B0F0A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firstLine="0" w:firstLineChars="0"/>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序号</w:t>
                  </w:r>
                </w:p>
              </w:tc>
              <w:tc>
                <w:tcPr>
                  <w:tcW w:w="4491" w:type="dxa"/>
                  <w:tcBorders>
                    <w:tl2br w:val="nil"/>
                    <w:tr2bl w:val="nil"/>
                  </w:tcBorders>
                  <w:vAlign w:val="center"/>
                </w:tcPr>
                <w:p w14:paraId="793576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文件要求</w:t>
                  </w:r>
                </w:p>
              </w:tc>
              <w:tc>
                <w:tcPr>
                  <w:tcW w:w="2761" w:type="dxa"/>
                  <w:tcBorders>
                    <w:tl2br w:val="nil"/>
                    <w:tr2bl w:val="nil"/>
                  </w:tcBorders>
                  <w:vAlign w:val="center"/>
                </w:tcPr>
                <w:p w14:paraId="0915AD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本项目情况</w:t>
                  </w:r>
                </w:p>
              </w:tc>
              <w:tc>
                <w:tcPr>
                  <w:tcW w:w="523" w:type="dxa"/>
                  <w:tcBorders>
                    <w:tl2br w:val="nil"/>
                    <w:tr2bl w:val="nil"/>
                  </w:tcBorders>
                  <w:vAlign w:val="center"/>
                </w:tcPr>
                <w:p w14:paraId="737997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firstLine="0" w:firstLineChars="0"/>
                    <w:jc w:val="center"/>
                    <w:textAlignment w:val="auto"/>
                    <w:rPr>
                      <w:rFonts w:hint="default"/>
                      <w:b/>
                      <w:bCs/>
                      <w:color w:val="auto"/>
                      <w:sz w:val="21"/>
                      <w:szCs w:val="21"/>
                      <w:highlight w:val="none"/>
                      <w:lang w:val="en-US" w:eastAsia="zh-CN"/>
                    </w:rPr>
                  </w:pPr>
                  <w:r>
                    <w:rPr>
                      <w:rFonts w:hint="eastAsia"/>
                      <w:b/>
                      <w:bCs/>
                      <w:color w:val="auto"/>
                      <w:sz w:val="21"/>
                      <w:szCs w:val="21"/>
                      <w:highlight w:val="none"/>
                      <w:lang w:val="en-US" w:eastAsia="zh-CN"/>
                    </w:rPr>
                    <w:t>相符性</w:t>
                  </w:r>
                </w:p>
              </w:tc>
            </w:tr>
            <w:tr w14:paraId="027A01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4CEA3B4F">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1</w:t>
                  </w:r>
                </w:p>
              </w:tc>
              <w:tc>
                <w:tcPr>
                  <w:tcW w:w="4491" w:type="dxa"/>
                  <w:tcBorders>
                    <w:tl2br w:val="nil"/>
                    <w:tr2bl w:val="nil"/>
                  </w:tcBorders>
                  <w:vAlign w:val="center"/>
                </w:tcPr>
                <w:p w14:paraId="5C6682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污染环境防治责任制度。建立健全固体废物产生、收集、贮存、运输、利用、处置全过程的污染环境防治责任制度，坚持减量化、资源化、无害化原则，妥善利用处置产生的固体废物。加强危险废物规范化环境管理，提升重金属环境风险防范水平。</w:t>
                  </w:r>
                </w:p>
              </w:tc>
              <w:tc>
                <w:tcPr>
                  <w:tcW w:w="2761" w:type="dxa"/>
                  <w:tcBorders>
                    <w:tl2br w:val="nil"/>
                    <w:tr2bl w:val="nil"/>
                  </w:tcBorders>
                  <w:vAlign w:val="center"/>
                </w:tcPr>
                <w:p w14:paraId="1FD112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建立固体废物产生、收集、贮存、运输、利用、处置全过程的污染环境防治责任制度，坚持减量化、资源化、无害化原则，妥善利用处置产生的固体废物。加强危险废物规范化环境管理，提升重金属环境风险防范水平。</w:t>
                  </w:r>
                </w:p>
              </w:tc>
              <w:tc>
                <w:tcPr>
                  <w:tcW w:w="523" w:type="dxa"/>
                  <w:tcBorders>
                    <w:tl2br w:val="nil"/>
                    <w:tr2bl w:val="nil"/>
                  </w:tcBorders>
                  <w:vAlign w:val="center"/>
                </w:tcPr>
                <w:p w14:paraId="622316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lang w:val="en-US" w:eastAsia="zh-CN"/>
                    </w:rPr>
                  </w:pPr>
                  <w:r>
                    <w:rPr>
                      <w:rFonts w:hint="eastAsia"/>
                      <w:color w:val="auto"/>
                      <w:highlight w:val="none"/>
                      <w:lang w:val="en-US" w:eastAsia="zh-CN"/>
                    </w:rPr>
                    <w:t>符合</w:t>
                  </w:r>
                </w:p>
              </w:tc>
            </w:tr>
            <w:tr w14:paraId="286558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45FDD77B">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2</w:t>
                  </w:r>
                </w:p>
              </w:tc>
              <w:tc>
                <w:tcPr>
                  <w:tcW w:w="4491" w:type="dxa"/>
                  <w:tcBorders>
                    <w:tl2br w:val="nil"/>
                    <w:tr2bl w:val="nil"/>
                  </w:tcBorders>
                  <w:vAlign w:val="center"/>
                </w:tcPr>
                <w:p w14:paraId="31C512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环境影响评价制度及环境保护“三同时”制度。依法开展环境影响评价，按照环评及批复要求使用含锂原料。落实《建设项目危险废物环境影响评价指南》要求，对产生的固体废物属性、种类、数量、利用或处置方式、环境影响以及环境风险等进行科学评价，并提出切实可行的污染防治对策措施。需要配套建设的固体废物贮存、利用和处置设施应当与主体工程同时设计、同时施工、同时投入使用。</w:t>
                  </w:r>
                </w:p>
              </w:tc>
              <w:tc>
                <w:tcPr>
                  <w:tcW w:w="2761" w:type="dxa"/>
                  <w:tcBorders>
                    <w:tl2br w:val="nil"/>
                    <w:tr2bl w:val="nil"/>
                  </w:tcBorders>
                  <w:vAlign w:val="center"/>
                </w:tcPr>
                <w:p w14:paraId="3F7EC4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本项目正在开展环境影响评价，严格按环评及批复要求使用含锂原料。配套建设固体废物贮存等设施，严格落实“三同时”制度。</w:t>
                  </w:r>
                </w:p>
              </w:tc>
              <w:tc>
                <w:tcPr>
                  <w:tcW w:w="523" w:type="dxa"/>
                  <w:tcBorders>
                    <w:tl2br w:val="nil"/>
                    <w:tr2bl w:val="nil"/>
                  </w:tcBorders>
                  <w:vAlign w:val="center"/>
                </w:tcPr>
                <w:p w14:paraId="5018D7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51E704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01" w:type="dxa"/>
                  <w:tcBorders>
                    <w:tl2br w:val="nil"/>
                    <w:tr2bl w:val="nil"/>
                  </w:tcBorders>
                  <w:vAlign w:val="center"/>
                </w:tcPr>
                <w:p w14:paraId="3C45A142">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3</w:t>
                  </w:r>
                </w:p>
              </w:tc>
              <w:tc>
                <w:tcPr>
                  <w:tcW w:w="4491" w:type="dxa"/>
                  <w:tcBorders>
                    <w:tl2br w:val="nil"/>
                    <w:tr2bl w:val="nil"/>
                  </w:tcBorders>
                  <w:vAlign w:val="center"/>
                </w:tcPr>
                <w:p w14:paraId="70D4A5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落实危险废物鉴别管理制度。浸出渣、除杂渣（净化渣）、钾钠盐、烟气脱氟脱硫渣委外利用处置时，应根据《国家危险废物名录》</w:t>
                  </w:r>
                  <w:r>
                    <w:rPr>
                      <w:rFonts w:hint="eastAsia"/>
                      <w:color w:val="FF0000"/>
                      <w:highlight w:val="none"/>
                      <w:lang w:val="en-US" w:eastAsia="zh-CN"/>
                    </w:rPr>
                    <w:t>（2025年版）</w:t>
                  </w:r>
                  <w:r>
                    <w:rPr>
                      <w:rFonts w:hint="eastAsia"/>
                      <w:color w:val="auto"/>
                      <w:highlight w:val="none"/>
                      <w:lang w:val="en-US" w:eastAsia="zh-CN"/>
                    </w:rPr>
                    <w:t>《危险废物鉴别标准》(GB5085.1―7)《危险废物鉴别技术规范》（HJ298）等进行鉴别，根据氟化物、铊、铍等特征污染因子浸出毒性、毒性物质含量判定其是否属于危险废物。对经鉴别属于一般工业固体废物的，应进一步检测分析明确其一般工业固体废物类型（第Ⅰ类或第Ⅱ类一般工业固体废物）。因原料、生产工艺发生变化可能造成固体废物属性发生变化的，应重新开展鉴别。未明确属性的固体废物采用危险废物“点对点”方式定向利用的，按照危险废物进行管理。</w:t>
                  </w:r>
                </w:p>
              </w:tc>
              <w:tc>
                <w:tcPr>
                  <w:tcW w:w="2761" w:type="dxa"/>
                  <w:tcBorders>
                    <w:tl2br w:val="nil"/>
                    <w:tr2bl w:val="nil"/>
                  </w:tcBorders>
                  <w:vAlign w:val="center"/>
                </w:tcPr>
                <w:p w14:paraId="65D230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本项目原料为上游已鉴定为一般固废的锂渣</w:t>
                  </w:r>
                  <w:r>
                    <w:rPr>
                      <w:rFonts w:hint="eastAsia"/>
                      <w:color w:val="FF0000"/>
                      <w:highlight w:val="none"/>
                      <w:lang w:val="en-US" w:eastAsia="zh-CN"/>
                    </w:rPr>
                    <w:t>，若</w:t>
                  </w:r>
                  <w:r>
                    <w:rPr>
                      <w:rFonts w:hint="default" w:ascii="Times New Roman" w:hAnsi="Times New Roman" w:eastAsia="宋体" w:cs="Times New Roman"/>
                      <w:b w:val="0"/>
                      <w:bCs w:val="0"/>
                      <w:color w:val="FF0000"/>
                      <w:sz w:val="21"/>
                      <w:szCs w:val="21"/>
                      <w:highlight w:val="none"/>
                    </w:rPr>
                    <w:t>因原料、生产工艺发生变化可能造成固体废物属性发生变化的，应重新开展鉴别</w:t>
                  </w:r>
                  <w:r>
                    <w:rPr>
                      <w:rFonts w:hint="eastAsia" w:ascii="Times New Roman" w:hAnsi="Times New Roman" w:eastAsia="宋体" w:cs="Times New Roman"/>
                      <w:b w:val="0"/>
                      <w:bCs w:val="0"/>
                      <w:color w:val="FF0000"/>
                      <w:sz w:val="21"/>
                      <w:szCs w:val="21"/>
                      <w:highlight w:val="none"/>
                      <w:lang w:eastAsia="zh-CN"/>
                    </w:rPr>
                    <w:t>；</w:t>
                  </w:r>
                  <w:r>
                    <w:rPr>
                      <w:rFonts w:hint="eastAsia"/>
                      <w:color w:val="FF0000"/>
                      <w:highlight w:val="none"/>
                      <w:lang w:val="en-US" w:eastAsia="zh-CN"/>
                    </w:rPr>
                    <w:t>环评要求入场前需进一步检测分析明确其一般工业固体废物类型，否则不允许入厂</w:t>
                  </w:r>
                  <w:r>
                    <w:rPr>
                      <w:rFonts w:hint="eastAsia" w:ascii="Times New Roman" w:hAnsi="Times New Roman" w:eastAsia="宋体" w:cs="Times New Roman"/>
                      <w:b w:val="0"/>
                      <w:bCs w:val="0"/>
                      <w:color w:val="auto"/>
                      <w:sz w:val="21"/>
                      <w:szCs w:val="21"/>
                      <w:highlight w:val="none"/>
                      <w:lang w:eastAsia="zh-CN"/>
                    </w:rPr>
                    <w:t>；</w:t>
                  </w:r>
                  <w:r>
                    <w:rPr>
                      <w:rFonts w:hint="eastAsia"/>
                      <w:color w:val="auto"/>
                      <w:highlight w:val="none"/>
                      <w:lang w:val="en-US" w:eastAsia="zh-CN"/>
                    </w:rPr>
                    <w:t>本项目危险废物贮存及处置按照《危险废物贮存污染控制标准》（GB18597-2023）要求执行。</w:t>
                  </w:r>
                </w:p>
              </w:tc>
              <w:tc>
                <w:tcPr>
                  <w:tcW w:w="523" w:type="dxa"/>
                  <w:tcBorders>
                    <w:tl2br w:val="nil"/>
                    <w:tr2bl w:val="nil"/>
                  </w:tcBorders>
                  <w:vAlign w:val="center"/>
                </w:tcPr>
                <w:p w14:paraId="3A75D3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09E3F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31BAA430">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4</w:t>
                  </w:r>
                </w:p>
              </w:tc>
              <w:tc>
                <w:tcPr>
                  <w:tcW w:w="4491" w:type="dxa"/>
                  <w:tcBorders>
                    <w:tl2br w:val="nil"/>
                    <w:tr2bl w:val="nil"/>
                  </w:tcBorders>
                  <w:vAlign w:val="center"/>
                </w:tcPr>
                <w:p w14:paraId="55D90B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固体废物识别标志制度。按照《危险废物识别标志设置技术规范》（HJ1276）有关规定，对危险废物的容器和包装物以及贮存、运输、利用、处置危险废物的设施、场所设置危险废物识别标志。一般工业固体废物贮存、处置场图形标志按照《环境保护图形标志固体废物贮存（处置）场》（GB15562.2）要求设置。</w:t>
                  </w:r>
                </w:p>
              </w:tc>
              <w:tc>
                <w:tcPr>
                  <w:tcW w:w="2761" w:type="dxa"/>
                  <w:tcBorders>
                    <w:tl2br w:val="nil"/>
                    <w:tr2bl w:val="nil"/>
                  </w:tcBorders>
                  <w:vAlign w:val="center"/>
                </w:tcPr>
                <w:p w14:paraId="5D714D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本项目建成后落实固体废物识别标志制度。</w:t>
                  </w:r>
                </w:p>
              </w:tc>
              <w:tc>
                <w:tcPr>
                  <w:tcW w:w="523" w:type="dxa"/>
                  <w:tcBorders>
                    <w:tl2br w:val="nil"/>
                    <w:tr2bl w:val="nil"/>
                  </w:tcBorders>
                  <w:vAlign w:val="center"/>
                </w:tcPr>
                <w:p w14:paraId="696584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59D3A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476C89F4">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5</w:t>
                  </w:r>
                </w:p>
              </w:tc>
              <w:tc>
                <w:tcPr>
                  <w:tcW w:w="4491" w:type="dxa"/>
                  <w:tcBorders>
                    <w:tl2br w:val="nil"/>
                    <w:tr2bl w:val="nil"/>
                  </w:tcBorders>
                  <w:vAlign w:val="center"/>
                </w:tcPr>
                <w:p w14:paraId="02340A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落实危险废物管理计划制度。按照《危险废物管理计划和管理台账制定技术导则》有关要求通过固体废物管理信息系统填报危险废物管理计划，并通过系统报所在地生态环境主管部门备案。</w:t>
                  </w:r>
                </w:p>
              </w:tc>
              <w:tc>
                <w:tcPr>
                  <w:tcW w:w="2761" w:type="dxa"/>
                  <w:tcBorders>
                    <w:tl2br w:val="nil"/>
                    <w:tr2bl w:val="nil"/>
                  </w:tcBorders>
                  <w:vAlign w:val="center"/>
                </w:tcPr>
                <w:p w14:paraId="2CC733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本项目建成后落实危险废物管理计划制度。</w:t>
                  </w:r>
                </w:p>
              </w:tc>
              <w:tc>
                <w:tcPr>
                  <w:tcW w:w="523" w:type="dxa"/>
                  <w:tcBorders>
                    <w:tl2br w:val="nil"/>
                    <w:tr2bl w:val="nil"/>
                  </w:tcBorders>
                  <w:vAlign w:val="center"/>
                </w:tcPr>
                <w:p w14:paraId="75C9BC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16ACDB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58902995">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6</w:t>
                  </w:r>
                </w:p>
              </w:tc>
              <w:tc>
                <w:tcPr>
                  <w:tcW w:w="4491" w:type="dxa"/>
                  <w:tcBorders>
                    <w:tl2br w:val="nil"/>
                    <w:tr2bl w:val="nil"/>
                  </w:tcBorders>
                  <w:vAlign w:val="center"/>
                </w:tcPr>
                <w:p w14:paraId="2C24B3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落实排污许可制度。申请排污许可证应符合《排污许可证申请与核发技术规范工业固体废物（试行）》（HJ1200）有关要求。已经取得排污许可证的，执行排污许可管理制度的规定。</w:t>
                  </w:r>
                </w:p>
              </w:tc>
              <w:tc>
                <w:tcPr>
                  <w:tcW w:w="2761" w:type="dxa"/>
                  <w:tcBorders>
                    <w:tl2br w:val="nil"/>
                    <w:tr2bl w:val="nil"/>
                  </w:tcBorders>
                  <w:vAlign w:val="center"/>
                </w:tcPr>
                <w:p w14:paraId="2D292D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本项目为扩建项目已按要求申请排污许可证并落实排污许可制度。</w:t>
                  </w:r>
                </w:p>
              </w:tc>
              <w:tc>
                <w:tcPr>
                  <w:tcW w:w="523" w:type="dxa"/>
                  <w:tcBorders>
                    <w:tl2br w:val="nil"/>
                    <w:tr2bl w:val="nil"/>
                  </w:tcBorders>
                  <w:vAlign w:val="center"/>
                </w:tcPr>
                <w:p w14:paraId="56DAED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6215F4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01" w:type="dxa"/>
                  <w:tcBorders>
                    <w:tl2br w:val="nil"/>
                    <w:tr2bl w:val="nil"/>
                  </w:tcBorders>
                  <w:vAlign w:val="center"/>
                </w:tcPr>
                <w:p w14:paraId="35412A16">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7</w:t>
                  </w:r>
                </w:p>
              </w:tc>
              <w:tc>
                <w:tcPr>
                  <w:tcW w:w="4491" w:type="dxa"/>
                  <w:tcBorders>
                    <w:tl2br w:val="nil"/>
                    <w:tr2bl w:val="nil"/>
                  </w:tcBorders>
                  <w:vAlign w:val="center"/>
                </w:tcPr>
                <w:p w14:paraId="30C7E4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固体废物管理台账及申报制度。建立固体废物电子或纸质管理台账，如实记录固体废物的种类、数量、流向、贮存、利用、处置等信息，并通过固体废物管理信息系统或纸质方式向所在地生态环境主管部门申报固体废物的种类、数量、流向、贮存、利用、处置等有关资料，实现工业固体废物可追溯、可查询。</w:t>
                  </w:r>
                </w:p>
              </w:tc>
              <w:tc>
                <w:tcPr>
                  <w:tcW w:w="2761" w:type="dxa"/>
                  <w:tcBorders>
                    <w:tl2br w:val="nil"/>
                    <w:tr2bl w:val="nil"/>
                  </w:tcBorders>
                  <w:vAlign w:val="center"/>
                </w:tcPr>
                <w:p w14:paraId="6E583B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本项目建成后建立固废台账，落实固体废物管理台账及申报制度。</w:t>
                  </w:r>
                </w:p>
              </w:tc>
              <w:tc>
                <w:tcPr>
                  <w:tcW w:w="523" w:type="dxa"/>
                  <w:tcBorders>
                    <w:tl2br w:val="nil"/>
                    <w:tr2bl w:val="nil"/>
                  </w:tcBorders>
                  <w:vAlign w:val="center"/>
                </w:tcPr>
                <w:p w14:paraId="5B045E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220111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3CF458E3">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8</w:t>
                  </w:r>
                </w:p>
              </w:tc>
              <w:tc>
                <w:tcPr>
                  <w:tcW w:w="4491" w:type="dxa"/>
                  <w:tcBorders>
                    <w:tl2br w:val="nil"/>
                    <w:tr2bl w:val="nil"/>
                  </w:tcBorders>
                  <w:vAlign w:val="center"/>
                </w:tcPr>
                <w:p w14:paraId="533BC3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落实危险废物经营许可证制度。禁止将危险废物提供或委托给无危险废物经营许可证的单位或者其他生产经营者从事收集、贮存、利用、处置活动。</w:t>
                  </w:r>
                </w:p>
              </w:tc>
              <w:tc>
                <w:tcPr>
                  <w:tcW w:w="2761" w:type="dxa"/>
                  <w:tcBorders>
                    <w:tl2br w:val="nil"/>
                    <w:tr2bl w:val="nil"/>
                  </w:tcBorders>
                  <w:vAlign w:val="center"/>
                </w:tcPr>
                <w:p w14:paraId="0F5E0B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本项目危废交由资质单位处置。</w:t>
                  </w:r>
                </w:p>
              </w:tc>
              <w:tc>
                <w:tcPr>
                  <w:tcW w:w="523" w:type="dxa"/>
                  <w:tcBorders>
                    <w:tl2br w:val="nil"/>
                    <w:tr2bl w:val="nil"/>
                  </w:tcBorders>
                  <w:vAlign w:val="center"/>
                </w:tcPr>
                <w:p w14:paraId="5ECC50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72EABE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64334714">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9</w:t>
                  </w:r>
                </w:p>
              </w:tc>
              <w:tc>
                <w:tcPr>
                  <w:tcW w:w="4491" w:type="dxa"/>
                  <w:tcBorders>
                    <w:tl2br w:val="nil"/>
                    <w:tr2bl w:val="nil"/>
                  </w:tcBorders>
                  <w:vAlign w:val="center"/>
                </w:tcPr>
                <w:p w14:paraId="3FF5B0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危险废物转移制度。转移危险废物的，应按照《危险废物转移管理办法》有关规定通过固体废物管理信息系统填写、运行危险废物转移联单。跨省、自治区、直辖市转移危险废物的，应取得危险废物跨省转移行政许可。运输危险废物，应当采取防止污染环境的措施，并遵守国家有关危险货物运输管理的规定。</w:t>
                  </w:r>
                </w:p>
              </w:tc>
              <w:tc>
                <w:tcPr>
                  <w:tcW w:w="2761" w:type="dxa"/>
                  <w:tcBorders>
                    <w:tl2br w:val="nil"/>
                    <w:tr2bl w:val="nil"/>
                  </w:tcBorders>
                  <w:vAlign w:val="center"/>
                </w:tcPr>
                <w:p w14:paraId="07672C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本项目建成后落实危险废物转移制度。</w:t>
                  </w:r>
                </w:p>
              </w:tc>
              <w:tc>
                <w:tcPr>
                  <w:tcW w:w="523" w:type="dxa"/>
                  <w:tcBorders>
                    <w:tl2br w:val="nil"/>
                    <w:tr2bl w:val="nil"/>
                  </w:tcBorders>
                  <w:vAlign w:val="center"/>
                </w:tcPr>
                <w:p w14:paraId="4D2D96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496659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195536BC">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10</w:t>
                  </w:r>
                </w:p>
              </w:tc>
              <w:tc>
                <w:tcPr>
                  <w:tcW w:w="4491" w:type="dxa"/>
                  <w:tcBorders>
                    <w:tl2br w:val="nil"/>
                    <w:tr2bl w:val="nil"/>
                  </w:tcBorders>
                  <w:vAlign w:val="center"/>
                </w:tcPr>
                <w:p w14:paraId="147171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固体废物委托核实制度。工业固体废物委托他人运输、利用、处置的，应对受托方的主体资格和技术能力进行核实，依法签订书面合同，在合同中约定污染防治要求。跨省、自治区、直辖市转移一般工业固体废物进行贮存、处置的，应取得跨省转移行政许可；跨省、自治区、直辖市转移一般工业固体废物进行利用的，应报省级生态环境主管部门备案。</w:t>
                  </w:r>
                </w:p>
              </w:tc>
              <w:tc>
                <w:tcPr>
                  <w:tcW w:w="2761" w:type="dxa"/>
                  <w:tcBorders>
                    <w:tl2br w:val="nil"/>
                    <w:tr2bl w:val="nil"/>
                  </w:tcBorders>
                  <w:vAlign w:val="center"/>
                </w:tcPr>
                <w:p w14:paraId="694844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本项目建成后按要求执行固体废物委托核实制度。</w:t>
                  </w:r>
                </w:p>
              </w:tc>
              <w:tc>
                <w:tcPr>
                  <w:tcW w:w="523" w:type="dxa"/>
                  <w:tcBorders>
                    <w:tl2br w:val="nil"/>
                    <w:tr2bl w:val="nil"/>
                  </w:tcBorders>
                  <w:vAlign w:val="center"/>
                </w:tcPr>
                <w:p w14:paraId="3C7EA5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2C787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01" w:type="dxa"/>
                  <w:tcBorders>
                    <w:tl2br w:val="nil"/>
                    <w:tr2bl w:val="nil"/>
                  </w:tcBorders>
                  <w:vAlign w:val="center"/>
                </w:tcPr>
                <w:p w14:paraId="072A162F">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11</w:t>
                  </w:r>
                </w:p>
              </w:tc>
              <w:tc>
                <w:tcPr>
                  <w:tcW w:w="4491" w:type="dxa"/>
                  <w:tcBorders>
                    <w:tl2br w:val="nil"/>
                    <w:tr2bl w:val="nil"/>
                  </w:tcBorders>
                  <w:vAlign w:val="center"/>
                </w:tcPr>
                <w:p w14:paraId="5215AD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落实环境应急预案制度。参照《危险废物经营单位编制应急预案指南》有关规定制定意外事故的防范措施和环境应急预案，并向所在地生态环境主管部门备案。针对事故易发环节，每年至少开展一次应急预案演练。</w:t>
                  </w:r>
                </w:p>
              </w:tc>
              <w:tc>
                <w:tcPr>
                  <w:tcW w:w="2761" w:type="dxa"/>
                  <w:tcBorders>
                    <w:tl2br w:val="nil"/>
                    <w:tr2bl w:val="nil"/>
                  </w:tcBorders>
                  <w:vAlign w:val="center"/>
                </w:tcPr>
                <w:p w14:paraId="0AFA2D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本项目按要求编制突发环境事件应急预案完成备案工作并组织每年不少于1次的应急演练。</w:t>
                  </w:r>
                </w:p>
              </w:tc>
              <w:tc>
                <w:tcPr>
                  <w:tcW w:w="523" w:type="dxa"/>
                  <w:tcBorders>
                    <w:tl2br w:val="nil"/>
                    <w:tr2bl w:val="nil"/>
                  </w:tcBorders>
                  <w:vAlign w:val="center"/>
                </w:tcPr>
                <w:p w14:paraId="043B19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4B1DC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1D396C8C">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12</w:t>
                  </w:r>
                </w:p>
              </w:tc>
              <w:tc>
                <w:tcPr>
                  <w:tcW w:w="4491" w:type="dxa"/>
                  <w:tcBorders>
                    <w:tl2br w:val="nil"/>
                    <w:tr2bl w:val="nil"/>
                  </w:tcBorders>
                  <w:vAlign w:val="center"/>
                </w:tcPr>
                <w:p w14:paraId="0A0E89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规范贮存固体废物。按照国家有关规定和环境保护标准要求贮存固体废物。一般工业固体废物贮存按照《一般工业固体废物贮存和填埋污染控制标准》（GB18599）执行。危险废物收集、贮存应当按照其特性分类进行，禁止将危险废物混入非危险废物中贮存。危险废物及未经鉴别明确固废属性的浸出渣、除杂渣（净化渣）、钾钠盐、烟气脱氟脱硫渣收集、贮存过程污染控制执行《危险物贮存污染控制标准》(GB18597)《危险废物收集贮存运输技术规范》（HJ2025）有关规定。已建成投入使用或环境影响评价文件已通过审批的贮存设施，自2025年9月1日起执行本指南要求，新建贮存设施自本指南发布之日起执行。</w:t>
                  </w:r>
                </w:p>
              </w:tc>
              <w:tc>
                <w:tcPr>
                  <w:tcW w:w="2761" w:type="dxa"/>
                  <w:tcBorders>
                    <w:tl2br w:val="nil"/>
                    <w:tr2bl w:val="nil"/>
                  </w:tcBorders>
                  <w:vAlign w:val="center"/>
                </w:tcPr>
                <w:p w14:paraId="15ED69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规范贮存固体废物。一般工业固体废物贮存按照《一般工业固体废物贮存和填埋污染控制标准》（GB18599）执行。危险废物收集、贮存过程污染控制执行《危险废物贮存污染控制标准》(GB18597)《危险废物收集贮存运输技术规范》（HJ2025）有关规定。</w:t>
                  </w:r>
                </w:p>
              </w:tc>
              <w:tc>
                <w:tcPr>
                  <w:tcW w:w="523" w:type="dxa"/>
                  <w:tcBorders>
                    <w:tl2br w:val="nil"/>
                    <w:tr2bl w:val="nil"/>
                  </w:tcBorders>
                  <w:vAlign w:val="center"/>
                </w:tcPr>
                <w:p w14:paraId="049E01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r w14:paraId="4D2198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1" w:type="dxa"/>
                  <w:tcBorders>
                    <w:tl2br w:val="nil"/>
                    <w:tr2bl w:val="nil"/>
                  </w:tcBorders>
                  <w:vAlign w:val="center"/>
                </w:tcPr>
                <w:p w14:paraId="1D63C9BC">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13</w:t>
                  </w:r>
                </w:p>
              </w:tc>
              <w:tc>
                <w:tcPr>
                  <w:tcW w:w="4491" w:type="dxa"/>
                  <w:tcBorders>
                    <w:tl2br w:val="nil"/>
                    <w:tr2bl w:val="nil"/>
                  </w:tcBorders>
                  <w:vAlign w:val="center"/>
                </w:tcPr>
                <w:p w14:paraId="6276F3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规范开展固体废物利用处置活动。固体废物利用应遵循《固体废物再生利用污染防治技术导则》（HJ1091）有关规定，利用过程的污染控制应符合相应污染物排放标准要求。采取建材方式进行综合利用的，建材产品中砷、铅、镉、铬、铜、镍、锌、锰重金属含量及可浸出重金属含量参照《水泥窑协同处置固体废物技术规范》（GB30760）执行；固体废物填埋应按照《危险废物填埋污染控制标准》(GB18598)《一般工业固体废物贮存和填埋污染控制标准》（GB18599）进行选址、设计、施工及运行，并采取必要的风险防范措施，按照要求开展自行监测工作。进入Ⅰ类场的一般工业固体废物水溶性盐总量应小于2%，进入Ⅱ类场的应小于5%。鼓励开展一般工业固体废物充填或回填活动，充填或回填前应开展环境本底调查、进行环境风险评估，确保环境风险可以接受。</w:t>
                  </w:r>
                </w:p>
              </w:tc>
              <w:tc>
                <w:tcPr>
                  <w:tcW w:w="2761" w:type="dxa"/>
                  <w:tcBorders>
                    <w:tl2br w:val="nil"/>
                    <w:tr2bl w:val="nil"/>
                  </w:tcBorders>
                  <w:vAlign w:val="center"/>
                </w:tcPr>
                <w:p w14:paraId="38A22D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对一般固废进行综合利用，固体废物利用遵循《固体废物再生利用污染防治技术导则》（HJ1091）有关规定，环评要求产品中砷、铅、镉、铬、铜、镍、锌、锰重金属含量及可浸出重金属含量满足《水泥窑协同处置固体废物技术规范》（GB30760）才能外售，且利用过程的污染控制符合相应污染物排放标准要求。</w:t>
                  </w:r>
                </w:p>
              </w:tc>
              <w:tc>
                <w:tcPr>
                  <w:tcW w:w="523" w:type="dxa"/>
                  <w:tcBorders>
                    <w:tl2br w:val="nil"/>
                    <w:tr2bl w:val="nil"/>
                  </w:tcBorders>
                  <w:vAlign w:val="center"/>
                </w:tcPr>
                <w:p w14:paraId="172447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val="en-US" w:eastAsia="zh-CN"/>
                    </w:rPr>
                  </w:pPr>
                  <w:r>
                    <w:rPr>
                      <w:rFonts w:hint="eastAsia"/>
                      <w:color w:val="auto"/>
                      <w:highlight w:val="none"/>
                      <w:lang w:val="en-US" w:eastAsia="zh-CN"/>
                    </w:rPr>
                    <w:t>符合</w:t>
                  </w:r>
                </w:p>
              </w:tc>
            </w:tr>
          </w:tbl>
          <w:p w14:paraId="4B2E6E07">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7、与《</w:t>
            </w:r>
            <w:r>
              <w:rPr>
                <w:rFonts w:hint="default"/>
                <w:b/>
                <w:bCs/>
                <w:color w:val="auto"/>
                <w:spacing w:val="-1"/>
                <w:highlight w:val="none"/>
              </w:rPr>
              <w:t>固体废物再生利用污染防治技术导则</w:t>
            </w:r>
            <w:r>
              <w:rPr>
                <w:rFonts w:hint="eastAsia"/>
                <w:b/>
                <w:bCs/>
                <w:color w:val="auto"/>
                <w:highlight w:val="none"/>
                <w:lang w:val="en-US" w:eastAsia="zh-CN"/>
              </w:rPr>
              <w:t>》（HJ1091-2020）相符性分析</w:t>
            </w:r>
          </w:p>
          <w:p w14:paraId="1529355D">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rPr>
              <w:t>与</w:t>
            </w:r>
            <w:r>
              <w:rPr>
                <w:rFonts w:hint="eastAsia" w:cs="Times New Roman"/>
                <w:color w:val="auto"/>
                <w:sz w:val="21"/>
                <w:szCs w:val="21"/>
                <w:highlight w:val="none"/>
                <w:lang w:val="en-US" w:eastAsia="zh-CN"/>
              </w:rPr>
              <w:t>（HJ1091-2020）相符性分析表</w:t>
            </w:r>
          </w:p>
          <w:tbl>
            <w:tblPr>
              <w:tblStyle w:val="9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92"/>
              <w:gridCol w:w="4310"/>
              <w:gridCol w:w="2718"/>
              <w:gridCol w:w="756"/>
            </w:tblGrid>
            <w:tr w14:paraId="1D1AE2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92" w:type="dxa"/>
                  <w:tcBorders>
                    <w:tl2br w:val="nil"/>
                    <w:tr2bl w:val="nil"/>
                  </w:tcBorders>
                  <w:vAlign w:val="center"/>
                </w:tcPr>
                <w:p w14:paraId="68B943E0">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rFonts w:hint="eastAsia" w:eastAsia="宋体"/>
                      <w:b/>
                      <w:bCs/>
                      <w:color w:val="auto"/>
                      <w:highlight w:val="none"/>
                      <w:lang w:eastAsia="zh-CN"/>
                    </w:rPr>
                  </w:pPr>
                  <w:r>
                    <w:rPr>
                      <w:rFonts w:hint="eastAsia"/>
                      <w:b/>
                      <w:bCs/>
                      <w:color w:val="auto"/>
                      <w:highlight w:val="none"/>
                      <w:lang w:eastAsia="zh-CN"/>
                    </w:rPr>
                    <w:t>序号</w:t>
                  </w:r>
                </w:p>
              </w:tc>
              <w:tc>
                <w:tcPr>
                  <w:tcW w:w="4310" w:type="dxa"/>
                  <w:tcBorders>
                    <w:tl2br w:val="nil"/>
                    <w:tr2bl w:val="nil"/>
                  </w:tcBorders>
                  <w:vAlign w:val="center"/>
                </w:tcPr>
                <w:p w14:paraId="36EFA8AE">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b/>
                      <w:bCs/>
                      <w:color w:val="auto"/>
                      <w:highlight w:val="none"/>
                    </w:rPr>
                  </w:pPr>
                  <w:r>
                    <w:rPr>
                      <w:b/>
                      <w:bCs/>
                      <w:color w:val="auto"/>
                      <w:highlight w:val="none"/>
                    </w:rPr>
                    <w:t>总体要求</w:t>
                  </w:r>
                </w:p>
              </w:tc>
              <w:tc>
                <w:tcPr>
                  <w:tcW w:w="2718" w:type="dxa"/>
                  <w:tcBorders>
                    <w:tl2br w:val="nil"/>
                    <w:tr2bl w:val="nil"/>
                  </w:tcBorders>
                  <w:vAlign w:val="center"/>
                </w:tcPr>
                <w:p w14:paraId="252038C5">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b/>
                      <w:bCs/>
                      <w:color w:val="auto"/>
                      <w:highlight w:val="none"/>
                    </w:rPr>
                  </w:pPr>
                  <w:r>
                    <w:rPr>
                      <w:b/>
                      <w:bCs/>
                      <w:color w:val="auto"/>
                      <w:highlight w:val="none"/>
                    </w:rPr>
                    <w:t>本项目</w:t>
                  </w:r>
                </w:p>
              </w:tc>
              <w:tc>
                <w:tcPr>
                  <w:tcW w:w="756" w:type="dxa"/>
                  <w:tcBorders>
                    <w:tl2br w:val="nil"/>
                    <w:tr2bl w:val="nil"/>
                  </w:tcBorders>
                  <w:vAlign w:val="center"/>
                </w:tcPr>
                <w:p w14:paraId="64FA28D3">
                  <w:pPr>
                    <w:pStyle w:val="78"/>
                    <w:keepNext w:val="0"/>
                    <w:keepLines w:val="0"/>
                    <w:pageBreakBefore w:val="0"/>
                    <w:widowControl w:val="0"/>
                    <w:kinsoku/>
                    <w:wordWrap/>
                    <w:overflowPunct/>
                    <w:topLinePunct w:val="0"/>
                    <w:autoSpaceDE/>
                    <w:autoSpaceDN/>
                    <w:bidi w:val="0"/>
                    <w:adjustRightInd w:val="0"/>
                    <w:snapToGrid w:val="0"/>
                    <w:spacing w:before="0"/>
                    <w:jc w:val="center"/>
                    <w:textAlignment w:val="auto"/>
                    <w:rPr>
                      <w:rFonts w:hint="eastAsia" w:eastAsia="宋体"/>
                      <w:b/>
                      <w:bCs/>
                      <w:color w:val="auto"/>
                      <w:highlight w:val="none"/>
                      <w:lang w:val="en-US" w:eastAsia="zh-CN"/>
                    </w:rPr>
                  </w:pPr>
                  <w:r>
                    <w:rPr>
                      <w:rFonts w:hint="eastAsia"/>
                      <w:b/>
                      <w:bCs/>
                      <w:color w:val="auto"/>
                      <w:highlight w:val="none"/>
                      <w:lang w:val="en-US" w:eastAsia="zh-CN"/>
                    </w:rPr>
                    <w:t>相符性</w:t>
                  </w:r>
                </w:p>
              </w:tc>
            </w:tr>
            <w:tr w14:paraId="09986D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92" w:type="dxa"/>
                  <w:tcBorders>
                    <w:tl2br w:val="nil"/>
                    <w:tr2bl w:val="nil"/>
                  </w:tcBorders>
                  <w:vAlign w:val="center"/>
                </w:tcPr>
                <w:p w14:paraId="39739192">
                  <w:pPr>
                    <w:pStyle w:val="97"/>
                    <w:keepNext w:val="0"/>
                    <w:keepLines w:val="0"/>
                    <w:pageBreakBefore w:val="0"/>
                    <w:widowControl w:val="0"/>
                    <w:kinsoku/>
                    <w:wordWrap/>
                    <w:overflowPunct/>
                    <w:topLinePunct w:val="0"/>
                    <w:autoSpaceDE/>
                    <w:autoSpaceDN/>
                    <w:bidi w:val="0"/>
                    <w:adjustRightInd w:val="0"/>
                    <w:snapToGrid w:val="0"/>
                    <w:spacing w:line="228" w:lineRule="auto"/>
                    <w:ind w:left="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pacing w:val="-5"/>
                      <w:sz w:val="21"/>
                      <w:szCs w:val="21"/>
                      <w:highlight w:val="none"/>
                    </w:rPr>
                    <w:t>固体</w:t>
                  </w:r>
                  <w:r>
                    <w:rPr>
                      <w:rFonts w:hint="default" w:ascii="Times New Roman" w:hAnsi="Times New Roman" w:eastAsia="宋体" w:cs="Times New Roman"/>
                      <w:color w:val="auto"/>
                      <w:spacing w:val="5"/>
                      <w:sz w:val="21"/>
                      <w:szCs w:val="21"/>
                      <w:highlight w:val="none"/>
                    </w:rPr>
                    <w:t>废物</w:t>
                  </w:r>
                  <w:r>
                    <w:rPr>
                      <w:rFonts w:hint="default" w:ascii="Times New Roman" w:hAnsi="Times New Roman" w:eastAsia="宋体" w:cs="Times New Roman"/>
                      <w:color w:val="auto"/>
                      <w:spacing w:val="3"/>
                      <w:sz w:val="21"/>
                      <w:szCs w:val="21"/>
                      <w:highlight w:val="none"/>
                    </w:rPr>
                    <w:t>再生</w:t>
                  </w:r>
                  <w:r>
                    <w:rPr>
                      <w:rFonts w:hint="default" w:ascii="Times New Roman" w:hAnsi="Times New Roman" w:eastAsia="宋体" w:cs="Times New Roman"/>
                      <w:color w:val="auto"/>
                      <w:spacing w:val="4"/>
                      <w:sz w:val="21"/>
                      <w:szCs w:val="21"/>
                      <w:highlight w:val="none"/>
                    </w:rPr>
                    <w:t>利用</w:t>
                  </w:r>
                </w:p>
              </w:tc>
              <w:tc>
                <w:tcPr>
                  <w:tcW w:w="4310" w:type="dxa"/>
                  <w:tcBorders>
                    <w:tl2br w:val="nil"/>
                    <w:tr2bl w:val="nil"/>
                  </w:tcBorders>
                  <w:vAlign w:val="center"/>
                </w:tcPr>
                <w:p w14:paraId="12486AD2">
                  <w:pPr>
                    <w:pStyle w:val="97"/>
                    <w:keepNext w:val="0"/>
                    <w:keepLines w:val="0"/>
                    <w:pageBreakBefore w:val="0"/>
                    <w:widowControl w:val="0"/>
                    <w:kinsoku/>
                    <w:wordWrap/>
                    <w:overflowPunct/>
                    <w:topLinePunct w:val="0"/>
                    <w:autoSpaceDE/>
                    <w:autoSpaceDN/>
                    <w:bidi w:val="0"/>
                    <w:adjustRightInd w:val="0"/>
                    <w:snapToGrid w:val="0"/>
                    <w:spacing w:line="228" w:lineRule="auto"/>
                    <w:ind w:lef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将固体废物直接作为原料或燃料利用，或者通过分离、纯化等工艺处理后进行物质</w:t>
                  </w:r>
                  <w:r>
                    <w:rPr>
                      <w:rFonts w:hint="default" w:ascii="Times New Roman" w:hAnsi="Times New Roman" w:eastAsia="宋体" w:cs="Times New Roman"/>
                      <w:color w:val="auto"/>
                      <w:spacing w:val="8"/>
                      <w:sz w:val="21"/>
                      <w:szCs w:val="21"/>
                      <w:highlight w:val="none"/>
                    </w:rPr>
                    <w:t>资源化利用的过程，分为用作原料或替代</w:t>
                  </w:r>
                  <w:r>
                    <w:rPr>
                      <w:rFonts w:hint="default" w:ascii="Times New Roman" w:hAnsi="Times New Roman" w:eastAsia="宋体" w:cs="Times New Roman"/>
                      <w:color w:val="auto"/>
                      <w:spacing w:val="9"/>
                      <w:sz w:val="21"/>
                      <w:szCs w:val="21"/>
                      <w:highlight w:val="none"/>
                    </w:rPr>
                    <w:t>材料的物质再生利用和用作替代燃料的能</w:t>
                  </w:r>
                  <w:r>
                    <w:rPr>
                      <w:rFonts w:hint="default" w:ascii="Times New Roman" w:hAnsi="Times New Roman" w:eastAsia="宋体" w:cs="Times New Roman"/>
                      <w:color w:val="auto"/>
                      <w:spacing w:val="8"/>
                      <w:sz w:val="21"/>
                      <w:szCs w:val="21"/>
                      <w:highlight w:val="none"/>
                    </w:rPr>
                    <w:t>量再生利用</w:t>
                  </w:r>
                </w:p>
              </w:tc>
              <w:tc>
                <w:tcPr>
                  <w:tcW w:w="2718" w:type="dxa"/>
                  <w:tcBorders>
                    <w:tl2br w:val="nil"/>
                    <w:tr2bl w:val="nil"/>
                  </w:tcBorders>
                  <w:vAlign w:val="center"/>
                </w:tcPr>
                <w:p w14:paraId="4502D6AA">
                  <w:pPr>
                    <w:pStyle w:val="97"/>
                    <w:keepNext w:val="0"/>
                    <w:keepLines w:val="0"/>
                    <w:pageBreakBefore w:val="0"/>
                    <w:widowControl w:val="0"/>
                    <w:kinsoku/>
                    <w:wordWrap/>
                    <w:overflowPunct/>
                    <w:topLinePunct w:val="0"/>
                    <w:autoSpaceDE/>
                    <w:autoSpaceDN/>
                    <w:bidi w:val="0"/>
                    <w:adjustRightInd w:val="0"/>
                    <w:snapToGrid w:val="0"/>
                    <w:spacing w:line="227" w:lineRule="auto"/>
                    <w:ind w:left="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8"/>
                      <w:sz w:val="21"/>
                      <w:szCs w:val="21"/>
                      <w:highlight w:val="none"/>
                    </w:rPr>
                    <w:t>本项目固废直接作为</w:t>
                  </w:r>
                  <w:r>
                    <w:rPr>
                      <w:rFonts w:hint="default" w:ascii="Times New Roman" w:hAnsi="Times New Roman" w:eastAsia="宋体" w:cs="Times New Roman"/>
                      <w:color w:val="auto"/>
                      <w:spacing w:val="7"/>
                      <w:sz w:val="21"/>
                      <w:szCs w:val="21"/>
                      <w:highlight w:val="none"/>
                    </w:rPr>
                    <w:t>原料进行破碎、筛分、</w:t>
                  </w:r>
                  <w:r>
                    <w:rPr>
                      <w:rFonts w:hint="default" w:ascii="Times New Roman" w:hAnsi="Times New Roman" w:eastAsia="宋体" w:cs="Times New Roman"/>
                      <w:color w:val="auto"/>
                      <w:spacing w:val="8"/>
                      <w:sz w:val="21"/>
                      <w:szCs w:val="21"/>
                      <w:highlight w:val="none"/>
                    </w:rPr>
                    <w:t>搅拌等生产</w:t>
                  </w:r>
                  <w:r>
                    <w:rPr>
                      <w:rFonts w:hint="eastAsia" w:ascii="Times New Roman" w:hAnsi="Times New Roman" w:eastAsia="宋体" w:cs="Times New Roman"/>
                      <w:color w:val="auto"/>
                      <w:spacing w:val="8"/>
                      <w:sz w:val="21"/>
                      <w:szCs w:val="21"/>
                      <w:highlight w:val="none"/>
                      <w:lang w:eastAsia="zh-CN"/>
                    </w:rPr>
                    <w:t>环保免烧砖</w:t>
                  </w:r>
                  <w:r>
                    <w:rPr>
                      <w:rFonts w:hint="default" w:ascii="Times New Roman" w:hAnsi="Times New Roman" w:eastAsia="宋体" w:cs="Times New Roman"/>
                      <w:color w:val="auto"/>
                      <w:spacing w:val="8"/>
                      <w:sz w:val="21"/>
                      <w:szCs w:val="21"/>
                      <w:highlight w:val="none"/>
                    </w:rPr>
                    <w:t>及</w:t>
                  </w:r>
                  <w:r>
                    <w:rPr>
                      <w:rFonts w:hint="default" w:ascii="Times New Roman" w:hAnsi="Times New Roman" w:eastAsia="宋体" w:cs="Times New Roman"/>
                      <w:color w:val="auto"/>
                      <w:spacing w:val="7"/>
                      <w:sz w:val="21"/>
                      <w:szCs w:val="21"/>
                      <w:highlight w:val="none"/>
                    </w:rPr>
                    <w:t>掺合料产品</w:t>
                  </w:r>
                </w:p>
              </w:tc>
              <w:tc>
                <w:tcPr>
                  <w:tcW w:w="756" w:type="dxa"/>
                  <w:tcBorders>
                    <w:tl2br w:val="nil"/>
                    <w:tr2bl w:val="nil"/>
                  </w:tcBorders>
                  <w:vAlign w:val="center"/>
                </w:tcPr>
                <w:p w14:paraId="45A2E3E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highlight w:val="none"/>
                      <w:lang w:val="en-US" w:eastAsia="zh-CN"/>
                    </w:rPr>
                  </w:pPr>
                  <w:r>
                    <w:rPr>
                      <w:rFonts w:hint="eastAsia" w:ascii="Times New Roman" w:eastAsia="宋体"/>
                      <w:color w:val="auto"/>
                      <w:sz w:val="21"/>
                      <w:szCs w:val="21"/>
                      <w:highlight w:val="none"/>
                      <w:lang w:val="en-US" w:eastAsia="zh-CN"/>
                    </w:rPr>
                    <w:t>相符</w:t>
                  </w:r>
                </w:p>
              </w:tc>
            </w:tr>
            <w:tr w14:paraId="132F00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92" w:type="dxa"/>
                  <w:vMerge w:val="restart"/>
                  <w:tcBorders>
                    <w:tl2br w:val="nil"/>
                    <w:tr2bl w:val="nil"/>
                  </w:tcBorders>
                  <w:vAlign w:val="center"/>
                </w:tcPr>
                <w:p w14:paraId="7E148F45">
                  <w:pPr>
                    <w:pStyle w:val="97"/>
                    <w:keepNext w:val="0"/>
                    <w:keepLines w:val="0"/>
                    <w:pageBreakBefore w:val="0"/>
                    <w:widowControl w:val="0"/>
                    <w:kinsoku/>
                    <w:wordWrap/>
                    <w:overflowPunct/>
                    <w:topLinePunct w:val="0"/>
                    <w:autoSpaceDE/>
                    <w:autoSpaceDN/>
                    <w:bidi w:val="0"/>
                    <w:adjustRightInd w:val="0"/>
                    <w:snapToGrid w:val="0"/>
                    <w:spacing w:line="229" w:lineRule="auto"/>
                    <w:ind w:left="0" w:firstLine="0" w:firstLineChars="0"/>
                    <w:jc w:val="center"/>
                    <w:textAlignment w:val="auto"/>
                    <w:rPr>
                      <w:color w:val="auto"/>
                      <w:highlight w:val="none"/>
                    </w:rPr>
                  </w:pPr>
                  <w:r>
                    <w:rPr>
                      <w:rFonts w:hint="default" w:ascii="Times New Roman" w:hAnsi="Times New Roman" w:eastAsia="宋体" w:cs="Times New Roman"/>
                      <w:color w:val="auto"/>
                      <w:spacing w:val="2"/>
                      <w:sz w:val="21"/>
                      <w:szCs w:val="21"/>
                      <w:highlight w:val="none"/>
                    </w:rPr>
                    <w:t>总体</w:t>
                  </w:r>
                  <w:r>
                    <w:rPr>
                      <w:rFonts w:hint="default" w:ascii="Times New Roman" w:hAnsi="Times New Roman" w:eastAsia="宋体" w:cs="Times New Roman"/>
                      <w:color w:val="auto"/>
                      <w:spacing w:val="4"/>
                      <w:sz w:val="21"/>
                      <w:szCs w:val="21"/>
                      <w:highlight w:val="none"/>
                    </w:rPr>
                    <w:t>要求</w:t>
                  </w:r>
                </w:p>
              </w:tc>
              <w:tc>
                <w:tcPr>
                  <w:tcW w:w="4310" w:type="dxa"/>
                  <w:tcBorders>
                    <w:tl2br w:val="nil"/>
                    <w:tr2bl w:val="nil"/>
                  </w:tcBorders>
                  <w:vAlign w:val="center"/>
                </w:tcPr>
                <w:p w14:paraId="42FFD3BD">
                  <w:pPr>
                    <w:pStyle w:val="97"/>
                    <w:keepNext w:val="0"/>
                    <w:keepLines w:val="0"/>
                    <w:pageBreakBefore w:val="0"/>
                    <w:widowControl w:val="0"/>
                    <w:kinsoku/>
                    <w:wordWrap/>
                    <w:overflowPunct/>
                    <w:topLinePunct w:val="0"/>
                    <w:autoSpaceDE/>
                    <w:autoSpaceDN/>
                    <w:bidi w:val="0"/>
                    <w:adjustRightInd w:val="0"/>
                    <w:snapToGrid w:val="0"/>
                    <w:spacing w:line="279" w:lineRule="auto"/>
                    <w:ind w:left="0" w:leftChars="0" w:right="136" w:rightChars="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pacing w:val="9"/>
                      <w:sz w:val="21"/>
                      <w:szCs w:val="21"/>
                      <w:highlight w:val="none"/>
                    </w:rPr>
                    <w:t>应对固体废物再生利用各技术环节的环境污染因子进行识别，采取有效污染控制措施，配备污染物监测设备设施，避免污染物的无组织排放，防止发生二次污染，妥善处置产生的废物</w:t>
                  </w:r>
                </w:p>
              </w:tc>
              <w:tc>
                <w:tcPr>
                  <w:tcW w:w="2718" w:type="dxa"/>
                  <w:tcBorders>
                    <w:tl2br w:val="nil"/>
                    <w:tr2bl w:val="nil"/>
                  </w:tcBorders>
                  <w:vAlign w:val="center"/>
                </w:tcPr>
                <w:p w14:paraId="650D2342">
                  <w:pPr>
                    <w:pStyle w:val="97"/>
                    <w:keepNext w:val="0"/>
                    <w:keepLines w:val="0"/>
                    <w:pageBreakBefore w:val="0"/>
                    <w:widowControl w:val="0"/>
                    <w:kinsoku/>
                    <w:wordWrap/>
                    <w:overflowPunct/>
                    <w:topLinePunct w:val="0"/>
                    <w:autoSpaceDE/>
                    <w:autoSpaceDN/>
                    <w:bidi w:val="0"/>
                    <w:adjustRightInd w:val="0"/>
                    <w:snapToGrid w:val="0"/>
                    <w:spacing w:line="279" w:lineRule="auto"/>
                    <w:ind w:left="0" w:leftChars="0" w:right="202" w:rightChars="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pacing w:val="8"/>
                      <w:sz w:val="21"/>
                      <w:szCs w:val="21"/>
                      <w:highlight w:val="none"/>
                      <w:lang w:eastAsia="zh-CN"/>
                    </w:rPr>
                    <w:t>搅拌、</w:t>
                  </w:r>
                  <w:r>
                    <w:rPr>
                      <w:rFonts w:hint="default" w:ascii="Times New Roman" w:hAnsi="Times New Roman" w:eastAsia="宋体" w:cs="Times New Roman"/>
                      <w:color w:val="auto"/>
                      <w:spacing w:val="8"/>
                      <w:sz w:val="21"/>
                      <w:szCs w:val="21"/>
                      <w:highlight w:val="none"/>
                    </w:rPr>
                    <w:t>破碎筛分废气经布袋</w:t>
                  </w:r>
                  <w:r>
                    <w:rPr>
                      <w:rFonts w:hint="default" w:ascii="Times New Roman" w:hAnsi="Times New Roman" w:eastAsia="宋体" w:cs="Times New Roman"/>
                      <w:color w:val="auto"/>
                      <w:spacing w:val="3"/>
                      <w:sz w:val="21"/>
                      <w:szCs w:val="21"/>
                      <w:highlight w:val="none"/>
                    </w:rPr>
                    <w:t>除尘器处理后</w:t>
                  </w:r>
                  <w:r>
                    <w:rPr>
                      <w:rFonts w:hint="eastAsia" w:ascii="Times New Roman" w:hAnsi="Times New Roman" w:eastAsia="宋体" w:cs="Times New Roman"/>
                      <w:color w:val="auto"/>
                      <w:spacing w:val="3"/>
                      <w:sz w:val="21"/>
                      <w:szCs w:val="21"/>
                      <w:highlight w:val="none"/>
                      <w:lang w:eastAsia="zh-CN"/>
                    </w:rPr>
                    <w:t>有组织排放</w:t>
                  </w:r>
                </w:p>
              </w:tc>
              <w:tc>
                <w:tcPr>
                  <w:tcW w:w="756" w:type="dxa"/>
                  <w:tcBorders>
                    <w:tl2br w:val="nil"/>
                    <w:tr2bl w:val="nil"/>
                  </w:tcBorders>
                  <w:vAlign w:val="center"/>
                </w:tcPr>
                <w:p w14:paraId="1E240B7F">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color w:val="auto"/>
                      <w:sz w:val="21"/>
                      <w:szCs w:val="21"/>
                      <w:highlight w:val="none"/>
                      <w:lang w:val="en-US" w:eastAsia="zh-CN"/>
                    </w:rPr>
                  </w:pPr>
                  <w:r>
                    <w:rPr>
                      <w:rFonts w:hint="eastAsia" w:ascii="Times New Roman" w:eastAsia="宋体"/>
                      <w:color w:val="auto"/>
                      <w:sz w:val="21"/>
                      <w:szCs w:val="21"/>
                      <w:highlight w:val="none"/>
                      <w:lang w:val="en-US" w:eastAsia="zh-CN"/>
                    </w:rPr>
                    <w:t>相符</w:t>
                  </w:r>
                </w:p>
              </w:tc>
            </w:tr>
            <w:tr w14:paraId="14989D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592" w:type="dxa"/>
                  <w:vMerge w:val="continue"/>
                  <w:tcBorders>
                    <w:tl2br w:val="nil"/>
                    <w:tr2bl w:val="nil"/>
                  </w:tcBorders>
                  <w:vAlign w:val="center"/>
                </w:tcPr>
                <w:p w14:paraId="2330E6A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highlight w:val="none"/>
                    </w:rPr>
                  </w:pPr>
                </w:p>
              </w:tc>
              <w:tc>
                <w:tcPr>
                  <w:tcW w:w="4310" w:type="dxa"/>
                  <w:tcBorders>
                    <w:tl2br w:val="nil"/>
                    <w:tr2bl w:val="nil"/>
                  </w:tcBorders>
                  <w:vAlign w:val="center"/>
                </w:tcPr>
                <w:p w14:paraId="1DFBF9C1">
                  <w:pPr>
                    <w:pStyle w:val="97"/>
                    <w:keepNext w:val="0"/>
                    <w:keepLines w:val="0"/>
                    <w:pageBreakBefore w:val="0"/>
                    <w:widowControl w:val="0"/>
                    <w:kinsoku/>
                    <w:wordWrap/>
                    <w:overflowPunct/>
                    <w:topLinePunct w:val="0"/>
                    <w:autoSpaceDE/>
                    <w:autoSpaceDN/>
                    <w:bidi w:val="0"/>
                    <w:adjustRightInd w:val="0"/>
                    <w:snapToGrid w:val="0"/>
                    <w:spacing w:line="229" w:lineRule="auto"/>
                    <w:ind w:left="0" w:firstLine="0" w:firstLineChars="0"/>
                    <w:jc w:val="center"/>
                    <w:textAlignment w:val="auto"/>
                    <w:rPr>
                      <w:rFonts w:hint="default" w:ascii="Times New Roman" w:hAnsi="Times New Roman" w:eastAsia="宋体" w:cs="Times New Roman"/>
                      <w:color w:val="auto"/>
                      <w:spacing w:val="2"/>
                      <w:sz w:val="21"/>
                      <w:szCs w:val="21"/>
                      <w:highlight w:val="none"/>
                    </w:rPr>
                  </w:pPr>
                  <w:r>
                    <w:rPr>
                      <w:rFonts w:hint="default" w:ascii="Times New Roman" w:hAnsi="Times New Roman" w:eastAsia="宋体" w:cs="Times New Roman"/>
                      <w:color w:val="auto"/>
                      <w:spacing w:val="2"/>
                      <w:sz w:val="21"/>
                      <w:szCs w:val="21"/>
                      <w:highlight w:val="none"/>
                    </w:rPr>
                    <w:t>固体废物再生利用过程产生的各种污染物的排放应满足国家和地方的污染物排放（控制）标准与排污许可要求</w:t>
                  </w:r>
                </w:p>
              </w:tc>
              <w:tc>
                <w:tcPr>
                  <w:tcW w:w="2718" w:type="dxa"/>
                  <w:tcBorders>
                    <w:tl2br w:val="nil"/>
                    <w:tr2bl w:val="nil"/>
                  </w:tcBorders>
                  <w:vAlign w:val="center"/>
                </w:tcPr>
                <w:p w14:paraId="07796D5F">
                  <w:pPr>
                    <w:pStyle w:val="97"/>
                    <w:keepNext w:val="0"/>
                    <w:keepLines w:val="0"/>
                    <w:pageBreakBefore w:val="0"/>
                    <w:widowControl w:val="0"/>
                    <w:kinsoku/>
                    <w:wordWrap/>
                    <w:overflowPunct/>
                    <w:topLinePunct w:val="0"/>
                    <w:autoSpaceDE/>
                    <w:autoSpaceDN/>
                    <w:bidi w:val="0"/>
                    <w:adjustRightInd w:val="0"/>
                    <w:snapToGrid w:val="0"/>
                    <w:spacing w:line="229" w:lineRule="auto"/>
                    <w:ind w:left="0" w:firstLine="0" w:firstLineChars="0"/>
                    <w:jc w:val="center"/>
                    <w:textAlignment w:val="auto"/>
                    <w:rPr>
                      <w:rFonts w:hint="eastAsia" w:ascii="Times New Roman" w:hAnsi="Times New Roman" w:eastAsia="宋体" w:cs="Times New Roman"/>
                      <w:color w:val="auto"/>
                      <w:spacing w:val="2"/>
                      <w:sz w:val="21"/>
                      <w:szCs w:val="21"/>
                      <w:highlight w:val="none"/>
                      <w:lang w:eastAsia="zh-CN"/>
                    </w:rPr>
                  </w:pPr>
                  <w:r>
                    <w:rPr>
                      <w:rFonts w:hint="default" w:ascii="Times New Roman" w:hAnsi="Times New Roman" w:eastAsia="宋体" w:cs="Times New Roman"/>
                      <w:color w:val="auto"/>
                      <w:spacing w:val="2"/>
                      <w:sz w:val="21"/>
                      <w:szCs w:val="21"/>
                      <w:highlight w:val="none"/>
                    </w:rPr>
                    <w:t>项目产生的颗粒物排放满足《大气污染物综合排放标准》（GB16297-1996）</w:t>
                  </w:r>
                  <w:r>
                    <w:rPr>
                      <w:rFonts w:hint="eastAsia" w:ascii="Times New Roman" w:hAnsi="Times New Roman" w:cs="Times New Roman"/>
                      <w:color w:val="auto"/>
                      <w:spacing w:val="2"/>
                      <w:sz w:val="21"/>
                      <w:szCs w:val="21"/>
                      <w:highlight w:val="none"/>
                      <w:lang w:eastAsia="zh-CN"/>
                    </w:rPr>
                    <w:t>、铊及其化合物、氟化物排放满足《无机化学工业污染物排放标准》（GB31573-2015）</w:t>
                  </w:r>
                </w:p>
              </w:tc>
              <w:tc>
                <w:tcPr>
                  <w:tcW w:w="756" w:type="dxa"/>
                  <w:tcBorders>
                    <w:tl2br w:val="nil"/>
                    <w:tr2bl w:val="nil"/>
                  </w:tcBorders>
                  <w:vAlign w:val="center"/>
                </w:tcPr>
                <w:p w14:paraId="70F0D3C7">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color w:val="auto"/>
                      <w:sz w:val="21"/>
                      <w:szCs w:val="21"/>
                      <w:highlight w:val="none"/>
                    </w:rPr>
                  </w:pPr>
                  <w:r>
                    <w:rPr>
                      <w:rFonts w:hint="eastAsia" w:ascii="Times New Roman" w:eastAsia="宋体"/>
                      <w:color w:val="auto"/>
                      <w:sz w:val="21"/>
                      <w:szCs w:val="21"/>
                      <w:highlight w:val="none"/>
                      <w:lang w:val="en-US" w:eastAsia="zh-CN"/>
                    </w:rPr>
                    <w:t>相符</w:t>
                  </w:r>
                </w:p>
              </w:tc>
            </w:tr>
          </w:tbl>
          <w:p w14:paraId="3A5BBFCB">
            <w:pPr>
              <w:pStyle w:val="76"/>
              <w:keepNext w:val="0"/>
              <w:keepLines w:val="0"/>
              <w:suppressLineNumbers w:val="0"/>
              <w:bidi w:val="0"/>
              <w:spacing w:before="0" w:beforeAutospacing="0" w:after="0" w:afterAutospacing="0"/>
              <w:ind w:left="0" w:right="0"/>
              <w:rPr>
                <w:rFonts w:hint="eastAsia"/>
                <w:b/>
                <w:bCs w:val="0"/>
                <w:color w:val="auto"/>
                <w:highlight w:val="none"/>
                <w:lang w:val="en-US" w:eastAsia="zh-CN"/>
              </w:rPr>
            </w:pPr>
            <w:r>
              <w:rPr>
                <w:rFonts w:hint="eastAsia"/>
                <w:b/>
                <w:bCs w:val="0"/>
                <w:color w:val="auto"/>
                <w:highlight w:val="none"/>
                <w:lang w:val="en-US" w:eastAsia="zh-CN"/>
              </w:rPr>
              <w:t>8、与《中华人民共和国固体废物污染环境防治法》相符性分析</w:t>
            </w:r>
          </w:p>
          <w:p w14:paraId="59E45408">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与《中华人民共和国固体废物污染环境防治法》相符性分析表</w:t>
            </w:r>
          </w:p>
          <w:tbl>
            <w:tblPr>
              <w:tblStyle w:val="9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805"/>
              <w:gridCol w:w="4296"/>
              <w:gridCol w:w="2509"/>
              <w:gridCol w:w="766"/>
            </w:tblGrid>
            <w:tr w14:paraId="23A3C05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3628DD2B">
                  <w:pPr>
                    <w:pStyle w:val="78"/>
                    <w:bidi w:val="0"/>
                    <w:rPr>
                      <w:rFonts w:hint="eastAsia" w:eastAsia="宋体"/>
                      <w:b/>
                      <w:bCs/>
                      <w:color w:val="auto"/>
                      <w:highlight w:val="none"/>
                      <w:lang w:val="en-US" w:eastAsia="zh-CN"/>
                    </w:rPr>
                  </w:pPr>
                  <w:r>
                    <w:rPr>
                      <w:rFonts w:hint="eastAsia"/>
                      <w:b/>
                      <w:bCs/>
                      <w:color w:val="auto"/>
                      <w:highlight w:val="none"/>
                      <w:lang w:val="en-US" w:eastAsia="zh-CN"/>
                    </w:rPr>
                    <w:t>标号</w:t>
                  </w:r>
                </w:p>
              </w:tc>
              <w:tc>
                <w:tcPr>
                  <w:tcW w:w="4296" w:type="dxa"/>
                  <w:tcBorders>
                    <w:tl2br w:val="nil"/>
                    <w:tr2bl w:val="nil"/>
                  </w:tcBorders>
                  <w:vAlign w:val="center"/>
                </w:tcPr>
                <w:p w14:paraId="46784AA6">
                  <w:pPr>
                    <w:pStyle w:val="78"/>
                    <w:bidi w:val="0"/>
                    <w:rPr>
                      <w:b/>
                      <w:bCs/>
                      <w:color w:val="auto"/>
                      <w:highlight w:val="none"/>
                    </w:rPr>
                  </w:pPr>
                  <w:r>
                    <w:rPr>
                      <w:b/>
                      <w:bCs/>
                      <w:color w:val="auto"/>
                      <w:highlight w:val="none"/>
                    </w:rPr>
                    <w:t>要求</w:t>
                  </w:r>
                </w:p>
              </w:tc>
              <w:tc>
                <w:tcPr>
                  <w:tcW w:w="2509" w:type="dxa"/>
                  <w:tcBorders>
                    <w:tl2br w:val="nil"/>
                    <w:tr2bl w:val="nil"/>
                  </w:tcBorders>
                  <w:vAlign w:val="center"/>
                </w:tcPr>
                <w:p w14:paraId="55727370">
                  <w:pPr>
                    <w:pStyle w:val="78"/>
                    <w:bidi w:val="0"/>
                    <w:rPr>
                      <w:b/>
                      <w:bCs/>
                      <w:color w:val="auto"/>
                      <w:highlight w:val="none"/>
                    </w:rPr>
                  </w:pPr>
                  <w:r>
                    <w:rPr>
                      <w:b/>
                      <w:bCs/>
                      <w:color w:val="auto"/>
                      <w:highlight w:val="none"/>
                    </w:rPr>
                    <w:t>本项目</w:t>
                  </w:r>
                </w:p>
              </w:tc>
              <w:tc>
                <w:tcPr>
                  <w:tcW w:w="766" w:type="dxa"/>
                  <w:tcBorders>
                    <w:tl2br w:val="nil"/>
                    <w:tr2bl w:val="nil"/>
                  </w:tcBorders>
                  <w:vAlign w:val="center"/>
                </w:tcPr>
                <w:p w14:paraId="14113DBA">
                  <w:pPr>
                    <w:pStyle w:val="78"/>
                    <w:bidi w:val="0"/>
                    <w:rPr>
                      <w:rFonts w:hint="eastAsia" w:eastAsia="宋体"/>
                      <w:b/>
                      <w:bCs/>
                      <w:color w:val="auto"/>
                      <w:highlight w:val="none"/>
                      <w:lang w:val="en-US" w:eastAsia="zh-CN"/>
                    </w:rPr>
                  </w:pPr>
                  <w:r>
                    <w:rPr>
                      <w:rFonts w:hint="eastAsia"/>
                      <w:b/>
                      <w:bCs/>
                      <w:color w:val="auto"/>
                      <w:highlight w:val="none"/>
                      <w:lang w:val="en-US" w:eastAsia="zh-CN"/>
                    </w:rPr>
                    <w:t>相符性</w:t>
                  </w:r>
                </w:p>
              </w:tc>
            </w:tr>
            <w:tr w14:paraId="380164B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2B07AF7E">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eastAsia="宋体"/>
                      <w:color w:val="auto"/>
                      <w:highlight w:val="none"/>
                      <w:lang w:val="en-US" w:eastAsia="zh-CN"/>
                    </w:rPr>
                  </w:pPr>
                  <w:r>
                    <w:rPr>
                      <w:rFonts w:hint="eastAsia"/>
                      <w:color w:val="auto"/>
                      <w:highlight w:val="none"/>
                      <w:lang w:val="en-US" w:eastAsia="zh-CN"/>
                    </w:rPr>
                    <w:t>第四条</w:t>
                  </w:r>
                </w:p>
              </w:tc>
              <w:tc>
                <w:tcPr>
                  <w:tcW w:w="4296" w:type="dxa"/>
                  <w:tcBorders>
                    <w:tl2br w:val="nil"/>
                    <w:tr2bl w:val="nil"/>
                  </w:tcBorders>
                  <w:vAlign w:val="center"/>
                </w:tcPr>
                <w:p w14:paraId="57AB229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固体废物污染环境防治坚持减量化、资源化和无害化的原则。任何单位和个人都应当采取措施，减少固体废物的产生量，促进固体废物的综合利用，降低固体废物的危害性。</w:t>
                  </w:r>
                </w:p>
              </w:tc>
              <w:tc>
                <w:tcPr>
                  <w:tcW w:w="2509" w:type="dxa"/>
                  <w:tcBorders>
                    <w:tl2br w:val="nil"/>
                    <w:tr2bl w:val="nil"/>
                  </w:tcBorders>
                  <w:vAlign w:val="center"/>
                </w:tcPr>
                <w:p w14:paraId="1436D4B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本项目原料为</w:t>
                  </w:r>
                  <w:r>
                    <w:rPr>
                      <w:rFonts w:hint="eastAsia"/>
                      <w:color w:val="auto"/>
                      <w:highlight w:val="none"/>
                      <w:lang w:eastAsia="zh-CN"/>
                    </w:rPr>
                    <w:t>锂渣、粉煤灰</w:t>
                  </w:r>
                  <w:r>
                    <w:rPr>
                      <w:color w:val="auto"/>
                      <w:highlight w:val="none"/>
                    </w:rPr>
                    <w:t>等，加工用于生产免烧砖（环保砖）</w:t>
                  </w:r>
                  <w:r>
                    <w:rPr>
                      <w:rFonts w:hint="eastAsia"/>
                      <w:color w:val="auto"/>
                      <w:highlight w:val="none"/>
                      <w:lang w:eastAsia="zh-CN"/>
                    </w:rPr>
                    <w:t>、掺合</w:t>
                  </w:r>
                  <w:r>
                    <w:rPr>
                      <w:rFonts w:hint="eastAsia"/>
                      <w:color w:val="auto"/>
                      <w:highlight w:val="none"/>
                      <w:lang w:val="en-US" w:eastAsia="zh-CN"/>
                    </w:rPr>
                    <w:t>料</w:t>
                  </w:r>
                  <w:r>
                    <w:rPr>
                      <w:color w:val="auto"/>
                      <w:highlight w:val="none"/>
                    </w:rPr>
                    <w:t>。</w:t>
                  </w:r>
                </w:p>
              </w:tc>
              <w:tc>
                <w:tcPr>
                  <w:tcW w:w="766" w:type="dxa"/>
                  <w:tcBorders>
                    <w:tl2br w:val="nil"/>
                    <w:tr2bl w:val="nil"/>
                  </w:tcBorders>
                  <w:vAlign w:val="center"/>
                </w:tcPr>
                <w:p w14:paraId="25EFE1E9">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相符</w:t>
                  </w:r>
                </w:p>
              </w:tc>
            </w:tr>
            <w:tr w14:paraId="1D6B217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2365442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lang w:val="en-US" w:eastAsia="en-US"/>
                    </w:rPr>
                  </w:pPr>
                  <w:r>
                    <w:rPr>
                      <w:rFonts w:hint="eastAsia" w:ascii="Times New Roman" w:eastAsia="宋体"/>
                      <w:color w:val="auto"/>
                      <w:highlight w:val="none"/>
                      <w:lang w:val="en-US" w:eastAsia="zh-CN"/>
                    </w:rPr>
                    <w:t>第十七条</w:t>
                  </w:r>
                </w:p>
              </w:tc>
              <w:tc>
                <w:tcPr>
                  <w:tcW w:w="4296" w:type="dxa"/>
                  <w:tcBorders>
                    <w:tl2br w:val="nil"/>
                    <w:tr2bl w:val="nil"/>
                  </w:tcBorders>
                  <w:vAlign w:val="center"/>
                </w:tcPr>
                <w:p w14:paraId="5381A71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建设产生、贮存、利用、处置固体废物的项目，应当依法进行环境影响评价，并遵</w:t>
                  </w:r>
                  <w:r>
                    <w:rPr>
                      <w:color w:val="auto"/>
                      <w:highlight w:val="none"/>
                      <w:lang w:val="en-US" w:eastAsia="en-US"/>
                    </w:rPr>
                    <w:t>守国家有关建设项目环境保护管理的规定。</w:t>
                  </w:r>
                </w:p>
              </w:tc>
              <w:tc>
                <w:tcPr>
                  <w:tcW w:w="2509" w:type="dxa"/>
                  <w:tcBorders>
                    <w:tl2br w:val="nil"/>
                    <w:tr2bl w:val="nil"/>
                  </w:tcBorders>
                  <w:vAlign w:val="center"/>
                </w:tcPr>
                <w:p w14:paraId="4E61371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符合《固体废物再生利用污染防</w:t>
                  </w:r>
                  <w:r>
                    <w:rPr>
                      <w:color w:val="auto"/>
                      <w:highlight w:val="none"/>
                      <w:lang w:val="en-US" w:eastAsia="en-US"/>
                    </w:rPr>
                    <w:t>治技术导则》（HJ1091-2020）</w:t>
                  </w:r>
                </w:p>
              </w:tc>
              <w:tc>
                <w:tcPr>
                  <w:tcW w:w="766" w:type="dxa"/>
                  <w:tcBorders>
                    <w:tl2br w:val="nil"/>
                    <w:tr2bl w:val="nil"/>
                  </w:tcBorders>
                  <w:vAlign w:val="center"/>
                </w:tcPr>
                <w:p w14:paraId="5EB072CA">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lang w:val="en-US" w:eastAsia="en-US"/>
                    </w:rPr>
                  </w:pPr>
                  <w:r>
                    <w:rPr>
                      <w:rFonts w:hint="eastAsia" w:ascii="Times New Roman" w:eastAsia="宋体"/>
                      <w:color w:val="auto"/>
                      <w:highlight w:val="none"/>
                      <w:lang w:val="en-US" w:eastAsia="zh-CN"/>
                    </w:rPr>
                    <w:t>相符</w:t>
                  </w:r>
                </w:p>
              </w:tc>
            </w:tr>
            <w:tr w14:paraId="3916DC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31768C5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第十八条</w:t>
                  </w:r>
                </w:p>
              </w:tc>
              <w:tc>
                <w:tcPr>
                  <w:tcW w:w="4296" w:type="dxa"/>
                  <w:tcBorders>
                    <w:tl2br w:val="nil"/>
                    <w:tr2bl w:val="nil"/>
                  </w:tcBorders>
                  <w:vAlign w:val="center"/>
                </w:tcPr>
                <w:p w14:paraId="5373E09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建设项目的环境影响评价文件确定需要配套建设的固体废物污染环境防治设施，应当与主体工程同时设计、同时施工、同时投入使用。建设项目的初步设计，应当按照环境保护设计规范的要求，将固体废物污染环境防治内容纳入环境影响评价文件，落实防治固体废物污染环境和破坏生态的措施以及固体废物污染环境防治设施投资概算。</w:t>
                  </w:r>
                </w:p>
              </w:tc>
              <w:tc>
                <w:tcPr>
                  <w:tcW w:w="2509" w:type="dxa"/>
                  <w:tcBorders>
                    <w:tl2br w:val="nil"/>
                    <w:tr2bl w:val="nil"/>
                  </w:tcBorders>
                  <w:vAlign w:val="center"/>
                </w:tcPr>
                <w:p w14:paraId="68EAE91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本项目满足要求</w:t>
                  </w:r>
                </w:p>
              </w:tc>
              <w:tc>
                <w:tcPr>
                  <w:tcW w:w="766" w:type="dxa"/>
                  <w:tcBorders>
                    <w:tl2br w:val="nil"/>
                    <w:tr2bl w:val="nil"/>
                  </w:tcBorders>
                  <w:vAlign w:val="center"/>
                </w:tcPr>
                <w:p w14:paraId="0482455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相符</w:t>
                  </w:r>
                </w:p>
              </w:tc>
            </w:tr>
            <w:tr w14:paraId="675636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0CF078A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第十九条</w:t>
                  </w:r>
                </w:p>
              </w:tc>
              <w:tc>
                <w:tcPr>
                  <w:tcW w:w="4296" w:type="dxa"/>
                  <w:tcBorders>
                    <w:tl2br w:val="nil"/>
                    <w:tr2bl w:val="nil"/>
                  </w:tcBorders>
                  <w:vAlign w:val="center"/>
                </w:tcPr>
                <w:p w14:paraId="73EC1B4D">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收集、贮存、运输、利用、处置固体废物的单位和其他生产经营者，应当加强对相关设施、设备和场所的管理和维护，保证其正常运行和使用。建设单位应当依照有关法律法规的规定，对配套建设的固体废物污染环境防治设施进行验收，编制验收报告，并向社会公开。</w:t>
                  </w:r>
                </w:p>
              </w:tc>
              <w:tc>
                <w:tcPr>
                  <w:tcW w:w="2509" w:type="dxa"/>
                  <w:tcBorders>
                    <w:tl2br w:val="nil"/>
                    <w:tr2bl w:val="nil"/>
                  </w:tcBorders>
                  <w:vAlign w:val="center"/>
                </w:tcPr>
                <w:p w14:paraId="450EDD5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本项目满足要求</w:t>
                  </w:r>
                </w:p>
              </w:tc>
              <w:tc>
                <w:tcPr>
                  <w:tcW w:w="766" w:type="dxa"/>
                  <w:tcBorders>
                    <w:tl2br w:val="nil"/>
                    <w:tr2bl w:val="nil"/>
                  </w:tcBorders>
                  <w:vAlign w:val="center"/>
                </w:tcPr>
                <w:p w14:paraId="3EAB404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相符</w:t>
                  </w:r>
                </w:p>
              </w:tc>
            </w:tr>
            <w:tr w14:paraId="43E40C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805" w:type="dxa"/>
                  <w:tcBorders>
                    <w:tl2br w:val="nil"/>
                    <w:tr2bl w:val="nil"/>
                  </w:tcBorders>
                  <w:vAlign w:val="center"/>
                </w:tcPr>
                <w:p w14:paraId="06A57568">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第二十一条</w:t>
                  </w:r>
                </w:p>
              </w:tc>
              <w:tc>
                <w:tcPr>
                  <w:tcW w:w="4296" w:type="dxa"/>
                  <w:tcBorders>
                    <w:tl2br w:val="nil"/>
                    <w:tr2bl w:val="nil"/>
                  </w:tcBorders>
                  <w:vAlign w:val="center"/>
                </w:tcPr>
                <w:p w14:paraId="5FB4C35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在生态保护红线区域、永久基本农田集中区域和其他需要特别保护的区域内，禁止建设工业固体废物、危险废物集中贮存、利用、处置的设施、场所和生活垃圾填埋场。</w:t>
                  </w:r>
                </w:p>
              </w:tc>
              <w:tc>
                <w:tcPr>
                  <w:tcW w:w="2509" w:type="dxa"/>
                  <w:tcBorders>
                    <w:tl2br w:val="nil"/>
                    <w:tr2bl w:val="nil"/>
                  </w:tcBorders>
                  <w:vAlign w:val="center"/>
                </w:tcPr>
                <w:p w14:paraId="054B14D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本项目不涉及</w:t>
                  </w:r>
                </w:p>
              </w:tc>
              <w:tc>
                <w:tcPr>
                  <w:tcW w:w="766" w:type="dxa"/>
                  <w:tcBorders>
                    <w:tl2br w:val="nil"/>
                    <w:tr2bl w:val="nil"/>
                  </w:tcBorders>
                  <w:vAlign w:val="center"/>
                </w:tcPr>
                <w:p w14:paraId="50E85B2E">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rFonts w:hint="eastAsia" w:ascii="Times New Roman" w:eastAsia="宋体"/>
                      <w:color w:val="auto"/>
                      <w:highlight w:val="none"/>
                      <w:lang w:val="en-US" w:eastAsia="zh-CN"/>
                    </w:rPr>
                    <w:t>相符</w:t>
                  </w:r>
                </w:p>
              </w:tc>
            </w:tr>
          </w:tbl>
          <w:p w14:paraId="3583B8C7">
            <w:pPr>
              <w:pStyle w:val="76"/>
              <w:keepNext w:val="0"/>
              <w:keepLines w:val="0"/>
              <w:numPr>
                <w:ilvl w:val="0"/>
                <w:numId w:val="0"/>
              </w:numPr>
              <w:suppressLineNumbers w:val="0"/>
              <w:bidi w:val="0"/>
              <w:spacing w:before="0" w:beforeAutospacing="0" w:after="0" w:afterAutospacing="0"/>
              <w:ind w:left="60" w:leftChars="0" w:right="0" w:rightChars="0" w:firstLine="420" w:firstLineChars="0"/>
              <w:rPr>
                <w:rFonts w:hint="default"/>
                <w:b/>
                <w:bCs w:val="0"/>
                <w:color w:val="auto"/>
                <w:spacing w:val="-2"/>
                <w:highlight w:val="none"/>
              </w:rPr>
            </w:pPr>
            <w:r>
              <w:rPr>
                <w:rFonts w:hint="eastAsia" w:cs="Times New Roman"/>
                <w:b/>
                <w:bCs w:val="0"/>
                <w:color w:val="auto"/>
                <w:spacing w:val="-2"/>
                <w:kern w:val="2"/>
                <w:sz w:val="24"/>
                <w:szCs w:val="24"/>
                <w:highlight w:val="none"/>
                <w:lang w:val="en-US" w:eastAsia="zh-CN" w:bidi="ar-SA"/>
              </w:rPr>
              <w:t>9</w:t>
            </w:r>
            <w:r>
              <w:rPr>
                <w:rFonts w:hint="default" w:ascii="Times New Roman" w:hAnsi="Times New Roman" w:eastAsia="宋体" w:cs="Times New Roman"/>
                <w:b/>
                <w:bCs w:val="0"/>
                <w:color w:val="auto"/>
                <w:spacing w:val="-2"/>
                <w:kern w:val="2"/>
                <w:sz w:val="24"/>
                <w:szCs w:val="24"/>
                <w:highlight w:val="none"/>
                <w:lang w:val="en-US" w:eastAsia="zh-CN" w:bidi="ar-SA"/>
              </w:rPr>
              <w:t>、</w:t>
            </w:r>
            <w:r>
              <w:rPr>
                <w:rFonts w:hint="default"/>
                <w:b/>
                <w:bCs w:val="0"/>
                <w:color w:val="auto"/>
                <w:spacing w:val="-12"/>
                <w:highlight w:val="none"/>
              </w:rPr>
              <w:t>与《一般工业固体废物贮存和填埋污染控制标准》</w:t>
            </w:r>
            <w:r>
              <w:rPr>
                <w:rFonts w:hint="default"/>
                <w:b/>
                <w:bCs w:val="0"/>
                <w:color w:val="auto"/>
                <w:spacing w:val="-2"/>
                <w:highlight w:val="none"/>
              </w:rPr>
              <w:t>（</w:t>
            </w:r>
            <w:r>
              <w:rPr>
                <w:rFonts w:hint="default" w:ascii="Times New Roman" w:hAnsi="Times New Roman" w:eastAsia="Times New Roman" w:cs="Times New Roman"/>
                <w:b/>
                <w:bCs w:val="0"/>
                <w:color w:val="auto"/>
                <w:spacing w:val="-2"/>
                <w:highlight w:val="none"/>
              </w:rPr>
              <w:t>GB1599-2020</w:t>
            </w:r>
            <w:r>
              <w:rPr>
                <w:rFonts w:hint="default"/>
                <w:b/>
                <w:bCs w:val="0"/>
                <w:color w:val="auto"/>
                <w:spacing w:val="-2"/>
                <w:highlight w:val="none"/>
              </w:rPr>
              <w:t>）相符性分析</w:t>
            </w:r>
          </w:p>
          <w:p w14:paraId="197930C8">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与《一般工业固体废物贮存和填埋污染控制标准》相符性分析表</w:t>
            </w:r>
          </w:p>
          <w:tbl>
            <w:tblPr>
              <w:tblStyle w:val="96"/>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40"/>
              <w:gridCol w:w="4337"/>
              <w:gridCol w:w="2948"/>
              <w:gridCol w:w="651"/>
            </w:tblGrid>
            <w:tr w14:paraId="45CEE97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233CBCB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b/>
                      <w:bCs/>
                      <w:color w:val="auto"/>
                      <w:highlight w:val="none"/>
                      <w:lang w:val="en-US" w:eastAsia="zh-CN"/>
                    </w:rPr>
                  </w:pPr>
                  <w:r>
                    <w:rPr>
                      <w:rFonts w:hint="eastAsia"/>
                      <w:b/>
                      <w:bCs/>
                      <w:color w:val="auto"/>
                      <w:highlight w:val="none"/>
                      <w:lang w:val="en-US" w:eastAsia="zh-CN"/>
                    </w:rPr>
                    <w:t>序号</w:t>
                  </w:r>
                </w:p>
              </w:tc>
              <w:tc>
                <w:tcPr>
                  <w:tcW w:w="4337" w:type="dxa"/>
                  <w:tcBorders>
                    <w:tl2br w:val="nil"/>
                    <w:tr2bl w:val="nil"/>
                  </w:tcBorders>
                  <w:vAlign w:val="center"/>
                </w:tcPr>
                <w:p w14:paraId="7CBC5F18">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要求</w:t>
                  </w:r>
                </w:p>
              </w:tc>
              <w:tc>
                <w:tcPr>
                  <w:tcW w:w="2948" w:type="dxa"/>
                  <w:tcBorders>
                    <w:tl2br w:val="nil"/>
                    <w:tr2bl w:val="nil"/>
                  </w:tcBorders>
                  <w:vAlign w:val="center"/>
                </w:tcPr>
                <w:p w14:paraId="06EF3C20">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本项目情况</w:t>
                  </w:r>
                </w:p>
              </w:tc>
              <w:tc>
                <w:tcPr>
                  <w:tcW w:w="651" w:type="dxa"/>
                  <w:tcBorders>
                    <w:tl2br w:val="nil"/>
                    <w:tr2bl w:val="nil"/>
                  </w:tcBorders>
                  <w:vAlign w:val="center"/>
                </w:tcPr>
                <w:p w14:paraId="08049C1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eastAsia="宋体"/>
                      <w:b/>
                      <w:bCs/>
                      <w:color w:val="auto"/>
                      <w:highlight w:val="none"/>
                      <w:lang w:val="en-US" w:eastAsia="zh-CN"/>
                    </w:rPr>
                  </w:pPr>
                  <w:r>
                    <w:rPr>
                      <w:rFonts w:hint="eastAsia"/>
                      <w:b/>
                      <w:bCs/>
                      <w:color w:val="auto"/>
                      <w:highlight w:val="none"/>
                      <w:lang w:val="en-US" w:eastAsia="zh-CN"/>
                    </w:rPr>
                    <w:t>相符性</w:t>
                  </w:r>
                </w:p>
              </w:tc>
            </w:tr>
            <w:tr w14:paraId="446F71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20A90A0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1</w:t>
                  </w:r>
                </w:p>
              </w:tc>
              <w:tc>
                <w:tcPr>
                  <w:tcW w:w="4337" w:type="dxa"/>
                  <w:tcBorders>
                    <w:tl2br w:val="nil"/>
                    <w:tr2bl w:val="nil"/>
                  </w:tcBorders>
                  <w:vAlign w:val="center"/>
                </w:tcPr>
                <w:p w14:paraId="5123AAC4">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一般工业固体废物贮存场、填埋场的选址应符合环境保护法律法规及相关法定规划要求。</w:t>
                  </w:r>
                </w:p>
              </w:tc>
              <w:tc>
                <w:tcPr>
                  <w:tcW w:w="2948" w:type="dxa"/>
                  <w:tcBorders>
                    <w:tl2br w:val="nil"/>
                    <w:tr2bl w:val="nil"/>
                  </w:tcBorders>
                  <w:vAlign w:val="center"/>
                </w:tcPr>
                <w:p w14:paraId="0E41733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本项目的原料与产生的一般废物贮存场选址应符合环境保护法律法规及相关法定规划要求。</w:t>
                  </w:r>
                </w:p>
              </w:tc>
              <w:tc>
                <w:tcPr>
                  <w:tcW w:w="651" w:type="dxa"/>
                  <w:tcBorders>
                    <w:tl2br w:val="nil"/>
                    <w:tr2bl w:val="nil"/>
                  </w:tcBorders>
                  <w:vAlign w:val="center"/>
                </w:tcPr>
                <w:p w14:paraId="2544F5B0">
                  <w:pPr>
                    <w:pStyle w:val="78"/>
                    <w:bidi w:val="0"/>
                    <w:rPr>
                      <w:rFonts w:hint="eastAsia" w:eastAsia="宋体"/>
                      <w:color w:val="auto"/>
                      <w:highlight w:val="none"/>
                      <w:lang w:val="en-US" w:eastAsia="zh-CN"/>
                    </w:rPr>
                  </w:pPr>
                  <w:r>
                    <w:rPr>
                      <w:rFonts w:hint="eastAsia"/>
                      <w:color w:val="auto"/>
                      <w:highlight w:val="none"/>
                      <w:lang w:val="en-US" w:eastAsia="zh-CN"/>
                    </w:rPr>
                    <w:t>相符</w:t>
                  </w:r>
                </w:p>
              </w:tc>
            </w:tr>
            <w:tr w14:paraId="4C3BD9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25567FD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2</w:t>
                  </w:r>
                </w:p>
              </w:tc>
              <w:tc>
                <w:tcPr>
                  <w:tcW w:w="4337" w:type="dxa"/>
                  <w:tcBorders>
                    <w:tl2br w:val="nil"/>
                    <w:tr2bl w:val="nil"/>
                  </w:tcBorders>
                  <w:vAlign w:val="center"/>
                </w:tcPr>
                <w:p w14:paraId="1C92527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贮存场、填埋场的位置与周围居民区的距离应依据环境影响评价文件及审批意见确定。</w:t>
                  </w:r>
                </w:p>
              </w:tc>
              <w:tc>
                <w:tcPr>
                  <w:tcW w:w="2948" w:type="dxa"/>
                  <w:tcBorders>
                    <w:tl2br w:val="nil"/>
                    <w:tr2bl w:val="nil"/>
                  </w:tcBorders>
                  <w:vAlign w:val="center"/>
                </w:tcPr>
                <w:p w14:paraId="485E29E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本项目位于建筑陶瓷产业园，</w:t>
                  </w:r>
                  <w:r>
                    <w:rPr>
                      <w:rFonts w:hint="eastAsia"/>
                      <w:color w:val="auto"/>
                      <w:highlight w:val="none"/>
                      <w:lang w:val="en-US" w:eastAsia="zh-CN"/>
                    </w:rPr>
                    <w:t>已</w:t>
                  </w:r>
                  <w:r>
                    <w:rPr>
                      <w:color w:val="auto"/>
                      <w:highlight w:val="none"/>
                    </w:rPr>
                    <w:t>设置卫生防护距离，防护距离内无敏感目标。</w:t>
                  </w:r>
                </w:p>
              </w:tc>
              <w:tc>
                <w:tcPr>
                  <w:tcW w:w="651" w:type="dxa"/>
                  <w:tcBorders>
                    <w:tl2br w:val="nil"/>
                    <w:tr2bl w:val="nil"/>
                  </w:tcBorders>
                  <w:vAlign w:val="center"/>
                </w:tcPr>
                <w:p w14:paraId="61E1DBA1">
                  <w:pPr>
                    <w:pStyle w:val="78"/>
                    <w:bidi w:val="0"/>
                    <w:rPr>
                      <w:color w:val="auto"/>
                      <w:highlight w:val="none"/>
                    </w:rPr>
                  </w:pPr>
                  <w:r>
                    <w:rPr>
                      <w:rFonts w:hint="eastAsia" w:ascii="Times New Roman" w:eastAsia="宋体"/>
                      <w:color w:val="auto"/>
                      <w:highlight w:val="none"/>
                      <w:lang w:val="en-US" w:eastAsia="zh-CN"/>
                    </w:rPr>
                    <w:t>相符</w:t>
                  </w:r>
                </w:p>
              </w:tc>
            </w:tr>
            <w:tr w14:paraId="6534A3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jc w:val="center"/>
              </w:trPr>
              <w:tc>
                <w:tcPr>
                  <w:tcW w:w="440" w:type="dxa"/>
                  <w:tcBorders>
                    <w:tl2br w:val="nil"/>
                    <w:tr2bl w:val="nil"/>
                  </w:tcBorders>
                  <w:vAlign w:val="center"/>
                </w:tcPr>
                <w:p w14:paraId="2A3BB258">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3</w:t>
                  </w:r>
                </w:p>
              </w:tc>
              <w:tc>
                <w:tcPr>
                  <w:tcW w:w="4337" w:type="dxa"/>
                  <w:tcBorders>
                    <w:tl2br w:val="nil"/>
                    <w:tr2bl w:val="nil"/>
                  </w:tcBorders>
                  <w:vAlign w:val="center"/>
                </w:tcPr>
                <w:p w14:paraId="553C671C">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贮存场、填埋场不得选在生态保护红线区域、永久基本农田集中区域和其他需要特别保护的区域内。</w:t>
                  </w:r>
                </w:p>
              </w:tc>
              <w:tc>
                <w:tcPr>
                  <w:tcW w:w="2948" w:type="dxa"/>
                  <w:tcBorders>
                    <w:tl2br w:val="nil"/>
                    <w:tr2bl w:val="nil"/>
                  </w:tcBorders>
                  <w:vAlign w:val="center"/>
                </w:tcPr>
                <w:p w14:paraId="618FA1FE">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eastAsia="宋体"/>
                      <w:color w:val="auto"/>
                      <w:highlight w:val="none"/>
                      <w:lang w:eastAsia="zh-CN"/>
                    </w:rPr>
                  </w:pPr>
                  <w:r>
                    <w:rPr>
                      <w:color w:val="auto"/>
                      <w:highlight w:val="none"/>
                    </w:rPr>
                    <w:t>本项目位于建筑陶瓷产业园，根据高安市生态红线图可知本项目</w:t>
                  </w:r>
                  <w:r>
                    <w:rPr>
                      <w:rFonts w:hint="eastAsia"/>
                      <w:color w:val="auto"/>
                      <w:highlight w:val="none"/>
                      <w:lang w:val="en-US" w:eastAsia="zh-CN"/>
                    </w:rPr>
                    <w:t>不</w:t>
                  </w:r>
                  <w:r>
                    <w:rPr>
                      <w:color w:val="auto"/>
                      <w:highlight w:val="none"/>
                    </w:rPr>
                    <w:t>在生态红线内</w:t>
                  </w:r>
                  <w:r>
                    <w:rPr>
                      <w:rFonts w:hint="eastAsia"/>
                      <w:color w:val="auto"/>
                      <w:highlight w:val="none"/>
                      <w:lang w:eastAsia="zh-CN"/>
                    </w:rPr>
                    <w:t>。</w:t>
                  </w:r>
                </w:p>
              </w:tc>
              <w:tc>
                <w:tcPr>
                  <w:tcW w:w="651" w:type="dxa"/>
                  <w:tcBorders>
                    <w:tl2br w:val="nil"/>
                    <w:tr2bl w:val="nil"/>
                  </w:tcBorders>
                  <w:vAlign w:val="center"/>
                </w:tcPr>
                <w:p w14:paraId="72629CC9">
                  <w:pPr>
                    <w:pStyle w:val="78"/>
                    <w:bidi w:val="0"/>
                    <w:rPr>
                      <w:color w:val="auto"/>
                      <w:highlight w:val="none"/>
                    </w:rPr>
                  </w:pPr>
                  <w:r>
                    <w:rPr>
                      <w:rFonts w:hint="eastAsia" w:ascii="Times New Roman" w:eastAsia="宋体"/>
                      <w:color w:val="auto"/>
                      <w:highlight w:val="none"/>
                      <w:lang w:val="en-US" w:eastAsia="zh-CN"/>
                    </w:rPr>
                    <w:t>相符</w:t>
                  </w:r>
                </w:p>
              </w:tc>
            </w:tr>
            <w:tr w14:paraId="3B2F2D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2EA7210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4</w:t>
                  </w:r>
                </w:p>
              </w:tc>
              <w:tc>
                <w:tcPr>
                  <w:tcW w:w="4337" w:type="dxa"/>
                  <w:tcBorders>
                    <w:tl2br w:val="nil"/>
                    <w:tr2bl w:val="nil"/>
                  </w:tcBorders>
                  <w:vAlign w:val="center"/>
                </w:tcPr>
                <w:p w14:paraId="4A153906">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贮存场、填埋场应避开活动断层、溶洞区、天然滑坡或泥石流影响区以及湿地等区域。</w:t>
                  </w:r>
                </w:p>
              </w:tc>
              <w:tc>
                <w:tcPr>
                  <w:tcW w:w="2948" w:type="dxa"/>
                  <w:tcBorders>
                    <w:tl2br w:val="nil"/>
                    <w:tr2bl w:val="nil"/>
                  </w:tcBorders>
                  <w:vAlign w:val="center"/>
                </w:tcPr>
                <w:p w14:paraId="523AF65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eastAsia="宋体"/>
                      <w:color w:val="auto"/>
                      <w:highlight w:val="none"/>
                      <w:lang w:eastAsia="zh-CN"/>
                    </w:rPr>
                  </w:pPr>
                  <w:r>
                    <w:rPr>
                      <w:color w:val="auto"/>
                      <w:highlight w:val="none"/>
                    </w:rPr>
                    <w:t>本项目位于建筑陶瓷产业园，已避开活动断层、溶洞区、天然滑坡或泥石流影响区以及湿地等区域</w:t>
                  </w:r>
                  <w:r>
                    <w:rPr>
                      <w:rFonts w:hint="eastAsia"/>
                      <w:color w:val="auto"/>
                      <w:highlight w:val="none"/>
                      <w:lang w:eastAsia="zh-CN"/>
                    </w:rPr>
                    <w:t>。</w:t>
                  </w:r>
                </w:p>
              </w:tc>
              <w:tc>
                <w:tcPr>
                  <w:tcW w:w="651" w:type="dxa"/>
                  <w:tcBorders>
                    <w:tl2br w:val="nil"/>
                    <w:tr2bl w:val="nil"/>
                  </w:tcBorders>
                  <w:vAlign w:val="center"/>
                </w:tcPr>
                <w:p w14:paraId="23AE6206">
                  <w:pPr>
                    <w:pStyle w:val="78"/>
                    <w:bidi w:val="0"/>
                    <w:rPr>
                      <w:color w:val="auto"/>
                      <w:highlight w:val="none"/>
                    </w:rPr>
                  </w:pPr>
                  <w:r>
                    <w:rPr>
                      <w:rFonts w:hint="eastAsia" w:ascii="Times New Roman" w:eastAsia="宋体"/>
                      <w:color w:val="auto"/>
                      <w:highlight w:val="none"/>
                      <w:lang w:val="en-US" w:eastAsia="zh-CN"/>
                    </w:rPr>
                    <w:t>相符</w:t>
                  </w:r>
                </w:p>
              </w:tc>
            </w:tr>
            <w:tr w14:paraId="3399C3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02F0E674">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5</w:t>
                  </w:r>
                </w:p>
              </w:tc>
              <w:tc>
                <w:tcPr>
                  <w:tcW w:w="4337" w:type="dxa"/>
                  <w:tcBorders>
                    <w:tl2br w:val="nil"/>
                    <w:tr2bl w:val="nil"/>
                  </w:tcBorders>
                  <w:vAlign w:val="center"/>
                </w:tcPr>
                <w:p w14:paraId="38712F8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贮存场、填埋场不得选在江河、湖泊、运河、渠道、水库最高水位线以下的滩地和岸坡，以及国家和地方长远规划中的水库等人工蓄水设施的淹没区和保护区之内。</w:t>
                  </w:r>
                </w:p>
              </w:tc>
              <w:tc>
                <w:tcPr>
                  <w:tcW w:w="2948" w:type="dxa"/>
                  <w:tcBorders>
                    <w:tl2br w:val="nil"/>
                    <w:tr2bl w:val="nil"/>
                  </w:tcBorders>
                  <w:vAlign w:val="center"/>
                </w:tcPr>
                <w:p w14:paraId="287DBFC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本项目位于建筑陶瓷产业园，项目已设置卫生防护距离，卫生防护距离内无敏感点。</w:t>
                  </w:r>
                </w:p>
              </w:tc>
              <w:tc>
                <w:tcPr>
                  <w:tcW w:w="651" w:type="dxa"/>
                  <w:tcBorders>
                    <w:tl2br w:val="nil"/>
                    <w:tr2bl w:val="nil"/>
                  </w:tcBorders>
                  <w:vAlign w:val="center"/>
                </w:tcPr>
                <w:p w14:paraId="46E4DEA1">
                  <w:pPr>
                    <w:pStyle w:val="78"/>
                    <w:bidi w:val="0"/>
                    <w:rPr>
                      <w:color w:val="auto"/>
                      <w:highlight w:val="none"/>
                    </w:rPr>
                  </w:pPr>
                  <w:r>
                    <w:rPr>
                      <w:rFonts w:hint="eastAsia" w:ascii="Times New Roman" w:eastAsia="宋体"/>
                      <w:color w:val="auto"/>
                      <w:highlight w:val="none"/>
                      <w:lang w:val="en-US" w:eastAsia="zh-CN"/>
                    </w:rPr>
                    <w:t>相符</w:t>
                  </w:r>
                </w:p>
              </w:tc>
            </w:tr>
            <w:tr w14:paraId="3CD2DE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440" w:type="dxa"/>
                  <w:tcBorders>
                    <w:tl2br w:val="nil"/>
                    <w:tr2bl w:val="nil"/>
                  </w:tcBorders>
                  <w:vAlign w:val="center"/>
                </w:tcPr>
                <w:p w14:paraId="6F8A347E">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6</w:t>
                  </w:r>
                </w:p>
              </w:tc>
              <w:tc>
                <w:tcPr>
                  <w:tcW w:w="4337" w:type="dxa"/>
                  <w:tcBorders>
                    <w:tl2br w:val="nil"/>
                    <w:tr2bl w:val="nil"/>
                  </w:tcBorders>
                  <w:vAlign w:val="center"/>
                </w:tcPr>
                <w:p w14:paraId="2150DEA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不相容的一般工业固体废物应设置不同的分区进行贮存和填埋作业。</w:t>
                  </w:r>
                </w:p>
              </w:tc>
              <w:tc>
                <w:tcPr>
                  <w:tcW w:w="2948" w:type="dxa"/>
                  <w:tcBorders>
                    <w:tl2br w:val="nil"/>
                    <w:tr2bl w:val="nil"/>
                  </w:tcBorders>
                  <w:vAlign w:val="center"/>
                </w:tcPr>
                <w:p w14:paraId="20BB77DA">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本项目一般固废分区储存。</w:t>
                  </w:r>
                </w:p>
              </w:tc>
              <w:tc>
                <w:tcPr>
                  <w:tcW w:w="651" w:type="dxa"/>
                  <w:tcBorders>
                    <w:tl2br w:val="nil"/>
                    <w:tr2bl w:val="nil"/>
                  </w:tcBorders>
                  <w:vAlign w:val="center"/>
                </w:tcPr>
                <w:p w14:paraId="338746B1">
                  <w:pPr>
                    <w:pStyle w:val="78"/>
                    <w:bidi w:val="0"/>
                    <w:rPr>
                      <w:color w:val="auto"/>
                      <w:highlight w:val="none"/>
                    </w:rPr>
                  </w:pPr>
                  <w:r>
                    <w:rPr>
                      <w:rFonts w:hint="eastAsia" w:ascii="Times New Roman" w:eastAsia="宋体"/>
                      <w:color w:val="auto"/>
                      <w:highlight w:val="none"/>
                      <w:lang w:val="en-US" w:eastAsia="zh-CN"/>
                    </w:rPr>
                    <w:t>相符</w:t>
                  </w:r>
                </w:p>
              </w:tc>
            </w:tr>
            <w:tr w14:paraId="080A96C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3" w:hRule="atLeast"/>
                <w:jc w:val="center"/>
              </w:trPr>
              <w:tc>
                <w:tcPr>
                  <w:tcW w:w="440" w:type="dxa"/>
                  <w:tcBorders>
                    <w:tl2br w:val="nil"/>
                    <w:tr2bl w:val="nil"/>
                  </w:tcBorders>
                  <w:vAlign w:val="center"/>
                </w:tcPr>
                <w:p w14:paraId="772005FE">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7</w:t>
                  </w:r>
                </w:p>
              </w:tc>
              <w:tc>
                <w:tcPr>
                  <w:tcW w:w="4337" w:type="dxa"/>
                  <w:tcBorders>
                    <w:tl2br w:val="nil"/>
                    <w:tr2bl w:val="nil"/>
                  </w:tcBorders>
                  <w:vAlign w:val="center"/>
                </w:tcPr>
                <w:p w14:paraId="023D379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贮存场、填埋场应制定运行计划，运行管理人员应定期参加企业的岗位培训。</w:t>
                  </w:r>
                </w:p>
              </w:tc>
              <w:tc>
                <w:tcPr>
                  <w:tcW w:w="2948" w:type="dxa"/>
                  <w:tcBorders>
                    <w:tl2br w:val="nil"/>
                    <w:tr2bl w:val="nil"/>
                  </w:tcBorders>
                  <w:vAlign w:val="center"/>
                </w:tcPr>
                <w:p w14:paraId="12ACC06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企业将按要求建立环境风险防范和编制相应应急预案。</w:t>
                  </w:r>
                </w:p>
              </w:tc>
              <w:tc>
                <w:tcPr>
                  <w:tcW w:w="651" w:type="dxa"/>
                  <w:tcBorders>
                    <w:tl2br w:val="nil"/>
                    <w:tr2bl w:val="nil"/>
                  </w:tcBorders>
                  <w:vAlign w:val="center"/>
                </w:tcPr>
                <w:p w14:paraId="619B53DF">
                  <w:pPr>
                    <w:pStyle w:val="78"/>
                    <w:bidi w:val="0"/>
                    <w:rPr>
                      <w:color w:val="auto"/>
                      <w:highlight w:val="none"/>
                    </w:rPr>
                  </w:pPr>
                  <w:r>
                    <w:rPr>
                      <w:rFonts w:hint="eastAsia" w:ascii="Times New Roman" w:eastAsia="宋体"/>
                      <w:color w:val="auto"/>
                      <w:highlight w:val="none"/>
                      <w:lang w:val="en-US" w:eastAsia="zh-CN"/>
                    </w:rPr>
                    <w:t>相符</w:t>
                  </w:r>
                </w:p>
              </w:tc>
            </w:tr>
            <w:tr w14:paraId="4EC472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6" w:hRule="atLeast"/>
                <w:jc w:val="center"/>
              </w:trPr>
              <w:tc>
                <w:tcPr>
                  <w:tcW w:w="440" w:type="dxa"/>
                  <w:tcBorders>
                    <w:tl2br w:val="nil"/>
                    <w:tr2bl w:val="nil"/>
                  </w:tcBorders>
                  <w:vAlign w:val="center"/>
                </w:tcPr>
                <w:p w14:paraId="4685846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eastAsia"/>
                      <w:color w:val="auto"/>
                      <w:highlight w:val="none"/>
                      <w:lang w:val="en-US" w:eastAsia="zh-CN"/>
                    </w:rPr>
                  </w:pPr>
                  <w:r>
                    <w:rPr>
                      <w:rFonts w:hint="eastAsia"/>
                      <w:color w:val="auto"/>
                      <w:highlight w:val="none"/>
                      <w:lang w:val="en-US" w:eastAsia="zh-CN"/>
                    </w:rPr>
                    <w:t>8</w:t>
                  </w:r>
                </w:p>
              </w:tc>
              <w:tc>
                <w:tcPr>
                  <w:tcW w:w="4337" w:type="dxa"/>
                  <w:tcBorders>
                    <w:tl2br w:val="nil"/>
                    <w:tr2bl w:val="nil"/>
                  </w:tcBorders>
                  <w:vAlign w:val="center"/>
                </w:tcPr>
                <w:p w14:paraId="2F123275">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易产生扬尘的贮存或填埋场应采取分区作业、覆盖、洒水等有效抑尘措施防止扬尘污染。尾矿库应采取均匀放矿、洒水抑尘等措施防止干滩扬尘污染。</w:t>
                  </w:r>
                </w:p>
              </w:tc>
              <w:tc>
                <w:tcPr>
                  <w:tcW w:w="2948" w:type="dxa"/>
                  <w:tcBorders>
                    <w:tl2br w:val="nil"/>
                    <w:tr2bl w:val="nil"/>
                  </w:tcBorders>
                  <w:vAlign w:val="center"/>
                </w:tcPr>
                <w:p w14:paraId="7EFC5C7B">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项目易产生扬尘的贮存或填埋场已采取分区作业、覆盖、洒水等有效抑尘措施防止扬尘污染。</w:t>
                  </w:r>
                </w:p>
              </w:tc>
              <w:tc>
                <w:tcPr>
                  <w:tcW w:w="651" w:type="dxa"/>
                  <w:tcBorders>
                    <w:tl2br w:val="nil"/>
                    <w:tr2bl w:val="nil"/>
                  </w:tcBorders>
                  <w:vAlign w:val="center"/>
                </w:tcPr>
                <w:p w14:paraId="554F56B5">
                  <w:pPr>
                    <w:pStyle w:val="78"/>
                    <w:bidi w:val="0"/>
                    <w:rPr>
                      <w:color w:val="auto"/>
                      <w:highlight w:val="none"/>
                    </w:rPr>
                  </w:pPr>
                  <w:r>
                    <w:rPr>
                      <w:rFonts w:hint="eastAsia" w:ascii="Times New Roman" w:eastAsia="宋体"/>
                      <w:color w:val="auto"/>
                      <w:highlight w:val="none"/>
                      <w:lang w:val="en-US" w:eastAsia="zh-CN"/>
                    </w:rPr>
                    <w:t>相符</w:t>
                  </w:r>
                </w:p>
              </w:tc>
            </w:tr>
          </w:tbl>
          <w:p w14:paraId="18BE7C95">
            <w:pPr>
              <w:pStyle w:val="76"/>
              <w:keepNext w:val="0"/>
              <w:keepLines w:val="0"/>
              <w:numPr>
                <w:ilvl w:val="0"/>
                <w:numId w:val="0"/>
              </w:numPr>
              <w:suppressLineNumbers w:val="0"/>
              <w:bidi w:val="0"/>
              <w:spacing w:before="0" w:beforeAutospacing="0" w:after="0" w:afterAutospacing="0"/>
              <w:ind w:left="0" w:right="0" w:firstLine="458" w:firstLineChars="200"/>
              <w:rPr>
                <w:rFonts w:hint="default"/>
                <w:b/>
                <w:bCs w:val="0"/>
                <w:color w:val="auto"/>
                <w:spacing w:val="-6"/>
                <w:highlight w:val="none"/>
              </w:rPr>
            </w:pPr>
            <w:r>
              <w:rPr>
                <w:rFonts w:hint="default" w:ascii="Times New Roman" w:hAnsi="Times New Roman" w:eastAsia="宋体" w:cs="Times New Roman"/>
                <w:b/>
                <w:bCs w:val="0"/>
                <w:color w:val="auto"/>
                <w:spacing w:val="-6"/>
                <w:kern w:val="2"/>
                <w:sz w:val="24"/>
                <w:szCs w:val="24"/>
                <w:highlight w:val="none"/>
                <w:lang w:val="en-US" w:eastAsia="zh-CN" w:bidi="ar-SA"/>
              </w:rPr>
              <w:t>10、</w:t>
            </w:r>
            <w:r>
              <w:rPr>
                <w:rFonts w:hint="default"/>
                <w:b/>
                <w:bCs w:val="0"/>
                <w:color w:val="auto"/>
                <w:spacing w:val="-6"/>
                <w:highlight w:val="none"/>
              </w:rPr>
              <w:t>与《国家工业固体废物资源综合利用产品目录》相符性分析</w:t>
            </w:r>
          </w:p>
          <w:p w14:paraId="68595EF8">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lang w:val="en-US" w:eastAsia="zh-CN"/>
              </w:rPr>
              <w:t>本项目根据《国家工业固体废物资源综合利用产品目录》属于工业固体废物种类</w:t>
            </w:r>
            <w:r>
              <w:rPr>
                <w:rFonts w:hint="eastAsia"/>
                <w:color w:val="auto"/>
                <w:highlight w:val="none"/>
                <w:lang w:val="en-US" w:eastAsia="zh-CN"/>
              </w:rPr>
              <w:t>三</w:t>
            </w:r>
            <w:r>
              <w:rPr>
                <w:rFonts w:hint="default"/>
                <w:color w:val="auto"/>
                <w:highlight w:val="none"/>
                <w:lang w:val="en-US" w:eastAsia="zh-CN"/>
              </w:rPr>
              <w:t>、</w:t>
            </w:r>
            <w:r>
              <w:rPr>
                <w:rFonts w:hint="eastAsia"/>
                <w:color w:val="auto"/>
                <w:highlight w:val="none"/>
                <w:lang w:val="en-US" w:eastAsia="zh-CN"/>
              </w:rPr>
              <w:t>冶炼渣（不含危险废物）</w:t>
            </w:r>
            <w:r>
              <w:rPr>
                <w:rFonts w:hint="default"/>
                <w:color w:val="auto"/>
                <w:highlight w:val="none"/>
                <w:lang w:val="en-US" w:eastAsia="zh-CN"/>
              </w:rPr>
              <w:t>-</w:t>
            </w:r>
            <w:r>
              <w:rPr>
                <w:rFonts w:hint="eastAsia"/>
                <w:color w:val="auto"/>
                <w:highlight w:val="none"/>
                <w:lang w:val="en-US" w:eastAsia="zh-CN"/>
              </w:rPr>
              <w:t>3.5、3.6、3.9中矿渣粉、矿物掺合料、建筑砂石骨料（含机制砂）、</w:t>
            </w:r>
            <w:r>
              <w:rPr>
                <w:rFonts w:hint="default"/>
                <w:color w:val="auto"/>
                <w:highlight w:val="none"/>
                <w:lang w:val="en-US" w:eastAsia="zh-CN"/>
              </w:rPr>
              <w:t>砖瓦、砌块、混凝土，</w:t>
            </w:r>
            <w:r>
              <w:rPr>
                <w:rFonts w:hint="eastAsia"/>
                <w:color w:val="auto"/>
                <w:highlight w:val="none"/>
                <w:lang w:val="en-US" w:eastAsia="zh-CN"/>
              </w:rPr>
              <w:t>种类四、粉煤灰（不含危险废物）</w:t>
            </w:r>
            <w:r>
              <w:rPr>
                <w:rFonts w:hint="default"/>
                <w:color w:val="auto"/>
                <w:highlight w:val="none"/>
                <w:lang w:val="en-US" w:eastAsia="zh-CN"/>
              </w:rPr>
              <w:t>-</w:t>
            </w:r>
            <w:r>
              <w:rPr>
                <w:rFonts w:hint="eastAsia"/>
                <w:color w:val="auto"/>
                <w:highlight w:val="none"/>
                <w:lang w:val="en-US" w:eastAsia="zh-CN"/>
              </w:rPr>
              <w:t>4.1、4.2、4.3矿物掺合料、砖瓦、砌块，种类</w:t>
            </w:r>
            <w:r>
              <w:rPr>
                <w:rFonts w:hint="default"/>
                <w:color w:val="auto"/>
                <w:highlight w:val="none"/>
              </w:rPr>
              <w:t>六、其他工业固体废物</w:t>
            </w:r>
            <w:r>
              <w:rPr>
                <w:rFonts w:hint="eastAsia"/>
                <w:color w:val="auto"/>
                <w:highlight w:val="none"/>
                <w:lang w:val="en-US" w:eastAsia="zh-CN"/>
              </w:rPr>
              <w:t>-</w:t>
            </w:r>
            <w:r>
              <w:rPr>
                <w:rFonts w:hint="default"/>
                <w:color w:val="auto"/>
                <w:highlight w:val="none"/>
              </w:rPr>
              <w:t>6.8陶瓷工业废料</w:t>
            </w:r>
            <w:r>
              <w:rPr>
                <w:rFonts w:hint="eastAsia"/>
                <w:color w:val="auto"/>
                <w:highlight w:val="none"/>
                <w:lang w:eastAsia="zh-CN"/>
              </w:rPr>
              <w:t>，</w:t>
            </w:r>
            <w:r>
              <w:rPr>
                <w:rFonts w:hint="default"/>
                <w:color w:val="auto"/>
                <w:highlight w:val="none"/>
                <w:lang w:val="en-US" w:eastAsia="zh-CN"/>
              </w:rPr>
              <w:t>其中综合利用技术条件和要求</w:t>
            </w:r>
            <w:r>
              <w:rPr>
                <w:rFonts w:hint="eastAsia"/>
                <w:color w:val="auto"/>
                <w:highlight w:val="none"/>
                <w:lang w:val="en-US" w:eastAsia="zh-CN"/>
              </w:rPr>
              <w:t>：</w:t>
            </w:r>
          </w:p>
          <w:p w14:paraId="470C36BD">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w:t>
            </w:r>
            <w:r>
              <w:rPr>
                <w:rFonts w:hint="default"/>
                <w:color w:val="auto"/>
                <w:highlight w:val="none"/>
                <w:lang w:val="en-US" w:eastAsia="zh-CN"/>
              </w:rPr>
              <w:t>产品符合有《混凝土普通砖和装饰砖》（NY/T671-2003）、江西省地方标准《公路工程利用锂渣技术规范第1部分：路基工程（试行）》（DB36/T1968-2024）</w:t>
            </w:r>
            <w:r>
              <w:rPr>
                <w:rFonts w:hint="eastAsia"/>
                <w:color w:val="auto"/>
                <w:highlight w:val="none"/>
                <w:lang w:val="en-US" w:eastAsia="zh-CN"/>
              </w:rPr>
              <w:t>、《用于水泥、砂浆和混凝土中的粒化高炉矿渣粉》（</w:t>
            </w:r>
            <w:r>
              <w:rPr>
                <w:rFonts w:hint="default"/>
                <w:color w:val="auto"/>
                <w:highlight w:val="none"/>
                <w:lang w:val="en-US" w:eastAsia="zh-CN"/>
              </w:rPr>
              <w:t>GB/T18046-2017</w:t>
            </w:r>
            <w:r>
              <w:rPr>
                <w:rFonts w:hint="eastAsia"/>
                <w:color w:val="auto"/>
                <w:highlight w:val="none"/>
                <w:lang w:val="en-US" w:eastAsia="zh-CN"/>
              </w:rPr>
              <w:t>）、</w:t>
            </w:r>
            <w:r>
              <w:rPr>
                <w:rFonts w:hint="eastAsia"/>
                <w:color w:val="auto"/>
                <w:highlight w:val="none"/>
                <w:lang w:eastAsia="zh-CN"/>
              </w:rPr>
              <w:t>《</w:t>
            </w:r>
            <w:r>
              <w:rPr>
                <w:rFonts w:hint="eastAsia"/>
                <w:color w:val="auto"/>
                <w:highlight w:val="none"/>
              </w:rPr>
              <w:t>混凝土用复合掺合料</w:t>
            </w:r>
            <w:r>
              <w:rPr>
                <w:rFonts w:hint="eastAsia"/>
                <w:color w:val="auto"/>
                <w:highlight w:val="none"/>
                <w:lang w:eastAsia="zh-CN"/>
              </w:rPr>
              <w:t>》（JG</w:t>
            </w:r>
            <w:r>
              <w:rPr>
                <w:rFonts w:hint="eastAsia"/>
                <w:color w:val="auto"/>
                <w:highlight w:val="none"/>
                <w:lang w:val="en-US" w:eastAsia="zh-CN"/>
              </w:rPr>
              <w:t>/</w:t>
            </w:r>
            <w:r>
              <w:rPr>
                <w:rFonts w:hint="eastAsia"/>
                <w:color w:val="auto"/>
                <w:highlight w:val="none"/>
                <w:lang w:eastAsia="zh-CN"/>
              </w:rPr>
              <w:t>T 486-2015）</w:t>
            </w:r>
            <w:r>
              <w:rPr>
                <w:rFonts w:hint="eastAsia"/>
                <w:color w:val="auto"/>
                <w:highlight w:val="none"/>
                <w:lang w:val="en-US" w:eastAsia="zh-CN"/>
              </w:rPr>
              <w:t>中普通型Ⅱ级、《建设用砂》（GB/T14684）、</w:t>
            </w:r>
            <w:r>
              <w:rPr>
                <w:rFonts w:hint="default"/>
                <w:color w:val="auto"/>
                <w:highlight w:val="none"/>
              </w:rPr>
              <w:t>《用于水泥和混凝土中的粉煤灰》（GB1596）、《矿物掺和料应用技术规范》（GB/T51003）</w:t>
            </w:r>
            <w:r>
              <w:rPr>
                <w:rFonts w:hint="default"/>
                <w:color w:val="auto"/>
                <w:highlight w:val="none"/>
                <w:lang w:val="en-US" w:eastAsia="zh-CN"/>
              </w:rPr>
              <w:t>；</w:t>
            </w:r>
          </w:p>
          <w:p w14:paraId="488A73DC">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（2）</w:t>
            </w:r>
            <w:r>
              <w:rPr>
                <w:rFonts w:hint="default"/>
                <w:color w:val="auto"/>
                <w:highlight w:val="none"/>
                <w:lang w:val="en-US" w:eastAsia="zh-CN"/>
              </w:rPr>
              <w:t>产品符合《建筑材料放射性核素限量》（GB6566）</w:t>
            </w:r>
            <w:r>
              <w:rPr>
                <w:rFonts w:hint="eastAsia"/>
                <w:color w:val="auto"/>
                <w:highlight w:val="none"/>
                <w:lang w:val="en-US" w:eastAsia="zh-CN"/>
              </w:rPr>
              <w:t>和《机制砂石骨料工厂设计规范》</w:t>
            </w:r>
            <w:r>
              <w:rPr>
                <w:rFonts w:hint="default"/>
                <w:color w:val="auto"/>
                <w:highlight w:val="none"/>
                <w:lang w:val="en-US" w:eastAsia="zh-CN"/>
              </w:rPr>
              <w:t>。</w:t>
            </w:r>
          </w:p>
          <w:p w14:paraId="0F4BC689">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11、</w:t>
            </w:r>
            <w:r>
              <w:rPr>
                <w:rFonts w:hint="default"/>
                <w:b/>
                <w:bCs w:val="0"/>
                <w:color w:val="auto"/>
                <w:highlight w:val="none"/>
              </w:rPr>
              <w:t>项目与《江西省生态环境厅关于规范涉铊企业铊污染物重点防控工作的通知》（赣环固体字〔2023〕9号）</w:t>
            </w:r>
          </w:p>
          <w:p w14:paraId="2F53E2F5">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与（赣环固体字〔2023〕9号）相符性分析表</w:t>
            </w:r>
          </w:p>
          <w:tbl>
            <w:tblPr>
              <w:tblStyle w:val="25"/>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6"/>
              <w:gridCol w:w="4710"/>
              <w:gridCol w:w="2225"/>
              <w:gridCol w:w="745"/>
            </w:tblGrid>
            <w:tr w14:paraId="33EC1D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406" w:type="dxa"/>
                  <w:gridSpan w:val="2"/>
                  <w:tcBorders>
                    <w:tl2br w:val="nil"/>
                    <w:tr2bl w:val="nil"/>
                  </w:tcBorders>
                  <w:noWrap w:val="0"/>
                  <w:vAlign w:val="center"/>
                </w:tcPr>
                <w:p w14:paraId="3BCEA4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lang w:val="en-US" w:eastAsia="zh-CN"/>
                    </w:rPr>
                    <w:t>文件要求</w:t>
                  </w:r>
                </w:p>
              </w:tc>
              <w:tc>
                <w:tcPr>
                  <w:tcW w:w="2225" w:type="dxa"/>
                  <w:tcBorders>
                    <w:tl2br w:val="nil"/>
                    <w:tr2bl w:val="nil"/>
                  </w:tcBorders>
                  <w:noWrap w:val="0"/>
                  <w:vAlign w:val="center"/>
                </w:tcPr>
                <w:p w14:paraId="7C0E9E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本项目实际情况</w:t>
                  </w:r>
                </w:p>
              </w:tc>
              <w:tc>
                <w:tcPr>
                  <w:tcW w:w="745" w:type="dxa"/>
                  <w:tcBorders>
                    <w:tl2br w:val="nil"/>
                    <w:tr2bl w:val="nil"/>
                  </w:tcBorders>
                  <w:noWrap w:val="0"/>
                  <w:vAlign w:val="center"/>
                </w:tcPr>
                <w:p w14:paraId="351BEE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相符性</w:t>
                  </w:r>
                </w:p>
              </w:tc>
            </w:tr>
            <w:tr w14:paraId="2C37BE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6" w:type="dxa"/>
                  <w:tcBorders>
                    <w:tl2br w:val="nil"/>
                    <w:tr2bl w:val="nil"/>
                  </w:tcBorders>
                  <w:noWrap w:val="0"/>
                  <w:vAlign w:val="center"/>
                </w:tcPr>
                <w:p w14:paraId="025143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一、摸清涉铊企业底数</w:t>
                  </w:r>
                </w:p>
              </w:tc>
              <w:tc>
                <w:tcPr>
                  <w:tcW w:w="4710" w:type="dxa"/>
                  <w:tcBorders>
                    <w:tl2br w:val="nil"/>
                    <w:tr2bl w:val="nil"/>
                  </w:tcBorders>
                  <w:noWrap w:val="0"/>
                  <w:vAlign w:val="center"/>
                </w:tcPr>
                <w:p w14:paraId="196E82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各地生态环境部门要按照《意见》《江西省生态环境厅关于开展碳酸锂等涉铊行业企业排查整治工作的紧急通知》（赣环应急〔2022〕29号）要求，深入开展碳酸锂、重有色金属冶炼（铜、铅锌、镍钴、锡、锑和汞冶炼，含再生冶炼</w:t>
                  </w:r>
                  <w:r>
                    <w:rPr>
                      <w:rFonts w:hint="eastAsia"/>
                      <w:color w:val="auto"/>
                      <w:highlight w:val="none"/>
                      <w:lang w:eastAsia="zh-CN"/>
                    </w:rPr>
                    <w:t>）</w:t>
                  </w:r>
                  <w:r>
                    <w:rPr>
                      <w:rFonts w:hint="eastAsia"/>
                      <w:color w:val="auto"/>
                      <w:highlight w:val="none"/>
                    </w:rPr>
                    <w:t>、钢铁等涉铊行业企业排查，摸清企业底数，建立涉铊企业清单。</w:t>
                  </w:r>
                </w:p>
              </w:tc>
              <w:tc>
                <w:tcPr>
                  <w:tcW w:w="2225" w:type="dxa"/>
                  <w:tcBorders>
                    <w:tl2br w:val="nil"/>
                    <w:tr2bl w:val="nil"/>
                  </w:tcBorders>
                  <w:noWrap w:val="0"/>
                  <w:vAlign w:val="center"/>
                </w:tcPr>
                <w:p w14:paraId="10176C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本项目为固体废物综合利用，利用</w:t>
                  </w:r>
                  <w:r>
                    <w:rPr>
                      <w:rFonts w:hint="eastAsia"/>
                      <w:color w:val="auto"/>
                      <w:highlight w:val="none"/>
                      <w:lang w:eastAsia="zh-CN"/>
                    </w:rPr>
                    <w:t>锂渣</w:t>
                  </w:r>
                  <w:r>
                    <w:rPr>
                      <w:rFonts w:hint="default"/>
                      <w:color w:val="auto"/>
                      <w:highlight w:val="none"/>
                    </w:rPr>
                    <w:t>作为原材料生产掺合料及</w:t>
                  </w:r>
                  <w:r>
                    <w:rPr>
                      <w:rFonts w:hint="eastAsia"/>
                      <w:color w:val="auto"/>
                      <w:highlight w:val="none"/>
                      <w:lang w:eastAsia="zh-CN"/>
                    </w:rPr>
                    <w:t>环保免烧砖</w:t>
                  </w:r>
                  <w:r>
                    <w:rPr>
                      <w:rFonts w:hint="default"/>
                      <w:color w:val="auto"/>
                      <w:highlight w:val="none"/>
                    </w:rPr>
                    <w:t>，锂渣中含有铊因子。企业按要求积极配合各级生态环境部门。</w:t>
                  </w:r>
                </w:p>
              </w:tc>
              <w:tc>
                <w:tcPr>
                  <w:tcW w:w="745" w:type="dxa"/>
                  <w:tcBorders>
                    <w:tl2br w:val="nil"/>
                    <w:tr2bl w:val="nil"/>
                  </w:tcBorders>
                  <w:noWrap w:val="0"/>
                  <w:vAlign w:val="center"/>
                </w:tcPr>
                <w:p w14:paraId="5F8DA3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567D95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6" w:type="dxa"/>
                  <w:tcBorders>
                    <w:tl2br w:val="nil"/>
                    <w:tr2bl w:val="nil"/>
                  </w:tcBorders>
                  <w:noWrap w:val="0"/>
                  <w:vAlign w:val="center"/>
                </w:tcPr>
                <w:p w14:paraId="138320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二、强化项目审批要求</w:t>
                  </w:r>
                </w:p>
              </w:tc>
              <w:tc>
                <w:tcPr>
                  <w:tcW w:w="4710" w:type="dxa"/>
                  <w:tcBorders>
                    <w:tl2br w:val="nil"/>
                    <w:tr2bl w:val="nil"/>
                  </w:tcBorders>
                  <w:noWrap w:val="0"/>
                  <w:vAlign w:val="center"/>
                </w:tcPr>
                <w:p w14:paraId="1BC16D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健全环评审批和重金属管理部门联动机制，对新审批的涉铊企业（项目</w:t>
                  </w:r>
                  <w:r>
                    <w:rPr>
                      <w:rFonts w:hint="eastAsia"/>
                      <w:color w:val="auto"/>
                      <w:highlight w:val="none"/>
                      <w:lang w:eastAsia="zh-CN"/>
                    </w:rPr>
                    <w:t>）</w:t>
                  </w:r>
                  <w:r>
                    <w:rPr>
                      <w:rFonts w:hint="eastAsia"/>
                      <w:color w:val="auto"/>
                      <w:highlight w:val="none"/>
                    </w:rPr>
                    <w:t>，环评报告中要明确要求企业加强重金属污染源头防控，减少使用高铊的矿石原料，对矿石原料、主副产品和生产废物中铊成分进行分析，要完善铊元素物料平衡分析，明确铊污染物排放量或最终去向，实现铊元素可核算可追踪；有废水、废气排放的涉铊企业要设置除铊治理设施，需相应达到《无机化学工业污染物排放标准》(GB31573</w:t>
                  </w:r>
                  <w:r>
                    <w:rPr>
                      <w:rFonts w:hint="eastAsia"/>
                      <w:color w:val="auto"/>
                      <w:highlight w:val="none"/>
                      <w:lang w:val="en-US" w:eastAsia="zh-CN"/>
                    </w:rPr>
                    <w:t>-</w:t>
                  </w:r>
                  <w:r>
                    <w:rPr>
                      <w:rFonts w:hint="eastAsia"/>
                      <w:color w:val="auto"/>
                      <w:highlight w:val="none"/>
                    </w:rPr>
                    <w:t>2015)、《钢铁工业水污染物排放标准》(GB13456</w:t>
                  </w:r>
                  <w:r>
                    <w:rPr>
                      <w:rFonts w:hint="eastAsia"/>
                      <w:color w:val="auto"/>
                      <w:highlight w:val="none"/>
                      <w:lang w:val="en-US" w:eastAsia="zh-CN"/>
                    </w:rPr>
                    <w:t>-</w:t>
                  </w:r>
                  <w:r>
                    <w:rPr>
                      <w:rFonts w:hint="eastAsia"/>
                      <w:color w:val="auto"/>
                      <w:highlight w:val="none"/>
                    </w:rPr>
                    <w:t>2012)、《工业废水铊污染物排放标准》</w:t>
                  </w:r>
                  <w:r>
                    <w:rPr>
                      <w:rFonts w:hint="eastAsia"/>
                      <w:color w:val="auto"/>
                      <w:highlight w:val="none"/>
                      <w:lang w:eastAsia="zh-CN"/>
                    </w:rPr>
                    <w:t>（</w:t>
                  </w:r>
                  <w:r>
                    <w:rPr>
                      <w:rFonts w:hint="eastAsia"/>
                      <w:color w:val="auto"/>
                      <w:highlight w:val="none"/>
                    </w:rPr>
                    <w:t>DB36/1149</w:t>
                  </w:r>
                  <w:r>
                    <w:rPr>
                      <w:rFonts w:hint="eastAsia"/>
                      <w:color w:val="auto"/>
                      <w:highlight w:val="none"/>
                      <w:lang w:val="en-US" w:eastAsia="zh-CN"/>
                    </w:rPr>
                    <w:t>-</w:t>
                  </w:r>
                  <w:r>
                    <w:rPr>
                      <w:rFonts w:hint="eastAsia"/>
                      <w:color w:val="auto"/>
                      <w:highlight w:val="none"/>
                    </w:rPr>
                    <w:t>2019</w:t>
                  </w:r>
                  <w:r>
                    <w:rPr>
                      <w:rFonts w:hint="eastAsia"/>
                      <w:color w:val="auto"/>
                      <w:highlight w:val="none"/>
                      <w:lang w:eastAsia="zh-CN"/>
                    </w:rPr>
                    <w:t>）</w:t>
                  </w:r>
                  <w:r>
                    <w:rPr>
                      <w:rFonts w:hint="eastAsia"/>
                      <w:color w:val="auto"/>
                      <w:highlight w:val="none"/>
                    </w:rPr>
                    <w:t>等标准要求，对于生产废水零排放的项目，应明确企业废水总排口中铊不得检出。自本通知印发之日起，对涉铊项目未分析铊污染物产排情况的，依法依规不予受理环评文件。涉铊项目环评报告、排污许可中铊污染防控内容是污染防治攻坚战重金属污染防治考核重要内容，请各地生态环境部门对2022年以来审批的涉铊项目，于2023年2月底前完成环评文件、排污许可证排查，在相关文件中补齐有关要求，并存档备查；对2022年以前已经建成并投入生产的涉铊项目，在换发排污许可证时，完善有关污染防治措施和排放标准要求。</w:t>
                  </w:r>
                </w:p>
              </w:tc>
              <w:tc>
                <w:tcPr>
                  <w:tcW w:w="2225" w:type="dxa"/>
                  <w:tcBorders>
                    <w:tl2br w:val="nil"/>
                    <w:tr2bl w:val="nil"/>
                  </w:tcBorders>
                  <w:noWrap w:val="0"/>
                  <w:vAlign w:val="center"/>
                </w:tcPr>
                <w:p w14:paraId="7A8E19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根据本项目原料锂渣成分检测报告，本项目锂渣中含有铊因子，根据工艺过程，本项目废气不涉及铊污染物，仅生活污水外排，</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745" w:type="dxa"/>
                  <w:tcBorders>
                    <w:tl2br w:val="nil"/>
                    <w:tr2bl w:val="nil"/>
                  </w:tcBorders>
                  <w:noWrap w:val="0"/>
                  <w:vAlign w:val="center"/>
                </w:tcPr>
                <w:p w14:paraId="1DBD22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2C2DB1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6" w:type="dxa"/>
                  <w:tcBorders>
                    <w:tl2br w:val="nil"/>
                    <w:tr2bl w:val="nil"/>
                  </w:tcBorders>
                  <w:noWrap w:val="0"/>
                  <w:vAlign w:val="center"/>
                </w:tcPr>
                <w:p w14:paraId="109711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三、压实环境监管责任</w:t>
                  </w:r>
                </w:p>
              </w:tc>
              <w:tc>
                <w:tcPr>
                  <w:tcW w:w="4710" w:type="dxa"/>
                  <w:tcBorders>
                    <w:tl2br w:val="nil"/>
                    <w:tr2bl w:val="nil"/>
                  </w:tcBorders>
                  <w:noWrap w:val="0"/>
                  <w:vAlign w:val="center"/>
                </w:tcPr>
                <w:p w14:paraId="61F4E9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各地生态环境部门要进一步强化生态环境安全“底线思维”，建立健全涉铊企业全链条闭环管理体系，将铊污染物纳入重点防控范围，督促涉铊企业落实环境风险主体责任，积极排除涉铊企业环境风险隐患，切实防范化解涉铊企业生态环境安全风险。</w:t>
                  </w:r>
                </w:p>
              </w:tc>
              <w:tc>
                <w:tcPr>
                  <w:tcW w:w="2225" w:type="dxa"/>
                  <w:tcBorders>
                    <w:tl2br w:val="nil"/>
                    <w:tr2bl w:val="nil"/>
                  </w:tcBorders>
                  <w:noWrap w:val="0"/>
                  <w:vAlign w:val="center"/>
                </w:tcPr>
                <w:p w14:paraId="396CBA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本项目锂渣中含有铊因子，根据工艺过程，本项目废气不涉及铊污染物，仅生活污水外排，</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745" w:type="dxa"/>
                  <w:tcBorders>
                    <w:tl2br w:val="nil"/>
                    <w:tr2bl w:val="nil"/>
                  </w:tcBorders>
                  <w:noWrap w:val="0"/>
                  <w:vAlign w:val="center"/>
                </w:tcPr>
                <w:p w14:paraId="4B8584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bl>
          <w:p w14:paraId="242107C1">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12、《江西省生态环境厅铊污染防控工作方案》（赣环办字〔2023〕215号）</w:t>
            </w:r>
          </w:p>
          <w:p w14:paraId="75950A23">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与（赣环办字〔2023〕215号）相符性分析表</w:t>
            </w:r>
          </w:p>
          <w:tbl>
            <w:tblPr>
              <w:tblStyle w:val="25"/>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68"/>
              <w:gridCol w:w="5325"/>
              <w:gridCol w:w="2213"/>
              <w:gridCol w:w="570"/>
            </w:tblGrid>
            <w:tr w14:paraId="61759E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593" w:type="dxa"/>
                  <w:gridSpan w:val="2"/>
                  <w:tcBorders>
                    <w:tl2br w:val="nil"/>
                    <w:tr2bl w:val="nil"/>
                  </w:tcBorders>
                  <w:noWrap w:val="0"/>
                  <w:vAlign w:val="center"/>
                </w:tcPr>
                <w:p w14:paraId="23DA4F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lang w:val="en-US" w:eastAsia="zh-CN"/>
                    </w:rPr>
                    <w:t>文件要求</w:t>
                  </w:r>
                </w:p>
              </w:tc>
              <w:tc>
                <w:tcPr>
                  <w:tcW w:w="2213" w:type="dxa"/>
                  <w:tcBorders>
                    <w:tl2br w:val="nil"/>
                    <w:tr2bl w:val="nil"/>
                  </w:tcBorders>
                  <w:noWrap w:val="0"/>
                  <w:vAlign w:val="center"/>
                </w:tcPr>
                <w:p w14:paraId="2A541E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本项目实际情况</w:t>
                  </w:r>
                </w:p>
              </w:tc>
              <w:tc>
                <w:tcPr>
                  <w:tcW w:w="570" w:type="dxa"/>
                  <w:tcBorders>
                    <w:tl2br w:val="nil"/>
                    <w:tr2bl w:val="nil"/>
                  </w:tcBorders>
                  <w:noWrap w:val="0"/>
                  <w:vAlign w:val="center"/>
                </w:tcPr>
                <w:p w14:paraId="333FBD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相符性</w:t>
                  </w:r>
                </w:p>
              </w:tc>
            </w:tr>
            <w:tr w14:paraId="3F15C3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0" w:hRule="atLeast"/>
                <w:jc w:val="center"/>
              </w:trPr>
              <w:tc>
                <w:tcPr>
                  <w:tcW w:w="268" w:type="dxa"/>
                  <w:tcBorders>
                    <w:tl2br w:val="nil"/>
                    <w:tr2bl w:val="nil"/>
                  </w:tcBorders>
                  <w:noWrap w:val="0"/>
                  <w:vAlign w:val="center"/>
                </w:tcPr>
                <w:p w14:paraId="775FE8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w:t>
                  </w:r>
                </w:p>
              </w:tc>
              <w:tc>
                <w:tcPr>
                  <w:tcW w:w="5325" w:type="dxa"/>
                  <w:tcBorders>
                    <w:tl2br w:val="nil"/>
                    <w:tr2bl w:val="nil"/>
                  </w:tcBorders>
                  <w:noWrap w:val="0"/>
                  <w:vAlign w:val="center"/>
                </w:tcPr>
                <w:p w14:paraId="16F68F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涉铊企业项目环评审批。对新审批的涉铊项目，环评文件中要明确要求企业加强重金属污染源头防控要求，减少使用高铊原料，完善铊元素物料平衡分析，废水、废气排放的涉铊企业要设置除铊治理设施，外排废气需满足相应行业污染物排放标准中铊污染物排放限值，外排废水执行《工业废水铊污染物排放标准》</w:t>
                  </w:r>
                  <w:r>
                    <w:rPr>
                      <w:rFonts w:hint="eastAsia"/>
                      <w:color w:val="auto"/>
                      <w:highlight w:val="none"/>
                      <w:lang w:eastAsia="zh-CN"/>
                    </w:rPr>
                    <w:t>（</w:t>
                  </w:r>
                  <w:r>
                    <w:rPr>
                      <w:rFonts w:hint="default"/>
                      <w:color w:val="auto"/>
                      <w:highlight w:val="none"/>
                    </w:rPr>
                    <w:t>DB36/1149-2019</w:t>
                  </w:r>
                  <w:r>
                    <w:rPr>
                      <w:rFonts w:hint="eastAsia"/>
                      <w:color w:val="auto"/>
                      <w:highlight w:val="none"/>
                      <w:lang w:eastAsia="zh-CN"/>
                    </w:rPr>
                    <w:t>）</w:t>
                  </w:r>
                  <w:r>
                    <w:rPr>
                      <w:rFonts w:hint="default"/>
                      <w:color w:val="auto"/>
                      <w:highlight w:val="none"/>
                    </w:rPr>
                    <w:t>等标准要求。对于生产废水零排放的项目，监测计划中应在企业总排口和雨水排口增加铊污染监测因子。对涉铊项目未分析铊污染物产排情况的，各级生态环境部门依法依规不予受理环评文件。</w:t>
                  </w:r>
                </w:p>
              </w:tc>
              <w:tc>
                <w:tcPr>
                  <w:tcW w:w="2213" w:type="dxa"/>
                  <w:tcBorders>
                    <w:tl2br w:val="nil"/>
                    <w:tr2bl w:val="nil"/>
                  </w:tcBorders>
                  <w:noWrap w:val="0"/>
                  <w:vAlign w:val="center"/>
                </w:tcPr>
                <w:p w14:paraId="6A6B06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本项目锂渣中含有铊因子，根据工艺过程，本项已</w:t>
                  </w:r>
                  <w:r>
                    <w:rPr>
                      <w:rFonts w:hint="default"/>
                      <w:color w:val="auto"/>
                      <w:highlight w:val="none"/>
                    </w:rPr>
                    <w:t>完善铊元素物料平衡分析</w:t>
                  </w:r>
                  <w:r>
                    <w:rPr>
                      <w:rFonts w:hint="eastAsia"/>
                      <w:color w:val="auto"/>
                      <w:highlight w:val="none"/>
                      <w:lang w:val="en-US" w:eastAsia="zh-CN"/>
                    </w:rPr>
                    <w:t>，仅生活污水外排，</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570" w:type="dxa"/>
                  <w:tcBorders>
                    <w:tl2br w:val="nil"/>
                    <w:tr2bl w:val="nil"/>
                  </w:tcBorders>
                  <w:noWrap w:val="0"/>
                  <w:vAlign w:val="center"/>
                </w:tcPr>
                <w:p w14:paraId="3986C0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3443A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dxa"/>
                  <w:tcBorders>
                    <w:tl2br w:val="nil"/>
                    <w:tr2bl w:val="nil"/>
                  </w:tcBorders>
                  <w:noWrap w:val="0"/>
                  <w:vAlign w:val="center"/>
                </w:tcPr>
                <w:p w14:paraId="4E81CA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2</w:t>
                  </w:r>
                </w:p>
              </w:tc>
              <w:tc>
                <w:tcPr>
                  <w:tcW w:w="5325" w:type="dxa"/>
                  <w:tcBorders>
                    <w:tl2br w:val="nil"/>
                    <w:tr2bl w:val="nil"/>
                  </w:tcBorders>
                  <w:noWrap w:val="0"/>
                  <w:vAlign w:val="center"/>
                </w:tcPr>
                <w:p w14:paraId="4E9A5A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强化涉铊固体废物原料监管。研究制定《江西省跨省转入危险废物原料成分抽查检测工作方案》，采取“采测分离、分总结合”方式，加强跨省转入危险废物原料成分含量随机抽查检测，客观、准确地掌握跨省转入危险废物原料有价元素以及铊等有害元素含量，强化涉铊危险废物跨省转移管控力度，严厉打击提供虚假检测报告等违法违规行为。涉铊企业要对固体废物原料进行检测，并建立涉铊原料来源、数量、时间、检测结果等信息台账。</w:t>
                  </w:r>
                </w:p>
              </w:tc>
              <w:tc>
                <w:tcPr>
                  <w:tcW w:w="2213" w:type="dxa"/>
                  <w:tcBorders>
                    <w:tl2br w:val="nil"/>
                    <w:tr2bl w:val="nil"/>
                  </w:tcBorders>
                  <w:noWrap w:val="0"/>
                  <w:vAlign w:val="center"/>
                </w:tcPr>
                <w:p w14:paraId="7ACB1F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本项目锂渣中含有铊因子，建设单位按要求对</w:t>
                  </w:r>
                  <w:r>
                    <w:rPr>
                      <w:rFonts w:hint="eastAsia"/>
                      <w:color w:val="auto"/>
                      <w:highlight w:val="none"/>
                    </w:rPr>
                    <w:t>涉铊原料来源、数量、时间、检测结果等</w:t>
                  </w:r>
                  <w:r>
                    <w:rPr>
                      <w:rFonts w:hint="eastAsia"/>
                      <w:color w:val="auto"/>
                      <w:highlight w:val="none"/>
                      <w:lang w:val="en-US" w:eastAsia="zh-CN"/>
                    </w:rPr>
                    <w:t>建立</w:t>
                  </w:r>
                  <w:r>
                    <w:rPr>
                      <w:rFonts w:hint="eastAsia"/>
                      <w:color w:val="auto"/>
                      <w:highlight w:val="none"/>
                    </w:rPr>
                    <w:t>信息台账</w:t>
                  </w:r>
                  <w:r>
                    <w:rPr>
                      <w:rFonts w:hint="eastAsia"/>
                      <w:color w:val="auto"/>
                      <w:highlight w:val="none"/>
                      <w:lang w:eastAsia="zh-CN"/>
                    </w:rPr>
                    <w:t>。</w:t>
                  </w:r>
                </w:p>
              </w:tc>
              <w:tc>
                <w:tcPr>
                  <w:tcW w:w="570" w:type="dxa"/>
                  <w:tcBorders>
                    <w:tl2br w:val="nil"/>
                    <w:tr2bl w:val="nil"/>
                  </w:tcBorders>
                  <w:noWrap w:val="0"/>
                  <w:vAlign w:val="center"/>
                </w:tcPr>
                <w:p w14:paraId="2B9A35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0C26D5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0" w:hRule="atLeast"/>
                <w:jc w:val="center"/>
              </w:trPr>
              <w:tc>
                <w:tcPr>
                  <w:tcW w:w="268" w:type="dxa"/>
                  <w:tcBorders>
                    <w:tl2br w:val="nil"/>
                    <w:tr2bl w:val="nil"/>
                  </w:tcBorders>
                  <w:noWrap w:val="0"/>
                  <w:vAlign w:val="center"/>
                </w:tcPr>
                <w:p w14:paraId="049575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eastAsia"/>
                      <w:color w:val="auto"/>
                      <w:highlight w:val="none"/>
                      <w:lang w:val="en-US" w:eastAsia="zh-CN"/>
                    </w:rPr>
                    <w:t>3</w:t>
                  </w:r>
                </w:p>
              </w:tc>
              <w:tc>
                <w:tcPr>
                  <w:tcW w:w="5325" w:type="dxa"/>
                  <w:tcBorders>
                    <w:tl2br w:val="nil"/>
                    <w:tr2bl w:val="nil"/>
                  </w:tcBorders>
                  <w:noWrap w:val="0"/>
                  <w:vAlign w:val="center"/>
                </w:tcPr>
                <w:p w14:paraId="23251F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1、</w:t>
                  </w:r>
                  <w:r>
                    <w:rPr>
                      <w:rFonts w:hint="default"/>
                      <w:color w:val="auto"/>
                      <w:highlight w:val="none"/>
                    </w:rPr>
                    <w:t>构建涉铊企业全链条闭环管理体系。各级生态环境部门要构建涉铊企业全链条闭环管理体系，督促企业对原料、主副产品和生产废物中铊成分进行检测分析，实现铊元素可核算可追踪。</w:t>
                  </w:r>
                </w:p>
                <w:p w14:paraId="4706324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2、</w:t>
                  </w:r>
                  <w:r>
                    <w:rPr>
                      <w:rFonts w:hint="default"/>
                      <w:color w:val="auto"/>
                      <w:highlight w:val="none"/>
                    </w:rPr>
                    <w:t>重有色金属冶炼、钢铁、碳酸锂等典型涉铊企业要开展生产废水治理设施除铊升级改造并保障废水处理设施持续稳定运行，严格执行车间或生产设施废水排放口达标要求，生产废水循环使用不外排的，循环水应配套除铊措施，防止废水中铊的不断累积，保障环境安全。</w:t>
                  </w:r>
                </w:p>
                <w:p w14:paraId="390185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3、</w:t>
                  </w:r>
                  <w:r>
                    <w:rPr>
                      <w:rFonts w:hint="default"/>
                      <w:color w:val="auto"/>
                      <w:highlight w:val="none"/>
                    </w:rPr>
                    <w:t>重有色金属冶炼企业要加强生产车间低空逸散烟气收集处理，有效减少无组织排放。重有色金属矿采选企业要按照规定完善废石堆场、排土场周边雨污分流设施，建设酸性废水、选矿废水、矿坑涌水等废水收集与处理设施，处理达标后排放。</w:t>
                  </w:r>
                </w:p>
                <w:p w14:paraId="65880C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4、</w:t>
                  </w:r>
                  <w:r>
                    <w:rPr>
                      <w:rFonts w:hint="default"/>
                      <w:color w:val="auto"/>
                      <w:highlight w:val="none"/>
                    </w:rPr>
                    <w:t>钢铁冶炼、铅锌冶炼、碳酸锂行业企业要规范建立废水处理含铊污泥、除尘灰等固体废物产生、贮存、转移、处置台账，加强含铊固体废物环境管理，对</w:t>
                  </w:r>
                  <w:r>
                    <w:rPr>
                      <w:rFonts w:hint="eastAsia"/>
                      <w:color w:val="auto"/>
                      <w:highlight w:val="none"/>
                      <w:lang w:eastAsia="zh-CN"/>
                    </w:rPr>
                    <w:t>锂冶炼剩余物</w:t>
                  </w:r>
                  <w:r>
                    <w:rPr>
                      <w:rFonts w:hint="default"/>
                      <w:color w:val="auto"/>
                      <w:highlight w:val="none"/>
                    </w:rPr>
                    <w:t>等开展资源化利用和分级分类管理。</w:t>
                  </w:r>
                </w:p>
              </w:tc>
              <w:tc>
                <w:tcPr>
                  <w:tcW w:w="2213" w:type="dxa"/>
                  <w:tcBorders>
                    <w:tl2br w:val="nil"/>
                    <w:tr2bl w:val="nil"/>
                  </w:tcBorders>
                  <w:noWrap w:val="0"/>
                  <w:vAlign w:val="center"/>
                </w:tcPr>
                <w:p w14:paraId="4B3108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1、本项目锂渣中含有铊因子，根据工艺过程，本项目废气不涉及铊污染物，仅生活污水外排；</w:t>
                  </w:r>
                </w:p>
                <w:p w14:paraId="432602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2~4、本项目不属于</w:t>
                  </w:r>
                  <w:r>
                    <w:rPr>
                      <w:rFonts w:hint="default"/>
                      <w:color w:val="auto"/>
                      <w:highlight w:val="none"/>
                    </w:rPr>
                    <w:t>重有色金属冶炼、钢铁、</w:t>
                  </w:r>
                  <w:r>
                    <w:rPr>
                      <w:rFonts w:hint="eastAsia"/>
                      <w:color w:val="auto"/>
                      <w:highlight w:val="none"/>
                      <w:lang w:val="en-US" w:eastAsia="zh-CN"/>
                    </w:rPr>
                    <w:t>铅锌冶炼、</w:t>
                  </w:r>
                  <w:r>
                    <w:rPr>
                      <w:rFonts w:hint="default"/>
                      <w:color w:val="auto"/>
                      <w:highlight w:val="none"/>
                    </w:rPr>
                    <w:t>碳酸锂等</w:t>
                  </w:r>
                  <w:r>
                    <w:rPr>
                      <w:rFonts w:hint="eastAsia"/>
                      <w:color w:val="auto"/>
                      <w:highlight w:val="none"/>
                      <w:lang w:val="en-US" w:eastAsia="zh-CN"/>
                    </w:rPr>
                    <w:t>典型涉铊企业，属于对锂渣开展资源化利用，根据附件6中锂渣检测报告显示锂渣成分中含有铊因子，</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570" w:type="dxa"/>
                  <w:tcBorders>
                    <w:tl2br w:val="nil"/>
                    <w:tr2bl w:val="nil"/>
                  </w:tcBorders>
                  <w:noWrap w:val="0"/>
                  <w:vAlign w:val="center"/>
                </w:tcPr>
                <w:p w14:paraId="3EC6D1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02B75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dxa"/>
                  <w:tcBorders>
                    <w:tl2br w:val="nil"/>
                    <w:tr2bl w:val="nil"/>
                  </w:tcBorders>
                  <w:noWrap w:val="0"/>
                  <w:vAlign w:val="center"/>
                </w:tcPr>
                <w:p w14:paraId="39A98F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4</w:t>
                  </w:r>
                </w:p>
              </w:tc>
              <w:tc>
                <w:tcPr>
                  <w:tcW w:w="5325" w:type="dxa"/>
                  <w:tcBorders>
                    <w:tl2br w:val="nil"/>
                    <w:tr2bl w:val="nil"/>
                  </w:tcBorders>
                  <w:noWrap w:val="0"/>
                  <w:vAlign w:val="center"/>
                </w:tcPr>
                <w:p w14:paraId="4D15BF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rPr>
                    <w:t>持续推进涉铊企业排查整治。按照《江西省涉铊企业专项排查整治工作方案》《江西省生态环境厅关于开展碳酸锂等涉铊行业企业排查整治工作的紧急通知》</w:t>
                  </w:r>
                  <w:r>
                    <w:rPr>
                      <w:rFonts w:hint="eastAsia"/>
                      <w:color w:val="auto"/>
                      <w:highlight w:val="none"/>
                      <w:lang w:eastAsia="zh-CN"/>
                    </w:rPr>
                    <w:t>《</w:t>
                  </w:r>
                  <w:r>
                    <w:rPr>
                      <w:rFonts w:hint="eastAsia"/>
                      <w:color w:val="auto"/>
                      <w:highlight w:val="none"/>
                      <w:lang w:val="en-US" w:eastAsia="zh-CN"/>
                    </w:rPr>
                    <w:t>2023年全省生态环境保护重点执法检查计划》等有关文件和技术指南要求，在前期涉铊企业专项排查整治工作基础上，继续结合重点排污单位名录、土壤污染重点监管单位、清洁生产审核重点企业名单、全口径涉重金属重点行业企业清单等信息，持续完善健全《涉铊企业排查信息登记表》《涉铊企业排查整治情况汇总表》等排查表，分类形成涉铊企业清单，全面开展全流程涉铊溯源工作，压实涉铊企业环境风险防控责任。各地生态环境部门要对排查发现的涉铊企业未安装除铊污染防治设施、排口铊浓度超标、自行监测方案未纳入铊因子等情形，指导督促涉铊企业建立铊污染风险问题台账并制定问题整改方案，通过企业自行整改、市县督促检查、省级抽查和指导帮扶，推进涉铊企业全面整改，实现涉铊企业“数量清、分布清、问题清、治理好”，促进涉铊企业绿色安全发展。</w:t>
                  </w:r>
                </w:p>
              </w:tc>
              <w:tc>
                <w:tcPr>
                  <w:tcW w:w="2213" w:type="dxa"/>
                  <w:tcBorders>
                    <w:tl2br w:val="nil"/>
                    <w:tr2bl w:val="nil"/>
                  </w:tcBorders>
                  <w:noWrap w:val="0"/>
                  <w:vAlign w:val="center"/>
                </w:tcPr>
                <w:p w14:paraId="1B0AD9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本项目锂渣中含有铊因子，</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570" w:type="dxa"/>
                  <w:tcBorders>
                    <w:tl2br w:val="nil"/>
                    <w:tr2bl w:val="nil"/>
                  </w:tcBorders>
                  <w:noWrap w:val="0"/>
                  <w:vAlign w:val="center"/>
                </w:tcPr>
                <w:p w14:paraId="32B552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33130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0" w:hRule="atLeast"/>
                <w:jc w:val="center"/>
              </w:trPr>
              <w:tc>
                <w:tcPr>
                  <w:tcW w:w="268" w:type="dxa"/>
                  <w:tcBorders>
                    <w:tl2br w:val="nil"/>
                    <w:tr2bl w:val="nil"/>
                  </w:tcBorders>
                  <w:noWrap w:val="0"/>
                  <w:vAlign w:val="center"/>
                </w:tcPr>
                <w:p w14:paraId="1D1729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5</w:t>
                  </w:r>
                </w:p>
              </w:tc>
              <w:tc>
                <w:tcPr>
                  <w:tcW w:w="5325" w:type="dxa"/>
                  <w:tcBorders>
                    <w:tl2br w:val="nil"/>
                    <w:tr2bl w:val="nil"/>
                  </w:tcBorders>
                  <w:noWrap w:val="0"/>
                  <w:vAlign w:val="center"/>
                </w:tcPr>
                <w:p w14:paraId="64BA83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default"/>
                      <w:color w:val="auto"/>
                      <w:highlight w:val="none"/>
                    </w:rPr>
                    <w:t>落实排污许可管理制度。严格落实《排污许可管理条例》，依法将涉铊企业纳入排污许可管理。依据国家和地方标准、相关行业排污许可技术规范以及企业环境影响评价批复等文件及地方相关文件要求，在排污许可证中明确许可铊污染因子排放浓度等信息，并提出有关污染防治措施。对于已经建成并投产的涉铊项目，应对原辅材料、生产工艺、产排污节点进行深入分析，依据法规政策、排放标准和技术规范等文件要求，2023年年底前对排污许可证中铊污染因子的许可和管理要求进行变更。到2025年，涉铊企业排污许可证环境管理台账、自行监测和执行报告数据基本实现完整，有效支撑重点行业企业排放量管理</w:t>
                  </w:r>
                  <w:r>
                    <w:rPr>
                      <w:rFonts w:hint="eastAsia"/>
                      <w:color w:val="auto"/>
                      <w:highlight w:val="none"/>
                      <w:lang w:eastAsia="zh-CN"/>
                    </w:rPr>
                    <w:t>。</w:t>
                  </w:r>
                </w:p>
              </w:tc>
              <w:tc>
                <w:tcPr>
                  <w:tcW w:w="2213" w:type="dxa"/>
                  <w:tcBorders>
                    <w:tl2br w:val="nil"/>
                    <w:tr2bl w:val="nil"/>
                  </w:tcBorders>
                  <w:noWrap w:val="0"/>
                  <w:vAlign w:val="center"/>
                </w:tcPr>
                <w:p w14:paraId="459F46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本项目为扩建项目，已取得排污许可，本项目建成后按要求变更排污许可证。</w:t>
                  </w:r>
                </w:p>
              </w:tc>
              <w:tc>
                <w:tcPr>
                  <w:tcW w:w="570" w:type="dxa"/>
                  <w:tcBorders>
                    <w:tl2br w:val="nil"/>
                    <w:tr2bl w:val="nil"/>
                  </w:tcBorders>
                  <w:noWrap w:val="0"/>
                  <w:vAlign w:val="center"/>
                </w:tcPr>
                <w:p w14:paraId="17F96D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446A57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68" w:type="dxa"/>
                  <w:tcBorders>
                    <w:tl2br w:val="nil"/>
                    <w:tr2bl w:val="nil"/>
                  </w:tcBorders>
                  <w:noWrap w:val="0"/>
                  <w:vAlign w:val="center"/>
                </w:tcPr>
                <w:p w14:paraId="1B862C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6</w:t>
                  </w:r>
                </w:p>
              </w:tc>
              <w:tc>
                <w:tcPr>
                  <w:tcW w:w="5325" w:type="dxa"/>
                  <w:tcBorders>
                    <w:tl2br w:val="nil"/>
                    <w:tr2bl w:val="nil"/>
                  </w:tcBorders>
                  <w:noWrap w:val="0"/>
                  <w:vAlign w:val="center"/>
                </w:tcPr>
                <w:p w14:paraId="170DA9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default"/>
                      <w:color w:val="auto"/>
                      <w:highlight w:val="none"/>
                    </w:rPr>
                    <w:t>强化铊因子监测监控。根据国家监测方案逐步完善铊因子的环境监测网络。试点对县级及以上饮用水源地，涉铊风险的国、省控断面开展专项监测。省生态环境厅、设区市生态环境局、赣江新区生态环境</w:t>
                  </w:r>
                  <w:r>
                    <w:rPr>
                      <w:rFonts w:hint="eastAsia"/>
                      <w:color w:val="auto"/>
                      <w:highlight w:val="none"/>
                      <w:lang w:val="en-US" w:eastAsia="zh-CN"/>
                    </w:rPr>
                    <w:t>局</w:t>
                  </w:r>
                  <w:r>
                    <w:rPr>
                      <w:rFonts w:hint="default"/>
                      <w:color w:val="auto"/>
                      <w:highlight w:val="none"/>
                    </w:rPr>
                    <w:t>分别开展涉铊企业自行监测专项帮扶和检查，督促指导企业按照规范要求将铊因子纳入自行监测方案。各设区市生态环境局、赣江新区生态环境局结合涉铊排查整治工作，加强对辖区内涉铊企业雨水排口、污水排口、烟气处理废水循环水池、初期雨水池和地面冲洗水收集池以及有涉铊企业的工业园区排污口等的监测，督促涉铊企业按照排放标准要求在车间或生产设施排口安装铊因子自动监测设备，鼓励在工业园区污水处理厂排口安装铊因子自动监测设备</w:t>
                  </w:r>
                  <w:r>
                    <w:rPr>
                      <w:rFonts w:hint="eastAsia"/>
                      <w:color w:val="auto"/>
                      <w:highlight w:val="none"/>
                      <w:lang w:eastAsia="zh-CN"/>
                    </w:rPr>
                    <w:t>。</w:t>
                  </w:r>
                </w:p>
              </w:tc>
              <w:tc>
                <w:tcPr>
                  <w:tcW w:w="2213" w:type="dxa"/>
                  <w:tcBorders>
                    <w:tl2br w:val="nil"/>
                    <w:tr2bl w:val="nil"/>
                  </w:tcBorders>
                  <w:noWrap w:val="0"/>
                  <w:vAlign w:val="center"/>
                </w:tcPr>
                <w:p w14:paraId="4C35AF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570" w:type="dxa"/>
                  <w:tcBorders>
                    <w:tl2br w:val="nil"/>
                    <w:tr2bl w:val="nil"/>
                  </w:tcBorders>
                  <w:noWrap w:val="0"/>
                  <w:vAlign w:val="center"/>
                </w:tcPr>
                <w:p w14:paraId="6AAFF6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bl>
          <w:p w14:paraId="69015CBC">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13、《江西省生态环境厅关于开展涉铊重点行业企业自动监控工作的通知》（赣环应急〔2023〕2号）</w:t>
            </w:r>
          </w:p>
          <w:p w14:paraId="4B514D3B">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与赣环应急〔2023〕2号相符性分析表</w:t>
            </w:r>
          </w:p>
          <w:tbl>
            <w:tblPr>
              <w:tblStyle w:val="25"/>
              <w:tblpPr w:vertAnchor="text" w:tblpXSpec="center" w:tblpY="1"/>
              <w:tblOverlap w:val="never"/>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5"/>
              <w:gridCol w:w="4797"/>
              <w:gridCol w:w="2237"/>
              <w:gridCol w:w="644"/>
            </w:tblGrid>
            <w:tr w14:paraId="55DA6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5492" w:type="dxa"/>
                  <w:gridSpan w:val="2"/>
                  <w:tcBorders>
                    <w:tl2br w:val="nil"/>
                    <w:tr2bl w:val="nil"/>
                  </w:tcBorders>
                  <w:noWrap w:val="0"/>
                  <w:vAlign w:val="center"/>
                </w:tcPr>
                <w:p w14:paraId="33C55F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lang w:val="en-US" w:eastAsia="zh-CN"/>
                    </w:rPr>
                    <w:t>文件要求</w:t>
                  </w:r>
                </w:p>
              </w:tc>
              <w:tc>
                <w:tcPr>
                  <w:tcW w:w="2237" w:type="dxa"/>
                  <w:tcBorders>
                    <w:tl2br w:val="nil"/>
                    <w:tr2bl w:val="nil"/>
                  </w:tcBorders>
                  <w:noWrap w:val="0"/>
                  <w:vAlign w:val="center"/>
                </w:tcPr>
                <w:p w14:paraId="4A9481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本项目实际情况</w:t>
                  </w:r>
                </w:p>
              </w:tc>
              <w:tc>
                <w:tcPr>
                  <w:tcW w:w="644" w:type="dxa"/>
                  <w:tcBorders>
                    <w:tl2br w:val="nil"/>
                    <w:tr2bl w:val="nil"/>
                  </w:tcBorders>
                  <w:noWrap w:val="0"/>
                  <w:vAlign w:val="center"/>
                </w:tcPr>
                <w:p w14:paraId="75D1C1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相符性</w:t>
                  </w:r>
                </w:p>
              </w:tc>
            </w:tr>
            <w:tr w14:paraId="5684B1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5" w:type="dxa"/>
                  <w:vMerge w:val="restart"/>
                  <w:tcBorders>
                    <w:tl2br w:val="nil"/>
                    <w:tr2bl w:val="nil"/>
                  </w:tcBorders>
                  <w:noWrap w:val="0"/>
                  <w:vAlign w:val="center"/>
                </w:tcPr>
                <w:p w14:paraId="51EB2C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建设要求</w:t>
                  </w:r>
                </w:p>
              </w:tc>
              <w:tc>
                <w:tcPr>
                  <w:tcW w:w="4797" w:type="dxa"/>
                  <w:tcBorders>
                    <w:tl2br w:val="nil"/>
                    <w:tr2bl w:val="nil"/>
                  </w:tcBorders>
                  <w:noWrap w:val="0"/>
                  <w:vAlign w:val="center"/>
                </w:tcPr>
                <w:p w14:paraId="30C452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各地可在前期制定的全口径涉重金属重点行业企业清单的基础上，结合当地涉铊重点行业企业主要包括铅、锌、锡、锑、汞等重有色金属冶炼及采选；钢铁；涉及硫铁矿制硫酸的硫酸制造和磷肥制造：涉铊、锌、铜、铅重金属无机化合物；以锂辉石和锂云母为原料制备锂盐产品；其他含铊矿</w:t>
                  </w:r>
                  <w:r>
                    <w:rPr>
                      <w:rFonts w:hint="eastAsia"/>
                      <w:color w:val="auto"/>
                      <w:highlight w:val="none"/>
                      <w:lang w:eastAsia="zh-CN"/>
                    </w:rPr>
                    <w:t>（</w:t>
                  </w:r>
                  <w:r>
                    <w:rPr>
                      <w:rFonts w:hint="default"/>
                      <w:color w:val="auto"/>
                      <w:highlight w:val="none"/>
                    </w:rPr>
                    <w:t>稀土等</w:t>
                  </w:r>
                  <w:r>
                    <w:rPr>
                      <w:rFonts w:hint="eastAsia"/>
                      <w:color w:val="auto"/>
                      <w:highlight w:val="none"/>
                      <w:lang w:eastAsia="zh-CN"/>
                    </w:rPr>
                    <w:t>）</w:t>
                  </w:r>
                  <w:r>
                    <w:rPr>
                      <w:rFonts w:hint="default"/>
                      <w:color w:val="auto"/>
                      <w:highlight w:val="none"/>
                    </w:rPr>
                    <w:t>采选以及含铊灰渣</w:t>
                  </w:r>
                  <w:r>
                    <w:rPr>
                      <w:rFonts w:hint="eastAsia"/>
                      <w:color w:val="auto"/>
                      <w:highlight w:val="none"/>
                      <w:lang w:eastAsia="zh-CN"/>
                    </w:rPr>
                    <w:t>（</w:t>
                  </w:r>
                  <w:r>
                    <w:rPr>
                      <w:rFonts w:hint="default"/>
                      <w:color w:val="auto"/>
                      <w:highlight w:val="none"/>
                    </w:rPr>
                    <w:t>瓦斯灰等</w:t>
                  </w:r>
                  <w:r>
                    <w:rPr>
                      <w:rFonts w:hint="eastAsia"/>
                      <w:color w:val="auto"/>
                      <w:highlight w:val="none"/>
                      <w:lang w:eastAsia="zh-CN"/>
                    </w:rPr>
                    <w:t>）</w:t>
                  </w:r>
                  <w:r>
                    <w:rPr>
                      <w:rFonts w:hint="default"/>
                      <w:color w:val="auto"/>
                      <w:highlight w:val="none"/>
                    </w:rPr>
                    <w:t>利用等高风险行业的企业情况，凡属重点单位</w:t>
                  </w:r>
                  <w:r>
                    <w:rPr>
                      <w:rFonts w:hint="eastAsia"/>
                      <w:color w:val="auto"/>
                      <w:highlight w:val="none"/>
                      <w:lang w:eastAsia="zh-CN"/>
                    </w:rPr>
                    <w:t>（</w:t>
                  </w:r>
                  <w:r>
                    <w:rPr>
                      <w:rFonts w:hint="default"/>
                      <w:color w:val="auto"/>
                      <w:highlight w:val="none"/>
                    </w:rPr>
                    <w:t>含重点排污单位及排污许可重点管理单位</w:t>
                  </w:r>
                  <w:r>
                    <w:rPr>
                      <w:rFonts w:hint="eastAsia"/>
                      <w:color w:val="auto"/>
                      <w:highlight w:val="none"/>
                      <w:lang w:eastAsia="zh-CN"/>
                    </w:rPr>
                    <w:t>）</w:t>
                  </w:r>
                  <w:r>
                    <w:rPr>
                      <w:rFonts w:hint="default"/>
                      <w:color w:val="auto"/>
                      <w:highlight w:val="none"/>
                    </w:rPr>
                    <w:t>且具备污染源自动监测安装条件的，确定为实施铊污染物排放自动监测的排污单位。</w:t>
                  </w:r>
                </w:p>
              </w:tc>
              <w:tc>
                <w:tcPr>
                  <w:tcW w:w="2237" w:type="dxa"/>
                  <w:tcBorders>
                    <w:tl2br w:val="nil"/>
                    <w:tr2bl w:val="nil"/>
                  </w:tcBorders>
                  <w:noWrap w:val="0"/>
                  <w:vAlign w:val="center"/>
                </w:tcPr>
                <w:p w14:paraId="6F97DE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根据表列涉铊重点行业类别，本项目不属于涉铊重点行业企业，本项目锂渣中含有铊因子，根据工艺过程，本项目仅生活污水外排，</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644" w:type="dxa"/>
                  <w:tcBorders>
                    <w:tl2br w:val="nil"/>
                    <w:tr2bl w:val="nil"/>
                  </w:tcBorders>
                  <w:noWrap w:val="0"/>
                  <w:vAlign w:val="center"/>
                </w:tcPr>
                <w:p w14:paraId="30BB5D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79FF7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5" w:type="dxa"/>
                  <w:vMerge w:val="continue"/>
                  <w:tcBorders>
                    <w:tl2br w:val="nil"/>
                    <w:tr2bl w:val="nil"/>
                  </w:tcBorders>
                  <w:noWrap w:val="0"/>
                  <w:vAlign w:val="center"/>
                </w:tcPr>
                <w:p w14:paraId="204518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p>
              </w:tc>
              <w:tc>
                <w:tcPr>
                  <w:tcW w:w="4797" w:type="dxa"/>
                  <w:tcBorders>
                    <w:tl2br w:val="nil"/>
                    <w:tr2bl w:val="nil"/>
                  </w:tcBorders>
                  <w:noWrap w:val="0"/>
                  <w:vAlign w:val="center"/>
                </w:tcPr>
                <w:p w14:paraId="034514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涉铊重点单位为安装铊污染物排放自动监测设备的责任主体，承担自动监测设备的建设、运行、维护费用。</w:t>
                  </w:r>
                </w:p>
                <w:p w14:paraId="4F05F9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地方生态环境部门负责指导、协调及监督铊污染物排放自动监测设备的管理工作</w:t>
                  </w:r>
                </w:p>
              </w:tc>
              <w:tc>
                <w:tcPr>
                  <w:tcW w:w="2237" w:type="dxa"/>
                  <w:tcBorders>
                    <w:tl2br w:val="nil"/>
                    <w:tr2bl w:val="nil"/>
                  </w:tcBorders>
                  <w:noWrap w:val="0"/>
                  <w:vAlign w:val="center"/>
                </w:tcPr>
                <w:p w14:paraId="1F140A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rPr>
                  </w:pP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r>
                    <w:rPr>
                      <w:rFonts w:hint="eastAsia"/>
                      <w:color w:val="auto"/>
                      <w:highlight w:val="none"/>
                      <w:lang w:val="en-US" w:eastAsia="zh-CN"/>
                    </w:rPr>
                    <w:t>。</w:t>
                  </w:r>
                </w:p>
              </w:tc>
              <w:tc>
                <w:tcPr>
                  <w:tcW w:w="644" w:type="dxa"/>
                  <w:tcBorders>
                    <w:tl2br w:val="nil"/>
                    <w:tr2bl w:val="nil"/>
                  </w:tcBorders>
                  <w:noWrap w:val="0"/>
                  <w:vAlign w:val="center"/>
                </w:tcPr>
                <w:p w14:paraId="5D1E47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6830F4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880" w:hRule="atLeast"/>
                <w:jc w:val="center"/>
              </w:trPr>
              <w:tc>
                <w:tcPr>
                  <w:tcW w:w="695" w:type="dxa"/>
                  <w:vMerge w:val="continue"/>
                  <w:tcBorders>
                    <w:tl2br w:val="nil"/>
                    <w:tr2bl w:val="nil"/>
                  </w:tcBorders>
                  <w:noWrap w:val="0"/>
                  <w:vAlign w:val="center"/>
                </w:tcPr>
                <w:p w14:paraId="1AD3F3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p>
              </w:tc>
              <w:tc>
                <w:tcPr>
                  <w:tcW w:w="4797" w:type="dxa"/>
                  <w:tcBorders>
                    <w:tl2br w:val="nil"/>
                    <w:tr2bl w:val="nil"/>
                  </w:tcBorders>
                  <w:noWrap w:val="0"/>
                  <w:vAlign w:val="center"/>
                </w:tcPr>
                <w:p w14:paraId="2B3F74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涉铊重点单位须按照《工业废水铊污染物排放标准》</w:t>
                  </w:r>
                  <w:r>
                    <w:rPr>
                      <w:rFonts w:hint="eastAsia"/>
                      <w:color w:val="auto"/>
                      <w:highlight w:val="none"/>
                      <w:lang w:eastAsia="zh-CN"/>
                    </w:rPr>
                    <w:t>（</w:t>
                  </w:r>
                  <w:r>
                    <w:rPr>
                      <w:rFonts w:hint="default"/>
                      <w:color w:val="auto"/>
                      <w:highlight w:val="none"/>
                    </w:rPr>
                    <w:t>DB36/1149-2019</w:t>
                  </w:r>
                  <w:r>
                    <w:rPr>
                      <w:rFonts w:hint="eastAsia"/>
                      <w:color w:val="auto"/>
                      <w:highlight w:val="none"/>
                      <w:lang w:eastAsia="zh-CN"/>
                    </w:rPr>
                    <w:t>）</w:t>
                  </w:r>
                  <w:r>
                    <w:rPr>
                      <w:rFonts w:hint="default"/>
                      <w:color w:val="auto"/>
                      <w:highlight w:val="none"/>
                    </w:rPr>
                    <w:t>或相关行业排放标准及其修改单规定要求，在车间或生产设施废水排放口安装铊污染物排放自动监测设备，并与省污染源自动监控平台联网，同时在涉铊工艺、设施、储存点、车间和生产设施排放口等重点区域安装视频监控。鼓励在企业总排口同步安装铊污染物排放自动监测设备，在重点部位和关键节点安装用电（能）监控。各地有更严格规定的，从其规定。设备建设运行应满足《江西省污染源自动监控管理办法》要求。</w:t>
                  </w:r>
                </w:p>
              </w:tc>
              <w:tc>
                <w:tcPr>
                  <w:tcW w:w="2237" w:type="dxa"/>
                  <w:tcBorders>
                    <w:tl2br w:val="nil"/>
                    <w:tr2bl w:val="nil"/>
                  </w:tcBorders>
                  <w:noWrap w:val="0"/>
                  <w:vAlign w:val="center"/>
                </w:tcPr>
                <w:p w14:paraId="460387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根据表列涉铊重点行业类别，本项目不属于涉铊重点行业企业，</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644" w:type="dxa"/>
                  <w:tcBorders>
                    <w:tl2br w:val="nil"/>
                    <w:tr2bl w:val="nil"/>
                  </w:tcBorders>
                  <w:noWrap w:val="0"/>
                  <w:vAlign w:val="center"/>
                </w:tcPr>
                <w:p w14:paraId="7E2CF2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6BBD4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95" w:type="dxa"/>
                  <w:vMerge w:val="continue"/>
                  <w:tcBorders>
                    <w:tl2br w:val="nil"/>
                    <w:tr2bl w:val="nil"/>
                  </w:tcBorders>
                  <w:noWrap w:val="0"/>
                  <w:vAlign w:val="center"/>
                </w:tcPr>
                <w:p w14:paraId="0B706C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p>
              </w:tc>
              <w:tc>
                <w:tcPr>
                  <w:tcW w:w="4797" w:type="dxa"/>
                  <w:tcBorders>
                    <w:tl2br w:val="nil"/>
                    <w:tr2bl w:val="nil"/>
                  </w:tcBorders>
                  <w:noWrap w:val="0"/>
                  <w:vAlign w:val="center"/>
                </w:tcPr>
                <w:p w14:paraId="356DAB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涉铊重点单位应优先选择性能稳定性好的铊污染物排放自动监测设备，相关设备的安装、验收、运行及数据有效性判别可参照水污染源在线监测系统（COD</w:t>
                  </w:r>
                  <w:r>
                    <w:rPr>
                      <w:rFonts w:hint="default"/>
                      <w:color w:val="auto"/>
                      <w:highlight w:val="none"/>
                      <w:vertAlign w:val="subscript"/>
                      <w:lang w:val="en-US" w:eastAsia="zh-CN"/>
                    </w:rPr>
                    <w:t>Cr</w:t>
                  </w:r>
                  <w:r>
                    <w:rPr>
                      <w:rFonts w:hint="default"/>
                      <w:color w:val="auto"/>
                      <w:highlight w:val="none"/>
                      <w:lang w:val="en-US" w:eastAsia="zh-CN"/>
                    </w:rPr>
                    <w:t>、NH</w:t>
                  </w:r>
                  <w:r>
                    <w:rPr>
                      <w:rFonts w:hint="default"/>
                      <w:color w:val="auto"/>
                      <w:highlight w:val="none"/>
                      <w:vertAlign w:val="subscript"/>
                      <w:lang w:val="en-US" w:eastAsia="zh-CN"/>
                    </w:rPr>
                    <w:t>3</w:t>
                  </w:r>
                  <w:r>
                    <w:rPr>
                      <w:rFonts w:hint="default"/>
                      <w:color w:val="auto"/>
                      <w:highlight w:val="none"/>
                      <w:lang w:val="en-US" w:eastAsia="zh-CN"/>
                    </w:rPr>
                    <w:t>-N等）安装、验收、运行、数据有效性判别相关技术规范要求，具体性能指标应满足设备操作或使用说明书要求。相关单位需严格落实铊自动监测设备运维及质控要求，保证设备正常运行，确保数据真实准确，每月至少开展1次铊自动监测设备比对监测</w:t>
                  </w:r>
                </w:p>
              </w:tc>
              <w:tc>
                <w:tcPr>
                  <w:tcW w:w="2237" w:type="dxa"/>
                  <w:tcBorders>
                    <w:tl2br w:val="nil"/>
                    <w:tr2bl w:val="nil"/>
                  </w:tcBorders>
                  <w:noWrap w:val="0"/>
                  <w:vAlign w:val="center"/>
                </w:tcPr>
                <w:p w14:paraId="732CC5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本项目将严格落实铊自动监测设备运维及质控要求，保证设备正常运行，确保数据真实准确，每月至少开展1次铊自动监测设备比对监测。</w:t>
                  </w:r>
                </w:p>
              </w:tc>
              <w:tc>
                <w:tcPr>
                  <w:tcW w:w="644" w:type="dxa"/>
                  <w:tcBorders>
                    <w:tl2br w:val="nil"/>
                    <w:tr2bl w:val="nil"/>
                  </w:tcBorders>
                  <w:noWrap w:val="0"/>
                  <w:vAlign w:val="center"/>
                </w:tcPr>
                <w:p w14:paraId="52A4F0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bl>
          <w:p w14:paraId="4F9BA51F">
            <w:pPr>
              <w:keepNext w:val="0"/>
              <w:keepLines w:val="0"/>
              <w:numPr>
                <w:ilvl w:val="0"/>
                <w:numId w:val="8"/>
              </w:numPr>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与《</w:t>
            </w:r>
            <w:r>
              <w:rPr>
                <w:rFonts w:hint="default"/>
                <w:b/>
                <w:bCs/>
                <w:color w:val="auto"/>
                <w:highlight w:val="none"/>
              </w:rPr>
              <w:t>关于进一步加强重金属污染防控的意见</w:t>
            </w:r>
            <w:r>
              <w:rPr>
                <w:rFonts w:hint="default"/>
                <w:b/>
                <w:bCs/>
                <w:color w:val="auto"/>
                <w:highlight w:val="none"/>
                <w:lang w:val="en-US" w:eastAsia="zh-CN"/>
              </w:rPr>
              <w:t>》（环固体〔2022〕17号）相符性分析</w:t>
            </w:r>
          </w:p>
          <w:p w14:paraId="3052E116">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与环固体〔2022〕17号相符性分析表</w:t>
            </w:r>
          </w:p>
          <w:tbl>
            <w:tblPr>
              <w:tblStyle w:val="25"/>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0"/>
              <w:gridCol w:w="2609"/>
              <w:gridCol w:w="697"/>
            </w:tblGrid>
            <w:tr w14:paraId="10CC3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blHeader/>
                <w:jc w:val="center"/>
              </w:trPr>
              <w:tc>
                <w:tcPr>
                  <w:tcW w:w="5070" w:type="dxa"/>
                  <w:tcBorders>
                    <w:tl2br w:val="nil"/>
                    <w:tr2bl w:val="nil"/>
                  </w:tcBorders>
                  <w:noWrap w:val="0"/>
                  <w:vAlign w:val="center"/>
                </w:tcPr>
                <w:p w14:paraId="51D4A7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b/>
                      <w:bCs/>
                      <w:color w:val="auto"/>
                      <w:highlight w:val="none"/>
                      <w:lang w:val="en-US" w:eastAsia="zh-CN"/>
                    </w:rPr>
                  </w:pPr>
                  <w:r>
                    <w:rPr>
                      <w:rFonts w:hint="eastAsia"/>
                      <w:b/>
                      <w:bCs/>
                      <w:color w:val="auto"/>
                      <w:highlight w:val="none"/>
                      <w:lang w:val="en-US" w:eastAsia="zh-CN"/>
                    </w:rPr>
                    <w:t>文件要求</w:t>
                  </w:r>
                </w:p>
              </w:tc>
              <w:tc>
                <w:tcPr>
                  <w:tcW w:w="2609" w:type="dxa"/>
                  <w:tcBorders>
                    <w:tl2br w:val="nil"/>
                    <w:tr2bl w:val="nil"/>
                  </w:tcBorders>
                  <w:noWrap w:val="0"/>
                  <w:vAlign w:val="center"/>
                </w:tcPr>
                <w:p w14:paraId="37078A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本项目实际情况</w:t>
                  </w:r>
                </w:p>
              </w:tc>
              <w:tc>
                <w:tcPr>
                  <w:tcW w:w="697" w:type="dxa"/>
                  <w:tcBorders>
                    <w:tl2br w:val="nil"/>
                    <w:tr2bl w:val="nil"/>
                  </w:tcBorders>
                  <w:noWrap w:val="0"/>
                  <w:vAlign w:val="center"/>
                </w:tcPr>
                <w:p w14:paraId="1A2A23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相符性</w:t>
                  </w:r>
                </w:p>
              </w:tc>
            </w:tr>
            <w:tr w14:paraId="582850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36" w:hRule="atLeast"/>
                <w:jc w:val="center"/>
              </w:trPr>
              <w:tc>
                <w:tcPr>
                  <w:tcW w:w="5070" w:type="dxa"/>
                  <w:tcBorders>
                    <w:tl2br w:val="nil"/>
                    <w:tr2bl w:val="nil"/>
                  </w:tcBorders>
                  <w:noWrap w:val="0"/>
                  <w:vAlign w:val="center"/>
                </w:tcPr>
                <w:p w14:paraId="1B836A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重点行业企业准入管理。新、改、扩建重点行业建设项目应符合“三线一单”、产业政策、区域环评、规划环评和行业环境准入管控要求。重点区域的新、改、扩建重点行业建设项目应遵循重点重金属污染物排放“减量替代”原则，减量替代比例不低于1.2：1；其他区域遵循“等量替代”原则。建设单位在提交环境影响评价文件时应明确重点重金属污染物排放总量及来源。无明确具体总量来源的，各级生态环境部门不得批准相关环境影响评价文件。总量来源原则上应是同一重点行业内企业削减的重点重金属污染物排放量，当同一重点行业内企业削减量无法满足时可从其他重点行业调剂。严格重点行业建设项目环境影响评价审批，审慎下放审批权限，不得以改革试点为名降低审批要求</w:t>
                  </w:r>
                </w:p>
              </w:tc>
              <w:tc>
                <w:tcPr>
                  <w:tcW w:w="2609" w:type="dxa"/>
                  <w:tcBorders>
                    <w:tl2br w:val="nil"/>
                    <w:tr2bl w:val="nil"/>
                  </w:tcBorders>
                  <w:noWrap w:val="0"/>
                  <w:vAlign w:val="center"/>
                </w:tcPr>
                <w:p w14:paraId="65B00D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rPr>
                  </w:pPr>
                  <w:r>
                    <w:rPr>
                      <w:rFonts w:hint="eastAsia"/>
                      <w:color w:val="auto"/>
                      <w:highlight w:val="none"/>
                      <w:lang w:val="en-US" w:eastAsia="zh-CN"/>
                    </w:rPr>
                    <w:t>本项目为扩建项目，项目的建设符合“三线一单、产业政策、区域环评、规划环评和行业环境准入管控要求”，不涉及重金属污染物的排放。</w:t>
                  </w:r>
                </w:p>
              </w:tc>
              <w:tc>
                <w:tcPr>
                  <w:tcW w:w="697" w:type="dxa"/>
                  <w:tcBorders>
                    <w:tl2br w:val="nil"/>
                    <w:tr2bl w:val="nil"/>
                  </w:tcBorders>
                  <w:noWrap w:val="0"/>
                  <w:vAlign w:val="center"/>
                </w:tcPr>
                <w:p w14:paraId="29CB32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712B2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04" w:hRule="atLeast"/>
                <w:jc w:val="center"/>
              </w:trPr>
              <w:tc>
                <w:tcPr>
                  <w:tcW w:w="5070" w:type="dxa"/>
                  <w:tcBorders>
                    <w:tl2br w:val="nil"/>
                    <w:tr2bl w:val="nil"/>
                  </w:tcBorders>
                  <w:noWrap w:val="0"/>
                  <w:vAlign w:val="center"/>
                </w:tcPr>
                <w:p w14:paraId="2E17D4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依法推动落后产能退出。根据《产业结构调整指导目录》《限期淘汰产生严重污染环境的工业固体废物的落后生产工艺设备名录》等要求，推动依法淘汰涉重金属落后产能和化解过剩产能。严格执行生态环境保护等相关法规标准，推动经整改仍达不到要求的产能依法依规关闭退出</w:t>
                  </w:r>
                </w:p>
              </w:tc>
              <w:tc>
                <w:tcPr>
                  <w:tcW w:w="2609" w:type="dxa"/>
                  <w:tcBorders>
                    <w:tl2br w:val="nil"/>
                    <w:tr2bl w:val="nil"/>
                  </w:tcBorders>
                  <w:noWrap w:val="0"/>
                  <w:vAlign w:val="center"/>
                </w:tcPr>
                <w:p w14:paraId="669050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rPr>
                  </w:pPr>
                  <w:r>
                    <w:rPr>
                      <w:rFonts w:hint="default"/>
                      <w:color w:val="auto"/>
                      <w:highlight w:val="none"/>
                      <w:lang w:val="en-US"/>
                    </w:rPr>
                    <w:t>本项目属于</w:t>
                  </w:r>
                  <w:r>
                    <w:rPr>
                      <w:rFonts w:hint="eastAsia"/>
                      <w:color w:val="auto"/>
                      <w:highlight w:val="none"/>
                      <w:lang w:val="en-US" w:eastAsia="zh-CN"/>
                    </w:rPr>
                    <w:t>“</w:t>
                  </w:r>
                  <w:r>
                    <w:rPr>
                      <w:rFonts w:hint="default"/>
                      <w:color w:val="auto"/>
                      <w:highlight w:val="none"/>
                      <w:lang w:val="en-US" w:eastAsia="zh-CN"/>
                    </w:rPr>
                    <w:t>第一类鼓励类</w:t>
                  </w:r>
                  <w:r>
                    <w:rPr>
                      <w:rFonts w:hint="eastAsia"/>
                      <w:color w:val="auto"/>
                      <w:highlight w:val="none"/>
                      <w:lang w:val="en-US" w:eastAsia="zh-CN"/>
                    </w:rPr>
                    <w:t>”</w:t>
                  </w:r>
                  <w:r>
                    <w:rPr>
                      <w:rFonts w:hint="default"/>
                      <w:color w:val="auto"/>
                      <w:highlight w:val="none"/>
                      <w:lang w:val="en-US" w:eastAsia="zh-CN"/>
                    </w:rPr>
                    <w:t>中</w:t>
                  </w:r>
                  <w:r>
                    <w:rPr>
                      <w:rFonts w:hint="eastAsia"/>
                      <w:color w:val="auto"/>
                      <w:highlight w:val="none"/>
                      <w:lang w:val="en-US" w:eastAsia="zh-CN"/>
                    </w:rPr>
                    <w:t>“</w:t>
                  </w:r>
                  <w:r>
                    <w:rPr>
                      <w:rFonts w:hint="default"/>
                      <w:color w:val="auto"/>
                      <w:highlight w:val="none"/>
                      <w:lang w:val="en-US" w:eastAsia="zh-CN"/>
                    </w:rPr>
                    <w:t>四十二、环境保护与资源节约综合利用8、废弃物循环利用：煤矸石、粉煤灰、尾矿（共伴生矿）、冶炼渣、工业副产石膏、赤泥、</w:t>
                  </w:r>
                  <w:r>
                    <w:rPr>
                      <w:rFonts w:hint="eastAsia"/>
                      <w:color w:val="auto"/>
                      <w:highlight w:val="none"/>
                      <w:lang w:val="en-US" w:eastAsia="zh-CN"/>
                    </w:rPr>
                    <w:t>建筑废料</w:t>
                  </w:r>
                  <w:r>
                    <w:rPr>
                      <w:rFonts w:hint="default"/>
                      <w:color w:val="auto"/>
                      <w:highlight w:val="none"/>
                      <w:lang w:val="en-US" w:eastAsia="zh-CN"/>
                    </w:rPr>
                    <w:t>等工业废弃物循环利用</w:t>
                  </w:r>
                  <w:r>
                    <w:rPr>
                      <w:rFonts w:hint="eastAsia"/>
                      <w:color w:val="auto"/>
                      <w:highlight w:val="none"/>
                      <w:lang w:val="en-US" w:eastAsia="zh-CN"/>
                    </w:rPr>
                    <w:t>”</w:t>
                  </w:r>
                  <w:r>
                    <w:rPr>
                      <w:rFonts w:hint="default"/>
                      <w:color w:val="auto"/>
                      <w:highlight w:val="none"/>
                      <w:lang w:val="en-US" w:eastAsia="zh-CN"/>
                    </w:rPr>
                    <w:t>，</w:t>
                  </w:r>
                  <w:r>
                    <w:rPr>
                      <w:rFonts w:hint="eastAsia"/>
                      <w:color w:val="auto"/>
                      <w:highlight w:val="none"/>
                      <w:lang w:val="en-US" w:eastAsia="zh-CN"/>
                    </w:rPr>
                    <w:t>本项目设备不属于《限期淘汰产生严重污染环境的工业固体废物的落后生产工艺设备名录》</w:t>
                  </w:r>
                </w:p>
              </w:tc>
              <w:tc>
                <w:tcPr>
                  <w:tcW w:w="697" w:type="dxa"/>
                  <w:tcBorders>
                    <w:tl2br w:val="nil"/>
                    <w:tr2bl w:val="nil"/>
                  </w:tcBorders>
                  <w:noWrap w:val="0"/>
                  <w:vAlign w:val="center"/>
                </w:tcPr>
                <w:p w14:paraId="696C4A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7BA9DD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64" w:hRule="atLeast"/>
                <w:jc w:val="center"/>
              </w:trPr>
              <w:tc>
                <w:tcPr>
                  <w:tcW w:w="5070" w:type="dxa"/>
                  <w:tcBorders>
                    <w:tl2br w:val="nil"/>
                    <w:tr2bl w:val="nil"/>
                  </w:tcBorders>
                  <w:noWrap w:val="0"/>
                  <w:vAlign w:val="center"/>
                </w:tcPr>
                <w:p w14:paraId="5C398B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default"/>
                      <w:color w:val="auto"/>
                      <w:highlight w:val="none"/>
                    </w:rPr>
                    <w:t>优化重点行业企业布局。推动涉重金属产业集中优化发展，禁止低端落后产能向长江、黄河中上游地区转移。禁止新建用汞的电石法</w:t>
                  </w:r>
                  <w:r>
                    <w:rPr>
                      <w:rFonts w:hint="eastAsia"/>
                      <w:color w:val="auto"/>
                      <w:highlight w:val="none"/>
                      <w:lang w:eastAsia="zh-CN"/>
                    </w:rPr>
                    <w:t>（</w:t>
                  </w:r>
                  <w:r>
                    <w:rPr>
                      <w:rFonts w:hint="default"/>
                      <w:color w:val="auto"/>
                      <w:highlight w:val="none"/>
                    </w:rPr>
                    <w:t>聚</w:t>
                  </w:r>
                  <w:r>
                    <w:rPr>
                      <w:rFonts w:hint="eastAsia"/>
                      <w:color w:val="auto"/>
                      <w:highlight w:val="none"/>
                      <w:lang w:eastAsia="zh-CN"/>
                    </w:rPr>
                    <w:t>）</w:t>
                  </w:r>
                  <w:r>
                    <w:rPr>
                      <w:rFonts w:hint="default"/>
                      <w:color w:val="auto"/>
                      <w:highlight w:val="none"/>
                    </w:rPr>
                    <w:t>氯乙烯生产工艺。新建、扩建的重有色金属冶炼、电镀、制革企业优先选择布设在依法合规设立并经规划环评的产业园区。广东、江苏、辽宁、山东、河北等省份加快推进专业电镀企业入园，力争到2025年底专业电镀企业入园率达到75%</w:t>
                  </w:r>
                  <w:r>
                    <w:rPr>
                      <w:rFonts w:hint="eastAsia"/>
                      <w:color w:val="auto"/>
                      <w:highlight w:val="none"/>
                      <w:lang w:eastAsia="zh-CN"/>
                    </w:rPr>
                    <w:t>。</w:t>
                  </w:r>
                </w:p>
              </w:tc>
              <w:tc>
                <w:tcPr>
                  <w:tcW w:w="2609" w:type="dxa"/>
                  <w:tcBorders>
                    <w:tl2br w:val="nil"/>
                    <w:tr2bl w:val="nil"/>
                  </w:tcBorders>
                  <w:noWrap w:val="0"/>
                  <w:vAlign w:val="center"/>
                </w:tcPr>
                <w:p w14:paraId="21F52D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本项目不涉及</w:t>
                  </w:r>
                  <w:r>
                    <w:rPr>
                      <w:rFonts w:hint="default"/>
                      <w:color w:val="auto"/>
                      <w:highlight w:val="none"/>
                    </w:rPr>
                    <w:t>重金属</w:t>
                  </w:r>
                  <w:r>
                    <w:rPr>
                      <w:rFonts w:hint="eastAsia"/>
                      <w:color w:val="auto"/>
                      <w:highlight w:val="none"/>
                      <w:lang w:eastAsia="zh-CN"/>
                    </w:rPr>
                    <w:t>、</w:t>
                  </w:r>
                  <w:r>
                    <w:rPr>
                      <w:rFonts w:hint="default"/>
                      <w:color w:val="auto"/>
                      <w:highlight w:val="none"/>
                    </w:rPr>
                    <w:t>新建用汞的电石法</w:t>
                  </w:r>
                  <w:r>
                    <w:rPr>
                      <w:rFonts w:hint="eastAsia"/>
                      <w:color w:val="auto"/>
                      <w:highlight w:val="none"/>
                      <w:lang w:eastAsia="zh-CN"/>
                    </w:rPr>
                    <w:t>（</w:t>
                  </w:r>
                  <w:r>
                    <w:rPr>
                      <w:rFonts w:hint="default"/>
                      <w:color w:val="auto"/>
                      <w:highlight w:val="none"/>
                    </w:rPr>
                    <w:t>聚</w:t>
                  </w:r>
                  <w:r>
                    <w:rPr>
                      <w:rFonts w:hint="eastAsia"/>
                      <w:color w:val="auto"/>
                      <w:highlight w:val="none"/>
                      <w:lang w:eastAsia="zh-CN"/>
                    </w:rPr>
                    <w:t>）</w:t>
                  </w:r>
                  <w:r>
                    <w:rPr>
                      <w:rFonts w:hint="default"/>
                      <w:color w:val="auto"/>
                      <w:highlight w:val="none"/>
                    </w:rPr>
                    <w:t>氯乙烯生产工艺</w:t>
                  </w:r>
                  <w:r>
                    <w:rPr>
                      <w:rFonts w:hint="eastAsia"/>
                      <w:color w:val="auto"/>
                      <w:highlight w:val="none"/>
                      <w:lang w:eastAsia="zh-CN"/>
                    </w:rPr>
                    <w:t>、</w:t>
                  </w:r>
                  <w:r>
                    <w:rPr>
                      <w:rFonts w:hint="default"/>
                      <w:color w:val="auto"/>
                      <w:highlight w:val="none"/>
                    </w:rPr>
                    <w:t>重有色金属冶炼、电镀、制革企业</w:t>
                  </w:r>
                  <w:r>
                    <w:rPr>
                      <w:rFonts w:hint="eastAsia"/>
                      <w:color w:val="auto"/>
                      <w:highlight w:val="none"/>
                      <w:lang w:eastAsia="zh-CN"/>
                    </w:rPr>
                    <w:t>，项目</w:t>
                  </w:r>
                  <w:r>
                    <w:rPr>
                      <w:rFonts w:hint="eastAsia"/>
                      <w:color w:val="auto"/>
                      <w:highlight w:val="none"/>
                      <w:lang w:val="en-US" w:eastAsia="zh-CN"/>
                    </w:rPr>
                    <w:t>位于高安市建筑陶瓷产业园，属于合规设立</w:t>
                  </w:r>
                  <w:r>
                    <w:rPr>
                      <w:rFonts w:hint="default"/>
                      <w:color w:val="auto"/>
                      <w:highlight w:val="none"/>
                    </w:rPr>
                    <w:t>并</w:t>
                  </w:r>
                  <w:r>
                    <w:rPr>
                      <w:rFonts w:hint="eastAsia"/>
                      <w:color w:val="auto"/>
                      <w:highlight w:val="none"/>
                      <w:lang w:eastAsia="zh-CN"/>
                    </w:rPr>
                    <w:t>进行</w:t>
                  </w:r>
                  <w:r>
                    <w:rPr>
                      <w:rFonts w:hint="default"/>
                      <w:color w:val="auto"/>
                      <w:highlight w:val="none"/>
                    </w:rPr>
                    <w:t>规划环评的产业园区</w:t>
                  </w:r>
                </w:p>
              </w:tc>
              <w:tc>
                <w:tcPr>
                  <w:tcW w:w="697" w:type="dxa"/>
                  <w:tcBorders>
                    <w:tl2br w:val="nil"/>
                    <w:tr2bl w:val="nil"/>
                  </w:tcBorders>
                  <w:noWrap w:val="0"/>
                  <w:vAlign w:val="center"/>
                </w:tcPr>
                <w:p w14:paraId="346565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6370E0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5070" w:type="dxa"/>
                  <w:tcBorders>
                    <w:tl2br w:val="nil"/>
                    <w:tr2bl w:val="nil"/>
                  </w:tcBorders>
                  <w:noWrap w:val="0"/>
                  <w:vAlign w:val="center"/>
                </w:tcPr>
                <w:p w14:paraId="69B17E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加强重点行业企业清洁生产改造。加强重点行业清洁生产工艺的开发和应用。重点行业企业</w:t>
                  </w:r>
                  <w:r>
                    <w:rPr>
                      <w:rFonts w:hint="eastAsia"/>
                      <w:color w:val="auto"/>
                      <w:highlight w:val="none"/>
                      <w:lang w:val="en-US" w:eastAsia="zh-CN"/>
                    </w:rPr>
                    <w:t>“</w:t>
                  </w:r>
                  <w:r>
                    <w:rPr>
                      <w:rFonts w:hint="default"/>
                      <w:color w:val="auto"/>
                      <w:highlight w:val="none"/>
                      <w:lang w:val="en-US" w:eastAsia="zh-CN"/>
                    </w:rPr>
                    <w:t>十四五</w:t>
                  </w:r>
                  <w:r>
                    <w:rPr>
                      <w:rFonts w:hint="eastAsia"/>
                      <w:color w:val="auto"/>
                      <w:highlight w:val="none"/>
                      <w:lang w:val="en-US" w:eastAsia="zh-CN"/>
                    </w:rPr>
                    <w:t>”</w:t>
                  </w:r>
                  <w:r>
                    <w:rPr>
                      <w:rFonts w:hint="default"/>
                      <w:color w:val="auto"/>
                      <w:highlight w:val="none"/>
                      <w:lang w:val="en-US" w:eastAsia="zh-CN"/>
                    </w:rPr>
                    <w:t>期间依法至少开展一轮强制性清洁生产审核。到2025年底，重点行业企业基本达到国内清洁生产先进水平。加强重金属污染源头防控，减少使用高镉、高砷或高铊的矿石原料。加大重有色金属冶炼行业企业生产工艺设备清洁生产改造力度，积极推动竖罐炼锌设备替代改造和铜冶炼转炉吹炼工艺提升改造。电石法</w:t>
                  </w:r>
                  <w:r>
                    <w:rPr>
                      <w:rFonts w:hint="eastAsia"/>
                      <w:color w:val="auto"/>
                      <w:highlight w:val="none"/>
                      <w:lang w:val="en-US" w:eastAsia="zh-CN"/>
                    </w:rPr>
                    <w:t>（</w:t>
                  </w:r>
                  <w:r>
                    <w:rPr>
                      <w:rFonts w:hint="default"/>
                      <w:color w:val="auto"/>
                      <w:highlight w:val="none"/>
                      <w:lang w:val="en-US" w:eastAsia="zh-CN"/>
                    </w:rPr>
                    <w:t>聚</w:t>
                  </w:r>
                  <w:r>
                    <w:rPr>
                      <w:rFonts w:hint="eastAsia"/>
                      <w:color w:val="auto"/>
                      <w:highlight w:val="none"/>
                      <w:lang w:val="en-US" w:eastAsia="zh-CN"/>
                    </w:rPr>
                    <w:t>）</w:t>
                  </w:r>
                  <w:r>
                    <w:rPr>
                      <w:rFonts w:hint="default"/>
                      <w:color w:val="auto"/>
                      <w:highlight w:val="none"/>
                      <w:lang w:val="en-US" w:eastAsia="zh-CN"/>
                    </w:rPr>
                    <w:t>氯乙烯生产企业生产每吨聚氯乙烯用汞量不得超过49.14克，并确保持续稳中有降。</w:t>
                  </w:r>
                </w:p>
              </w:tc>
              <w:tc>
                <w:tcPr>
                  <w:tcW w:w="2609" w:type="dxa"/>
                  <w:tcBorders>
                    <w:tl2br w:val="nil"/>
                    <w:tr2bl w:val="nil"/>
                  </w:tcBorders>
                  <w:noWrap w:val="0"/>
                  <w:vAlign w:val="center"/>
                </w:tcPr>
                <w:p w14:paraId="5FDCA5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本项目不属于重有色金属冶炼行业，污染物排放浓度和排放量满足相应的标准要求，清洁生产水平处于国内先进水平，符合清洁生产的要求</w:t>
                  </w:r>
                  <w:r>
                    <w:rPr>
                      <w:rFonts w:hint="eastAsia"/>
                      <w:color w:val="auto"/>
                      <w:highlight w:val="none"/>
                      <w:lang w:val="en-US" w:eastAsia="zh-CN"/>
                    </w:rPr>
                    <w:t>，本项目原料锂渣涉及铊因子，</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p>
              </w:tc>
              <w:tc>
                <w:tcPr>
                  <w:tcW w:w="697" w:type="dxa"/>
                  <w:tcBorders>
                    <w:tl2br w:val="nil"/>
                    <w:tr2bl w:val="nil"/>
                  </w:tcBorders>
                  <w:noWrap w:val="0"/>
                  <w:vAlign w:val="center"/>
                </w:tcPr>
                <w:p w14:paraId="6BA60D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4A63F6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070" w:type="dxa"/>
                  <w:tcBorders>
                    <w:tl2br w:val="nil"/>
                    <w:tr2bl w:val="nil"/>
                  </w:tcBorders>
                  <w:noWrap w:val="0"/>
                  <w:vAlign w:val="center"/>
                </w:tcPr>
                <w:p w14:paraId="0FC20E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推动重金属污染深度治理。自2023年起，重点区域铅锌冶炼和铜冶炼行业企业，执行颗粒物和重点重金属污染物特别排放限值。根据排放标准相关规定和重金属污染防控需求，省级人民政府可增加执行特别排放限值的地域范围。上述执行特别排放限值的地域范围，由省级人民政府通过公告或印发相关文件等适当方式予以公布。重有色金属冶炼企业应加强生产车间低空逸散烟气收集处理，有效减少无组织排放。重有色金属矿采选企业要按照规定完善废石堆场、排土场周边雨污分流设施，建设酸性废水收集与处理设施，处理达标后排放。采用洒水、旋风等简易除尘治理工艺的重有色金属矿采选企业，应加强废气收集，实施过滤除尘等颗粒物治理升级改造工程。开展电镀行业重金属污染综合整治，推进专业电镀园区、专业电镀企业重金属污染深度治理。排放汞及汞化合物的企业应当采用最佳可行技术和最佳环境实践，控制并减少汞及汞化合物的排放和释放</w:t>
                  </w:r>
                  <w:r>
                    <w:rPr>
                      <w:rFonts w:hint="eastAsia"/>
                      <w:color w:val="auto"/>
                      <w:highlight w:val="none"/>
                      <w:lang w:val="en-US" w:eastAsia="zh-CN"/>
                    </w:rPr>
                    <w:t>。</w:t>
                  </w:r>
                </w:p>
              </w:tc>
              <w:tc>
                <w:tcPr>
                  <w:tcW w:w="2609" w:type="dxa"/>
                  <w:tcBorders>
                    <w:tl2br w:val="nil"/>
                    <w:tr2bl w:val="nil"/>
                  </w:tcBorders>
                  <w:noWrap w:val="0"/>
                  <w:vAlign w:val="center"/>
                </w:tcPr>
                <w:p w14:paraId="4B4A7B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本项目不属于铅锌冶炼、铜冶炼等有色金属冶炼企业，不属于</w:t>
                  </w:r>
                  <w:r>
                    <w:rPr>
                      <w:rFonts w:hint="default"/>
                      <w:color w:val="auto"/>
                      <w:highlight w:val="none"/>
                      <w:lang w:val="en-US" w:eastAsia="zh-CN"/>
                    </w:rPr>
                    <w:t>重有色金属矿采选企业</w:t>
                  </w:r>
                  <w:r>
                    <w:rPr>
                      <w:rFonts w:hint="eastAsia"/>
                      <w:color w:val="auto"/>
                      <w:highlight w:val="none"/>
                      <w:lang w:val="en-US" w:eastAsia="zh-CN"/>
                    </w:rPr>
                    <w:t>，不属于</w:t>
                  </w:r>
                  <w:r>
                    <w:rPr>
                      <w:rFonts w:hint="default"/>
                      <w:color w:val="auto"/>
                      <w:highlight w:val="none"/>
                      <w:lang w:val="en-US" w:eastAsia="zh-CN"/>
                    </w:rPr>
                    <w:t>电镀行业</w:t>
                  </w:r>
                  <w:r>
                    <w:rPr>
                      <w:rFonts w:hint="eastAsia"/>
                      <w:color w:val="auto"/>
                      <w:highlight w:val="none"/>
                      <w:lang w:val="en-US" w:eastAsia="zh-CN"/>
                    </w:rPr>
                    <w:t>。</w:t>
                  </w:r>
                </w:p>
              </w:tc>
              <w:tc>
                <w:tcPr>
                  <w:tcW w:w="697" w:type="dxa"/>
                  <w:tcBorders>
                    <w:tl2br w:val="nil"/>
                    <w:tr2bl w:val="nil"/>
                  </w:tcBorders>
                  <w:noWrap w:val="0"/>
                  <w:vAlign w:val="center"/>
                </w:tcPr>
                <w:p w14:paraId="47B370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default"/>
                      <w:color w:val="auto"/>
                      <w:highlight w:val="none"/>
                    </w:rPr>
                    <w:t>符合</w:t>
                  </w:r>
                </w:p>
              </w:tc>
            </w:tr>
            <w:tr w14:paraId="58842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070" w:type="dxa"/>
                  <w:tcBorders>
                    <w:tl2br w:val="nil"/>
                    <w:tr2bl w:val="nil"/>
                  </w:tcBorders>
                  <w:noWrap w:val="0"/>
                  <w:vAlign w:val="center"/>
                </w:tcPr>
                <w:p w14:paraId="13B617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开展涉镉涉铊企业排查整治行动。开展农用地土壤镉等重金属污染源头防治行动，持续推进耕地周边涉镉等重金属行业企业排查整治。全面排查涉铊企业，指导督促涉铊企业建立铊污染风险问题台账并制定问题整改方案。开展重有色金属冶炼、钢铁等典型涉铊企业废水治理设施除铊升级改造，严格执行车间或生产设施废水排放口达标要求。各地生态环境部门构建涉铊企业全链条闭环管理体系，督促企业对矿石原料、主副产品和生产废物中铊成分进行检测分析，实现铊元素可核算可追踪。江西、湖南、广西、贵州、云南、陕西、甘肃等省份要制定铊污染防控方案，强化涉铊企业综合整治，严防铊污染问题发生。</w:t>
                  </w:r>
                </w:p>
              </w:tc>
              <w:tc>
                <w:tcPr>
                  <w:tcW w:w="2609" w:type="dxa"/>
                  <w:tcBorders>
                    <w:tl2br w:val="nil"/>
                    <w:tr2bl w:val="nil"/>
                  </w:tcBorders>
                  <w:noWrap w:val="0"/>
                  <w:vAlign w:val="center"/>
                </w:tcPr>
                <w:p w14:paraId="0E9DA97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本项目</w:t>
                  </w:r>
                  <w:r>
                    <w:rPr>
                      <w:rFonts w:hint="eastAsia"/>
                      <w:color w:val="auto"/>
                      <w:highlight w:val="none"/>
                      <w:lang w:val="en-US" w:eastAsia="zh-CN"/>
                    </w:rPr>
                    <w:t>不属于</w:t>
                  </w:r>
                  <w:r>
                    <w:rPr>
                      <w:rFonts w:hint="default"/>
                      <w:color w:val="auto"/>
                      <w:highlight w:val="none"/>
                      <w:lang w:val="en-US" w:eastAsia="zh-CN"/>
                    </w:rPr>
                    <w:t>重有色金属冶炼、钢铁等典型涉铊企业</w:t>
                  </w:r>
                  <w:r>
                    <w:rPr>
                      <w:rFonts w:hint="eastAsia"/>
                      <w:color w:val="auto"/>
                      <w:highlight w:val="none"/>
                      <w:lang w:val="en-US" w:eastAsia="zh-CN"/>
                    </w:rPr>
                    <w:t>，</w:t>
                  </w:r>
                  <w:r>
                    <w:rPr>
                      <w:rFonts w:hint="default"/>
                      <w:color w:val="auto"/>
                      <w:highlight w:val="none"/>
                      <w:lang w:val="en-US" w:eastAsia="zh-CN"/>
                    </w:rPr>
                    <w:t>原材料</w:t>
                  </w:r>
                  <w:r>
                    <w:rPr>
                      <w:rFonts w:hint="eastAsia"/>
                      <w:color w:val="auto"/>
                      <w:highlight w:val="none"/>
                      <w:lang w:val="en-US" w:eastAsia="zh-CN"/>
                    </w:rPr>
                    <w:t>锂渣</w:t>
                  </w:r>
                  <w:r>
                    <w:rPr>
                      <w:rFonts w:hint="default"/>
                      <w:color w:val="auto"/>
                      <w:highlight w:val="none"/>
                      <w:lang w:val="en-US" w:eastAsia="zh-CN"/>
                    </w:rPr>
                    <w:t>涉及含铊物质，</w:t>
                  </w:r>
                  <w:r>
                    <w:rPr>
                      <w:rFonts w:hint="default" w:ascii="Times New Roman" w:hAnsi="Times New Roman" w:cs="Times New Roman"/>
                      <w:color w:val="auto"/>
                      <w:highlight w:val="none"/>
                      <w:lang w:val="en-US" w:eastAsia="zh-CN"/>
                    </w:rPr>
                    <w:t>本环评要求建设单位在雨水排放口安装氟化物、铊在线监测设备，并与市、县两级在线监控管理平台联网</w:t>
                  </w:r>
                  <w:r>
                    <w:rPr>
                      <w:rFonts w:hint="eastAsia" w:ascii="Times New Roman" w:hAnsi="Times New Roman" w:cs="Times New Roman"/>
                      <w:color w:val="auto"/>
                      <w:highlight w:val="none"/>
                      <w:lang w:val="en-US" w:eastAsia="zh-CN"/>
                    </w:rPr>
                    <w:t>；</w:t>
                  </w:r>
                  <w:r>
                    <w:rPr>
                      <w:rFonts w:hint="eastAsia"/>
                      <w:color w:val="auto"/>
                      <w:highlight w:val="none"/>
                      <w:lang w:val="en-US" w:eastAsia="zh-CN"/>
                    </w:rPr>
                    <w:t>运营</w:t>
                  </w:r>
                  <w:r>
                    <w:rPr>
                      <w:rFonts w:hint="default"/>
                      <w:color w:val="auto"/>
                      <w:highlight w:val="none"/>
                      <w:lang w:val="en-US" w:eastAsia="zh-CN"/>
                    </w:rPr>
                    <w:t>后建立铊污染风险问题台账并制定问题整改方案</w:t>
                  </w:r>
                  <w:r>
                    <w:rPr>
                      <w:rFonts w:hint="eastAsia"/>
                      <w:color w:val="auto"/>
                      <w:highlight w:val="none"/>
                      <w:lang w:val="en-US" w:eastAsia="zh-CN"/>
                    </w:rPr>
                    <w:t>。</w:t>
                  </w:r>
                </w:p>
              </w:tc>
              <w:tc>
                <w:tcPr>
                  <w:tcW w:w="697" w:type="dxa"/>
                  <w:tcBorders>
                    <w:tl2br w:val="nil"/>
                    <w:tr2bl w:val="nil"/>
                  </w:tcBorders>
                  <w:noWrap w:val="0"/>
                  <w:vAlign w:val="center"/>
                </w:tcPr>
                <w:p w14:paraId="1FBB0A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4F17AE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61" w:hRule="atLeast"/>
                <w:jc w:val="center"/>
              </w:trPr>
              <w:tc>
                <w:tcPr>
                  <w:tcW w:w="5070" w:type="dxa"/>
                  <w:tcBorders>
                    <w:tl2br w:val="nil"/>
                    <w:tr2bl w:val="nil"/>
                  </w:tcBorders>
                  <w:noWrap w:val="0"/>
                  <w:vAlign w:val="center"/>
                </w:tcPr>
                <w:p w14:paraId="194F08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加强涉重金属固体废物环境管理。加强重点行业企业废渣场环境管理，完善防渗漏、防流失、防扬散等措施。推动锌湿法冶炼工艺按有关规定配套建设浸出渣无害化处理系统及硫渣处理设施。加强尾矿污染防控，开展长江经济带尾矿库污染治理“回头看”和黄河流域、嘉陵江上游尾矿库污染治理。严格废铅蓄电池、冶炼灰渣、钢厂烟灰等含重金属固体废物收集、贮存、转移、利用处置过程的环境管理，防止二次污染。</w:t>
                  </w:r>
                </w:p>
              </w:tc>
              <w:tc>
                <w:tcPr>
                  <w:tcW w:w="2609" w:type="dxa"/>
                  <w:tcBorders>
                    <w:tl2br w:val="nil"/>
                    <w:tr2bl w:val="nil"/>
                  </w:tcBorders>
                  <w:noWrap w:val="0"/>
                  <w:vAlign w:val="center"/>
                </w:tcPr>
                <w:p w14:paraId="340D55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本项目在原料锂渣、水渣等堆场均要求做好防渗、防流失、防扬散等措施</w:t>
                  </w:r>
                </w:p>
              </w:tc>
              <w:tc>
                <w:tcPr>
                  <w:tcW w:w="697" w:type="dxa"/>
                  <w:tcBorders>
                    <w:tl2br w:val="nil"/>
                    <w:tr2bl w:val="nil"/>
                  </w:tcBorders>
                  <w:noWrap w:val="0"/>
                  <w:vAlign w:val="center"/>
                </w:tcPr>
                <w:p w14:paraId="730519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符合</w:t>
                  </w:r>
                </w:p>
              </w:tc>
            </w:tr>
          </w:tbl>
          <w:p w14:paraId="5E5E6FA0">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15、江西省生态环境厅关于印发《江西省关于进一步加强重金属污染防控工作方案》的通知（赣环固体〔2022〕44号）相符性分析</w:t>
            </w:r>
          </w:p>
          <w:p w14:paraId="5E6D7A59">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与（赣环固体〔2022〕44号）相符性分析</w:t>
            </w:r>
          </w:p>
          <w:tbl>
            <w:tblPr>
              <w:tblStyle w:val="25"/>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24"/>
              <w:gridCol w:w="3068"/>
              <w:gridCol w:w="684"/>
            </w:tblGrid>
            <w:tr w14:paraId="61E2A2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4624" w:type="dxa"/>
                  <w:tcBorders>
                    <w:tl2br w:val="nil"/>
                    <w:tr2bl w:val="nil"/>
                  </w:tcBorders>
                  <w:noWrap w:val="0"/>
                  <w:vAlign w:val="center"/>
                </w:tcPr>
                <w:p w14:paraId="01839A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b/>
                      <w:bCs/>
                      <w:color w:val="auto"/>
                      <w:highlight w:val="none"/>
                      <w:lang w:val="en-US" w:eastAsia="zh-CN"/>
                    </w:rPr>
                  </w:pPr>
                  <w:r>
                    <w:rPr>
                      <w:rFonts w:hint="eastAsia"/>
                      <w:b/>
                      <w:bCs/>
                      <w:color w:val="auto"/>
                      <w:highlight w:val="none"/>
                      <w:lang w:val="en-US" w:eastAsia="zh-CN"/>
                    </w:rPr>
                    <w:t>文件要求</w:t>
                  </w:r>
                </w:p>
              </w:tc>
              <w:tc>
                <w:tcPr>
                  <w:tcW w:w="3068" w:type="dxa"/>
                  <w:tcBorders>
                    <w:tl2br w:val="nil"/>
                    <w:tr2bl w:val="nil"/>
                  </w:tcBorders>
                  <w:noWrap w:val="0"/>
                  <w:vAlign w:val="center"/>
                </w:tcPr>
                <w:p w14:paraId="20C381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本项目实际情况</w:t>
                  </w:r>
                </w:p>
              </w:tc>
              <w:tc>
                <w:tcPr>
                  <w:tcW w:w="684" w:type="dxa"/>
                  <w:tcBorders>
                    <w:tl2br w:val="nil"/>
                    <w:tr2bl w:val="nil"/>
                  </w:tcBorders>
                  <w:noWrap w:val="0"/>
                  <w:vAlign w:val="center"/>
                </w:tcPr>
                <w:p w14:paraId="716708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相符性</w:t>
                  </w:r>
                </w:p>
              </w:tc>
            </w:tr>
            <w:tr w14:paraId="627638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24" w:type="dxa"/>
                  <w:tcBorders>
                    <w:tl2br w:val="nil"/>
                    <w:tr2bl w:val="nil"/>
                  </w:tcBorders>
                  <w:noWrap w:val="0"/>
                  <w:vAlign w:val="center"/>
                </w:tcPr>
                <w:p w14:paraId="4DC9D5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1、</w:t>
                  </w:r>
                  <w:r>
                    <w:rPr>
                      <w:rFonts w:hint="default"/>
                      <w:color w:val="auto"/>
                      <w:highlight w:val="none"/>
                    </w:rPr>
                    <w:t>严格重点行业企业准入管理。总量来源原则上应是同一重点行业内企业削减的重点重金属污染物排放量，当同一重点行业内企业削减量无法满足时可从其他重点行业调剂。建设单位在提交环境影响评价文件时应明确重点重金属污染物排放总量及来源，无明确具体总量指标来源、超过重点重金属污染物总量控制指标的，各级生态环境部门不得批准相关环境影响评价文件。严格重点行业建设项目环境影响评价审批，审慎下放审批权限，不得以改革试点为名降低审批要求。建立健全环评审批与重金属总量管理部门联动会商机制，实现信息共享、互联互通，提升工作质效。</w:t>
                  </w:r>
                </w:p>
              </w:tc>
              <w:tc>
                <w:tcPr>
                  <w:tcW w:w="3068" w:type="dxa"/>
                  <w:tcBorders>
                    <w:tl2br w:val="nil"/>
                    <w:tr2bl w:val="nil"/>
                  </w:tcBorders>
                  <w:noWrap w:val="0"/>
                  <w:vAlign w:val="center"/>
                </w:tcPr>
                <w:p w14:paraId="6F3E07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本项目不涉及重金属污染物排放总量</w:t>
                  </w:r>
                </w:p>
              </w:tc>
              <w:tc>
                <w:tcPr>
                  <w:tcW w:w="684" w:type="dxa"/>
                  <w:tcBorders>
                    <w:tl2br w:val="nil"/>
                    <w:tr2bl w:val="nil"/>
                  </w:tcBorders>
                  <w:noWrap w:val="0"/>
                  <w:vAlign w:val="center"/>
                </w:tcPr>
                <w:p w14:paraId="158CE9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符合</w:t>
                  </w:r>
                </w:p>
              </w:tc>
            </w:tr>
            <w:tr w14:paraId="55505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24" w:type="dxa"/>
                  <w:tcBorders>
                    <w:tl2br w:val="nil"/>
                    <w:tr2bl w:val="nil"/>
                  </w:tcBorders>
                  <w:noWrap w:val="0"/>
                  <w:vAlign w:val="center"/>
                </w:tcPr>
                <w:p w14:paraId="5E9872F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2、</w:t>
                  </w:r>
                  <w:r>
                    <w:rPr>
                      <w:rFonts w:hint="default"/>
                      <w:color w:val="auto"/>
                      <w:highlight w:val="none"/>
                    </w:rPr>
                    <w:t>优化产业结构和企业布局。根据《产业结构调整指导目录》《限期淘汰产生严重污染环境的工业固体废物的落后生产工艺设备名录》等要求，严格执行生态环境保护等相关法规标准，配合有关部门依法淘汰涉重金属落后产能和化解过剩产能，推动经整改仍达不到要求的产能依法依规关闭退出。禁止涉重金属产业低端落后产能向我省转移。禁止新建用汞的电石法（聚）氯乙烯生产工艺。新建、扩建的重有色金属冶炼、电镀、制革企业应当选择布设在依法合规设立并经规划环评的产业园区。</w:t>
                  </w:r>
                </w:p>
              </w:tc>
              <w:tc>
                <w:tcPr>
                  <w:tcW w:w="3068" w:type="dxa"/>
                  <w:tcBorders>
                    <w:tl2br w:val="nil"/>
                    <w:tr2bl w:val="nil"/>
                  </w:tcBorders>
                  <w:noWrap w:val="0"/>
                  <w:vAlign w:val="center"/>
                </w:tcPr>
                <w:p w14:paraId="2EDC15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default"/>
                      <w:color w:val="auto"/>
                      <w:highlight w:val="none"/>
                      <w:lang w:val="en-US"/>
                    </w:rPr>
                    <w:t>项目属于</w:t>
                  </w:r>
                  <w:r>
                    <w:rPr>
                      <w:rFonts w:hint="eastAsia"/>
                      <w:color w:val="auto"/>
                      <w:highlight w:val="none"/>
                      <w:lang w:val="en-US" w:eastAsia="zh-CN"/>
                    </w:rPr>
                    <w:t>“</w:t>
                  </w:r>
                  <w:r>
                    <w:rPr>
                      <w:rFonts w:hint="default"/>
                      <w:color w:val="auto"/>
                      <w:highlight w:val="none"/>
                      <w:lang w:val="en-US" w:eastAsia="zh-CN"/>
                    </w:rPr>
                    <w:t>第一类鼓励类</w:t>
                  </w:r>
                  <w:r>
                    <w:rPr>
                      <w:rFonts w:hint="eastAsia"/>
                      <w:color w:val="auto"/>
                      <w:highlight w:val="none"/>
                      <w:lang w:val="en-US" w:eastAsia="zh-CN"/>
                    </w:rPr>
                    <w:t>”</w:t>
                  </w:r>
                  <w:r>
                    <w:rPr>
                      <w:rFonts w:hint="default"/>
                      <w:color w:val="auto"/>
                      <w:highlight w:val="none"/>
                      <w:lang w:val="en-US" w:eastAsia="zh-CN"/>
                    </w:rPr>
                    <w:t>中</w:t>
                  </w:r>
                  <w:r>
                    <w:rPr>
                      <w:rFonts w:hint="eastAsia"/>
                      <w:color w:val="auto"/>
                      <w:highlight w:val="none"/>
                      <w:lang w:val="en-US" w:eastAsia="zh-CN"/>
                    </w:rPr>
                    <w:t>“</w:t>
                  </w:r>
                  <w:r>
                    <w:rPr>
                      <w:rFonts w:hint="default"/>
                      <w:color w:val="auto"/>
                      <w:highlight w:val="none"/>
                      <w:lang w:val="en-US" w:eastAsia="zh-CN"/>
                    </w:rPr>
                    <w:t>四十二、环境保护与资源节约综合利用8、废弃物循环利用：煤矸石、粉煤灰、尾矿（共伴生矿）、冶炼渣、工业副产石膏、赤泥、</w:t>
                  </w:r>
                  <w:r>
                    <w:rPr>
                      <w:rFonts w:hint="eastAsia"/>
                      <w:color w:val="auto"/>
                      <w:highlight w:val="none"/>
                      <w:lang w:val="en-US" w:eastAsia="zh-CN"/>
                    </w:rPr>
                    <w:t>建筑废料</w:t>
                  </w:r>
                  <w:r>
                    <w:rPr>
                      <w:rFonts w:hint="default"/>
                      <w:color w:val="auto"/>
                      <w:highlight w:val="none"/>
                      <w:lang w:val="en-US" w:eastAsia="zh-CN"/>
                    </w:rPr>
                    <w:t>等工业废弃物循环利用</w:t>
                  </w:r>
                  <w:r>
                    <w:rPr>
                      <w:rFonts w:hint="eastAsia"/>
                      <w:color w:val="auto"/>
                      <w:highlight w:val="none"/>
                      <w:lang w:val="en-US" w:eastAsia="zh-CN"/>
                    </w:rPr>
                    <w:t>”</w:t>
                  </w:r>
                  <w:r>
                    <w:rPr>
                      <w:rFonts w:hint="default"/>
                      <w:color w:val="auto"/>
                      <w:highlight w:val="none"/>
                      <w:lang w:val="en-US" w:eastAsia="zh-CN"/>
                    </w:rPr>
                    <w:t>，</w:t>
                  </w:r>
                  <w:r>
                    <w:rPr>
                      <w:rFonts w:hint="eastAsia"/>
                      <w:color w:val="auto"/>
                      <w:highlight w:val="none"/>
                      <w:lang w:val="en-US" w:eastAsia="zh-CN"/>
                    </w:rPr>
                    <w:t>本项目设备不属于《限期淘汰产生严重污染环境的工业固体废物的落后生产工艺设备名录》；本项目不涉及</w:t>
                  </w:r>
                  <w:r>
                    <w:rPr>
                      <w:rFonts w:hint="default"/>
                      <w:color w:val="auto"/>
                      <w:highlight w:val="none"/>
                    </w:rPr>
                    <w:t>重金属</w:t>
                  </w:r>
                  <w:r>
                    <w:rPr>
                      <w:rFonts w:hint="eastAsia"/>
                      <w:color w:val="auto"/>
                      <w:highlight w:val="none"/>
                      <w:lang w:eastAsia="zh-CN"/>
                    </w:rPr>
                    <w:t>、</w:t>
                  </w:r>
                  <w:r>
                    <w:rPr>
                      <w:rFonts w:hint="default"/>
                      <w:color w:val="auto"/>
                      <w:highlight w:val="none"/>
                    </w:rPr>
                    <w:t>新建用汞的电石法</w:t>
                  </w:r>
                  <w:r>
                    <w:rPr>
                      <w:rFonts w:hint="eastAsia"/>
                      <w:color w:val="auto"/>
                      <w:highlight w:val="none"/>
                      <w:lang w:eastAsia="zh-CN"/>
                    </w:rPr>
                    <w:t>（</w:t>
                  </w:r>
                  <w:r>
                    <w:rPr>
                      <w:rFonts w:hint="default"/>
                      <w:color w:val="auto"/>
                      <w:highlight w:val="none"/>
                    </w:rPr>
                    <w:t>聚</w:t>
                  </w:r>
                  <w:r>
                    <w:rPr>
                      <w:rFonts w:hint="eastAsia"/>
                      <w:color w:val="auto"/>
                      <w:highlight w:val="none"/>
                      <w:lang w:eastAsia="zh-CN"/>
                    </w:rPr>
                    <w:t>）</w:t>
                  </w:r>
                  <w:r>
                    <w:rPr>
                      <w:rFonts w:hint="default"/>
                      <w:color w:val="auto"/>
                      <w:highlight w:val="none"/>
                    </w:rPr>
                    <w:t>氯乙烯生产工艺</w:t>
                  </w:r>
                  <w:r>
                    <w:rPr>
                      <w:rFonts w:hint="eastAsia"/>
                      <w:color w:val="auto"/>
                      <w:highlight w:val="none"/>
                      <w:lang w:eastAsia="zh-CN"/>
                    </w:rPr>
                    <w:t>、</w:t>
                  </w:r>
                  <w:r>
                    <w:rPr>
                      <w:rFonts w:hint="default"/>
                      <w:color w:val="auto"/>
                      <w:highlight w:val="none"/>
                    </w:rPr>
                    <w:t>重有色金属冶炼、电镀、制革企业</w:t>
                  </w:r>
                  <w:r>
                    <w:rPr>
                      <w:rFonts w:hint="eastAsia"/>
                      <w:color w:val="auto"/>
                      <w:highlight w:val="none"/>
                      <w:lang w:eastAsia="zh-CN"/>
                    </w:rPr>
                    <w:t>，</w:t>
                  </w:r>
                  <w:r>
                    <w:rPr>
                      <w:rFonts w:hint="eastAsia"/>
                      <w:color w:val="auto"/>
                      <w:highlight w:val="none"/>
                      <w:lang w:val="en-US" w:eastAsia="zh-CN"/>
                    </w:rPr>
                    <w:t>位于高安市建筑陶瓷产业园，属于合规设立</w:t>
                  </w:r>
                  <w:r>
                    <w:rPr>
                      <w:rFonts w:hint="default"/>
                      <w:color w:val="auto"/>
                      <w:highlight w:val="none"/>
                    </w:rPr>
                    <w:t>并经规划环评的产业园区</w:t>
                  </w:r>
                  <w:r>
                    <w:rPr>
                      <w:rFonts w:hint="eastAsia"/>
                      <w:color w:val="auto"/>
                      <w:highlight w:val="none"/>
                      <w:lang w:eastAsia="zh-CN"/>
                    </w:rPr>
                    <w:t>。</w:t>
                  </w:r>
                </w:p>
              </w:tc>
              <w:tc>
                <w:tcPr>
                  <w:tcW w:w="684" w:type="dxa"/>
                  <w:tcBorders>
                    <w:tl2br w:val="nil"/>
                    <w:tr2bl w:val="nil"/>
                  </w:tcBorders>
                  <w:noWrap w:val="0"/>
                  <w:vAlign w:val="center"/>
                </w:tcPr>
                <w:p w14:paraId="645091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符合</w:t>
                  </w:r>
                </w:p>
              </w:tc>
            </w:tr>
            <w:tr w14:paraId="21C8B2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24" w:type="dxa"/>
                  <w:tcBorders>
                    <w:tl2br w:val="nil"/>
                    <w:tr2bl w:val="nil"/>
                  </w:tcBorders>
                  <w:noWrap w:val="0"/>
                  <w:vAlign w:val="center"/>
                </w:tcPr>
                <w:p w14:paraId="4BBF2C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eastAsia"/>
                      <w:color w:val="auto"/>
                      <w:highlight w:val="none"/>
                      <w:lang w:eastAsia="zh-CN"/>
                    </w:rPr>
                    <w:t>3、加强重点行业企业清洁生产改造。深入推进全省重点行业企业清洁生产审核，重点行业企业“十四五”期间依法至少开展一轮强制性清洁生产审核。到2025年底，重点行业企业基本达到国内清洁生产先进水平。电镀行业（包括电镀车间）大力推进清洁生产先进工艺，鼓励采用三价铬和无铬钝化工艺。加强重金属污染源头防控，减少使用高镉、高砷或高钝的矿石原料，积极推动铜冶炼转炉吹炼工艺提升改造。</w:t>
                  </w:r>
                </w:p>
              </w:tc>
              <w:tc>
                <w:tcPr>
                  <w:tcW w:w="3068" w:type="dxa"/>
                  <w:tcBorders>
                    <w:tl2br w:val="nil"/>
                    <w:tr2bl w:val="nil"/>
                  </w:tcBorders>
                  <w:noWrap w:val="0"/>
                  <w:vAlign w:val="center"/>
                </w:tcPr>
                <w:p w14:paraId="508C92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本项目不属于重有色金属冶炼行业，污染物排放浓度和排放量满足相应的标准要求，清洁生产水平处于国内先进水平，符合清洁生产的要求</w:t>
                  </w:r>
                  <w:r>
                    <w:rPr>
                      <w:rFonts w:hint="eastAsia"/>
                      <w:color w:val="auto"/>
                      <w:highlight w:val="none"/>
                      <w:lang w:val="en-US" w:eastAsia="zh-CN"/>
                    </w:rPr>
                    <w:t>；本项目不属于电镀行业，不涉及钝化工艺。本项目锂冶炼剩余物中含有铊因子，不使用</w:t>
                  </w:r>
                  <w:r>
                    <w:rPr>
                      <w:rFonts w:hint="eastAsia"/>
                      <w:color w:val="auto"/>
                      <w:highlight w:val="none"/>
                      <w:lang w:eastAsia="zh-CN"/>
                    </w:rPr>
                    <w:t>高镉、高砷或高钝的矿石原料，</w:t>
                  </w:r>
                  <w:r>
                    <w:rPr>
                      <w:rFonts w:hint="eastAsia"/>
                      <w:color w:val="auto"/>
                      <w:highlight w:val="none"/>
                      <w:lang w:val="en-US" w:eastAsia="zh-CN"/>
                    </w:rPr>
                    <w:t>不属于铜冶炼企业。</w:t>
                  </w:r>
                </w:p>
              </w:tc>
              <w:tc>
                <w:tcPr>
                  <w:tcW w:w="684" w:type="dxa"/>
                  <w:tcBorders>
                    <w:tl2br w:val="nil"/>
                    <w:tr2bl w:val="nil"/>
                  </w:tcBorders>
                  <w:noWrap w:val="0"/>
                  <w:vAlign w:val="center"/>
                </w:tcPr>
                <w:p w14:paraId="0876F4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符合</w:t>
                  </w:r>
                </w:p>
              </w:tc>
            </w:tr>
            <w:tr w14:paraId="084D6E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4624" w:type="dxa"/>
                  <w:tcBorders>
                    <w:tl2br w:val="nil"/>
                    <w:tr2bl w:val="nil"/>
                  </w:tcBorders>
                  <w:noWrap w:val="0"/>
                  <w:vAlign w:val="center"/>
                </w:tcPr>
                <w:p w14:paraId="4AB8AF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4</w:t>
                  </w:r>
                  <w:r>
                    <w:rPr>
                      <w:rFonts w:hint="eastAsia"/>
                      <w:color w:val="auto"/>
                      <w:highlight w:val="none"/>
                      <w:lang w:val="en-US" w:eastAsia="zh-CN"/>
                    </w:rPr>
                    <w:t>、</w:t>
                  </w:r>
                  <w:r>
                    <w:rPr>
                      <w:rFonts w:hint="default"/>
                      <w:color w:val="auto"/>
                      <w:highlight w:val="none"/>
                      <w:lang w:val="en-US" w:eastAsia="zh-CN"/>
                    </w:rPr>
                    <w:t>推动重金属污染深度治理。自2023年起，我省8个重点区域铅锌冶炼和铜冶炼行业企业，执行颗粒物和重点重金属污染物特别排放限值。重有色金属冶炼企业要加强生产车间低空逸散烟气收集处理，有效减少无组织排放。重有色金属矿采选企业要按照规定完善废石堆场、排土场周边雨污分流设施，建设酸性废水收集与处理设施。采用洒水</w:t>
                  </w:r>
                  <w:r>
                    <w:rPr>
                      <w:rFonts w:hint="eastAsia"/>
                      <w:color w:val="auto"/>
                      <w:highlight w:val="none"/>
                      <w:lang w:val="en-US" w:eastAsia="zh-CN"/>
                    </w:rPr>
                    <w:t>、</w:t>
                  </w:r>
                  <w:r>
                    <w:rPr>
                      <w:rFonts w:hint="default"/>
                      <w:color w:val="auto"/>
                      <w:highlight w:val="none"/>
                      <w:lang w:val="en-US" w:eastAsia="zh-CN"/>
                    </w:rPr>
                    <w:t>旋风等简易除尘治理工艺的重有色金属矿采选企业，要加强废气收集，实施过滤除尘等颗粒物治理升级改造工程。持续推进专业电镀园区、专业电镀企业重金属污染深度治理。排放汞及汞化合物的企业应当采用最佳可行技术和最佳环境实践，控制并减少汞及汞化合物的排放和释放。</w:t>
                  </w:r>
                </w:p>
              </w:tc>
              <w:tc>
                <w:tcPr>
                  <w:tcW w:w="3068" w:type="dxa"/>
                  <w:tcBorders>
                    <w:tl2br w:val="nil"/>
                    <w:tr2bl w:val="nil"/>
                  </w:tcBorders>
                  <w:noWrap w:val="0"/>
                  <w:vAlign w:val="center"/>
                </w:tcPr>
                <w:p w14:paraId="1FA541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本项目不属于重有色金属冶炼及重有色金属金属矿采选企业</w:t>
                  </w:r>
                  <w:r>
                    <w:rPr>
                      <w:rFonts w:hint="eastAsia"/>
                      <w:color w:val="auto"/>
                      <w:highlight w:val="none"/>
                      <w:lang w:val="en-US" w:eastAsia="zh-CN"/>
                    </w:rPr>
                    <w:t>；不属于电镀企业，不排放汞及汞化合物</w:t>
                  </w:r>
                </w:p>
              </w:tc>
              <w:tc>
                <w:tcPr>
                  <w:tcW w:w="684" w:type="dxa"/>
                  <w:tcBorders>
                    <w:tl2br w:val="nil"/>
                    <w:tr2bl w:val="nil"/>
                  </w:tcBorders>
                  <w:noWrap w:val="0"/>
                  <w:vAlign w:val="center"/>
                </w:tcPr>
                <w:p w14:paraId="018DE5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符合</w:t>
                  </w:r>
                </w:p>
              </w:tc>
            </w:tr>
          </w:tbl>
          <w:p w14:paraId="07AA171D">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eastAsia"/>
                <w:b/>
                <w:bCs/>
                <w:color w:val="auto"/>
                <w:highlight w:val="none"/>
                <w:lang w:val="en-US" w:eastAsia="zh-CN"/>
              </w:rPr>
              <w:t>16</w:t>
            </w:r>
            <w:r>
              <w:rPr>
                <w:rFonts w:hint="default"/>
                <w:b/>
                <w:bCs/>
                <w:color w:val="auto"/>
                <w:highlight w:val="none"/>
                <w:lang w:val="en-US" w:eastAsia="zh-CN"/>
              </w:rPr>
              <w:t>、与《宜春市重点行业企业生态环境问题大排查大整治行动方案》的通知（宜环执法[2023]2号）相符性分析</w:t>
            </w:r>
          </w:p>
          <w:p w14:paraId="24FA18C6">
            <w:pPr>
              <w:keepNext w:val="0"/>
              <w:keepLines w:val="0"/>
              <w:suppressLineNumbers w:val="0"/>
              <w:bidi w:val="0"/>
              <w:spacing w:before="0" w:beforeAutospacing="0" w:after="0" w:afterAutospacing="0"/>
              <w:ind w:left="0" w:right="0"/>
              <w:rPr>
                <w:rFonts w:hint="default"/>
                <w:color w:val="auto"/>
                <w:highlight w:val="none"/>
                <w:lang w:eastAsia="zh-CN"/>
              </w:rPr>
            </w:pPr>
            <w:r>
              <w:rPr>
                <w:rFonts w:hint="default"/>
                <w:color w:val="auto"/>
                <w:highlight w:val="none"/>
                <w:lang w:eastAsia="zh-CN"/>
              </w:rPr>
              <w:t>宜环执法[2023]2号文要求：全市电新能源(含锂瓷矿开采、</w:t>
            </w:r>
            <w:r>
              <w:rPr>
                <w:rFonts w:hint="eastAsia"/>
                <w:highlight w:val="none"/>
                <w:lang w:eastAsia="zh-CN"/>
              </w:rPr>
              <w:t>锂</w:t>
            </w:r>
            <w:r>
              <w:rPr>
                <w:rFonts w:hint="default"/>
                <w:color w:val="auto"/>
                <w:highlight w:val="none"/>
                <w:lang w:eastAsia="zh-CN"/>
              </w:rPr>
              <w:t>云母等含锂矿石选矿、碳酸锂等含锂化合物生产、锂冶炼剩余物等二次提锂加工、含锂卤水制取、锂电池正负极材料生产、锂电池及相关配件制造、废旧锂电池回收)、铅酸蓄电池(含铅酸蓄电池制造、废旧铅酸蓄电池收储、铅酸蓄电池拆解)、有色金属冶炼和化工等重点行业领域存在的生态环境问题，按照《宜春市涉锂电主要行业生态环境监管标准(试行)》要求开展全面整治。对未进行氟化物和铊等特征污染物分析评价的环评，依法开展后评价，并重新申领排污许可证。</w:t>
            </w:r>
          </w:p>
          <w:p w14:paraId="0EBE9CD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FF0000"/>
                <w:highlight w:val="none"/>
                <w:lang w:val="en-US" w:eastAsia="zh-CN"/>
              </w:rPr>
              <w:t>本项目位于江西省建筑陶瓷产业基地江西恒辉陶瓷有限公司厂区内，厂内已布局好雨水管网和污水管网，江西恒辉陶瓷有限公司周边雨污管网敷设完善。项目雨污分流，仅生活污水排放，生产废水不外排，雨水收集、处理、排放依托现有措施，</w:t>
            </w:r>
            <w:r>
              <w:rPr>
                <w:rFonts w:hint="default"/>
                <w:color w:val="auto"/>
                <w:highlight w:val="none"/>
                <w:lang w:val="en-US" w:eastAsia="zh-CN"/>
              </w:rPr>
              <w:t>本环评要求建设单位在雨水排放口安装氟化物、铊在线监测设备，并与市、县两级在线监控管理平台联网。</w:t>
            </w:r>
          </w:p>
          <w:p w14:paraId="69787684">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1</w:t>
            </w:r>
            <w:r>
              <w:rPr>
                <w:rFonts w:hint="eastAsia"/>
                <w:b/>
                <w:bCs/>
                <w:color w:val="auto"/>
                <w:highlight w:val="none"/>
                <w:lang w:val="en-US" w:eastAsia="zh-CN"/>
              </w:rPr>
              <w:t>7</w:t>
            </w:r>
            <w:r>
              <w:rPr>
                <w:rFonts w:hint="default"/>
                <w:b/>
                <w:bCs/>
                <w:color w:val="auto"/>
                <w:highlight w:val="none"/>
                <w:lang w:val="en-US" w:eastAsia="zh-CN"/>
              </w:rPr>
              <w:t>、与《关于进一步加强对全市</w:t>
            </w:r>
            <w:r>
              <w:rPr>
                <w:rFonts w:hint="eastAsia"/>
                <w:b/>
                <w:bCs/>
                <w:color w:val="auto"/>
                <w:highlight w:val="none"/>
                <w:lang w:val="en-US" w:eastAsia="zh-CN"/>
              </w:rPr>
              <w:t>锂冶炼剩余物</w:t>
            </w:r>
            <w:r>
              <w:rPr>
                <w:rFonts w:hint="default"/>
                <w:b/>
                <w:bCs/>
                <w:color w:val="auto"/>
                <w:highlight w:val="none"/>
                <w:lang w:val="en-US" w:eastAsia="zh-CN"/>
              </w:rPr>
              <w:t>利用处置指导的通知》宜环委办字[2024]33号相符性分析</w:t>
            </w:r>
          </w:p>
          <w:p w14:paraId="2AA908BD">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为推进宜春市碳酸锂行业健康稳步发展，帮助企业解决当前阶段</w:t>
            </w:r>
            <w:r>
              <w:rPr>
                <w:rFonts w:hint="eastAsia"/>
                <w:color w:val="auto"/>
                <w:highlight w:val="none"/>
                <w:lang w:val="en-US" w:eastAsia="zh-CN"/>
              </w:rPr>
              <w:t>锂冶炼剩余物</w:t>
            </w:r>
            <w:r>
              <w:rPr>
                <w:rFonts w:hint="default"/>
                <w:color w:val="auto"/>
                <w:highlight w:val="none"/>
                <w:lang w:val="en-US" w:eastAsia="zh-CN"/>
              </w:rPr>
              <w:t>利用处置难题，4月11日-12日，宜春市特邀中国环境科学研究院等单位5位专家，召开了宜春市</w:t>
            </w:r>
            <w:r>
              <w:rPr>
                <w:rFonts w:hint="eastAsia"/>
                <w:color w:val="auto"/>
                <w:highlight w:val="none"/>
                <w:lang w:val="en-US" w:eastAsia="zh-CN"/>
              </w:rPr>
              <w:t>锂冶炼剩余物</w:t>
            </w:r>
            <w:r>
              <w:rPr>
                <w:rFonts w:hint="default"/>
                <w:color w:val="auto"/>
                <w:highlight w:val="none"/>
                <w:lang w:val="en-US" w:eastAsia="zh-CN"/>
              </w:rPr>
              <w:t>利用处置相关问题培训暨专家咨询会。与会专家听取了锂电产业有关情况和企业对</w:t>
            </w:r>
            <w:r>
              <w:rPr>
                <w:rFonts w:hint="eastAsia"/>
                <w:color w:val="auto"/>
                <w:highlight w:val="none"/>
                <w:lang w:val="en-US" w:eastAsia="zh-CN"/>
              </w:rPr>
              <w:t>锂冶炼剩余物</w:t>
            </w:r>
            <w:r>
              <w:rPr>
                <w:rFonts w:hint="default"/>
                <w:color w:val="auto"/>
                <w:highlight w:val="none"/>
                <w:lang w:val="en-US" w:eastAsia="zh-CN"/>
              </w:rPr>
              <w:t>处理工艺的介绍，对宜春市当前</w:t>
            </w:r>
            <w:r>
              <w:rPr>
                <w:rFonts w:hint="eastAsia"/>
                <w:color w:val="auto"/>
                <w:highlight w:val="none"/>
                <w:lang w:val="en-US" w:eastAsia="zh-CN"/>
              </w:rPr>
              <w:t>锂冶炼剩余物</w:t>
            </w:r>
            <w:r>
              <w:rPr>
                <w:rFonts w:hint="default"/>
                <w:color w:val="auto"/>
                <w:highlight w:val="none"/>
                <w:lang w:val="en-US" w:eastAsia="zh-CN"/>
              </w:rPr>
              <w:t>处置急需解决的问题进行了充分讨论，形成了《宜春市</w:t>
            </w:r>
            <w:r>
              <w:rPr>
                <w:rFonts w:hint="eastAsia"/>
                <w:color w:val="auto"/>
                <w:highlight w:val="none"/>
                <w:lang w:val="en-US" w:eastAsia="zh-CN"/>
              </w:rPr>
              <w:t>锂冶炼剩余物</w:t>
            </w:r>
            <w:r>
              <w:rPr>
                <w:rFonts w:hint="default"/>
                <w:color w:val="auto"/>
                <w:highlight w:val="none"/>
                <w:lang w:val="en-US" w:eastAsia="zh-CN"/>
              </w:rPr>
              <w:t>利用处置相关问题专家咨询意见》，为宜春市碳酸锂企业</w:t>
            </w:r>
            <w:r>
              <w:rPr>
                <w:rFonts w:hint="eastAsia"/>
                <w:color w:val="auto"/>
                <w:highlight w:val="none"/>
                <w:lang w:val="en-US" w:eastAsia="zh-CN"/>
              </w:rPr>
              <w:t>锂冶炼剩余物</w:t>
            </w:r>
            <w:r>
              <w:rPr>
                <w:rFonts w:hint="default"/>
                <w:color w:val="auto"/>
                <w:highlight w:val="none"/>
                <w:lang w:val="en-US" w:eastAsia="zh-CN"/>
              </w:rPr>
              <w:t>处置明确了思路指明了路径和方法。专家五条咨询意见及相关要求见</w:t>
            </w:r>
            <w:r>
              <w:rPr>
                <w:rFonts w:hint="eastAsia"/>
                <w:color w:val="auto"/>
                <w:highlight w:val="none"/>
                <w:lang w:val="en-US" w:eastAsia="zh-CN"/>
              </w:rPr>
              <w:t>下</w:t>
            </w:r>
            <w:r>
              <w:rPr>
                <w:rFonts w:hint="default"/>
                <w:color w:val="auto"/>
                <w:highlight w:val="none"/>
                <w:lang w:val="en-US" w:eastAsia="zh-CN"/>
              </w:rPr>
              <w:t>表，需结合实际，认真贯彻执行。</w:t>
            </w:r>
          </w:p>
          <w:p w14:paraId="41DCE37D">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rPr>
            </w:pPr>
            <w:r>
              <w:rPr>
                <w:rFonts w:hint="default" w:cs="Times New Roman"/>
                <w:color w:val="auto"/>
                <w:sz w:val="21"/>
                <w:szCs w:val="21"/>
                <w:highlight w:val="none"/>
              </w:rPr>
              <w:t>与《关于进一步加强对全市</w:t>
            </w:r>
            <w:r>
              <w:rPr>
                <w:rFonts w:hint="eastAsia" w:cs="Times New Roman"/>
                <w:color w:val="auto"/>
                <w:sz w:val="21"/>
                <w:szCs w:val="21"/>
                <w:highlight w:val="none"/>
                <w:lang w:eastAsia="zh-CN"/>
              </w:rPr>
              <w:t>锂冶炼剩余物</w:t>
            </w:r>
            <w:r>
              <w:rPr>
                <w:rFonts w:hint="default" w:cs="Times New Roman"/>
                <w:color w:val="auto"/>
                <w:sz w:val="21"/>
                <w:szCs w:val="21"/>
                <w:highlight w:val="none"/>
              </w:rPr>
              <w:t>利用处置指导的通知》相符性分析</w:t>
            </w:r>
          </w:p>
          <w:tbl>
            <w:tblPr>
              <w:tblStyle w:val="25"/>
              <w:tblpPr w:vertAnchor="text"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
              <w:gridCol w:w="6059"/>
              <w:gridCol w:w="1208"/>
              <w:gridCol w:w="602"/>
            </w:tblGrid>
            <w:tr w14:paraId="630BCA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507" w:type="dxa"/>
                  <w:noWrap w:val="0"/>
                  <w:vAlign w:val="center"/>
                </w:tcPr>
                <w:p w14:paraId="584F07F5">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lang w:eastAsia="zh-CN"/>
                    </w:rPr>
                  </w:pPr>
                  <w:r>
                    <w:rPr>
                      <w:rFonts w:hint="default"/>
                      <w:b/>
                      <w:bCs/>
                      <w:color w:val="auto"/>
                      <w:highlight w:val="none"/>
                      <w:lang w:val="en-US" w:eastAsia="zh-CN"/>
                    </w:rPr>
                    <w:t>序号</w:t>
                  </w:r>
                </w:p>
              </w:tc>
              <w:tc>
                <w:tcPr>
                  <w:tcW w:w="6059" w:type="dxa"/>
                  <w:noWrap w:val="0"/>
                  <w:vAlign w:val="center"/>
                </w:tcPr>
                <w:p w14:paraId="794F5561">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lang w:eastAsia="zh-CN"/>
                    </w:rPr>
                  </w:pPr>
                  <w:r>
                    <w:rPr>
                      <w:rFonts w:hint="default"/>
                      <w:b/>
                      <w:bCs/>
                      <w:color w:val="auto"/>
                      <w:highlight w:val="none"/>
                      <w:lang w:val="en-US" w:eastAsia="zh-CN"/>
                    </w:rPr>
                    <w:t>总体要求</w:t>
                  </w:r>
                </w:p>
              </w:tc>
              <w:tc>
                <w:tcPr>
                  <w:tcW w:w="1208" w:type="dxa"/>
                  <w:noWrap w:val="0"/>
                  <w:vAlign w:val="center"/>
                </w:tcPr>
                <w:p w14:paraId="0F4FDF80">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highlight w:val="none"/>
                    </w:rPr>
                  </w:pPr>
                  <w:r>
                    <w:rPr>
                      <w:rFonts w:hint="default"/>
                      <w:b/>
                      <w:bCs/>
                      <w:color w:val="auto"/>
                      <w:highlight w:val="none"/>
                    </w:rPr>
                    <w:t>本项目情况</w:t>
                  </w:r>
                </w:p>
              </w:tc>
              <w:tc>
                <w:tcPr>
                  <w:tcW w:w="602" w:type="dxa"/>
                  <w:noWrap w:val="0"/>
                  <w:vAlign w:val="center"/>
                </w:tcPr>
                <w:p w14:paraId="21E4D7F1">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是否符合</w:t>
                  </w:r>
                </w:p>
              </w:tc>
            </w:tr>
            <w:tr w14:paraId="27B9BF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7" w:type="dxa"/>
                  <w:noWrap w:val="0"/>
                  <w:vAlign w:val="center"/>
                </w:tcPr>
                <w:p w14:paraId="64A9A090">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eastAsia="zh-CN"/>
                    </w:rPr>
                  </w:pPr>
                  <w:r>
                    <w:rPr>
                      <w:rFonts w:hint="default"/>
                      <w:color w:val="auto"/>
                      <w:highlight w:val="none"/>
                      <w:lang w:val="en-US" w:eastAsia="zh-CN"/>
                    </w:rPr>
                    <w:t>1</w:t>
                  </w:r>
                </w:p>
              </w:tc>
              <w:tc>
                <w:tcPr>
                  <w:tcW w:w="6059" w:type="dxa"/>
                  <w:noWrap w:val="0"/>
                  <w:vAlign w:val="center"/>
                </w:tcPr>
                <w:p w14:paraId="0C739245">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lang w:val="en-US" w:eastAsia="zh-CN"/>
                    </w:rPr>
                    <w:t>一、</w:t>
                  </w:r>
                  <w:r>
                    <w:rPr>
                      <w:rFonts w:hint="default"/>
                      <w:color w:val="auto"/>
                      <w:highlight w:val="none"/>
                    </w:rPr>
                    <w:t>以提锂为目标的水洗、固铊固铍技术路线是可行的，在</w:t>
                  </w:r>
                  <w:r>
                    <w:rPr>
                      <w:rFonts w:hint="eastAsia"/>
                      <w:color w:val="auto"/>
                      <w:highlight w:val="none"/>
                      <w:lang w:eastAsia="zh-CN"/>
                    </w:rPr>
                    <w:t>锂冶炼剩余物</w:t>
                  </w:r>
                  <w:r>
                    <w:rPr>
                      <w:rFonts w:hint="default"/>
                      <w:color w:val="auto"/>
                      <w:highlight w:val="none"/>
                    </w:rPr>
                    <w:t>处理过程中应关注铊、铍等浸出毒性及毒性物质含量。环评手续按照建设项目环境管理相关规定执行。专家指出，目前，宜春市碳酸锂企业通过水洗</w:t>
                  </w:r>
                  <w:r>
                    <w:rPr>
                      <w:rFonts w:hint="eastAsia"/>
                      <w:color w:val="auto"/>
                      <w:highlight w:val="none"/>
                      <w:lang w:eastAsia="zh-CN"/>
                    </w:rPr>
                    <w:t>锂冶炼剩余物</w:t>
                  </w:r>
                  <w:r>
                    <w:rPr>
                      <w:rFonts w:hint="default"/>
                      <w:color w:val="auto"/>
                      <w:highlight w:val="none"/>
                    </w:rPr>
                    <w:t>并进行提锂，解决</w:t>
                  </w:r>
                  <w:r>
                    <w:rPr>
                      <w:rFonts w:hint="eastAsia"/>
                      <w:color w:val="auto"/>
                      <w:highlight w:val="none"/>
                      <w:lang w:eastAsia="zh-CN"/>
                    </w:rPr>
                    <w:t>锂冶炼剩余物</w:t>
                  </w:r>
                  <w:r>
                    <w:rPr>
                      <w:rFonts w:hint="default"/>
                      <w:color w:val="auto"/>
                      <w:highlight w:val="none"/>
                    </w:rPr>
                    <w:t>中重金属超标的技术路线，是属于固体废物利用的过程，符合国家《危险废物鉴别标准通则》要求，政策上可行，予以支持。但纯粹以进消纳场为目的的固铊固铍技术路线，工艺上没有提锂环节，不符合国家《危险废物鉴别标准通则》要求，因此不予支持。专家认为，通过水洗</w:t>
                  </w:r>
                  <w:r>
                    <w:rPr>
                      <w:rFonts w:hint="eastAsia"/>
                      <w:color w:val="auto"/>
                      <w:highlight w:val="none"/>
                      <w:lang w:eastAsia="zh-CN"/>
                    </w:rPr>
                    <w:t>锂冶炼剩余物</w:t>
                  </w:r>
                  <w:r>
                    <w:rPr>
                      <w:rFonts w:hint="default"/>
                      <w:color w:val="auto"/>
                      <w:highlight w:val="none"/>
                    </w:rPr>
                    <w:t>提锂，虽然利用的是原有生产线但原材料、辅料药剂等发生了较大变化，必须根据企业实际情况重新报批环评手续。环评手续应按照国家建设项目环境管理相关规定执行。如果企业需重新建设</w:t>
                  </w:r>
                  <w:r>
                    <w:rPr>
                      <w:rFonts w:hint="eastAsia"/>
                      <w:color w:val="auto"/>
                      <w:highlight w:val="none"/>
                      <w:lang w:eastAsia="zh-CN"/>
                    </w:rPr>
                    <w:t>锂冶炼剩余物</w:t>
                  </w:r>
                  <w:r>
                    <w:rPr>
                      <w:rFonts w:hint="default"/>
                      <w:color w:val="auto"/>
                      <w:highlight w:val="none"/>
                    </w:rPr>
                    <w:t>水洗线，政策上也是支持的，但也要按照国家建设项目环境管理相关规定办理环评手续。</w:t>
                  </w:r>
                </w:p>
              </w:tc>
              <w:tc>
                <w:tcPr>
                  <w:tcW w:w="1208" w:type="dxa"/>
                  <w:noWrap w:val="0"/>
                  <w:vAlign w:val="center"/>
                </w:tcPr>
                <w:p w14:paraId="10A14FA1">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lang w:val="en-US" w:eastAsia="zh-CN"/>
                    </w:rPr>
                  </w:pPr>
                  <w:r>
                    <w:rPr>
                      <w:rFonts w:hint="default"/>
                      <w:color w:val="auto"/>
                      <w:highlight w:val="none"/>
                      <w:lang w:val="en-US" w:eastAsia="zh-CN"/>
                    </w:rPr>
                    <w:t>本项目</w:t>
                  </w:r>
                  <w:r>
                    <w:rPr>
                      <w:rFonts w:hint="default"/>
                      <w:color w:val="auto"/>
                      <w:highlight w:val="none"/>
                    </w:rPr>
                    <w:t>工艺</w:t>
                  </w:r>
                  <w:r>
                    <w:rPr>
                      <w:rFonts w:hint="default"/>
                      <w:color w:val="auto"/>
                      <w:highlight w:val="none"/>
                      <w:lang w:val="en-US" w:eastAsia="zh-CN"/>
                    </w:rPr>
                    <w:t>不涉及</w:t>
                  </w:r>
                  <w:r>
                    <w:rPr>
                      <w:rFonts w:hint="default"/>
                      <w:color w:val="auto"/>
                      <w:highlight w:val="none"/>
                    </w:rPr>
                    <w:t>提锂环节，</w:t>
                  </w:r>
                  <w:r>
                    <w:rPr>
                      <w:rFonts w:hint="default"/>
                      <w:color w:val="auto"/>
                      <w:highlight w:val="none"/>
                      <w:lang w:val="en-US" w:eastAsia="zh-CN"/>
                    </w:rPr>
                    <w:t>原料为</w:t>
                  </w:r>
                  <w:r>
                    <w:rPr>
                      <w:rFonts w:hint="eastAsia"/>
                      <w:color w:val="auto"/>
                      <w:highlight w:val="none"/>
                      <w:lang w:eastAsia="zh-CN"/>
                    </w:rPr>
                    <w:t>锂冶炼后的锂渣</w:t>
                  </w:r>
                  <w:r>
                    <w:rPr>
                      <w:rFonts w:hint="default"/>
                      <w:color w:val="auto"/>
                      <w:highlight w:val="none"/>
                      <w:lang w:val="en-US" w:eastAsia="zh-CN"/>
                    </w:rPr>
                    <w:t>，现按照</w:t>
                  </w:r>
                  <w:r>
                    <w:rPr>
                      <w:rFonts w:hint="default"/>
                      <w:color w:val="auto"/>
                      <w:highlight w:val="none"/>
                    </w:rPr>
                    <w:t>国家建设项目环境管理相关规定办理环评手续。</w:t>
                  </w:r>
                </w:p>
              </w:tc>
              <w:tc>
                <w:tcPr>
                  <w:tcW w:w="602" w:type="dxa"/>
                  <w:noWrap w:val="0"/>
                  <w:vAlign w:val="center"/>
                </w:tcPr>
                <w:p w14:paraId="299F957C">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1FAF1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7" w:type="dxa"/>
                  <w:noWrap w:val="0"/>
                  <w:vAlign w:val="center"/>
                </w:tcPr>
                <w:p w14:paraId="18174A81">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2</w:t>
                  </w:r>
                </w:p>
              </w:tc>
              <w:tc>
                <w:tcPr>
                  <w:tcW w:w="6059" w:type="dxa"/>
                  <w:noWrap w:val="0"/>
                  <w:vAlign w:val="center"/>
                </w:tcPr>
                <w:p w14:paraId="507CBDCA">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eastAsia="zh-CN"/>
                    </w:rPr>
                  </w:pPr>
                  <w:r>
                    <w:rPr>
                      <w:rFonts w:hint="default"/>
                      <w:color w:val="auto"/>
                      <w:highlight w:val="none"/>
                      <w:lang w:val="en-US" w:eastAsia="zh-CN"/>
                    </w:rPr>
                    <w:t>二、</w:t>
                  </w:r>
                  <w:r>
                    <w:rPr>
                      <w:rFonts w:hint="eastAsia"/>
                      <w:color w:val="auto"/>
                      <w:highlight w:val="none"/>
                      <w:lang w:eastAsia="zh-CN"/>
                    </w:rPr>
                    <w:t>锂冶炼剩余物</w:t>
                  </w:r>
                  <w:r>
                    <w:rPr>
                      <w:rFonts w:hint="default"/>
                      <w:color w:val="auto"/>
                      <w:highlight w:val="none"/>
                    </w:rPr>
                    <w:t>属性鉴别应按照国家程序执行。在</w:t>
                  </w:r>
                  <w:r>
                    <w:rPr>
                      <w:rFonts w:hint="eastAsia"/>
                      <w:color w:val="auto"/>
                      <w:highlight w:val="none"/>
                      <w:lang w:eastAsia="zh-CN"/>
                    </w:rPr>
                    <w:t>锂冶炼剩余物</w:t>
                  </w:r>
                  <w:r>
                    <w:rPr>
                      <w:rFonts w:hint="default"/>
                      <w:color w:val="auto"/>
                      <w:highlight w:val="none"/>
                    </w:rPr>
                    <w:t>属性鉴别过程中，基于锂云母原料来源、辅料来源的不同，在鉴别方案编制过程中应系统分析特征污染因子，检测因子根据</w:t>
                  </w:r>
                  <w:r>
                    <w:rPr>
                      <w:rFonts w:hint="eastAsia"/>
                      <w:color w:val="auto"/>
                      <w:highlight w:val="none"/>
                      <w:lang w:eastAsia="zh-CN"/>
                    </w:rPr>
                    <w:t>锂冶炼剩余物</w:t>
                  </w:r>
                  <w:r>
                    <w:rPr>
                      <w:rFonts w:hint="default"/>
                      <w:color w:val="auto"/>
                      <w:highlight w:val="none"/>
                    </w:rPr>
                    <w:t>中关键特征污染因子铍、铊、氟化物等确定。专家指出，危险废物属性鉴别程序，应按照《关于加强危险废物鉴别工作的通知》规定执行，程序上不能简化。但在</w:t>
                  </w:r>
                  <w:r>
                    <w:rPr>
                      <w:rFonts w:hint="eastAsia"/>
                      <w:color w:val="auto"/>
                      <w:highlight w:val="none"/>
                      <w:lang w:eastAsia="zh-CN"/>
                    </w:rPr>
                    <w:t>锂冶炼剩余物</w:t>
                  </w:r>
                  <w:r>
                    <w:rPr>
                      <w:rFonts w:hint="default"/>
                      <w:color w:val="auto"/>
                      <w:highlight w:val="none"/>
                    </w:rPr>
                    <w:t>属性鉴别过程中的具体操作上，可以根据锂云母原料、辅料来源的不同，在鉴别方案的编制过程中，系统分析特征污染因子，减少初步筛查的检测因子种类，再根据初步筛查出的关键特征污染因子(铍、铊、氟化物)等，确定鉴别工作需要检测分析的因子，不需要做全因子检测。通过简化初步筛查、采样分析的工作量，缩短属性鉴别时间，减少企业属性鉴别成本</w:t>
                  </w:r>
                  <w:r>
                    <w:rPr>
                      <w:rFonts w:hint="default"/>
                      <w:color w:val="auto"/>
                      <w:highlight w:val="none"/>
                      <w:lang w:eastAsia="zh-CN"/>
                    </w:rPr>
                    <w:t>。</w:t>
                  </w:r>
                </w:p>
              </w:tc>
              <w:tc>
                <w:tcPr>
                  <w:tcW w:w="1208" w:type="dxa"/>
                  <w:noWrap w:val="0"/>
                  <w:vAlign w:val="center"/>
                </w:tcPr>
                <w:p w14:paraId="63840DBC">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lang w:val="en-US" w:eastAsia="zh-CN"/>
                    </w:rPr>
                  </w:pPr>
                  <w:r>
                    <w:rPr>
                      <w:rFonts w:hint="default"/>
                      <w:color w:val="auto"/>
                      <w:highlight w:val="none"/>
                      <w:lang w:val="en-US" w:eastAsia="zh-CN"/>
                    </w:rPr>
                    <w:t>本项目锂冶炼剩余物原料来源于上游锂电企业鉴定为一般固废的</w:t>
                  </w:r>
                  <w:r>
                    <w:rPr>
                      <w:rFonts w:hint="eastAsia"/>
                      <w:color w:val="auto"/>
                      <w:highlight w:val="none"/>
                      <w:lang w:val="en-US" w:eastAsia="zh-CN"/>
                    </w:rPr>
                    <w:t>锂渣。</w:t>
                  </w:r>
                </w:p>
              </w:tc>
              <w:tc>
                <w:tcPr>
                  <w:tcW w:w="602" w:type="dxa"/>
                  <w:noWrap w:val="0"/>
                  <w:vAlign w:val="center"/>
                </w:tcPr>
                <w:p w14:paraId="2045C990">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01D676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5" w:hRule="atLeast"/>
                <w:jc w:val="center"/>
              </w:trPr>
              <w:tc>
                <w:tcPr>
                  <w:tcW w:w="507" w:type="dxa"/>
                  <w:noWrap w:val="0"/>
                  <w:vAlign w:val="center"/>
                </w:tcPr>
                <w:p w14:paraId="1C63C5BA">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3</w:t>
                  </w:r>
                </w:p>
              </w:tc>
              <w:tc>
                <w:tcPr>
                  <w:tcW w:w="6059" w:type="dxa"/>
                  <w:noWrap w:val="0"/>
                  <w:vAlign w:val="center"/>
                </w:tcPr>
                <w:p w14:paraId="7E703CDF">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三、在开展</w:t>
                  </w:r>
                  <w:r>
                    <w:rPr>
                      <w:rFonts w:hint="eastAsia"/>
                      <w:color w:val="auto"/>
                      <w:highlight w:val="none"/>
                      <w:lang w:eastAsia="zh-CN"/>
                    </w:rPr>
                    <w:t>锂冶炼剩余物</w:t>
                  </w:r>
                  <w:r>
                    <w:rPr>
                      <w:rFonts w:hint="default"/>
                      <w:color w:val="auto"/>
                      <w:highlight w:val="none"/>
                    </w:rPr>
                    <w:t>属性鉴别工作过程中，如批次检测数据(具资质检测单位出具)证明其不具有危险特性并满足Ⅱ类一般工业固废入场要求，则该批次</w:t>
                  </w:r>
                  <w:r>
                    <w:rPr>
                      <w:rFonts w:hint="eastAsia"/>
                      <w:color w:val="auto"/>
                      <w:highlight w:val="none"/>
                      <w:lang w:eastAsia="zh-CN"/>
                    </w:rPr>
                    <w:t>锂冶炼剩余物</w:t>
                  </w:r>
                  <w:r>
                    <w:rPr>
                      <w:rFonts w:hint="default"/>
                      <w:color w:val="auto"/>
                      <w:highlight w:val="none"/>
                    </w:rPr>
                    <w:t>可进入消纳场分区贮存。鉴别工作完成后，企业应履行主体责任开展自行监测工作，如</w:t>
                  </w:r>
                  <w:r>
                    <w:rPr>
                      <w:rFonts w:hint="eastAsia"/>
                      <w:color w:val="auto"/>
                      <w:highlight w:val="none"/>
                      <w:lang w:eastAsia="zh-CN"/>
                    </w:rPr>
                    <w:t>锂冶炼剩余物</w:t>
                  </w:r>
                  <w:r>
                    <w:rPr>
                      <w:rFonts w:hint="default"/>
                      <w:color w:val="auto"/>
                      <w:highlight w:val="none"/>
                    </w:rPr>
                    <w:t>不符合入场要求，企业应承担相应的法律责任。</w:t>
                  </w:r>
                </w:p>
                <w:p w14:paraId="30BAC78A">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针对企业反映</w:t>
                  </w:r>
                  <w:r>
                    <w:rPr>
                      <w:rFonts w:hint="eastAsia"/>
                      <w:color w:val="auto"/>
                      <w:highlight w:val="none"/>
                      <w:lang w:eastAsia="zh-CN"/>
                    </w:rPr>
                    <w:t>锂冶炼剩余物</w:t>
                  </w:r>
                  <w:r>
                    <w:rPr>
                      <w:rFonts w:hint="default"/>
                      <w:color w:val="auto"/>
                      <w:highlight w:val="none"/>
                    </w:rPr>
                    <w:t>属性鉴别时间长，从启动属性鉴别到拿到属性鉴别结果需要五、六个月</w:t>
                  </w:r>
                  <w:r>
                    <w:rPr>
                      <w:rFonts w:hint="default"/>
                      <w:color w:val="auto"/>
                      <w:highlight w:val="none"/>
                      <w:lang w:eastAsia="zh-CN"/>
                    </w:rPr>
                    <w:t>，在</w:t>
                  </w:r>
                  <w:r>
                    <w:rPr>
                      <w:rFonts w:hint="default"/>
                      <w:color w:val="auto"/>
                      <w:highlight w:val="none"/>
                    </w:rPr>
                    <w:t>属性鉴别期间已检测达标但未拿到属性鉴别结果之前，能否将</w:t>
                  </w:r>
                  <w:r>
                    <w:rPr>
                      <w:rFonts w:hint="eastAsia"/>
                      <w:color w:val="auto"/>
                      <w:highlight w:val="none"/>
                      <w:lang w:eastAsia="zh-CN"/>
                    </w:rPr>
                    <w:t>锂冶炼剩余物</w:t>
                  </w:r>
                  <w:r>
                    <w:rPr>
                      <w:rFonts w:hint="default"/>
                      <w:color w:val="auto"/>
                      <w:highlight w:val="none"/>
                    </w:rPr>
                    <w:t>先贮存到消纳场的问题，专家认为，在</w:t>
                  </w:r>
                  <w:r>
                    <w:rPr>
                      <w:rFonts w:hint="eastAsia"/>
                      <w:color w:val="auto"/>
                      <w:highlight w:val="none"/>
                      <w:lang w:eastAsia="zh-CN"/>
                    </w:rPr>
                    <w:t>锂冶炼剩余物</w:t>
                  </w:r>
                  <w:r>
                    <w:rPr>
                      <w:rFonts w:hint="default"/>
                      <w:color w:val="auto"/>
                      <w:highlight w:val="none"/>
                    </w:rPr>
                    <w:t>检测达标的情况下，</w:t>
                  </w:r>
                  <w:r>
                    <w:rPr>
                      <w:rFonts w:hint="eastAsia"/>
                      <w:color w:val="auto"/>
                      <w:highlight w:val="none"/>
                      <w:lang w:eastAsia="zh-CN"/>
                    </w:rPr>
                    <w:t>锂冶炼剩余物</w:t>
                  </w:r>
                  <w:r>
                    <w:rPr>
                      <w:rFonts w:hint="default"/>
                      <w:color w:val="auto"/>
                      <w:highlight w:val="none"/>
                    </w:rPr>
                    <w:t>可以先进入消纳场，但在具体操作时，要满足一定的前提条件</w:t>
                  </w:r>
                  <w:r>
                    <w:rPr>
                      <w:rFonts w:hint="default"/>
                      <w:color w:val="auto"/>
                      <w:highlight w:val="none"/>
                      <w:lang w:eastAsia="zh-CN"/>
                    </w:rPr>
                    <w:t>：</w:t>
                  </w:r>
                  <w:r>
                    <w:rPr>
                      <w:rFonts w:hint="default"/>
                      <w:color w:val="auto"/>
                      <w:highlight w:val="none"/>
                    </w:rPr>
                    <w:t>一是企业要请有资质的检测单位对进入消纳场的</w:t>
                  </w:r>
                  <w:r>
                    <w:rPr>
                      <w:rFonts w:hint="eastAsia"/>
                      <w:color w:val="auto"/>
                      <w:highlight w:val="none"/>
                      <w:lang w:eastAsia="zh-CN"/>
                    </w:rPr>
                    <w:t>锂冶炼剩余物</w:t>
                  </w:r>
                  <w:r>
                    <w:rPr>
                      <w:rFonts w:hint="default"/>
                      <w:color w:val="auto"/>
                      <w:highlight w:val="none"/>
                    </w:rPr>
                    <w:t>进行检测，并出具检测报告，不能由企业自己检测出报告。对检测数据证明其不具有危险特性并且满足II类一般工业固废要求的</w:t>
                  </w:r>
                  <w:r>
                    <w:rPr>
                      <w:rFonts w:hint="eastAsia"/>
                      <w:color w:val="auto"/>
                      <w:highlight w:val="none"/>
                      <w:lang w:eastAsia="zh-CN"/>
                    </w:rPr>
                    <w:t>锂冶炼剩余物</w:t>
                  </w:r>
                  <w:r>
                    <w:rPr>
                      <w:rFonts w:hint="default"/>
                      <w:color w:val="auto"/>
                      <w:highlight w:val="none"/>
                    </w:rPr>
                    <w:t>，可以先进入消纳场贮存</w:t>
                  </w:r>
                  <w:r>
                    <w:rPr>
                      <w:rFonts w:hint="default"/>
                      <w:color w:val="auto"/>
                      <w:highlight w:val="none"/>
                      <w:lang w:eastAsia="zh-CN"/>
                    </w:rPr>
                    <w:t>；</w:t>
                  </w:r>
                  <w:r>
                    <w:rPr>
                      <w:rFonts w:hint="default"/>
                      <w:color w:val="auto"/>
                      <w:highlight w:val="none"/>
                    </w:rPr>
                    <w:t>二是进入消纳场的</w:t>
                  </w:r>
                  <w:r>
                    <w:rPr>
                      <w:rFonts w:hint="eastAsia"/>
                      <w:color w:val="auto"/>
                      <w:highlight w:val="none"/>
                      <w:lang w:eastAsia="zh-CN"/>
                    </w:rPr>
                    <w:t>锂冶炼剩余物</w:t>
                  </w:r>
                  <w:r>
                    <w:rPr>
                      <w:rFonts w:hint="default"/>
                      <w:color w:val="auto"/>
                      <w:highlight w:val="none"/>
                    </w:rPr>
                    <w:t>，要按企业进行分区贮存，便于后期溯源</w:t>
                  </w:r>
                  <w:r>
                    <w:rPr>
                      <w:rFonts w:hint="default"/>
                      <w:color w:val="auto"/>
                      <w:highlight w:val="none"/>
                      <w:lang w:eastAsia="zh-CN"/>
                    </w:rPr>
                    <w:t>；</w:t>
                  </w:r>
                  <w:r>
                    <w:rPr>
                      <w:rFonts w:hint="default"/>
                      <w:color w:val="auto"/>
                      <w:highlight w:val="none"/>
                    </w:rPr>
                    <w:t>三是鉴别工作完成后，企业仍然要履行主体责任，继续对每批次进入消纳场的</w:t>
                  </w:r>
                  <w:r>
                    <w:rPr>
                      <w:rFonts w:hint="eastAsia"/>
                      <w:color w:val="auto"/>
                      <w:highlight w:val="none"/>
                      <w:lang w:eastAsia="zh-CN"/>
                    </w:rPr>
                    <w:t>锂冶炼剩余物</w:t>
                  </w:r>
                  <w:r>
                    <w:rPr>
                      <w:rFonts w:hint="default"/>
                      <w:color w:val="auto"/>
                      <w:highlight w:val="none"/>
                    </w:rPr>
                    <w:t>开展检测工作，确保</w:t>
                  </w:r>
                  <w:r>
                    <w:rPr>
                      <w:rFonts w:hint="eastAsia"/>
                      <w:color w:val="auto"/>
                      <w:highlight w:val="none"/>
                      <w:lang w:eastAsia="zh-CN"/>
                    </w:rPr>
                    <w:t>锂冶炼剩余物</w:t>
                  </w:r>
                  <w:r>
                    <w:rPr>
                      <w:rFonts w:hint="default"/>
                      <w:color w:val="auto"/>
                      <w:highlight w:val="none"/>
                    </w:rPr>
                    <w:t>达到入场要求。</w:t>
                  </w:r>
                </w:p>
                <w:p w14:paraId="1D66C067">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专家强调，宜春库存</w:t>
                  </w:r>
                  <w:r>
                    <w:rPr>
                      <w:rFonts w:hint="eastAsia"/>
                      <w:color w:val="auto"/>
                      <w:highlight w:val="none"/>
                      <w:lang w:eastAsia="zh-CN"/>
                    </w:rPr>
                    <w:t>锂冶炼剩余物</w:t>
                  </w:r>
                  <w:r>
                    <w:rPr>
                      <w:rFonts w:hint="default"/>
                      <w:color w:val="auto"/>
                      <w:highlight w:val="none"/>
                    </w:rPr>
                    <w:t>量巨大，企业检测批次较多，政府职能部门过程监管很难周全，必须全面压实企业主体责任坚持结果导向，企业必须对自己的</w:t>
                  </w:r>
                  <w:r>
                    <w:rPr>
                      <w:rFonts w:hint="eastAsia"/>
                      <w:color w:val="auto"/>
                      <w:highlight w:val="none"/>
                      <w:lang w:eastAsia="zh-CN"/>
                    </w:rPr>
                    <w:t>锂冶炼剩余物</w:t>
                  </w:r>
                  <w:r>
                    <w:rPr>
                      <w:rFonts w:hint="default"/>
                      <w:color w:val="auto"/>
                      <w:highlight w:val="none"/>
                    </w:rPr>
                    <w:t>检测结果全面负责，进入消纳场后分区堆放，如果后续在上级督查或检测中发现进入消纳场的</w:t>
                  </w:r>
                  <w:r>
                    <w:rPr>
                      <w:rFonts w:hint="eastAsia"/>
                      <w:color w:val="auto"/>
                      <w:highlight w:val="none"/>
                      <w:lang w:eastAsia="zh-CN"/>
                    </w:rPr>
                    <w:t>锂冶炼剩余物</w:t>
                  </w:r>
                  <w:r>
                    <w:rPr>
                      <w:rFonts w:hint="default"/>
                      <w:color w:val="auto"/>
                      <w:highlight w:val="none"/>
                    </w:rPr>
                    <w:t>属于危险废物，则企业要承担非法处置危险废物的法律责任。</w:t>
                  </w:r>
                </w:p>
                <w:p w14:paraId="4C074A10">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专家建议，为解决库存</w:t>
                  </w:r>
                  <w:r>
                    <w:rPr>
                      <w:rFonts w:hint="eastAsia"/>
                      <w:color w:val="auto"/>
                      <w:highlight w:val="none"/>
                      <w:lang w:eastAsia="zh-CN"/>
                    </w:rPr>
                    <w:t>锂冶炼剩余物</w:t>
                  </w:r>
                  <w:r>
                    <w:rPr>
                      <w:rFonts w:hint="default"/>
                      <w:color w:val="auto"/>
                      <w:highlight w:val="none"/>
                    </w:rPr>
                    <w:t>水洗利用后又返回仓库暂存再进行属性鉴别，造成资金浪费、转运环境风险的问题，在库存</w:t>
                  </w:r>
                  <w:r>
                    <w:rPr>
                      <w:rFonts w:hint="eastAsia"/>
                      <w:color w:val="auto"/>
                      <w:highlight w:val="none"/>
                      <w:lang w:eastAsia="zh-CN"/>
                    </w:rPr>
                    <w:t>锂冶炼剩余物</w:t>
                  </w:r>
                  <w:r>
                    <w:rPr>
                      <w:rFonts w:hint="default"/>
                      <w:color w:val="auto"/>
                      <w:highlight w:val="none"/>
                    </w:rPr>
                    <w:t>返回水洗利用生产工序上，可参照动态</w:t>
                  </w:r>
                  <w:r>
                    <w:rPr>
                      <w:rFonts w:hint="eastAsia"/>
                      <w:color w:val="auto"/>
                      <w:highlight w:val="none"/>
                      <w:lang w:eastAsia="zh-CN"/>
                    </w:rPr>
                    <w:t>锂冶炼剩余物</w:t>
                  </w:r>
                  <w:r>
                    <w:rPr>
                      <w:rFonts w:hint="default"/>
                      <w:color w:val="auto"/>
                      <w:highlight w:val="none"/>
                    </w:rPr>
                    <w:t>属性鉴别的做法，在水洗利用生产线上就可以进行属性鉴别。</w:t>
                  </w:r>
                </w:p>
              </w:tc>
              <w:tc>
                <w:tcPr>
                  <w:tcW w:w="1208" w:type="dxa"/>
                  <w:noWrap w:val="0"/>
                  <w:vAlign w:val="center"/>
                </w:tcPr>
                <w:p w14:paraId="28976FC3">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lang w:val="en-US" w:eastAsia="zh-CN"/>
                    </w:rPr>
                  </w:pPr>
                  <w:r>
                    <w:rPr>
                      <w:rFonts w:hint="default"/>
                      <w:color w:val="auto"/>
                      <w:highlight w:val="none"/>
                      <w:lang w:val="en-US" w:eastAsia="zh-CN"/>
                    </w:rPr>
                    <w:t>不涉及。</w:t>
                  </w:r>
                </w:p>
              </w:tc>
              <w:tc>
                <w:tcPr>
                  <w:tcW w:w="602" w:type="dxa"/>
                  <w:noWrap w:val="0"/>
                  <w:vAlign w:val="center"/>
                </w:tcPr>
                <w:p w14:paraId="7C8E91D9">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711DC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7" w:type="dxa"/>
                  <w:noWrap w:val="0"/>
                  <w:vAlign w:val="center"/>
                </w:tcPr>
                <w:p w14:paraId="667979B9">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4</w:t>
                  </w:r>
                </w:p>
              </w:tc>
              <w:tc>
                <w:tcPr>
                  <w:tcW w:w="6059" w:type="dxa"/>
                  <w:noWrap w:val="0"/>
                  <w:vAlign w:val="center"/>
                </w:tcPr>
                <w:p w14:paraId="4AD1EDD4">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lang w:val="en-US" w:eastAsia="zh-CN"/>
                    </w:rPr>
                    <w:t>四、</w:t>
                  </w:r>
                  <w:r>
                    <w:rPr>
                      <w:rFonts w:hint="eastAsia"/>
                      <w:color w:val="auto"/>
                      <w:highlight w:val="none"/>
                      <w:lang w:eastAsia="zh-CN"/>
                    </w:rPr>
                    <w:t>锂冶炼剩余物</w:t>
                  </w:r>
                  <w:r>
                    <w:rPr>
                      <w:rFonts w:hint="default"/>
                      <w:color w:val="auto"/>
                      <w:highlight w:val="none"/>
                    </w:rPr>
                    <w:t>返回原厂进行利用、开展</w:t>
                  </w:r>
                  <w:r>
                    <w:rPr>
                      <w:rFonts w:hint="eastAsia"/>
                      <w:color w:val="auto"/>
                      <w:highlight w:val="none"/>
                      <w:lang w:eastAsia="zh-CN"/>
                    </w:rPr>
                    <w:t>锂冶炼剩余物</w:t>
                  </w:r>
                  <w:r>
                    <w:rPr>
                      <w:rFonts w:hint="default"/>
                      <w:color w:val="auto"/>
                      <w:highlight w:val="none"/>
                    </w:rPr>
                    <w:t>“点对点”利用政策上可行，程序按照相关法律法规执行。</w:t>
                  </w:r>
                </w:p>
                <w:p w14:paraId="6FE2F2D4">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eastAsia="zh-CN"/>
                    </w:rPr>
                  </w:pPr>
                  <w:r>
                    <w:rPr>
                      <w:rFonts w:hint="default"/>
                      <w:color w:val="auto"/>
                      <w:highlight w:val="none"/>
                    </w:rPr>
                    <w:t>针对我市部分企业将</w:t>
                  </w:r>
                  <w:r>
                    <w:rPr>
                      <w:rFonts w:hint="eastAsia"/>
                      <w:color w:val="auto"/>
                      <w:highlight w:val="none"/>
                      <w:lang w:eastAsia="zh-CN"/>
                    </w:rPr>
                    <w:t>锂冶炼剩余物</w:t>
                  </w:r>
                  <w:r>
                    <w:rPr>
                      <w:rFonts w:hint="default"/>
                      <w:color w:val="auto"/>
                      <w:highlight w:val="none"/>
                    </w:rPr>
                    <w:t>异地贮存和有的县市区存在无主</w:t>
                  </w:r>
                  <w:r>
                    <w:rPr>
                      <w:rFonts w:hint="eastAsia"/>
                      <w:color w:val="auto"/>
                      <w:highlight w:val="none"/>
                      <w:lang w:eastAsia="zh-CN"/>
                    </w:rPr>
                    <w:t>锂冶炼剩余物</w:t>
                  </w:r>
                  <w:r>
                    <w:rPr>
                      <w:rFonts w:hint="default"/>
                      <w:color w:val="auto"/>
                      <w:highlight w:val="none"/>
                    </w:rPr>
                    <w:t>的情况，专家指出，异地贮存的</w:t>
                  </w:r>
                  <w:r>
                    <w:rPr>
                      <w:rFonts w:hint="eastAsia"/>
                      <w:color w:val="auto"/>
                      <w:highlight w:val="none"/>
                      <w:lang w:eastAsia="zh-CN"/>
                    </w:rPr>
                    <w:t>锂冶炼剩余物</w:t>
                  </w:r>
                  <w:r>
                    <w:rPr>
                      <w:rFonts w:hint="default"/>
                      <w:color w:val="auto"/>
                      <w:highlight w:val="none"/>
                    </w:rPr>
                    <w:t>可以直接运回原企业进行水洗利用，但必须做好台账。对没有企业认领的无主</w:t>
                  </w:r>
                  <w:r>
                    <w:rPr>
                      <w:rFonts w:hint="eastAsia"/>
                      <w:color w:val="auto"/>
                      <w:highlight w:val="none"/>
                      <w:lang w:eastAsia="zh-CN"/>
                    </w:rPr>
                    <w:t>锂冶炼剩余物</w:t>
                  </w:r>
                  <w:r>
                    <w:rPr>
                      <w:rFonts w:hint="default"/>
                      <w:color w:val="auto"/>
                      <w:highlight w:val="none"/>
                    </w:rPr>
                    <w:t>，应压实属地政府责任，可由属地政府采取行政代处置的办法委托企业代处置，经费由属地政府解决</w:t>
                  </w:r>
                  <w:r>
                    <w:rPr>
                      <w:rFonts w:hint="default"/>
                      <w:color w:val="auto"/>
                      <w:highlight w:val="none"/>
                      <w:lang w:eastAsia="zh-CN"/>
                    </w:rPr>
                    <w:t>。</w:t>
                  </w:r>
                </w:p>
                <w:p w14:paraId="7E00707F">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eastAsia="zh-CN"/>
                    </w:rPr>
                    <w:t>针对部分企业提出能否将自己产生的</w:t>
                  </w:r>
                  <w:r>
                    <w:rPr>
                      <w:rFonts w:hint="eastAsia"/>
                      <w:color w:val="auto"/>
                      <w:highlight w:val="none"/>
                      <w:lang w:eastAsia="zh-CN"/>
                    </w:rPr>
                    <w:t>锂冶炼剩余物</w:t>
                  </w:r>
                  <w:r>
                    <w:rPr>
                      <w:rFonts w:hint="default"/>
                      <w:color w:val="auto"/>
                      <w:highlight w:val="none"/>
                      <w:lang w:eastAsia="zh-CN"/>
                    </w:rPr>
                    <w:t>委托其他企业代为水洗利用的问题，专家认为，</w:t>
                  </w:r>
                  <w:r>
                    <w:rPr>
                      <w:rFonts w:hint="eastAsia"/>
                      <w:color w:val="auto"/>
                      <w:highlight w:val="none"/>
                      <w:lang w:eastAsia="zh-CN"/>
                    </w:rPr>
                    <w:t>锂冶炼剩余物</w:t>
                  </w:r>
                  <w:r>
                    <w:rPr>
                      <w:rFonts w:hint="default"/>
                      <w:color w:val="auto"/>
                      <w:highlight w:val="none"/>
                      <w:lang w:eastAsia="zh-CN"/>
                    </w:rPr>
                    <w:t>产生单位委托其他企业对其</w:t>
                  </w:r>
                  <w:r>
                    <w:rPr>
                      <w:rFonts w:hint="eastAsia"/>
                      <w:color w:val="auto"/>
                      <w:highlight w:val="none"/>
                      <w:lang w:eastAsia="zh-CN"/>
                    </w:rPr>
                    <w:t>锂冶炼剩余物</w:t>
                  </w:r>
                  <w:r>
                    <w:rPr>
                      <w:rFonts w:hint="default"/>
                      <w:color w:val="auto"/>
                      <w:highlight w:val="none"/>
                      <w:lang w:eastAsia="zh-CN"/>
                    </w:rPr>
                    <w:t>进行水洗利用，符合省生态环境厅印发的《江西省危险废物“点对点”定向利用试点工作方案》有关要求，政策上可行。但在具体操作上，要按照相关法律法规以及方案的要求执</w:t>
                  </w:r>
                  <w:r>
                    <w:rPr>
                      <w:rFonts w:hint="default"/>
                      <w:color w:val="auto"/>
                      <w:highlight w:val="none"/>
                      <w:lang w:val="en-US" w:eastAsia="zh-CN"/>
                    </w:rPr>
                    <w:t>行。</w:t>
                  </w:r>
                </w:p>
              </w:tc>
              <w:tc>
                <w:tcPr>
                  <w:tcW w:w="1208" w:type="dxa"/>
                  <w:noWrap w:val="0"/>
                  <w:vAlign w:val="center"/>
                </w:tcPr>
                <w:p w14:paraId="12B751F7">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lang w:val="en-US"/>
                    </w:rPr>
                  </w:pPr>
                  <w:r>
                    <w:rPr>
                      <w:rFonts w:hint="default"/>
                      <w:color w:val="auto"/>
                      <w:highlight w:val="none"/>
                      <w:lang w:val="en-US" w:eastAsia="zh-CN"/>
                    </w:rPr>
                    <w:t>本项目</w:t>
                  </w:r>
                  <w:r>
                    <w:rPr>
                      <w:rFonts w:hint="eastAsia"/>
                      <w:color w:val="auto"/>
                      <w:highlight w:val="none"/>
                      <w:lang w:val="en-US" w:eastAsia="zh-CN"/>
                    </w:rPr>
                    <w:t>不涉及锂冶炼剩余物水洗利用工序</w:t>
                  </w:r>
                  <w:r>
                    <w:rPr>
                      <w:rFonts w:hint="default"/>
                      <w:color w:val="auto"/>
                      <w:highlight w:val="none"/>
                      <w:lang w:val="en-US" w:eastAsia="zh-CN"/>
                    </w:rPr>
                    <w:t>。</w:t>
                  </w:r>
                </w:p>
              </w:tc>
              <w:tc>
                <w:tcPr>
                  <w:tcW w:w="602" w:type="dxa"/>
                  <w:noWrap w:val="0"/>
                  <w:vAlign w:val="center"/>
                </w:tcPr>
                <w:p w14:paraId="080D14D5">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r w14:paraId="074C1D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507" w:type="dxa"/>
                  <w:noWrap w:val="0"/>
                  <w:vAlign w:val="center"/>
                </w:tcPr>
                <w:p w14:paraId="43AAC00B">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lang w:val="en-US" w:eastAsia="zh-CN"/>
                    </w:rPr>
                    <w:t>5</w:t>
                  </w:r>
                </w:p>
              </w:tc>
              <w:tc>
                <w:tcPr>
                  <w:tcW w:w="6059" w:type="dxa"/>
                  <w:noWrap w:val="0"/>
                  <w:vAlign w:val="center"/>
                </w:tcPr>
                <w:p w14:paraId="4E0C5C8D">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五、</w:t>
                  </w:r>
                  <w:r>
                    <w:rPr>
                      <w:rFonts w:hint="eastAsia"/>
                      <w:color w:val="auto"/>
                      <w:highlight w:val="none"/>
                      <w:lang w:eastAsia="zh-CN"/>
                    </w:rPr>
                    <w:t>锂冶炼剩余物</w:t>
                  </w:r>
                  <w:r>
                    <w:rPr>
                      <w:rFonts w:hint="default"/>
                      <w:color w:val="auto"/>
                      <w:highlight w:val="none"/>
                    </w:rPr>
                    <w:t>贮存按照省生态环境厅《固体废物环境管理指南</w:t>
                  </w:r>
                  <w:r>
                    <w:rPr>
                      <w:rFonts w:hint="eastAsia"/>
                      <w:color w:val="auto"/>
                      <w:highlight w:val="none"/>
                      <w:lang w:eastAsia="zh-CN"/>
                    </w:rPr>
                    <w:t>锂冶炼剩余物</w:t>
                  </w:r>
                  <w:r>
                    <w:rPr>
                      <w:rFonts w:hint="default"/>
                      <w:color w:val="auto"/>
                      <w:highlight w:val="none"/>
                    </w:rPr>
                    <w:t>生产》(指南)执行。已建成投入使用的</w:t>
                  </w:r>
                  <w:r>
                    <w:rPr>
                      <w:rFonts w:hint="eastAsia"/>
                      <w:color w:val="auto"/>
                      <w:highlight w:val="none"/>
                      <w:lang w:eastAsia="zh-CN"/>
                    </w:rPr>
                    <w:t>锂冶炼剩余物</w:t>
                  </w:r>
                  <w:r>
                    <w:rPr>
                      <w:rFonts w:hint="default"/>
                      <w:color w:val="auto"/>
                      <w:highlight w:val="none"/>
                    </w:rPr>
                    <w:t>贮存设施自2025年9月1日起执行指南要求，新建贮存设施要求自指南发布之日起执行。</w:t>
                  </w:r>
                </w:p>
                <w:p w14:paraId="2069D1FC">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省生态环境厅印发的《指南》要求，未经鉴别明确固废属性的</w:t>
                  </w:r>
                  <w:r>
                    <w:rPr>
                      <w:rFonts w:hint="eastAsia"/>
                      <w:color w:val="auto"/>
                      <w:highlight w:val="none"/>
                      <w:lang w:eastAsia="zh-CN"/>
                    </w:rPr>
                    <w:t>锂冶炼剩余物</w:t>
                  </w:r>
                  <w:r>
                    <w:rPr>
                      <w:rFonts w:hint="default"/>
                      <w:color w:val="auto"/>
                      <w:highlight w:val="none"/>
                    </w:rPr>
                    <w:t>需按照危险废物标准贮存。但目前绝大部分</w:t>
                  </w:r>
                  <w:r>
                    <w:rPr>
                      <w:rFonts w:hint="eastAsia"/>
                      <w:color w:val="auto"/>
                      <w:highlight w:val="none"/>
                      <w:lang w:eastAsia="zh-CN"/>
                    </w:rPr>
                    <w:t>锂冶炼剩余物</w:t>
                  </w:r>
                  <w:r>
                    <w:rPr>
                      <w:rFonts w:hint="default"/>
                      <w:color w:val="auto"/>
                      <w:highlight w:val="none"/>
                    </w:rPr>
                    <w:t>是在《指南》下发之前就贮存在普通仓库里，而且仓库均达不到危险废物贮存标准。对此，专家指出，在2025年9月1日前，可按现有条件进行贮存，但要加强管理，防止环境风险。在2025年9月1日之后，未进行属性鉴别的库存</w:t>
                  </w:r>
                  <w:r>
                    <w:rPr>
                      <w:rFonts w:hint="eastAsia"/>
                      <w:color w:val="auto"/>
                      <w:highlight w:val="none"/>
                      <w:lang w:eastAsia="zh-CN"/>
                    </w:rPr>
                    <w:t>锂冶炼剩余物</w:t>
                  </w:r>
                  <w:r>
                    <w:rPr>
                      <w:rFonts w:hint="default"/>
                      <w:color w:val="auto"/>
                      <w:highlight w:val="none"/>
                    </w:rPr>
                    <w:t>必须落实《指南》要求，按危险废物标准进行贮存。新建</w:t>
                  </w:r>
                  <w:r>
                    <w:rPr>
                      <w:rFonts w:hint="eastAsia"/>
                      <w:color w:val="auto"/>
                      <w:highlight w:val="none"/>
                      <w:lang w:eastAsia="zh-CN"/>
                    </w:rPr>
                    <w:t>锂冶炼剩余物</w:t>
                  </w:r>
                  <w:r>
                    <w:rPr>
                      <w:rFonts w:hint="default"/>
                      <w:color w:val="auto"/>
                      <w:highlight w:val="none"/>
                    </w:rPr>
                    <w:t>贮存设施要求则从指南发布之日起执行。</w:t>
                  </w:r>
                </w:p>
                <w:p w14:paraId="39D6EA64">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各地要高度重视，积极帮扶指导企业抓紧推进</w:t>
                  </w:r>
                  <w:r>
                    <w:rPr>
                      <w:rFonts w:hint="eastAsia"/>
                      <w:color w:val="auto"/>
                      <w:highlight w:val="none"/>
                      <w:lang w:eastAsia="zh-CN"/>
                    </w:rPr>
                    <w:t>锂冶炼剩余物</w:t>
                  </w:r>
                  <w:r>
                    <w:rPr>
                      <w:rFonts w:hint="default"/>
                      <w:color w:val="auto"/>
                      <w:highlight w:val="none"/>
                    </w:rPr>
                    <w:t>水洗利用工作，按照专家咨询意见，对符合要求的</w:t>
                  </w:r>
                  <w:r>
                    <w:rPr>
                      <w:rFonts w:hint="eastAsia"/>
                      <w:color w:val="auto"/>
                      <w:highlight w:val="none"/>
                      <w:lang w:eastAsia="zh-CN"/>
                    </w:rPr>
                    <w:t>锂冶炼剩余物</w:t>
                  </w:r>
                  <w:r>
                    <w:rPr>
                      <w:rFonts w:hint="default"/>
                      <w:color w:val="auto"/>
                      <w:highlight w:val="none"/>
                    </w:rPr>
                    <w:t>水洗利用工艺要依法依规积极推进，对不符合要求的固铍固铊工艺，要指导企业及时调整与改进，确保</w:t>
                  </w:r>
                  <w:r>
                    <w:rPr>
                      <w:rFonts w:hint="eastAsia"/>
                      <w:color w:val="auto"/>
                      <w:highlight w:val="none"/>
                      <w:lang w:eastAsia="zh-CN"/>
                    </w:rPr>
                    <w:t>锂冶炼剩余物</w:t>
                  </w:r>
                  <w:r>
                    <w:rPr>
                      <w:rFonts w:hint="default"/>
                      <w:color w:val="auto"/>
                      <w:highlight w:val="none"/>
                    </w:rPr>
                    <w:t>水洗工艺合法合规。各地要指导企业抓紧完成水洗利用工艺的相关环评手续，严格按照国家建设项目环境影响评价相关规定，针对企业不同实际，采取不同方式，尽快完善好环评手续。各地要加强对库存</w:t>
                  </w:r>
                  <w:r>
                    <w:rPr>
                      <w:rFonts w:hint="eastAsia"/>
                      <w:color w:val="auto"/>
                      <w:highlight w:val="none"/>
                      <w:lang w:eastAsia="zh-CN"/>
                    </w:rPr>
                    <w:t>锂冶炼剩余物</w:t>
                  </w:r>
                  <w:r>
                    <w:rPr>
                      <w:rFonts w:hint="default"/>
                      <w:color w:val="auto"/>
                      <w:highlight w:val="none"/>
                    </w:rPr>
                    <w:t>的环境监管，建立巡查检查制度，定期组织人员对辖区内</w:t>
                  </w:r>
                  <w:r>
                    <w:rPr>
                      <w:rFonts w:hint="eastAsia"/>
                      <w:color w:val="auto"/>
                      <w:highlight w:val="none"/>
                      <w:lang w:eastAsia="zh-CN"/>
                    </w:rPr>
                    <w:t>锂冶炼剩余物</w:t>
                  </w:r>
                  <w:r>
                    <w:rPr>
                      <w:rFonts w:hint="default"/>
                      <w:color w:val="auto"/>
                      <w:highlight w:val="none"/>
                    </w:rPr>
                    <w:t>仓库进行巡查检查，特别是对库顶漏雨、墙体破损、渗滤液渗漏等情况要及时处理，对</w:t>
                  </w:r>
                  <w:r>
                    <w:rPr>
                      <w:rFonts w:hint="eastAsia"/>
                      <w:color w:val="auto"/>
                      <w:highlight w:val="none"/>
                      <w:lang w:eastAsia="zh-CN"/>
                    </w:rPr>
                    <w:t>锂冶炼剩余物</w:t>
                  </w:r>
                  <w:r>
                    <w:rPr>
                      <w:rFonts w:hint="default"/>
                      <w:color w:val="auto"/>
                      <w:highlight w:val="none"/>
                    </w:rPr>
                    <w:t>贮存时间过长的仓库，必要时对其周地土壤、地下水开展监测检测，对存在环境污染隐患的要及时处理，坚决杜绝环境风险。</w:t>
                  </w:r>
                </w:p>
              </w:tc>
              <w:tc>
                <w:tcPr>
                  <w:tcW w:w="1208" w:type="dxa"/>
                  <w:noWrap w:val="0"/>
                  <w:vAlign w:val="center"/>
                </w:tcPr>
                <w:p w14:paraId="618515BC">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rPr>
                  </w:pPr>
                  <w:r>
                    <w:rPr>
                      <w:rFonts w:hint="default"/>
                      <w:color w:val="auto"/>
                      <w:highlight w:val="none"/>
                      <w:lang w:val="en-US" w:eastAsia="zh-CN"/>
                    </w:rPr>
                    <w:t>本项目</w:t>
                  </w:r>
                  <w:r>
                    <w:rPr>
                      <w:rFonts w:hint="eastAsia"/>
                      <w:color w:val="auto"/>
                      <w:highlight w:val="none"/>
                      <w:lang w:val="en-US" w:eastAsia="zh-CN"/>
                    </w:rPr>
                    <w:t>使用鉴定为一般工业固体废物的锂渣</w:t>
                  </w:r>
                  <w:r>
                    <w:rPr>
                      <w:rFonts w:hint="default"/>
                      <w:color w:val="auto"/>
                      <w:highlight w:val="none"/>
                    </w:rPr>
                    <w:t>。</w:t>
                  </w:r>
                </w:p>
              </w:tc>
              <w:tc>
                <w:tcPr>
                  <w:tcW w:w="602" w:type="dxa"/>
                  <w:noWrap w:val="0"/>
                  <w:vAlign w:val="center"/>
                </w:tcPr>
                <w:p w14:paraId="00C9F35B">
                  <w:pPr>
                    <w:pStyle w:val="78"/>
                    <w:keepNext/>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符合</w:t>
                  </w:r>
                </w:p>
              </w:tc>
            </w:tr>
          </w:tbl>
          <w:p w14:paraId="570A3C07">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18</w:t>
            </w:r>
            <w:r>
              <w:rPr>
                <w:rFonts w:hint="default"/>
                <w:b/>
                <w:bCs/>
                <w:color w:val="auto"/>
                <w:highlight w:val="none"/>
              </w:rPr>
              <w:t>、与《宜春市“十四五”生态环境保护规划》相符性分析</w:t>
            </w:r>
          </w:p>
          <w:p w14:paraId="2EA88CE9">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规划提出：促进产业绿色转型升级，加快绿色低碳发展；控制温室气体排放，积极应对气候变化；强化协同控制，改善大气环境质量；坚持三水统筹，巩固水生态环境质量；推进系统防治，提升土壤和地下水环境质量；加强生态空间监管，筑牢生态安全屏障；强化环境风险管控，严守环境安全底线；推进系统防治，提升土壤和地下水环境质量；构建现代环境管控体系，提高生态环境治理能力。</w:t>
            </w:r>
          </w:p>
          <w:p w14:paraId="737C1A9E">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lang w:val="en-US" w:eastAsia="zh-CN"/>
              </w:rPr>
              <w:t>本项目产生</w:t>
            </w:r>
            <w:r>
              <w:rPr>
                <w:rFonts w:hint="eastAsia"/>
                <w:color w:val="auto"/>
                <w:highlight w:val="none"/>
                <w:lang w:val="en-US" w:eastAsia="zh-CN"/>
              </w:rPr>
              <w:t>的颗粒物</w:t>
            </w:r>
            <w:r>
              <w:rPr>
                <w:rFonts w:hint="default"/>
                <w:color w:val="auto"/>
                <w:highlight w:val="none"/>
                <w:lang w:val="en-US" w:eastAsia="zh-CN"/>
              </w:rPr>
              <w:t>采</w:t>
            </w:r>
            <w:r>
              <w:rPr>
                <w:rFonts w:hint="eastAsia"/>
                <w:color w:val="auto"/>
                <w:highlight w:val="none"/>
                <w:lang w:val="en-US" w:eastAsia="zh-CN"/>
              </w:rPr>
              <w:t>用</w:t>
            </w:r>
            <w:r>
              <w:rPr>
                <w:rFonts w:hint="default"/>
                <w:color w:val="auto"/>
                <w:highlight w:val="none"/>
                <w:lang w:val="en-US" w:eastAsia="zh-CN"/>
              </w:rPr>
              <w:t>袋式除尘器处理，</w:t>
            </w:r>
            <w:r>
              <w:rPr>
                <w:rFonts w:hint="eastAsia"/>
                <w:color w:val="auto"/>
                <w:highlight w:val="none"/>
                <w:lang w:val="en-US" w:eastAsia="zh-CN"/>
              </w:rPr>
              <w:t>废水仅生活污水外排，</w:t>
            </w:r>
            <w:r>
              <w:rPr>
                <w:rFonts w:hint="default"/>
                <w:color w:val="auto"/>
                <w:highlight w:val="none"/>
                <w:lang w:val="en-US" w:eastAsia="zh-CN"/>
              </w:rPr>
              <w:t>生活废水经</w:t>
            </w:r>
            <w:r>
              <w:rPr>
                <w:rFonts w:hint="eastAsia"/>
                <w:color w:val="auto"/>
                <w:highlight w:val="none"/>
                <w:lang w:val="en-US" w:eastAsia="zh-CN"/>
              </w:rPr>
              <w:t>隔油池、</w:t>
            </w:r>
            <w:r>
              <w:rPr>
                <w:rFonts w:hint="default"/>
                <w:color w:val="auto"/>
                <w:highlight w:val="none"/>
                <w:lang w:val="en-US" w:eastAsia="zh-CN"/>
              </w:rPr>
              <w:t>化粪池处理后达到</w:t>
            </w:r>
            <w:r>
              <w:rPr>
                <w:rFonts w:hint="eastAsia"/>
                <w:color w:val="auto"/>
                <w:highlight w:val="none"/>
                <w:lang w:val="en-US" w:eastAsia="zh-CN"/>
              </w:rPr>
              <w:t>建筑陶瓷产业园污水处理厂</w:t>
            </w:r>
            <w:r>
              <w:rPr>
                <w:rFonts w:hint="default"/>
                <w:color w:val="auto"/>
                <w:highlight w:val="none"/>
                <w:lang w:val="en-US" w:eastAsia="zh-CN"/>
              </w:rPr>
              <w:t>接管标准后，排入园区污水管网；经</w:t>
            </w:r>
            <w:r>
              <w:rPr>
                <w:rFonts w:hint="eastAsia"/>
                <w:color w:val="auto"/>
                <w:highlight w:val="none"/>
                <w:lang w:val="en-US" w:eastAsia="zh-CN"/>
              </w:rPr>
              <w:t>建筑陶瓷产业园污水处理厂</w:t>
            </w:r>
            <w:r>
              <w:rPr>
                <w:rFonts w:hint="default"/>
                <w:color w:val="auto"/>
                <w:highlight w:val="none"/>
                <w:lang w:val="en-US" w:eastAsia="zh-CN"/>
              </w:rPr>
              <w:t>处理后达到《城镇污水处理厂污染物排放标准》（GB18918-2002）中一级A标准后外排至</w:t>
            </w:r>
            <w:r>
              <w:rPr>
                <w:rFonts w:hint="eastAsia"/>
                <w:color w:val="auto"/>
                <w:highlight w:val="none"/>
                <w:lang w:val="en-US" w:eastAsia="zh-CN"/>
              </w:rPr>
              <w:t>肖</w:t>
            </w:r>
            <w:r>
              <w:rPr>
                <w:rFonts w:hint="default"/>
                <w:color w:val="auto"/>
                <w:highlight w:val="none"/>
                <w:lang w:val="en-US" w:eastAsia="zh-CN"/>
              </w:rPr>
              <w:t>江。雨水总排口安装氟化物和铊特征污染物在线监测设备</w:t>
            </w:r>
            <w:r>
              <w:rPr>
                <w:rFonts w:hint="eastAsia"/>
                <w:color w:val="auto"/>
                <w:highlight w:val="none"/>
                <w:lang w:val="en-US" w:eastAsia="zh-CN"/>
              </w:rPr>
              <w:t>，厂区总污水排放口不得检出铊、氟化物</w:t>
            </w:r>
            <w:r>
              <w:rPr>
                <w:rFonts w:hint="default"/>
                <w:color w:val="auto"/>
                <w:highlight w:val="none"/>
                <w:lang w:val="en-US" w:eastAsia="zh-CN"/>
              </w:rPr>
              <w:t>。项目废水、废气、固废、噪声污染物经处理后均可以达标排放，对外环境影响不大，不会改变现有环境功能。因此，项目建设符合《宜春市“十四五”生态环境保护规划》相关要求。</w:t>
            </w:r>
          </w:p>
          <w:p w14:paraId="746A1998">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19、</w:t>
            </w:r>
            <w:r>
              <w:rPr>
                <w:rFonts w:hint="default"/>
                <w:b/>
                <w:bCs/>
                <w:color w:val="auto"/>
                <w:highlight w:val="none"/>
              </w:rPr>
              <w:t>与《关于做好发挥监测预警作用、防范我市锂电产业环境风险相关工作的通知》（宜环委办字〔2022〕113号）相符性分析</w:t>
            </w:r>
          </w:p>
          <w:p w14:paraId="6999DE86">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rPr>
            </w:pPr>
            <w:r>
              <w:rPr>
                <w:rFonts w:hint="default" w:cs="Times New Roman"/>
                <w:color w:val="auto"/>
                <w:sz w:val="21"/>
                <w:szCs w:val="21"/>
                <w:highlight w:val="none"/>
              </w:rPr>
              <w:t>与宜环委办字〔2022〕113号（节选）符合性</w:t>
            </w:r>
          </w:p>
          <w:tbl>
            <w:tblPr>
              <w:tblStyle w:val="96"/>
              <w:tblW w:w="4995"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901"/>
              <w:gridCol w:w="4004"/>
              <w:gridCol w:w="2825"/>
              <w:gridCol w:w="638"/>
            </w:tblGrid>
            <w:tr w14:paraId="1EAC02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0" w:hRule="atLeast"/>
                <w:jc w:val="center"/>
              </w:trPr>
              <w:tc>
                <w:tcPr>
                  <w:tcW w:w="901" w:type="dxa"/>
                  <w:tcBorders>
                    <w:tl2br w:val="nil"/>
                    <w:tr2bl w:val="nil"/>
                  </w:tcBorders>
                  <w:vAlign w:val="center"/>
                </w:tcPr>
                <w:p w14:paraId="2BC12CCE">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类别</w:t>
                  </w:r>
                </w:p>
              </w:tc>
              <w:tc>
                <w:tcPr>
                  <w:tcW w:w="4004" w:type="dxa"/>
                  <w:tcBorders>
                    <w:tl2br w:val="nil"/>
                    <w:tr2bl w:val="nil"/>
                  </w:tcBorders>
                  <w:vAlign w:val="center"/>
                </w:tcPr>
                <w:p w14:paraId="0BD4AC8E">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要求</w:t>
                  </w:r>
                </w:p>
              </w:tc>
              <w:tc>
                <w:tcPr>
                  <w:tcW w:w="2825" w:type="dxa"/>
                  <w:tcBorders>
                    <w:tl2br w:val="nil"/>
                    <w:tr2bl w:val="nil"/>
                  </w:tcBorders>
                  <w:vAlign w:val="center"/>
                </w:tcPr>
                <w:p w14:paraId="518D7692">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本项目</w:t>
                  </w:r>
                </w:p>
              </w:tc>
              <w:tc>
                <w:tcPr>
                  <w:tcW w:w="638" w:type="dxa"/>
                  <w:tcBorders>
                    <w:tl2br w:val="nil"/>
                    <w:tr2bl w:val="nil"/>
                  </w:tcBorders>
                  <w:vAlign w:val="center"/>
                </w:tcPr>
                <w:p w14:paraId="628DA525">
                  <w:pPr>
                    <w:pStyle w:val="78"/>
                    <w:keepNext w:val="0"/>
                    <w:keepLines w:val="0"/>
                    <w:pageBreakBefore w:val="0"/>
                    <w:widowControl w:val="0"/>
                    <w:kinsoku/>
                    <w:wordWrap/>
                    <w:overflowPunct/>
                    <w:topLinePunct w:val="0"/>
                    <w:autoSpaceDE/>
                    <w:autoSpaceDN/>
                    <w:bidi w:val="0"/>
                    <w:adjustRightInd w:val="0"/>
                    <w:snapToGrid w:val="0"/>
                    <w:spacing w:before="0"/>
                    <w:textAlignment w:val="auto"/>
                    <w:rPr>
                      <w:b/>
                      <w:bCs/>
                      <w:color w:val="auto"/>
                      <w:highlight w:val="none"/>
                    </w:rPr>
                  </w:pPr>
                  <w:r>
                    <w:rPr>
                      <w:b/>
                      <w:bCs/>
                      <w:color w:val="auto"/>
                      <w:highlight w:val="none"/>
                    </w:rPr>
                    <w:t>相符性</w:t>
                  </w:r>
                </w:p>
              </w:tc>
            </w:tr>
            <w:tr w14:paraId="44EFEE0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901" w:type="dxa"/>
                  <w:tcBorders>
                    <w:tl2br w:val="nil"/>
                    <w:tr2bl w:val="nil"/>
                  </w:tcBorders>
                  <w:vAlign w:val="center"/>
                </w:tcPr>
                <w:p w14:paraId="15ABDB10">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一、提升监测断面自动监测预警能力</w:t>
                  </w:r>
                </w:p>
              </w:tc>
              <w:tc>
                <w:tcPr>
                  <w:tcW w:w="4004" w:type="dxa"/>
                  <w:tcBorders>
                    <w:tl2br w:val="nil"/>
                    <w:tr2bl w:val="nil"/>
                  </w:tcBorders>
                  <w:vAlign w:val="center"/>
                </w:tcPr>
                <w:p w14:paraId="387C822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各地应在全市锂电行业企业（包括但不限于锂云母浮选企业碳酸锂生产企业、锂电池制造企业和陶瓷窑炉改焙烧锂渣企业等，以下简称涉锂企业）污水处理设施排放口(含污水处理厂总排口）下游的主要市控自动监测站点加装特征污染物（氟化物和铊）在线监测设备。在线设备与市</w:t>
                  </w:r>
                  <w:r>
                    <w:rPr>
                      <w:rFonts w:hint="eastAsia"/>
                      <w:color w:val="auto"/>
                      <w:highlight w:val="none"/>
                      <w:lang w:eastAsia="zh-CN"/>
                    </w:rPr>
                    <w:t>、</w:t>
                  </w:r>
                  <w:r>
                    <w:rPr>
                      <w:color w:val="auto"/>
                      <w:highlight w:val="none"/>
                    </w:rPr>
                    <w:t>县两级水质自动监测管理平台联网，自动监测数据传输应满足有关技术要求。</w:t>
                  </w:r>
                </w:p>
              </w:tc>
              <w:tc>
                <w:tcPr>
                  <w:tcW w:w="2825" w:type="dxa"/>
                  <w:tcBorders>
                    <w:tl2br w:val="nil"/>
                    <w:tr2bl w:val="nil"/>
                  </w:tcBorders>
                  <w:vAlign w:val="center"/>
                </w:tcPr>
                <w:p w14:paraId="2FABB1A3">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项目生产废水不外排，生活污水经</w:t>
                  </w:r>
                  <w:r>
                    <w:rPr>
                      <w:rFonts w:hint="eastAsia"/>
                      <w:color w:val="auto"/>
                      <w:highlight w:val="none"/>
                      <w:lang w:val="en-US" w:eastAsia="zh-CN"/>
                    </w:rPr>
                    <w:t>隔油池、</w:t>
                  </w:r>
                  <w:r>
                    <w:rPr>
                      <w:color w:val="auto"/>
                      <w:highlight w:val="none"/>
                    </w:rPr>
                    <w:t>化粪池处理后排入园区污水处理厂进一步处理后排放，评价要求企业在雨水排放口安装在线监测装置（氟化物、铊）。</w:t>
                  </w:r>
                </w:p>
              </w:tc>
              <w:tc>
                <w:tcPr>
                  <w:tcW w:w="638" w:type="dxa"/>
                  <w:tcBorders>
                    <w:tl2br w:val="nil"/>
                    <w:tr2bl w:val="nil"/>
                  </w:tcBorders>
                  <w:vAlign w:val="center"/>
                </w:tcPr>
                <w:p w14:paraId="17FF88FF">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符合</w:t>
                  </w:r>
                </w:p>
              </w:tc>
            </w:tr>
            <w:tr w14:paraId="3899A4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901" w:type="dxa"/>
                  <w:vMerge w:val="restart"/>
                  <w:tcBorders>
                    <w:tl2br w:val="nil"/>
                    <w:tr2bl w:val="nil"/>
                  </w:tcBorders>
                  <w:vAlign w:val="center"/>
                </w:tcPr>
                <w:p w14:paraId="573A87BF">
                  <w:pPr>
                    <w:pStyle w:val="78"/>
                    <w:bidi w:val="0"/>
                    <w:rPr>
                      <w:color w:val="auto"/>
                      <w:highlight w:val="none"/>
                    </w:rPr>
                  </w:pPr>
                  <w:r>
                    <w:rPr>
                      <w:color w:val="auto"/>
                      <w:highlight w:val="none"/>
                    </w:rPr>
                    <w:t>二、督促企业落实自行监测主体责任</w:t>
                  </w:r>
                </w:p>
              </w:tc>
              <w:tc>
                <w:tcPr>
                  <w:tcW w:w="4004" w:type="dxa"/>
                  <w:tcBorders>
                    <w:tl2br w:val="nil"/>
                    <w:tr2bl w:val="nil"/>
                  </w:tcBorders>
                  <w:vAlign w:val="center"/>
                </w:tcPr>
                <w:p w14:paraId="0AFFE941">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（一）涉锂企业在废水污染防治设施排口和厂区雨水排口安装特征污染物（氟化物和铊）在线监测设备。在线设备应与市。县两级污染源监控系统平台联网，自动监测数据传输应满足有关技术要求。</w:t>
                  </w:r>
                </w:p>
              </w:tc>
              <w:tc>
                <w:tcPr>
                  <w:tcW w:w="2825" w:type="dxa"/>
                  <w:tcBorders>
                    <w:tl2br w:val="nil"/>
                    <w:tr2bl w:val="nil"/>
                  </w:tcBorders>
                  <w:vAlign w:val="center"/>
                </w:tcPr>
                <w:p w14:paraId="71AC3B92">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rPr>
                  </w:pPr>
                  <w:r>
                    <w:rPr>
                      <w:color w:val="auto"/>
                      <w:highlight w:val="none"/>
                    </w:rPr>
                    <w:t>项目生产废水不外排，生活污水经隔油池、化粪池处理后排入园区污水处理厂进一步处理后排放</w:t>
                  </w:r>
                  <w:r>
                    <w:rPr>
                      <w:rFonts w:hint="eastAsia"/>
                      <w:color w:val="auto"/>
                      <w:highlight w:val="none"/>
                      <w:lang w:eastAsia="zh-CN"/>
                    </w:rPr>
                    <w:t>，</w:t>
                  </w:r>
                  <w:r>
                    <w:rPr>
                      <w:color w:val="auto"/>
                      <w:highlight w:val="none"/>
                    </w:rPr>
                    <w:t>评价要求企业</w:t>
                  </w:r>
                  <w:r>
                    <w:rPr>
                      <w:rFonts w:hint="eastAsia"/>
                      <w:color w:val="auto"/>
                      <w:highlight w:val="none"/>
                    </w:rPr>
                    <w:t>在雨水排放口安装在线监测装置（氟化物、铊）。</w:t>
                  </w:r>
                </w:p>
              </w:tc>
              <w:tc>
                <w:tcPr>
                  <w:tcW w:w="638" w:type="dxa"/>
                  <w:tcBorders>
                    <w:tl2br w:val="nil"/>
                    <w:tr2bl w:val="nil"/>
                  </w:tcBorders>
                  <w:vAlign w:val="center"/>
                </w:tcPr>
                <w:p w14:paraId="612735F5">
                  <w:pPr>
                    <w:pStyle w:val="78"/>
                    <w:bidi w:val="0"/>
                    <w:rPr>
                      <w:color w:val="auto"/>
                      <w:highlight w:val="none"/>
                    </w:rPr>
                  </w:pPr>
                  <w:r>
                    <w:rPr>
                      <w:color w:val="auto"/>
                      <w:highlight w:val="none"/>
                    </w:rPr>
                    <w:t>符合</w:t>
                  </w:r>
                </w:p>
              </w:tc>
            </w:tr>
            <w:tr w14:paraId="13272B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901" w:type="dxa"/>
                  <w:vMerge w:val="continue"/>
                  <w:tcBorders>
                    <w:tl2br w:val="nil"/>
                    <w:tr2bl w:val="nil"/>
                  </w:tcBorders>
                  <w:vAlign w:val="center"/>
                </w:tcPr>
                <w:p w14:paraId="1E9982AE">
                  <w:pPr>
                    <w:pStyle w:val="78"/>
                    <w:bidi w:val="0"/>
                    <w:rPr>
                      <w:color w:val="auto"/>
                      <w:highlight w:val="none"/>
                    </w:rPr>
                  </w:pPr>
                </w:p>
              </w:tc>
              <w:tc>
                <w:tcPr>
                  <w:tcW w:w="4004" w:type="dxa"/>
                  <w:tcBorders>
                    <w:tl2br w:val="nil"/>
                    <w:tr2bl w:val="nil"/>
                  </w:tcBorders>
                  <w:vAlign w:val="center"/>
                </w:tcPr>
                <w:p w14:paraId="143CACFA">
                  <w:pPr>
                    <w:pStyle w:val="78"/>
                    <w:bidi w:val="0"/>
                    <w:rPr>
                      <w:color w:val="auto"/>
                      <w:highlight w:val="none"/>
                    </w:rPr>
                  </w:pPr>
                  <w:r>
                    <w:rPr>
                      <w:rFonts w:hint="eastAsia"/>
                      <w:color w:val="auto"/>
                      <w:highlight w:val="none"/>
                    </w:rPr>
                    <w:t>（二）督促涉锂企业加密开展自行监测，原则上各废气、废水治理设施和雨水排口（有流动水的情况下)的特征污染物（氟化物和</w:t>
                  </w:r>
                  <w:r>
                    <w:rPr>
                      <w:rFonts w:hint="eastAsia"/>
                      <w:color w:val="auto"/>
                      <w:highlight w:val="none"/>
                      <w:lang w:val="en-US" w:eastAsia="zh-CN"/>
                    </w:rPr>
                    <w:t>铊</w:t>
                  </w:r>
                  <w:r>
                    <w:rPr>
                      <w:rFonts w:hint="eastAsia"/>
                      <w:color w:val="auto"/>
                      <w:highlight w:val="none"/>
                    </w:rPr>
                    <w:t>）自行监测频次不少于每月1次，监测结果及时报送属地生态环境管理部门。</w:t>
                  </w:r>
                </w:p>
              </w:tc>
              <w:tc>
                <w:tcPr>
                  <w:tcW w:w="2825" w:type="dxa"/>
                  <w:tcBorders>
                    <w:tl2br w:val="nil"/>
                    <w:tr2bl w:val="nil"/>
                  </w:tcBorders>
                  <w:shd w:val="clear" w:color="auto" w:fill="auto"/>
                  <w:vAlign w:val="center"/>
                </w:tcPr>
                <w:p w14:paraId="0CC339A0">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lang w:val="en-US" w:eastAsia="en-US"/>
                    </w:rPr>
                  </w:pPr>
                  <w:r>
                    <w:rPr>
                      <w:color w:val="auto"/>
                      <w:highlight w:val="none"/>
                    </w:rPr>
                    <w:t>评价要求企业在雨水排放口安装在线监测装置(氟化物、铊）</w:t>
                  </w:r>
                  <w:r>
                    <w:rPr>
                      <w:rFonts w:hint="eastAsia"/>
                      <w:color w:val="auto"/>
                      <w:highlight w:val="none"/>
                      <w:lang w:eastAsia="zh-CN"/>
                    </w:rPr>
                    <w:t>。</w:t>
                  </w:r>
                </w:p>
              </w:tc>
              <w:tc>
                <w:tcPr>
                  <w:tcW w:w="638" w:type="dxa"/>
                  <w:tcBorders>
                    <w:tl2br w:val="nil"/>
                    <w:tr2bl w:val="nil"/>
                  </w:tcBorders>
                  <w:vAlign w:val="center"/>
                </w:tcPr>
                <w:p w14:paraId="3476065D">
                  <w:pPr>
                    <w:pStyle w:val="78"/>
                    <w:bidi w:val="0"/>
                    <w:rPr>
                      <w:color w:val="auto"/>
                      <w:highlight w:val="none"/>
                    </w:rPr>
                  </w:pPr>
                  <w:r>
                    <w:rPr>
                      <w:rFonts w:hint="default"/>
                      <w:color w:val="auto"/>
                      <w:highlight w:val="none"/>
                    </w:rPr>
                    <w:t>符合</w:t>
                  </w:r>
                </w:p>
              </w:tc>
            </w:tr>
            <w:tr w14:paraId="5A163C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0" w:hRule="atLeast"/>
                <w:jc w:val="center"/>
              </w:trPr>
              <w:tc>
                <w:tcPr>
                  <w:tcW w:w="901" w:type="dxa"/>
                  <w:vMerge w:val="continue"/>
                  <w:tcBorders>
                    <w:tl2br w:val="nil"/>
                    <w:tr2bl w:val="nil"/>
                  </w:tcBorders>
                  <w:vAlign w:val="center"/>
                </w:tcPr>
                <w:p w14:paraId="26F2C895">
                  <w:pPr>
                    <w:pStyle w:val="78"/>
                    <w:bidi w:val="0"/>
                    <w:rPr>
                      <w:color w:val="auto"/>
                      <w:highlight w:val="none"/>
                    </w:rPr>
                  </w:pPr>
                </w:p>
              </w:tc>
              <w:tc>
                <w:tcPr>
                  <w:tcW w:w="4004" w:type="dxa"/>
                  <w:tcBorders>
                    <w:tl2br w:val="nil"/>
                    <w:tr2bl w:val="nil"/>
                  </w:tcBorders>
                  <w:vAlign w:val="center"/>
                </w:tcPr>
                <w:p w14:paraId="37E3B537">
                  <w:pPr>
                    <w:pStyle w:val="78"/>
                    <w:bidi w:val="0"/>
                    <w:rPr>
                      <w:color w:val="auto"/>
                      <w:highlight w:val="none"/>
                    </w:rPr>
                  </w:pPr>
                  <w:r>
                    <w:rPr>
                      <w:rFonts w:hint="eastAsia"/>
                      <w:color w:val="auto"/>
                      <w:highlight w:val="none"/>
                    </w:rPr>
                    <w:t>（三）督促涉锂企业的工业园区污水处理厂进水口、总排口和园区雨水总排口加装特征污染物（氟化物和铊）在线监测设备。在线设备与市、县两级污染源监控系统平台联网，自动监测数据传输应满足有关技术要求。</w:t>
                  </w:r>
                </w:p>
              </w:tc>
              <w:tc>
                <w:tcPr>
                  <w:tcW w:w="2825" w:type="dxa"/>
                  <w:tcBorders>
                    <w:tl2br w:val="nil"/>
                    <w:tr2bl w:val="nil"/>
                  </w:tcBorders>
                  <w:shd w:val="clear" w:color="auto" w:fill="auto"/>
                  <w:vAlign w:val="center"/>
                </w:tcPr>
                <w:p w14:paraId="45CAA1C7">
                  <w:pPr>
                    <w:pStyle w:val="78"/>
                    <w:keepNext w:val="0"/>
                    <w:keepLines w:val="0"/>
                    <w:pageBreakBefore w:val="0"/>
                    <w:widowControl w:val="0"/>
                    <w:kinsoku/>
                    <w:wordWrap/>
                    <w:overflowPunct/>
                    <w:topLinePunct w:val="0"/>
                    <w:autoSpaceDE/>
                    <w:autoSpaceDN/>
                    <w:bidi w:val="0"/>
                    <w:adjustRightInd w:val="0"/>
                    <w:snapToGrid w:val="0"/>
                    <w:spacing w:before="0"/>
                    <w:textAlignment w:val="auto"/>
                    <w:rPr>
                      <w:color w:val="auto"/>
                      <w:highlight w:val="none"/>
                      <w:lang w:val="en-US" w:eastAsia="en-US"/>
                    </w:rPr>
                  </w:pPr>
                  <w:r>
                    <w:rPr>
                      <w:rFonts w:hint="eastAsia"/>
                      <w:color w:val="FF0000"/>
                      <w:highlight w:val="none"/>
                      <w:lang w:val="en-US" w:eastAsia="zh-CN"/>
                    </w:rPr>
                    <w:t>本项目位于江西省建筑陶瓷产业基地江西恒辉陶瓷有限公司厂区内，厂内已布局好雨水管网和污水管网，江西恒辉陶瓷有限公司周边雨污管网敷设完善。项目雨污分流，仅生活污水排放，生产废水不外排，雨水收集、处理、排放依托现有措施。项目产生的废水经厂区预处理后排入园区污水处理厂深度处理，尾水达《城镇污水处理厂污染物排放标准》（GB18918-2002）中一级A标准后排放至肖江。本评价要求企业在雨水排放口安装在线监测装置(氟化物、铊）。</w:t>
                  </w:r>
                  <w:r>
                    <w:rPr>
                      <w:rFonts w:hint="eastAsia"/>
                      <w:color w:val="auto"/>
                      <w:highlight w:val="none"/>
                      <w:lang w:val="en-US" w:eastAsia="zh-CN"/>
                    </w:rPr>
                    <w:t>建筑陶瓷产业园</w:t>
                  </w:r>
                  <w:r>
                    <w:rPr>
                      <w:color w:val="auto"/>
                      <w:highlight w:val="none"/>
                    </w:rPr>
                    <w:t>污水处理厂进水口、总排口和园区雨水总排口已加装特征污染物（氟化物和铊)在线监测设备。在线设备与市、县两级污染源监控系统平台联网，自动监测数据传输应满足有关技术要求。</w:t>
                  </w:r>
                </w:p>
              </w:tc>
              <w:tc>
                <w:tcPr>
                  <w:tcW w:w="638" w:type="dxa"/>
                  <w:tcBorders>
                    <w:tl2br w:val="nil"/>
                    <w:tr2bl w:val="nil"/>
                  </w:tcBorders>
                  <w:vAlign w:val="center"/>
                </w:tcPr>
                <w:p w14:paraId="1A193395">
                  <w:pPr>
                    <w:pStyle w:val="78"/>
                    <w:bidi w:val="0"/>
                    <w:rPr>
                      <w:color w:val="auto"/>
                      <w:highlight w:val="none"/>
                    </w:rPr>
                  </w:pPr>
                  <w:r>
                    <w:rPr>
                      <w:rFonts w:hint="default"/>
                      <w:color w:val="auto"/>
                      <w:highlight w:val="none"/>
                    </w:rPr>
                    <w:t>符合</w:t>
                  </w:r>
                </w:p>
              </w:tc>
            </w:tr>
          </w:tbl>
          <w:p w14:paraId="0027BEEF">
            <w:pPr>
              <w:keepNext w:val="0"/>
              <w:keepLines w:val="0"/>
              <w:numPr>
                <w:ilvl w:val="0"/>
                <w:numId w:val="9"/>
              </w:numPr>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与《关于以生态环境高水平保护助推锂电新能源等产业绿色高质量发展的二十条</w:t>
            </w:r>
            <w:r>
              <w:rPr>
                <w:rFonts w:hint="eastAsia"/>
                <w:b/>
                <w:bCs/>
                <w:color w:val="auto"/>
                <w:highlight w:val="none"/>
                <w:lang w:val="en-US" w:eastAsia="zh-CN"/>
              </w:rPr>
              <w:t>二</w:t>
            </w:r>
            <w:r>
              <w:rPr>
                <w:rFonts w:hint="default"/>
                <w:b/>
                <w:bCs/>
                <w:color w:val="auto"/>
                <w:highlight w:val="none"/>
                <w:lang w:val="en-US" w:eastAsia="zh-CN"/>
              </w:rPr>
              <w:t>措施》的通知（宜党发〔2023〕2号）相符性分析</w:t>
            </w:r>
          </w:p>
          <w:p w14:paraId="15E8634B">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cs="Times New Roman"/>
                <w:color w:val="auto"/>
                <w:sz w:val="21"/>
                <w:szCs w:val="21"/>
                <w:highlight w:val="none"/>
                <w:lang w:val="en-US" w:eastAsia="zh-CN"/>
              </w:rPr>
            </w:pPr>
            <w:r>
              <w:rPr>
                <w:rFonts w:hint="default" w:cs="Times New Roman"/>
                <w:color w:val="auto"/>
                <w:sz w:val="21"/>
                <w:szCs w:val="21"/>
                <w:highlight w:val="none"/>
                <w:lang w:val="en-US" w:eastAsia="zh-CN"/>
              </w:rPr>
              <w:t>与（宜党发〔2023〕2号）号相符性一览表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71"/>
              <w:gridCol w:w="5209"/>
              <w:gridCol w:w="2208"/>
              <w:gridCol w:w="588"/>
            </w:tblGrid>
            <w:tr w14:paraId="5A4899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53F3E4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序号</w:t>
                  </w:r>
                </w:p>
              </w:tc>
              <w:tc>
                <w:tcPr>
                  <w:tcW w:w="3109" w:type="pct"/>
                  <w:tcBorders>
                    <w:tl2br w:val="nil"/>
                    <w:tr2bl w:val="nil"/>
                  </w:tcBorders>
                  <w:vAlign w:val="center"/>
                </w:tcPr>
                <w:p w14:paraId="211E19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要求</w:t>
                  </w:r>
                </w:p>
              </w:tc>
              <w:tc>
                <w:tcPr>
                  <w:tcW w:w="1318" w:type="pct"/>
                  <w:tcBorders>
                    <w:tl2br w:val="nil"/>
                    <w:tr2bl w:val="nil"/>
                  </w:tcBorders>
                  <w:vAlign w:val="center"/>
                </w:tcPr>
                <w:p w14:paraId="43F7FD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项目情况</w:t>
                  </w:r>
                </w:p>
              </w:tc>
              <w:tc>
                <w:tcPr>
                  <w:tcW w:w="351" w:type="pct"/>
                  <w:tcBorders>
                    <w:tl2br w:val="nil"/>
                    <w:tr2bl w:val="nil"/>
                  </w:tcBorders>
                  <w:vAlign w:val="center"/>
                </w:tcPr>
                <w:p w14:paraId="311A50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是否符合</w:t>
                  </w:r>
                </w:p>
              </w:tc>
            </w:tr>
            <w:tr w14:paraId="573241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099CDA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w:t>
                  </w:r>
                </w:p>
              </w:tc>
              <w:tc>
                <w:tcPr>
                  <w:tcW w:w="3109" w:type="pct"/>
                  <w:tcBorders>
                    <w:tl2br w:val="nil"/>
                    <w:tr2bl w:val="nil"/>
                  </w:tcBorders>
                  <w:vAlign w:val="center"/>
                </w:tcPr>
                <w:p w14:paraId="082D12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优化空间布局。认真落实长江经济带“共抓大保护、不搞大开发”要求，严格落实《产业结构调整指导目录（2019年）》《江西省长江经济带发展负面清单实施细则（试行）》。新建锂云母选矿项目原则上布局在宜丰县、奉新县、袁州区等锂资源所在地，新建锂盐项目布局在产业基础条件好的县市区，新建碳酸锂项目规模不得小于5000吨/年，碳酸锂及中间产品项目生产按照化工项目管理要求，不须进入化工园区但原则上应进入省政府认定的工业园区；铅酸蓄电池产业布局集中在宜丰县、上高县，保持现有产能，其他县市区不再引进新铅酸蓄电池项目。（责任单位：市发改委、市工信局、市生态环境局，各县市区政府）</w:t>
                  </w:r>
                </w:p>
              </w:tc>
              <w:tc>
                <w:tcPr>
                  <w:tcW w:w="1318" w:type="pct"/>
                  <w:tcBorders>
                    <w:tl2br w:val="nil"/>
                    <w:tr2bl w:val="nil"/>
                  </w:tcBorders>
                  <w:vAlign w:val="center"/>
                </w:tcPr>
                <w:p w14:paraId="6D9FAB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本项目满足《产业结构调整指导目录》《江西省长江经济带发展负面清单实施细则（试行）》要求</w:t>
                  </w:r>
                  <w:r>
                    <w:rPr>
                      <w:rFonts w:hint="eastAsia"/>
                      <w:color w:val="auto"/>
                      <w:highlight w:val="none"/>
                    </w:rPr>
                    <w:t>。本项目属于“第一类鼓励类”中“四十二、环境保护与资源节约综合利用8、废弃物循环利用：煤矸石、粉煤灰、尾矿（共伴生矿）、冶炼渣、工业副产石膏、赤泥、</w:t>
                  </w:r>
                  <w:r>
                    <w:rPr>
                      <w:rFonts w:hint="eastAsia"/>
                      <w:color w:val="auto"/>
                      <w:highlight w:val="none"/>
                      <w:lang w:eastAsia="zh-CN"/>
                    </w:rPr>
                    <w:t>建筑废料</w:t>
                  </w:r>
                  <w:r>
                    <w:rPr>
                      <w:rFonts w:hint="eastAsia"/>
                      <w:color w:val="auto"/>
                      <w:highlight w:val="none"/>
                    </w:rPr>
                    <w:t>等工业废弃物循环利用”，不属于碳酸锂生产型企业。</w:t>
                  </w:r>
                </w:p>
              </w:tc>
              <w:tc>
                <w:tcPr>
                  <w:tcW w:w="351" w:type="pct"/>
                  <w:tcBorders>
                    <w:tl2br w:val="nil"/>
                    <w:tr2bl w:val="nil"/>
                  </w:tcBorders>
                  <w:vAlign w:val="center"/>
                </w:tcPr>
                <w:p w14:paraId="0A75C7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56EE1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691DA0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w:t>
                  </w:r>
                </w:p>
              </w:tc>
              <w:tc>
                <w:tcPr>
                  <w:tcW w:w="3109" w:type="pct"/>
                  <w:tcBorders>
                    <w:tl2br w:val="nil"/>
                    <w:tr2bl w:val="nil"/>
                  </w:tcBorders>
                  <w:vAlign w:val="center"/>
                </w:tcPr>
                <w:p w14:paraId="592551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延链强链补链。积极发展产业链中后端领域，支持动力电池项目建设，做大做强锂电池生产环节。瞄准扩大锂电下游应用领域，加快引进知名新能源汽车生产企业以及“三电”等关键零部件配套企业，推动锂电产业链延伸和价值链提升。（责任单位：市工信局、市发改委、市商务局，各县市区政府）</w:t>
                  </w:r>
                </w:p>
              </w:tc>
              <w:tc>
                <w:tcPr>
                  <w:tcW w:w="1318" w:type="pct"/>
                  <w:tcBorders>
                    <w:tl2br w:val="nil"/>
                    <w:tr2bl w:val="nil"/>
                  </w:tcBorders>
                  <w:vAlign w:val="center"/>
                </w:tcPr>
                <w:p w14:paraId="6896D6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22"/>
                      <w:szCs w:val="22"/>
                      <w:highlight w:val="none"/>
                      <w:lang w:eastAsia="zh-CN"/>
                    </w:rPr>
                  </w:pPr>
                  <w:r>
                    <w:rPr>
                      <w:rFonts w:hint="eastAsia"/>
                      <w:color w:val="auto"/>
                      <w:highlight w:val="none"/>
                    </w:rPr>
                    <w:t>本项目是对</w:t>
                  </w:r>
                  <w:r>
                    <w:rPr>
                      <w:rFonts w:hint="eastAsia"/>
                      <w:color w:val="auto"/>
                      <w:highlight w:val="none"/>
                      <w:lang w:eastAsia="zh-CN"/>
                    </w:rPr>
                    <w:t>锂渣</w:t>
                  </w:r>
                  <w:r>
                    <w:rPr>
                      <w:rFonts w:hint="eastAsia"/>
                      <w:color w:val="auto"/>
                      <w:highlight w:val="none"/>
                    </w:rPr>
                    <w:t>的综合利用，属于锂电新能源产业</w:t>
                  </w:r>
                  <w:r>
                    <w:rPr>
                      <w:rFonts w:hint="default"/>
                      <w:color w:val="auto"/>
                      <w:highlight w:val="none"/>
                    </w:rPr>
                    <w:t>链</w:t>
                  </w:r>
                  <w:r>
                    <w:rPr>
                      <w:rFonts w:hint="eastAsia"/>
                      <w:color w:val="auto"/>
                      <w:highlight w:val="none"/>
                      <w:lang w:val="en-US" w:eastAsia="zh-CN"/>
                    </w:rPr>
                    <w:t>的</w:t>
                  </w:r>
                  <w:r>
                    <w:rPr>
                      <w:rFonts w:hint="default"/>
                      <w:color w:val="auto"/>
                      <w:highlight w:val="none"/>
                    </w:rPr>
                    <w:t>延伸</w:t>
                  </w:r>
                  <w:r>
                    <w:rPr>
                      <w:rFonts w:hint="eastAsia"/>
                      <w:color w:val="auto"/>
                      <w:highlight w:val="none"/>
                      <w:lang w:eastAsia="zh-CN"/>
                    </w:rPr>
                    <w:t>。</w:t>
                  </w:r>
                </w:p>
              </w:tc>
              <w:tc>
                <w:tcPr>
                  <w:tcW w:w="351" w:type="pct"/>
                  <w:tcBorders>
                    <w:tl2br w:val="nil"/>
                    <w:tr2bl w:val="nil"/>
                  </w:tcBorders>
                  <w:vAlign w:val="center"/>
                </w:tcPr>
                <w:p w14:paraId="3546F8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66DB54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38FEF0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3</w:t>
                  </w:r>
                </w:p>
              </w:tc>
              <w:tc>
                <w:tcPr>
                  <w:tcW w:w="3109" w:type="pct"/>
                  <w:tcBorders>
                    <w:tl2br w:val="nil"/>
                    <w:tr2bl w:val="nil"/>
                  </w:tcBorders>
                  <w:vAlign w:val="center"/>
                </w:tcPr>
                <w:p w14:paraId="5F7E53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从严环境准入。严格执行《建设项目环境影响评价分类管理名录》要求，将以锂云母、锂辉石、锂渣等为原料进行焙烧生产碳酸锂及其他中间产品等项目划定为无机化工行业，编制环境影响评价报告书，污染物排放执行《无机化学工业污染物排放标准》（GB31573-2015）。碳酸锂及中间产品生产必须有合法合规的原料来源，如涉及危险废物、五类重金属、高氟等工业固废不得作为原料，严禁非法随意添加环评批复外的原辅材料。（责任单位：市生态环境局，各县市区政府）</w:t>
                  </w:r>
                </w:p>
              </w:tc>
              <w:tc>
                <w:tcPr>
                  <w:tcW w:w="1318" w:type="pct"/>
                  <w:tcBorders>
                    <w:tl2br w:val="nil"/>
                    <w:tr2bl w:val="nil"/>
                  </w:tcBorders>
                  <w:vAlign w:val="center"/>
                </w:tcPr>
                <w:p w14:paraId="4C9892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rPr>
                    <w:t>本项目是对</w:t>
                  </w:r>
                  <w:r>
                    <w:rPr>
                      <w:rFonts w:hint="eastAsia"/>
                      <w:color w:val="auto"/>
                      <w:highlight w:val="none"/>
                      <w:lang w:eastAsia="zh-CN"/>
                    </w:rPr>
                    <w:t>锂渣</w:t>
                  </w:r>
                  <w:r>
                    <w:rPr>
                      <w:rFonts w:hint="eastAsia"/>
                      <w:color w:val="auto"/>
                      <w:highlight w:val="none"/>
                    </w:rPr>
                    <w:t>的综合利用，使用的每批次</w:t>
                  </w:r>
                  <w:r>
                    <w:rPr>
                      <w:rFonts w:hint="eastAsia"/>
                      <w:color w:val="auto"/>
                      <w:highlight w:val="none"/>
                      <w:lang w:eastAsia="zh-CN"/>
                    </w:rPr>
                    <w:t>锂渣</w:t>
                  </w:r>
                  <w:r>
                    <w:rPr>
                      <w:rFonts w:hint="eastAsia"/>
                      <w:color w:val="auto"/>
                      <w:highlight w:val="none"/>
                    </w:rPr>
                    <w:t>进行固废属性鉴定（包含铊、氟化物在内的成分分析和放射性分析）</w:t>
                  </w:r>
                  <w:r>
                    <w:rPr>
                      <w:rFonts w:hint="eastAsia"/>
                      <w:color w:val="auto"/>
                      <w:highlight w:val="none"/>
                      <w:lang w:eastAsia="zh-CN"/>
                    </w:rPr>
                    <w:t>，</w:t>
                  </w:r>
                  <w:r>
                    <w:rPr>
                      <w:rFonts w:hint="eastAsia"/>
                      <w:color w:val="auto"/>
                      <w:highlight w:val="none"/>
                      <w:lang w:val="en-US" w:eastAsia="zh-CN"/>
                    </w:rPr>
                    <w:t>并满足环评提出的要求。</w:t>
                  </w:r>
                </w:p>
              </w:tc>
              <w:tc>
                <w:tcPr>
                  <w:tcW w:w="351" w:type="pct"/>
                  <w:tcBorders>
                    <w:tl2br w:val="nil"/>
                    <w:tr2bl w:val="nil"/>
                  </w:tcBorders>
                  <w:vAlign w:val="center"/>
                </w:tcPr>
                <w:p w14:paraId="422BB5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726964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42C4F2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4</w:t>
                  </w:r>
                </w:p>
              </w:tc>
              <w:tc>
                <w:tcPr>
                  <w:tcW w:w="3109" w:type="pct"/>
                  <w:tcBorders>
                    <w:tl2br w:val="nil"/>
                    <w:tr2bl w:val="nil"/>
                  </w:tcBorders>
                  <w:vAlign w:val="center"/>
                </w:tcPr>
                <w:p w14:paraId="66C446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加快能源绿色转型。加快推进宜丰县、袁州区、万载县、靖安县、铜鼓县和高安市6个省级以上工业园区循环化改造。鼓励具备条件的煤电机组开展灵活性改造，谋划推进全市</w:t>
                  </w:r>
                  <w:r>
                    <w:rPr>
                      <w:rFonts w:hint="default"/>
                      <w:highlight w:val="none"/>
                    </w:rPr>
                    <w:t>热</w:t>
                  </w:r>
                  <w:r>
                    <w:rPr>
                      <w:rFonts w:hint="eastAsia"/>
                      <w:highlight w:val="none"/>
                      <w:lang w:eastAsia="zh-CN"/>
                    </w:rPr>
                    <w:t>电</w:t>
                  </w:r>
                  <w:r>
                    <w:rPr>
                      <w:rFonts w:hint="default"/>
                      <w:color w:val="auto"/>
                      <w:highlight w:val="none"/>
                    </w:rPr>
                    <w:t>联产项目建设，加强电煤有效供应与煤炭清洁高效利用。加快推进全市电网、燃气管网建设，打造与全市产业发展相适应的智能化电力、燃气输送网络，加快电力、天然气替代。大力推进光伏发电，鼓励锂电企业配套建设储能设施，不断提升可再生能源消纳能力。（责任单位：市发改委、市工信局、市财政局，各县市区政府）</w:t>
                  </w:r>
                </w:p>
              </w:tc>
              <w:tc>
                <w:tcPr>
                  <w:tcW w:w="1318" w:type="pct"/>
                  <w:tcBorders>
                    <w:tl2br w:val="nil"/>
                    <w:tr2bl w:val="nil"/>
                  </w:tcBorders>
                  <w:vAlign w:val="center"/>
                </w:tcPr>
                <w:p w14:paraId="3069AF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项目位于</w:t>
                  </w:r>
                  <w:r>
                    <w:rPr>
                      <w:rFonts w:hint="eastAsia"/>
                      <w:color w:val="auto"/>
                      <w:highlight w:val="none"/>
                      <w:lang w:val="en-US" w:eastAsia="zh-CN"/>
                    </w:rPr>
                    <w:t>高安市建筑陶瓷产业园</w:t>
                  </w:r>
                  <w:r>
                    <w:rPr>
                      <w:rFonts w:hint="eastAsia"/>
                      <w:color w:val="auto"/>
                      <w:highlight w:val="none"/>
                    </w:rPr>
                    <w:t>内</w:t>
                  </w:r>
                  <w:r>
                    <w:rPr>
                      <w:rFonts w:hint="default"/>
                      <w:color w:val="auto"/>
                      <w:highlight w:val="none"/>
                    </w:rPr>
                    <w:t>，园区已配套建设供气管网、市政电网等</w:t>
                  </w:r>
                  <w:r>
                    <w:rPr>
                      <w:rFonts w:hint="eastAsia"/>
                      <w:color w:val="auto"/>
                      <w:highlight w:val="none"/>
                    </w:rPr>
                    <w:t>。</w:t>
                  </w:r>
                </w:p>
              </w:tc>
              <w:tc>
                <w:tcPr>
                  <w:tcW w:w="351" w:type="pct"/>
                  <w:tcBorders>
                    <w:tl2br w:val="nil"/>
                    <w:tr2bl w:val="nil"/>
                  </w:tcBorders>
                  <w:vAlign w:val="center"/>
                </w:tcPr>
                <w:p w14:paraId="462F47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7BC40D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286AE5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5</w:t>
                  </w:r>
                </w:p>
              </w:tc>
              <w:tc>
                <w:tcPr>
                  <w:tcW w:w="3109" w:type="pct"/>
                  <w:tcBorders>
                    <w:tl2br w:val="nil"/>
                    <w:tr2bl w:val="nil"/>
                  </w:tcBorders>
                  <w:vAlign w:val="center"/>
                </w:tcPr>
                <w:p w14:paraId="5920E9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强化能耗强度硬性约束。认真落实《宜春市加强高耗能高排放项目准入管理若干措施》，对高耗能高排放项目全面推行清单管理、分类处置、动态监控。新建高耗能高排放项目严格落实产能、煤耗、能耗、碳排放、污染物排放等区域等量削减要求；对存量项目积极有序开展节能降碳技术改造，加快淘汰落后产能。（责任单位：市发改委、市工信局、市生态环境局，各县市区政府）</w:t>
                  </w:r>
                </w:p>
              </w:tc>
              <w:tc>
                <w:tcPr>
                  <w:tcW w:w="1318" w:type="pct"/>
                  <w:tcBorders>
                    <w:tl2br w:val="nil"/>
                    <w:tr2bl w:val="nil"/>
                  </w:tcBorders>
                  <w:vAlign w:val="center"/>
                </w:tcPr>
                <w:p w14:paraId="4AD4CD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项目是对</w:t>
                  </w:r>
                  <w:r>
                    <w:rPr>
                      <w:rFonts w:hint="eastAsia"/>
                      <w:color w:val="auto"/>
                      <w:highlight w:val="none"/>
                      <w:lang w:eastAsia="zh-CN"/>
                    </w:rPr>
                    <w:t>锂渣</w:t>
                  </w:r>
                  <w:r>
                    <w:rPr>
                      <w:rFonts w:hint="default"/>
                      <w:color w:val="auto"/>
                      <w:highlight w:val="none"/>
                    </w:rPr>
                    <w:t>的综合利用，根据《江西省“两高”项目管理目录》（2023年版），本项目可不纳入“两高”项目管理。</w:t>
                  </w:r>
                </w:p>
              </w:tc>
              <w:tc>
                <w:tcPr>
                  <w:tcW w:w="351" w:type="pct"/>
                  <w:tcBorders>
                    <w:tl2br w:val="nil"/>
                    <w:tr2bl w:val="nil"/>
                  </w:tcBorders>
                  <w:vAlign w:val="center"/>
                </w:tcPr>
                <w:p w14:paraId="27818A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69D636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57DA93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6</w:t>
                  </w:r>
                </w:p>
              </w:tc>
              <w:tc>
                <w:tcPr>
                  <w:tcW w:w="3109" w:type="pct"/>
                  <w:tcBorders>
                    <w:tl2br w:val="nil"/>
                    <w:tr2bl w:val="nil"/>
                  </w:tcBorders>
                  <w:vAlign w:val="center"/>
                </w:tcPr>
                <w:p w14:paraId="2464B4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开展节能审查。按照《固定资产投资项目节能审查办法》和《江西省工业固定资产投资（技改）项目节能评估和审查办法》，加强固定资产投资项目节能管理。围绕锂电新能源、铅酸蓄电池等重点行业，开展节能审查未批先建情况自查，按照建成、在建、拟建、未批先建四种情形，形成四张清单，对未按规定进行节能审查，或节能审查未通过，擅自开工建设或擅自投入生产、使用的固定资产投资项目，由节能审查机关依法依规进行处理。（责任单位：市发改委、市工信局，各县市区政府）</w:t>
                  </w:r>
                </w:p>
              </w:tc>
              <w:tc>
                <w:tcPr>
                  <w:tcW w:w="1318" w:type="pct"/>
                  <w:tcBorders>
                    <w:tl2br w:val="nil"/>
                    <w:tr2bl w:val="nil"/>
                  </w:tcBorders>
                  <w:vAlign w:val="center"/>
                </w:tcPr>
                <w:p w14:paraId="1E9861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项目按要求开展节能审查</w:t>
                  </w:r>
                  <w:r>
                    <w:rPr>
                      <w:rFonts w:hint="eastAsia"/>
                      <w:color w:val="auto"/>
                      <w:highlight w:val="none"/>
                    </w:rPr>
                    <w:t>。</w:t>
                  </w:r>
                </w:p>
              </w:tc>
              <w:tc>
                <w:tcPr>
                  <w:tcW w:w="351" w:type="pct"/>
                  <w:tcBorders>
                    <w:tl2br w:val="nil"/>
                    <w:tr2bl w:val="nil"/>
                  </w:tcBorders>
                  <w:vAlign w:val="center"/>
                </w:tcPr>
                <w:p w14:paraId="16196F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E7486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7C295C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7</w:t>
                  </w:r>
                </w:p>
              </w:tc>
              <w:tc>
                <w:tcPr>
                  <w:tcW w:w="3109" w:type="pct"/>
                  <w:tcBorders>
                    <w:tl2br w:val="nil"/>
                    <w:tr2bl w:val="nil"/>
                  </w:tcBorders>
                  <w:vAlign w:val="center"/>
                </w:tcPr>
                <w:p w14:paraId="4D5833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强化科技研发。通过“揭榜挂帅”等方式激发创新潜能，鼓励锂电、铅酸蓄电池企业开展科技研发和技术攻关，将含锂瓷土矿绿色开采、锂云母选矿、锂渣消纳处置、废旧锂电池回收利用等技术等纳入全市科技计划，给予重点支持，尤其对锂电、铅酸蓄电池行业除氟、除铊等现有技术优化升级优先支持。（责任单位：市科技局）</w:t>
                  </w:r>
                </w:p>
              </w:tc>
              <w:tc>
                <w:tcPr>
                  <w:tcW w:w="1318" w:type="pct"/>
                  <w:tcBorders>
                    <w:tl2br w:val="nil"/>
                    <w:tr2bl w:val="nil"/>
                  </w:tcBorders>
                  <w:vAlign w:val="center"/>
                </w:tcPr>
                <w:p w14:paraId="374116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本项目是对</w:t>
                  </w:r>
                  <w:r>
                    <w:rPr>
                      <w:rFonts w:hint="eastAsia"/>
                      <w:color w:val="auto"/>
                      <w:highlight w:val="none"/>
                      <w:lang w:eastAsia="zh-CN"/>
                    </w:rPr>
                    <w:t>锂渣</w:t>
                  </w:r>
                  <w:r>
                    <w:rPr>
                      <w:rFonts w:hint="eastAsia"/>
                      <w:color w:val="auto"/>
                      <w:highlight w:val="none"/>
                    </w:rPr>
                    <w:t>的综合利用，属于锂渣消纳处置</w:t>
                  </w:r>
                  <w:r>
                    <w:rPr>
                      <w:rFonts w:hint="eastAsia"/>
                      <w:color w:val="auto"/>
                      <w:highlight w:val="none"/>
                      <w:lang w:val="en-US" w:eastAsia="zh-CN"/>
                    </w:rPr>
                    <w:t>为</w:t>
                  </w:r>
                  <w:r>
                    <w:rPr>
                      <w:rFonts w:hint="default"/>
                      <w:color w:val="auto"/>
                      <w:highlight w:val="none"/>
                    </w:rPr>
                    <w:t>全市科技计划，</w:t>
                  </w:r>
                  <w:r>
                    <w:rPr>
                      <w:rFonts w:hint="eastAsia"/>
                      <w:color w:val="auto"/>
                      <w:highlight w:val="none"/>
                      <w:lang w:val="en-US" w:eastAsia="zh-CN"/>
                    </w:rPr>
                    <w:t>为</w:t>
                  </w:r>
                  <w:r>
                    <w:rPr>
                      <w:rFonts w:hint="default"/>
                      <w:color w:val="auto"/>
                      <w:highlight w:val="none"/>
                    </w:rPr>
                    <w:t>重点支持</w:t>
                  </w:r>
                  <w:r>
                    <w:rPr>
                      <w:rFonts w:hint="eastAsia"/>
                      <w:color w:val="auto"/>
                      <w:highlight w:val="none"/>
                      <w:lang w:val="en-US" w:eastAsia="zh-CN"/>
                    </w:rPr>
                    <w:t>项目</w:t>
                  </w:r>
                  <w:r>
                    <w:rPr>
                      <w:rFonts w:hint="eastAsia" w:eastAsia="宋体"/>
                      <w:color w:val="auto"/>
                      <w:highlight w:val="none"/>
                      <w:lang w:eastAsia="zh-CN"/>
                    </w:rPr>
                    <w:t>。</w:t>
                  </w:r>
                </w:p>
              </w:tc>
              <w:tc>
                <w:tcPr>
                  <w:tcW w:w="351" w:type="pct"/>
                  <w:tcBorders>
                    <w:tl2br w:val="nil"/>
                    <w:tr2bl w:val="nil"/>
                  </w:tcBorders>
                  <w:vAlign w:val="center"/>
                </w:tcPr>
                <w:p w14:paraId="4D51F6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26CD2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0BA834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8</w:t>
                  </w:r>
                </w:p>
              </w:tc>
              <w:tc>
                <w:tcPr>
                  <w:tcW w:w="3109" w:type="pct"/>
                  <w:tcBorders>
                    <w:tl2br w:val="nil"/>
                    <w:tr2bl w:val="nil"/>
                  </w:tcBorders>
                  <w:vAlign w:val="center"/>
                </w:tcPr>
                <w:p w14:paraId="53D135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实现综合利用。以全面提高长石粉、锂渣综合利用能力和水平为目标，重点在拉长产业链上下功夫，强化创新驱动，通过技术手段拓展消纳处理途径，将长石粉、锂渣转变成更多产品。在宜丰县、奉新县、万载县、高安市、袁州区（含宜春经开区）五地规范建设锂渣消纳场，探索推进锂渣公路路基筑路材料应用等锂矿资源循环利用，基本实现贮存能力、处置能力与产废情况总体匹配。（责任单位：市工信局、市科技局、市交通运输局、市公路事业发展中心，宜丰县、奉新县、万载县、高安市、袁州区政府及宜春经开区管委会）</w:t>
                  </w:r>
                </w:p>
              </w:tc>
              <w:tc>
                <w:tcPr>
                  <w:tcW w:w="1318" w:type="pct"/>
                  <w:tcBorders>
                    <w:tl2br w:val="nil"/>
                    <w:tr2bl w:val="nil"/>
                  </w:tcBorders>
                  <w:vAlign w:val="center"/>
                </w:tcPr>
                <w:p w14:paraId="02FB8F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本项目是对</w:t>
                  </w:r>
                  <w:r>
                    <w:rPr>
                      <w:rFonts w:hint="eastAsia"/>
                      <w:color w:val="auto"/>
                      <w:highlight w:val="none"/>
                      <w:lang w:eastAsia="zh-CN"/>
                    </w:rPr>
                    <w:t>锂渣</w:t>
                  </w:r>
                  <w:r>
                    <w:rPr>
                      <w:rFonts w:hint="eastAsia"/>
                      <w:color w:val="auto"/>
                      <w:highlight w:val="none"/>
                    </w:rPr>
                    <w:t>的综合利用。</w:t>
                  </w:r>
                </w:p>
              </w:tc>
              <w:tc>
                <w:tcPr>
                  <w:tcW w:w="351" w:type="pct"/>
                  <w:tcBorders>
                    <w:tl2br w:val="nil"/>
                    <w:tr2bl w:val="nil"/>
                  </w:tcBorders>
                  <w:vAlign w:val="center"/>
                </w:tcPr>
                <w:p w14:paraId="2EDBC3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DB69A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3295A6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w:t>
                  </w:r>
                </w:p>
              </w:tc>
              <w:tc>
                <w:tcPr>
                  <w:tcW w:w="3109" w:type="pct"/>
                  <w:tcBorders>
                    <w:tl2br w:val="nil"/>
                    <w:tr2bl w:val="nil"/>
                  </w:tcBorders>
                  <w:vAlign w:val="center"/>
                </w:tcPr>
                <w:p w14:paraId="227759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坚持规划引领科学布局。按照“统筹规划、合理布局、因地制宜、生态保护”原则，严守开发红线，集中设置矿权，发挥矿规龙头作用，严格落实矿山准入条件，实现小型矿山减量化，提高中大型矿山比例，全面落实矿产资源总体规划。（责任单位：市自然资源局、市生态环境局、市应急管理局、市林业局、市水利局、市农业农村局，各县市区政府）</w:t>
                  </w:r>
                </w:p>
              </w:tc>
              <w:tc>
                <w:tcPr>
                  <w:tcW w:w="1318" w:type="pct"/>
                  <w:tcBorders>
                    <w:tl2br w:val="nil"/>
                    <w:tr2bl w:val="nil"/>
                  </w:tcBorders>
                  <w:vAlign w:val="center"/>
                </w:tcPr>
                <w:p w14:paraId="156D3F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本项目不属于矿山开采项目</w:t>
                  </w:r>
                  <w:r>
                    <w:rPr>
                      <w:rFonts w:hint="eastAsia"/>
                      <w:color w:val="auto"/>
                      <w:highlight w:val="none"/>
                    </w:rPr>
                    <w:t>。</w:t>
                  </w:r>
                </w:p>
              </w:tc>
              <w:tc>
                <w:tcPr>
                  <w:tcW w:w="351" w:type="pct"/>
                  <w:tcBorders>
                    <w:tl2br w:val="nil"/>
                    <w:tr2bl w:val="nil"/>
                  </w:tcBorders>
                  <w:vAlign w:val="center"/>
                </w:tcPr>
                <w:p w14:paraId="3B53AF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2000B7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2DA1F5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10</w:t>
                  </w:r>
                </w:p>
              </w:tc>
              <w:tc>
                <w:tcPr>
                  <w:tcW w:w="3109" w:type="pct"/>
                  <w:tcBorders>
                    <w:tl2br w:val="nil"/>
                    <w:tr2bl w:val="nil"/>
                  </w:tcBorders>
                  <w:vAlign w:val="center"/>
                </w:tcPr>
                <w:p w14:paraId="516D79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规范矿山开发利用。督促矿山企业严格按照采矿许可证证载规模和“三合一”方案（矿产资源开发利用、地质环境恢复治理和土地复垦方案）进行规范开采。扎实推进绿色矿山建设，新建含锂瓷土矿类矿山、选矿建设项目，必须制定尾砂尾泥工业化消纳处理方案，无法消纳处理尾砂尾泥的相关建设项目必须同步规划建设尾砂库。（责任单位：市自然资源局、市生态环境局、市应急管理局、市交通运输局，各县市区政府）</w:t>
                  </w:r>
                </w:p>
              </w:tc>
              <w:tc>
                <w:tcPr>
                  <w:tcW w:w="1318" w:type="pct"/>
                  <w:tcBorders>
                    <w:tl2br w:val="nil"/>
                    <w:tr2bl w:val="nil"/>
                  </w:tcBorders>
                  <w:vAlign w:val="center"/>
                </w:tcPr>
                <w:p w14:paraId="58C81E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本项目不属于矿山开采项目</w:t>
                  </w:r>
                  <w:r>
                    <w:rPr>
                      <w:rFonts w:hint="eastAsia"/>
                      <w:color w:val="auto"/>
                      <w:highlight w:val="none"/>
                    </w:rPr>
                    <w:t>。</w:t>
                  </w:r>
                </w:p>
              </w:tc>
              <w:tc>
                <w:tcPr>
                  <w:tcW w:w="351" w:type="pct"/>
                  <w:tcBorders>
                    <w:tl2br w:val="nil"/>
                    <w:tr2bl w:val="nil"/>
                  </w:tcBorders>
                  <w:vAlign w:val="center"/>
                </w:tcPr>
                <w:p w14:paraId="0B12A1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4C1C5C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5A5698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11</w:t>
                  </w:r>
                </w:p>
              </w:tc>
              <w:tc>
                <w:tcPr>
                  <w:tcW w:w="3109" w:type="pct"/>
                  <w:tcBorders>
                    <w:tl2br w:val="nil"/>
                    <w:tr2bl w:val="nil"/>
                  </w:tcBorders>
                  <w:vAlign w:val="center"/>
                </w:tcPr>
                <w:p w14:paraId="4529F4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排土场监管。督促矿山企业做好开采时表土剥离工作，将表土层作为矿区后期复垦复绿土壤使用。排土场的选址应尽量少占土地，做好防尘管护及水土流失管护，对于已完成排土且暂不利用的排土场范围要做好复绿。（责任单位：市自然资源局、市生态环境局、市水利局，各县市区政府）</w:t>
                  </w:r>
                </w:p>
              </w:tc>
              <w:tc>
                <w:tcPr>
                  <w:tcW w:w="1318" w:type="pct"/>
                  <w:tcBorders>
                    <w:tl2br w:val="nil"/>
                    <w:tr2bl w:val="nil"/>
                  </w:tcBorders>
                  <w:vAlign w:val="center"/>
                </w:tcPr>
                <w:p w14:paraId="3D1A3D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本项目不属于矿山开采项目</w:t>
                  </w:r>
                  <w:r>
                    <w:rPr>
                      <w:rFonts w:hint="eastAsia"/>
                      <w:color w:val="auto"/>
                      <w:highlight w:val="none"/>
                    </w:rPr>
                    <w:t>。</w:t>
                  </w:r>
                </w:p>
              </w:tc>
              <w:tc>
                <w:tcPr>
                  <w:tcW w:w="351" w:type="pct"/>
                  <w:tcBorders>
                    <w:tl2br w:val="nil"/>
                    <w:tr2bl w:val="nil"/>
                  </w:tcBorders>
                  <w:vAlign w:val="center"/>
                </w:tcPr>
                <w:p w14:paraId="08508E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442940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425CF6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12</w:t>
                  </w:r>
                </w:p>
              </w:tc>
              <w:tc>
                <w:tcPr>
                  <w:tcW w:w="3109" w:type="pct"/>
                  <w:tcBorders>
                    <w:tl2br w:val="nil"/>
                    <w:tr2bl w:val="nil"/>
                  </w:tcBorders>
                  <w:vAlign w:val="center"/>
                </w:tcPr>
                <w:p w14:paraId="10D41A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水环境治理。按照“清污分流、雨污分流”“雨水明沟化、污水明管化”及园区纳管企业“一企一管”要求，对园区、企业管网进行全面升级改造，加强初期雨水收集、处理和回用，科学配备初期雨水收集池和事故应急池，督促对新建的含锂瓷土矿采选、碳酸锂生产、铅酸蓄电池、冶炼等企业及相关园区污水处理厂在开展项目环境风险评估时要对铊、氟等污染因子进行分析并落实防治措施，同时对已投产的项目立即进行环评后评估，根据评估意见确定是否增设除铊除氟设施。对锂电、铅酸蓄电池、冶炼、陶瓷等行业企业的污染防治设施排口和雨水排口，以及相关工业园区污水处理厂进水口、污水总排口和雨水总排口加装氟化物、铊等特征污染物在线监控设备。（责任单位：市生态环境局、市工信局，各县市区政府）</w:t>
                  </w:r>
                </w:p>
              </w:tc>
              <w:tc>
                <w:tcPr>
                  <w:tcW w:w="1318" w:type="pct"/>
                  <w:tcBorders>
                    <w:tl2br w:val="nil"/>
                    <w:tr2bl w:val="nil"/>
                  </w:tcBorders>
                  <w:vAlign w:val="center"/>
                </w:tcPr>
                <w:p w14:paraId="384E5EBF">
                  <w:pPr>
                    <w:pStyle w:val="78"/>
                    <w:keepNext w:val="0"/>
                    <w:keepLines w:val="0"/>
                    <w:pageBreakBefore w:val="0"/>
                    <w:widowControl w:val="0"/>
                    <w:numPr>
                      <w:ilvl w:val="0"/>
                      <w:numId w:val="10"/>
                    </w:numPr>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val="en-US" w:eastAsia="zh-CN"/>
                    </w:rPr>
                    <w:t>项目位于江西省建筑陶瓷产业基地江西恒辉陶瓷有限公司厂区内，厂内已布局好雨水管网和污水管网，江西恒辉陶瓷有限公司周边雨污管网敷设完善。项目雨污分流，仅生活污水排放，生产废水不外排，雨水收集、处理、排放依托现有措施。项目产生的废水经厂区预处理后排入园区污水处理厂深度处理，尾水达《城镇污水处理厂污染物排放标准》（GB18918-2002）中一级A标准后排放至肖江。</w:t>
                  </w:r>
                </w:p>
                <w:p w14:paraId="08D3E8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FF0000"/>
                      <w:highlight w:val="none"/>
                    </w:rPr>
                    <w:t>2、项目不属于锂电生产型企业，但本次评价要求建设单位在雨水排放口设有氟化物、铊在线监测设备，并与市、县两级在线监控管理平台联网。</w:t>
                  </w:r>
                </w:p>
              </w:tc>
              <w:tc>
                <w:tcPr>
                  <w:tcW w:w="351" w:type="pct"/>
                  <w:tcBorders>
                    <w:tl2br w:val="nil"/>
                    <w:tr2bl w:val="nil"/>
                  </w:tcBorders>
                  <w:vAlign w:val="center"/>
                </w:tcPr>
                <w:p w14:paraId="7845A5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330802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665A90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13</w:t>
                  </w:r>
                </w:p>
              </w:tc>
              <w:tc>
                <w:tcPr>
                  <w:tcW w:w="3109" w:type="pct"/>
                  <w:tcBorders>
                    <w:tl2br w:val="nil"/>
                    <w:tr2bl w:val="nil"/>
                  </w:tcBorders>
                  <w:vAlign w:val="center"/>
                </w:tcPr>
                <w:p w14:paraId="43BF4A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大气环境治理。督促相关企业特别是含锂瓷土矿采选、碳酸锂生产企业完善喷雾、喷淋、洒水等降尘抑尘和机扫吸尘除尘措施，高标准配备进出场车辆冲洗平台，沿线道路全面硬化，运输车辆全部篷布遮盖，严格控制碳酸锂生产企业铊等特征污染物汽化进入废气。（责任单位：市生态环境局，各县市区政府）</w:t>
                  </w:r>
                </w:p>
              </w:tc>
              <w:tc>
                <w:tcPr>
                  <w:tcW w:w="1318" w:type="pct"/>
                  <w:tcBorders>
                    <w:tl2br w:val="nil"/>
                    <w:tr2bl w:val="nil"/>
                  </w:tcBorders>
                  <w:vAlign w:val="center"/>
                </w:tcPr>
                <w:p w14:paraId="609C6F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w:t>
                  </w:r>
                  <w:r>
                    <w:rPr>
                      <w:rFonts w:hint="default"/>
                      <w:color w:val="auto"/>
                      <w:highlight w:val="none"/>
                    </w:rPr>
                    <w:t>项目运营期项目采用皮带输送机进行输送，物料装卸、储存、输送、破碎过程中产尘点均采取了有效抑尘措施</w:t>
                  </w:r>
                  <w:r>
                    <w:rPr>
                      <w:rFonts w:hint="eastAsia"/>
                      <w:color w:val="auto"/>
                      <w:highlight w:val="none"/>
                    </w:rPr>
                    <w:t>。2、项目运输车辆使用遮盖运输，不进行敞篷运输。</w:t>
                  </w:r>
                </w:p>
              </w:tc>
              <w:tc>
                <w:tcPr>
                  <w:tcW w:w="351" w:type="pct"/>
                  <w:tcBorders>
                    <w:tl2br w:val="nil"/>
                    <w:tr2bl w:val="nil"/>
                  </w:tcBorders>
                  <w:vAlign w:val="center"/>
                </w:tcPr>
                <w:p w14:paraId="47CBDF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2C6881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4C8002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14</w:t>
                  </w:r>
                </w:p>
              </w:tc>
              <w:tc>
                <w:tcPr>
                  <w:tcW w:w="3109" w:type="pct"/>
                  <w:tcBorders>
                    <w:tl2br w:val="nil"/>
                    <w:tr2bl w:val="nil"/>
                  </w:tcBorders>
                  <w:vAlign w:val="center"/>
                </w:tcPr>
                <w:p w14:paraId="412AB0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土壤污染防治。督促相关企业建立完善固废产生、储存、处置利用三本台账，实现工业固废可追溯、可查询闭环管理，建立健全全过程污染环境防治责任制度，按国家标准建设一般固体废物和危险废物贮存设施、场所，安全分类存放。对碳酸锂生产和锂渣坯生产等企业产生的二次提锂锂渣、废气处理循环池的污泥，组织开展危险废物属性鉴定，并根据鉴定结果实施分类管理，鉴定结果出来前，在污泥压榨、收集、储存、转运、利用、处置等环节参照危险废物管理要求进行管理。危废暂存库、污水处理池、事故池、生产车间等重点区域要严格按环评及批复要求落实防腐防渗措施，防止污染土壤和地下水。（责任单位：市生态环境局，各县市区政府）</w:t>
                  </w:r>
                </w:p>
              </w:tc>
              <w:tc>
                <w:tcPr>
                  <w:tcW w:w="1318" w:type="pct"/>
                  <w:tcBorders>
                    <w:tl2br w:val="nil"/>
                    <w:tr2bl w:val="nil"/>
                  </w:tcBorders>
                  <w:vAlign w:val="center"/>
                </w:tcPr>
                <w:p w14:paraId="761EB7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1、项目使用的原料为一般工业固废，设置了专门的储存区域。</w:t>
                  </w:r>
                </w:p>
                <w:p w14:paraId="523D86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r>
                    <w:rPr>
                      <w:rFonts w:hint="default"/>
                      <w:color w:val="auto"/>
                      <w:highlight w:val="none"/>
                    </w:rPr>
                    <w:t>危废暂存库、</w:t>
                  </w:r>
                  <w:r>
                    <w:rPr>
                      <w:rFonts w:hint="eastAsia"/>
                      <w:color w:val="auto"/>
                      <w:highlight w:val="none"/>
                      <w:lang w:eastAsia="zh-CN"/>
                    </w:rPr>
                    <w:t>沉淀池</w:t>
                  </w:r>
                  <w:r>
                    <w:rPr>
                      <w:rFonts w:hint="default"/>
                      <w:color w:val="auto"/>
                      <w:highlight w:val="none"/>
                    </w:rPr>
                    <w:t>、事故池、生产车间等重点区域严格按环评及批复要求落实防腐防渗措施，防止污染土壤和地下水。</w:t>
                  </w:r>
                </w:p>
              </w:tc>
              <w:tc>
                <w:tcPr>
                  <w:tcW w:w="351" w:type="pct"/>
                  <w:tcBorders>
                    <w:tl2br w:val="nil"/>
                    <w:tr2bl w:val="nil"/>
                  </w:tcBorders>
                  <w:vAlign w:val="center"/>
                </w:tcPr>
                <w:p w14:paraId="16CD78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109D4B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7159D5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15</w:t>
                  </w:r>
                </w:p>
              </w:tc>
              <w:tc>
                <w:tcPr>
                  <w:tcW w:w="3109" w:type="pct"/>
                  <w:tcBorders>
                    <w:tl2br w:val="nil"/>
                    <w:tr2bl w:val="nil"/>
                  </w:tcBorders>
                  <w:vAlign w:val="center"/>
                </w:tcPr>
                <w:p w14:paraId="044553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加强应急协调联动。完善突发生态环境事件应急联动机制，组织生态环境、应急管理、公安、消防、水利、气象等部门，在联合执法、情况通报、信息共享、处置联动、协商交流、能力建设等方面加强合作，探索开展跨区域、跨流域演练。（责任单位：市生态环境局、市应急管理局、市公安局、市消防救援支队、市水利局、市气象局，各县市区政府）</w:t>
                  </w:r>
                </w:p>
              </w:tc>
              <w:tc>
                <w:tcPr>
                  <w:tcW w:w="1318" w:type="pct"/>
                  <w:tcBorders>
                    <w:tl2br w:val="nil"/>
                    <w:tr2bl w:val="nil"/>
                  </w:tcBorders>
                  <w:vAlign w:val="center"/>
                </w:tcPr>
                <w:p w14:paraId="5C061B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本环评要求企业完善突发生态环境事件应急联动机制</w:t>
                  </w:r>
                  <w:r>
                    <w:rPr>
                      <w:rFonts w:hint="eastAsia"/>
                      <w:color w:val="auto"/>
                      <w:highlight w:val="none"/>
                    </w:rPr>
                    <w:t>。</w:t>
                  </w:r>
                </w:p>
              </w:tc>
              <w:tc>
                <w:tcPr>
                  <w:tcW w:w="351" w:type="pct"/>
                  <w:tcBorders>
                    <w:tl2br w:val="nil"/>
                    <w:tr2bl w:val="nil"/>
                  </w:tcBorders>
                  <w:vAlign w:val="center"/>
                </w:tcPr>
                <w:p w14:paraId="17778A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7BE0C9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5B9DFD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16</w:t>
                  </w:r>
                </w:p>
              </w:tc>
              <w:tc>
                <w:tcPr>
                  <w:tcW w:w="3109" w:type="pct"/>
                  <w:tcBorders>
                    <w:tl2br w:val="nil"/>
                    <w:tr2bl w:val="nil"/>
                  </w:tcBorders>
                  <w:vAlign w:val="center"/>
                </w:tcPr>
                <w:p w14:paraId="6D23F0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开展风险隐患排查。紧盯危险废物、危险化学品、尾矿库等高风险领域和重点环节开展隐患大排查，建立健全河流环境隐患日常排查制度，加强干支流断面和饮用水水源地环境监管，定期巡查监测，发现水质异常及时报告、及时处理。（责任单位：市生态环境局、市应急管理局、市水利局，各县市区政府）</w:t>
                  </w:r>
                </w:p>
              </w:tc>
              <w:tc>
                <w:tcPr>
                  <w:tcW w:w="1318" w:type="pct"/>
                  <w:tcBorders>
                    <w:tl2br w:val="nil"/>
                    <w:tr2bl w:val="nil"/>
                  </w:tcBorders>
                  <w:vAlign w:val="center"/>
                </w:tcPr>
                <w:p w14:paraId="187BBE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本项目严格按照固废管理制度执行</w:t>
                  </w:r>
                  <w:r>
                    <w:rPr>
                      <w:rFonts w:hint="eastAsia"/>
                      <w:color w:val="auto"/>
                      <w:highlight w:val="none"/>
                    </w:rPr>
                    <w:t>。</w:t>
                  </w:r>
                </w:p>
              </w:tc>
              <w:tc>
                <w:tcPr>
                  <w:tcW w:w="351" w:type="pct"/>
                  <w:tcBorders>
                    <w:tl2br w:val="nil"/>
                    <w:tr2bl w:val="nil"/>
                  </w:tcBorders>
                  <w:vAlign w:val="center"/>
                </w:tcPr>
                <w:p w14:paraId="29309E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039447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248E9E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17</w:t>
                  </w:r>
                </w:p>
              </w:tc>
              <w:tc>
                <w:tcPr>
                  <w:tcW w:w="3109" w:type="pct"/>
                  <w:tcBorders>
                    <w:tl2br w:val="nil"/>
                    <w:tr2bl w:val="nil"/>
                  </w:tcBorders>
                  <w:vAlign w:val="center"/>
                </w:tcPr>
                <w:p w14:paraId="3692E3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完善应急防控体系。完善应急预案，加强风险评估，实施分类分级管控，按照“就地就近、平衡分布、突出中心、辐射周边”原则在全市范围内建设应急物资储备库，针对锂电、铅酸蓄电池等行业风险特点有的放矢做好硫化钠沉淀剂、铊因子快检设备等应急物资储备，在袁州区、上高县、高安市分片建设三个区域中心库，为有效应对突发环境事件提供保障。（责任单位：市生态环境局、市应急管理局，各县市区政府）</w:t>
                  </w:r>
                </w:p>
              </w:tc>
              <w:tc>
                <w:tcPr>
                  <w:tcW w:w="1318" w:type="pct"/>
                  <w:tcBorders>
                    <w:tl2br w:val="nil"/>
                    <w:tr2bl w:val="nil"/>
                  </w:tcBorders>
                  <w:vAlign w:val="center"/>
                </w:tcPr>
                <w:p w14:paraId="5DD0FB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本环评要求企业完善应急预案</w:t>
                  </w:r>
                  <w:r>
                    <w:rPr>
                      <w:rFonts w:hint="eastAsia"/>
                      <w:color w:val="auto"/>
                      <w:highlight w:val="none"/>
                    </w:rPr>
                    <w:t>。</w:t>
                  </w:r>
                </w:p>
              </w:tc>
              <w:tc>
                <w:tcPr>
                  <w:tcW w:w="351" w:type="pct"/>
                  <w:tcBorders>
                    <w:tl2br w:val="nil"/>
                    <w:tr2bl w:val="nil"/>
                  </w:tcBorders>
                  <w:vAlign w:val="center"/>
                </w:tcPr>
                <w:p w14:paraId="4CD99C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6F546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3E6629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18</w:t>
                  </w:r>
                </w:p>
              </w:tc>
              <w:tc>
                <w:tcPr>
                  <w:tcW w:w="3109" w:type="pct"/>
                  <w:tcBorders>
                    <w:tl2br w:val="nil"/>
                    <w:tr2bl w:val="nil"/>
                  </w:tcBorders>
                  <w:vAlign w:val="center"/>
                </w:tcPr>
                <w:p w14:paraId="1F5B27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落实属地管理责任。按“党政同责、一岗双责”要求，压紧压实市、县、乡各级责任，在产业规划、空间布局、项目建设等各方面、全过程贯彻“生态优先、绿色发展”理念，坚决守住生态容量和环境质量两条底线，协同推进生态环境高水平保护和经济高质量跨越式发展。（责任单位：各县市区政府）</w:t>
                  </w:r>
                </w:p>
              </w:tc>
              <w:tc>
                <w:tcPr>
                  <w:tcW w:w="1318" w:type="pct"/>
                  <w:tcBorders>
                    <w:tl2br w:val="nil"/>
                    <w:tr2bl w:val="nil"/>
                  </w:tcBorders>
                  <w:vAlign w:val="center"/>
                </w:tcPr>
                <w:p w14:paraId="58F9E9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本项目符合园区规划及准入要求，在采取环保措施的条件下，项目未突破生态容量和环境质量</w:t>
                  </w:r>
                  <w:r>
                    <w:rPr>
                      <w:rFonts w:hint="eastAsia"/>
                      <w:color w:val="auto"/>
                      <w:highlight w:val="none"/>
                    </w:rPr>
                    <w:t>。</w:t>
                  </w:r>
                </w:p>
              </w:tc>
              <w:tc>
                <w:tcPr>
                  <w:tcW w:w="351" w:type="pct"/>
                  <w:tcBorders>
                    <w:tl2br w:val="nil"/>
                    <w:tr2bl w:val="nil"/>
                  </w:tcBorders>
                  <w:vAlign w:val="center"/>
                </w:tcPr>
                <w:p w14:paraId="41DFC2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206D9D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123ABE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19</w:t>
                  </w:r>
                </w:p>
              </w:tc>
              <w:tc>
                <w:tcPr>
                  <w:tcW w:w="3109" w:type="pct"/>
                  <w:tcBorders>
                    <w:tl2br w:val="nil"/>
                    <w:tr2bl w:val="nil"/>
                  </w:tcBorders>
                  <w:vAlign w:val="center"/>
                </w:tcPr>
                <w:p w14:paraId="089BBF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落实部门监管责任。认真贯彻生态环境部和最高法、最高检、国家发展改革委等18部门联合印发《关于推动职能部门做好生态环境保护工作的意见》，统筹组织发改、工信、自然资源等部门按“三管三必须”要求履行监管职责，聚焦园区基础设施建设、尾砂尾泥锂渣综合利用、节能审查、加强高耗能高排放项目准入管理、绿色矿山落实等方面，对行业领域内的突出问题紧盯不放、拉条挂账，直至整改到位。（责任单位：市直有关单位，各县市区政府）</w:t>
                  </w:r>
                </w:p>
              </w:tc>
              <w:tc>
                <w:tcPr>
                  <w:tcW w:w="1318" w:type="pct"/>
                  <w:tcBorders>
                    <w:tl2br w:val="nil"/>
                    <w:tr2bl w:val="nil"/>
                  </w:tcBorders>
                  <w:vAlign w:val="center"/>
                </w:tcPr>
                <w:p w14:paraId="41AAFE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本项目是对锂冶炼</w:t>
                  </w:r>
                  <w:r>
                    <w:rPr>
                      <w:rFonts w:hint="eastAsia"/>
                      <w:color w:val="auto"/>
                      <w:highlight w:val="none"/>
                      <w:lang w:eastAsia="zh-CN"/>
                    </w:rPr>
                    <w:t>所产生锂渣</w:t>
                  </w:r>
                  <w:r>
                    <w:rPr>
                      <w:rFonts w:hint="eastAsia"/>
                      <w:color w:val="auto"/>
                      <w:highlight w:val="none"/>
                    </w:rPr>
                    <w:t>的综合利用，使用的每批次</w:t>
                  </w:r>
                  <w:r>
                    <w:rPr>
                      <w:rFonts w:hint="eastAsia"/>
                      <w:color w:val="auto"/>
                      <w:highlight w:val="none"/>
                      <w:lang w:eastAsia="zh-CN"/>
                    </w:rPr>
                    <w:t>锂渣</w:t>
                  </w:r>
                  <w:r>
                    <w:rPr>
                      <w:rFonts w:hint="eastAsia"/>
                      <w:color w:val="auto"/>
                      <w:highlight w:val="none"/>
                    </w:rPr>
                    <w:t>进行固废属性鉴定（包含铊、氟化物在内的成分分析和放射性分析）</w:t>
                  </w:r>
                  <w:r>
                    <w:rPr>
                      <w:rFonts w:hint="eastAsia"/>
                      <w:color w:val="auto"/>
                      <w:highlight w:val="none"/>
                      <w:lang w:eastAsia="zh-CN"/>
                    </w:rPr>
                    <w:t>，</w:t>
                  </w:r>
                  <w:r>
                    <w:rPr>
                      <w:rFonts w:hint="eastAsia"/>
                      <w:color w:val="auto"/>
                      <w:highlight w:val="none"/>
                      <w:lang w:val="en-US" w:eastAsia="zh-CN"/>
                    </w:rPr>
                    <w:t>并满足环评提出的要求。</w:t>
                  </w:r>
                </w:p>
              </w:tc>
              <w:tc>
                <w:tcPr>
                  <w:tcW w:w="351" w:type="pct"/>
                  <w:tcBorders>
                    <w:tl2br w:val="nil"/>
                    <w:tr2bl w:val="nil"/>
                  </w:tcBorders>
                  <w:vAlign w:val="center"/>
                </w:tcPr>
                <w:p w14:paraId="2AE8CE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r w14:paraId="07D623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221" w:type="pct"/>
                  <w:tcBorders>
                    <w:tl2br w:val="nil"/>
                    <w:tr2bl w:val="nil"/>
                  </w:tcBorders>
                  <w:vAlign w:val="center"/>
                </w:tcPr>
                <w:p w14:paraId="32FD80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20</w:t>
                  </w:r>
                </w:p>
              </w:tc>
              <w:tc>
                <w:tcPr>
                  <w:tcW w:w="3109" w:type="pct"/>
                  <w:tcBorders>
                    <w:tl2br w:val="nil"/>
                    <w:tr2bl w:val="nil"/>
                  </w:tcBorders>
                  <w:vAlign w:val="center"/>
                </w:tcPr>
                <w:p w14:paraId="4B2D09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严格落实企业主体责任。督促企业进一步加大环保投入，改造提升工艺技术水平，不断提高工业废水、废气、废渣的处理和综合利用效率，最大限度地减少生产过程中的污染物排放，对顶风作案、偷排偷放的企业，一律上限顶格严惩，保持高压态势，形成强大震慑，倒逼责任落实。（责任单位：市生态环境局，各县市区政府）</w:t>
                  </w:r>
                </w:p>
              </w:tc>
              <w:tc>
                <w:tcPr>
                  <w:tcW w:w="1318" w:type="pct"/>
                  <w:tcBorders>
                    <w:tl2br w:val="nil"/>
                    <w:tr2bl w:val="nil"/>
                  </w:tcBorders>
                  <w:vAlign w:val="center"/>
                </w:tcPr>
                <w:p w14:paraId="6BA8FB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w:t>
                  </w:r>
                  <w:r>
                    <w:rPr>
                      <w:rFonts w:hint="eastAsia"/>
                      <w:color w:val="auto"/>
                      <w:highlight w:val="none"/>
                    </w:rPr>
                    <w:t>设置了内部管理体制，对于每批次入场的原料均要求取得固废鉴定报告，杜绝危险废物入场。</w:t>
                  </w:r>
                </w:p>
              </w:tc>
              <w:tc>
                <w:tcPr>
                  <w:tcW w:w="351" w:type="pct"/>
                  <w:tcBorders>
                    <w:tl2br w:val="nil"/>
                    <w:tr2bl w:val="nil"/>
                  </w:tcBorders>
                  <w:vAlign w:val="center"/>
                </w:tcPr>
                <w:p w14:paraId="0CF87D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符合</w:t>
                  </w:r>
                </w:p>
              </w:tc>
            </w:tr>
          </w:tbl>
          <w:p w14:paraId="47603D2C">
            <w:pPr>
              <w:keepNext w:val="0"/>
              <w:keepLines w:val="0"/>
              <w:suppressLineNumbers w:val="0"/>
              <w:bidi w:val="0"/>
              <w:spacing w:before="0" w:beforeAutospacing="0" w:after="0" w:afterAutospacing="0"/>
              <w:ind w:left="0" w:right="0"/>
              <w:rPr>
                <w:rFonts w:hint="default"/>
                <w:b/>
                <w:bCs/>
                <w:color w:val="FF0000"/>
                <w:lang w:val="en-US" w:eastAsia="zh-CN"/>
              </w:rPr>
            </w:pPr>
            <w:r>
              <w:rPr>
                <w:rFonts w:hint="eastAsia" w:cs="Times New Roman"/>
                <w:b/>
                <w:bCs w:val="0"/>
                <w:color w:val="auto"/>
                <w:kern w:val="2"/>
                <w:sz w:val="24"/>
                <w:szCs w:val="24"/>
                <w:highlight w:val="none"/>
                <w:lang w:val="en-US" w:eastAsia="zh-CN" w:bidi="ar-SA"/>
              </w:rPr>
              <w:t>21</w:t>
            </w:r>
            <w:r>
              <w:rPr>
                <w:rFonts w:hint="eastAsia" w:ascii="Times New Roman" w:hAnsi="Times New Roman" w:eastAsia="宋体" w:cs="Times New Roman"/>
                <w:b/>
                <w:bCs w:val="0"/>
                <w:color w:val="auto"/>
                <w:kern w:val="2"/>
                <w:sz w:val="24"/>
                <w:szCs w:val="24"/>
                <w:highlight w:val="none"/>
                <w:lang w:val="en-US" w:eastAsia="zh-CN" w:bidi="ar-SA"/>
              </w:rPr>
              <w:t>、</w:t>
            </w:r>
            <w:r>
              <w:rPr>
                <w:rFonts w:hint="default"/>
                <w:b/>
                <w:bCs/>
                <w:color w:val="FF0000"/>
                <w:lang w:val="en-US" w:eastAsia="zh-CN"/>
              </w:rPr>
              <w:t>与《关于相关企业和工业园区污水处理厂落实涉铊涉氟废水监测和处理要求的意见》（2023年1月3日）相符性分析</w:t>
            </w:r>
          </w:p>
          <w:p w14:paraId="0C8FFDC0">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color w:val="FF0000"/>
                <w:sz w:val="21"/>
                <w:szCs w:val="21"/>
                <w:highlight w:val="none"/>
                <w:lang w:val="en-US" w:eastAsia="zh-CN"/>
              </w:rPr>
              <w:t>与《关于相关企业和工业园区污水处理厂落实涉铊涉氟落实涉铊涉氟废水监测和处理要求的意见</w:t>
            </w:r>
            <w:r>
              <w:rPr>
                <w:rFonts w:hint="eastAsia" w:ascii="Times New Roman" w:hAnsi="Times New Roman" w:cs="Times New Roman"/>
                <w:color w:val="FF0000"/>
                <w:sz w:val="21"/>
                <w:szCs w:val="21"/>
                <w:highlight w:val="none"/>
                <w:lang w:val="en-US" w:eastAsia="zh-CN"/>
              </w:rPr>
              <w:t>》分析</w:t>
            </w:r>
          </w:p>
          <w:tbl>
            <w:tblPr>
              <w:tblStyle w:val="25"/>
              <w:tblpPr w:vertAnchor="text" w:horzAnchor="page" w:tblpXSpec="center" w:tblpY="129"/>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9"/>
              <w:gridCol w:w="4573"/>
              <w:gridCol w:w="2321"/>
              <w:gridCol w:w="563"/>
            </w:tblGrid>
            <w:tr w14:paraId="775DF3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92" w:type="dxa"/>
                  <w:gridSpan w:val="2"/>
                  <w:noWrap w:val="0"/>
                  <w:vAlign w:val="center"/>
                </w:tcPr>
                <w:p w14:paraId="1057BA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b/>
                      <w:bCs/>
                      <w:color w:val="FF0000"/>
                      <w:sz w:val="21"/>
                      <w:szCs w:val="21"/>
                    </w:rPr>
                  </w:pPr>
                  <w:r>
                    <w:rPr>
                      <w:rFonts w:hint="default"/>
                      <w:b/>
                      <w:bCs/>
                      <w:color w:val="FF0000"/>
                      <w:sz w:val="21"/>
                      <w:szCs w:val="21"/>
                    </w:rPr>
                    <w:t>具体要求</w:t>
                  </w:r>
                </w:p>
              </w:tc>
              <w:tc>
                <w:tcPr>
                  <w:tcW w:w="2321" w:type="dxa"/>
                  <w:noWrap w:val="0"/>
                  <w:vAlign w:val="center"/>
                </w:tcPr>
                <w:p w14:paraId="332C20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b/>
                      <w:bCs/>
                      <w:color w:val="FF0000"/>
                      <w:sz w:val="21"/>
                      <w:szCs w:val="21"/>
                    </w:rPr>
                  </w:pPr>
                  <w:r>
                    <w:rPr>
                      <w:rFonts w:hint="default"/>
                      <w:b/>
                      <w:bCs/>
                      <w:color w:val="FF0000"/>
                      <w:sz w:val="21"/>
                      <w:szCs w:val="21"/>
                    </w:rPr>
                    <w:t>项目情况</w:t>
                  </w:r>
                </w:p>
              </w:tc>
              <w:tc>
                <w:tcPr>
                  <w:tcW w:w="563" w:type="dxa"/>
                  <w:noWrap w:val="0"/>
                  <w:vAlign w:val="center"/>
                </w:tcPr>
                <w:p w14:paraId="2D813D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b/>
                      <w:bCs/>
                      <w:color w:val="FF0000"/>
                      <w:sz w:val="21"/>
                      <w:szCs w:val="21"/>
                    </w:rPr>
                  </w:pPr>
                  <w:r>
                    <w:rPr>
                      <w:rFonts w:hint="default"/>
                      <w:b/>
                      <w:bCs/>
                      <w:color w:val="FF0000"/>
                      <w:sz w:val="21"/>
                      <w:szCs w:val="21"/>
                    </w:rPr>
                    <w:t>相符性</w:t>
                  </w:r>
                </w:p>
              </w:tc>
            </w:tr>
            <w:tr w14:paraId="616567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19" w:type="dxa"/>
                  <w:noWrap w:val="0"/>
                  <w:vAlign w:val="center"/>
                </w:tcPr>
                <w:p w14:paraId="6ED883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rPr>
                  </w:pPr>
                  <w:r>
                    <w:rPr>
                      <w:rFonts w:hint="default"/>
                      <w:color w:val="FF0000"/>
                      <w:sz w:val="21"/>
                      <w:szCs w:val="21"/>
                    </w:rPr>
                    <w:t>迅速开展全面调研</w:t>
                  </w:r>
                </w:p>
              </w:tc>
              <w:tc>
                <w:tcPr>
                  <w:tcW w:w="4573" w:type="dxa"/>
                  <w:noWrap w:val="0"/>
                  <w:vAlign w:val="center"/>
                </w:tcPr>
                <w:p w14:paraId="4979AA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市经开区和各县(市、区)工业园区管委会牵头，联合属地生态环境部门和工业污水处理厂，立即对辖区内涉</w:t>
                  </w:r>
                  <w:r>
                    <w:rPr>
                      <w:rFonts w:hint="default"/>
                      <w:color w:val="FF0000"/>
                      <w:sz w:val="21"/>
                      <w:szCs w:val="21"/>
                      <w:lang w:val="en-US" w:eastAsia="zh-CN"/>
                    </w:rPr>
                    <w:t>铊</w:t>
                  </w:r>
                  <w:r>
                    <w:rPr>
                      <w:rFonts w:hint="default"/>
                      <w:color w:val="FF0000"/>
                      <w:sz w:val="21"/>
                      <w:szCs w:val="21"/>
                    </w:rPr>
                    <w:t>涉氟企业进行全面调研，彻底摸清涉</w:t>
                  </w:r>
                  <w:r>
                    <w:rPr>
                      <w:rFonts w:hint="default"/>
                      <w:color w:val="FF0000"/>
                      <w:sz w:val="21"/>
                      <w:szCs w:val="21"/>
                      <w:lang w:val="en-US" w:eastAsia="zh-CN"/>
                    </w:rPr>
                    <w:t>铊</w:t>
                  </w:r>
                  <w:r>
                    <w:rPr>
                      <w:rFonts w:hint="default"/>
                      <w:color w:val="FF0000"/>
                      <w:sz w:val="21"/>
                      <w:szCs w:val="21"/>
                    </w:rPr>
                    <w:t>涉氟污染源底数，全面掌握各企业氟化物和重金属等特征污染物的产生、排放和处理处置等情况，为后续确定处理方案提供依据。</w:t>
                  </w:r>
                </w:p>
              </w:tc>
              <w:tc>
                <w:tcPr>
                  <w:tcW w:w="2321" w:type="dxa"/>
                  <w:noWrap w:val="0"/>
                  <w:vAlign w:val="center"/>
                </w:tcPr>
                <w:p w14:paraId="07E36D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lang w:eastAsia="zh-CN"/>
                    </w:rPr>
                  </w:pPr>
                  <w:r>
                    <w:rPr>
                      <w:rFonts w:hint="default"/>
                      <w:color w:val="FF0000"/>
                      <w:sz w:val="21"/>
                      <w:szCs w:val="21"/>
                    </w:rPr>
                    <w:t>本项目</w:t>
                  </w:r>
                  <w:r>
                    <w:rPr>
                      <w:rFonts w:hint="eastAsia"/>
                      <w:color w:val="FF0000"/>
                      <w:sz w:val="21"/>
                      <w:szCs w:val="21"/>
                      <w:lang w:eastAsia="zh-CN"/>
                    </w:rPr>
                    <w:t>不涉及</w:t>
                  </w:r>
                  <w:r>
                    <w:rPr>
                      <w:rFonts w:hint="default"/>
                      <w:color w:val="FF0000"/>
                      <w:sz w:val="21"/>
                      <w:szCs w:val="21"/>
                      <w:lang w:eastAsia="zh-CN"/>
                    </w:rPr>
                    <w:t>。</w:t>
                  </w:r>
                </w:p>
              </w:tc>
              <w:tc>
                <w:tcPr>
                  <w:tcW w:w="563" w:type="dxa"/>
                  <w:noWrap w:val="0"/>
                  <w:vAlign w:val="center"/>
                </w:tcPr>
                <w:p w14:paraId="7D1912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相符</w:t>
                  </w:r>
                </w:p>
              </w:tc>
            </w:tr>
            <w:tr w14:paraId="52EF02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19" w:type="dxa"/>
                  <w:noWrap w:val="0"/>
                  <w:vAlign w:val="center"/>
                </w:tcPr>
                <w:p w14:paraId="460FA8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rPr>
                  </w:pPr>
                  <w:r>
                    <w:rPr>
                      <w:rFonts w:hint="default"/>
                      <w:color w:val="FF0000"/>
                      <w:sz w:val="21"/>
                      <w:szCs w:val="21"/>
                    </w:rPr>
                    <w:t>严格落实“一企一管”要求</w:t>
                  </w:r>
                </w:p>
              </w:tc>
              <w:tc>
                <w:tcPr>
                  <w:tcW w:w="4573" w:type="dxa"/>
                  <w:noWrap w:val="0"/>
                  <w:vAlign w:val="center"/>
                </w:tcPr>
                <w:p w14:paraId="39D604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园区及涉铊涉氟相关企业要严格落实“一企一管”要求合理设置涉铊涉氟废水专用管网连通至园区污水处理厂，确保涉铊涉氟废水可精确溯源、可及时管控。</w:t>
                  </w:r>
                </w:p>
              </w:tc>
              <w:tc>
                <w:tcPr>
                  <w:tcW w:w="2321" w:type="dxa"/>
                  <w:noWrap w:val="0"/>
                  <w:vAlign w:val="center"/>
                </w:tcPr>
                <w:p w14:paraId="73BCB13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lang w:val="en-US" w:eastAsia="zh-CN"/>
                    </w:rPr>
                    <w:t>本项目不涉及生产废水排放</w:t>
                  </w:r>
                  <w:r>
                    <w:rPr>
                      <w:rFonts w:hint="default"/>
                      <w:color w:val="FF0000"/>
                      <w:sz w:val="21"/>
                      <w:szCs w:val="21"/>
                    </w:rPr>
                    <w:t>。</w:t>
                  </w:r>
                </w:p>
              </w:tc>
              <w:tc>
                <w:tcPr>
                  <w:tcW w:w="563" w:type="dxa"/>
                  <w:noWrap w:val="0"/>
                  <w:vAlign w:val="center"/>
                </w:tcPr>
                <w:p w14:paraId="552F47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相符</w:t>
                  </w:r>
                </w:p>
              </w:tc>
            </w:tr>
            <w:tr w14:paraId="578DF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19" w:type="dxa"/>
                  <w:noWrap w:val="0"/>
                  <w:vAlign w:val="center"/>
                </w:tcPr>
                <w:p w14:paraId="6AE9F0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rPr>
                  </w:pPr>
                  <w:r>
                    <w:rPr>
                      <w:rFonts w:hint="default"/>
                      <w:color w:val="FF0000"/>
                      <w:sz w:val="21"/>
                      <w:szCs w:val="21"/>
                    </w:rPr>
                    <w:t>发挥在线监测防范预警作用</w:t>
                  </w:r>
                </w:p>
              </w:tc>
              <w:tc>
                <w:tcPr>
                  <w:tcW w:w="4573" w:type="dxa"/>
                  <w:noWrap w:val="0"/>
                  <w:vAlign w:val="center"/>
                </w:tcPr>
                <w:p w14:paraId="60C032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涉铊涉氟企业除在废水总排口和厂区雨水排口安装铊和氟化物的在线监测设备外，还应在车间或生产设施废水排放口安装铊在线监测设备。</w:t>
                  </w:r>
                </w:p>
              </w:tc>
              <w:tc>
                <w:tcPr>
                  <w:tcW w:w="2321" w:type="dxa"/>
                  <w:noWrap w:val="0"/>
                  <w:vAlign w:val="center"/>
                </w:tcPr>
                <w:p w14:paraId="23F104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eastAsia"/>
                      <w:color w:val="FF0000"/>
                      <w:sz w:val="21"/>
                      <w:szCs w:val="21"/>
                      <w:lang w:val="en-US" w:eastAsia="zh-CN"/>
                    </w:rPr>
                    <w:t>本项目车间无生产废水外排，</w:t>
                  </w:r>
                  <w:r>
                    <w:rPr>
                      <w:rFonts w:hint="default"/>
                      <w:color w:val="FF0000"/>
                      <w:sz w:val="21"/>
                      <w:szCs w:val="21"/>
                      <w:lang w:val="en-US" w:eastAsia="zh-CN"/>
                    </w:rPr>
                    <w:t>本环评要求建设单位在雨水排放口安装氟化物、铊在线监测设备，并与市、县两级在线监控管理平台联网</w:t>
                  </w:r>
                  <w:r>
                    <w:rPr>
                      <w:rFonts w:hint="eastAsia"/>
                      <w:color w:val="FF0000"/>
                      <w:sz w:val="21"/>
                      <w:szCs w:val="21"/>
                      <w:lang w:val="en-US" w:eastAsia="zh-CN"/>
                    </w:rPr>
                    <w:t>。</w:t>
                  </w:r>
                </w:p>
              </w:tc>
              <w:tc>
                <w:tcPr>
                  <w:tcW w:w="563" w:type="dxa"/>
                  <w:noWrap w:val="0"/>
                  <w:vAlign w:val="center"/>
                </w:tcPr>
                <w:p w14:paraId="480681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rPr>
                  </w:pPr>
                  <w:r>
                    <w:rPr>
                      <w:rFonts w:hint="default"/>
                      <w:color w:val="FF0000"/>
                      <w:sz w:val="21"/>
                      <w:szCs w:val="21"/>
                    </w:rPr>
                    <w:t>相符</w:t>
                  </w:r>
                </w:p>
              </w:tc>
            </w:tr>
          </w:tbl>
          <w:p w14:paraId="2964D365">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FF0000"/>
                <w:sz w:val="24"/>
                <w:szCs w:val="24"/>
                <w:highlight w:val="none"/>
              </w:rPr>
            </w:pPr>
            <w:r>
              <w:rPr>
                <w:rFonts w:hint="default" w:ascii="Times New Roman" w:hAnsi="Times New Roman" w:cs="Times New Roman"/>
                <w:b/>
                <w:bCs w:val="0"/>
                <w:color w:val="FF0000"/>
                <w:highlight w:val="none"/>
                <w:lang w:val="en-US" w:eastAsia="zh-CN"/>
              </w:rPr>
              <w:t>22</w:t>
            </w:r>
            <w:r>
              <w:rPr>
                <w:rFonts w:hint="eastAsia"/>
                <w:b/>
                <w:bCs w:val="0"/>
                <w:color w:val="FF0000"/>
                <w:highlight w:val="none"/>
                <w:lang w:val="en-US" w:eastAsia="zh-CN"/>
              </w:rPr>
              <w:t>、</w:t>
            </w:r>
            <w:r>
              <w:rPr>
                <w:rFonts w:hint="default"/>
                <w:b/>
                <w:bCs/>
                <w:color w:val="FF0000"/>
                <w:spacing w:val="-4"/>
                <w:sz w:val="24"/>
                <w:szCs w:val="24"/>
                <w:highlight w:val="none"/>
              </w:rPr>
              <w:t>与《</w:t>
            </w:r>
            <w:r>
              <w:rPr>
                <w:rFonts w:hint="eastAsia"/>
                <w:b/>
                <w:bCs/>
                <w:color w:val="FF0000"/>
                <w:spacing w:val="-4"/>
                <w:sz w:val="24"/>
                <w:szCs w:val="24"/>
                <w:highlight w:val="none"/>
                <w:lang w:eastAsia="zh-CN"/>
              </w:rPr>
              <w:t>高安市</w:t>
            </w:r>
            <w:r>
              <w:rPr>
                <w:rFonts w:hint="default"/>
                <w:b/>
                <w:bCs/>
                <w:color w:val="FF0000"/>
                <w:spacing w:val="-4"/>
                <w:sz w:val="24"/>
                <w:szCs w:val="24"/>
                <w:highlight w:val="none"/>
              </w:rPr>
              <w:t>“十四五”生态环境保护规划》</w:t>
            </w:r>
            <w:r>
              <w:rPr>
                <w:rFonts w:hint="default"/>
                <w:b/>
                <w:bCs/>
                <w:color w:val="FF0000"/>
                <w:spacing w:val="-4"/>
                <w:sz w:val="24"/>
                <w:szCs w:val="24"/>
                <w:highlight w:val="none"/>
                <w:lang w:val="en-US" w:eastAsia="zh-CN"/>
              </w:rPr>
              <w:t>（高府发〔2022〕9号）</w:t>
            </w:r>
            <w:r>
              <w:rPr>
                <w:rFonts w:hint="default"/>
                <w:b/>
                <w:bCs/>
                <w:color w:val="FF0000"/>
                <w:spacing w:val="-4"/>
                <w:sz w:val="24"/>
                <w:szCs w:val="24"/>
                <w:highlight w:val="none"/>
              </w:rPr>
              <w:t>相符性</w:t>
            </w:r>
            <w:r>
              <w:rPr>
                <w:rFonts w:hint="default"/>
                <w:b/>
                <w:bCs/>
                <w:color w:val="FF0000"/>
                <w:spacing w:val="-5"/>
                <w:sz w:val="24"/>
                <w:szCs w:val="24"/>
                <w:highlight w:val="none"/>
              </w:rPr>
              <w:t>分析</w:t>
            </w:r>
          </w:p>
          <w:p w14:paraId="412700EA">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与《高安市“十四五”生态环境保护规划》</w:t>
            </w:r>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高府发〔2022〕9号</w:t>
            </w:r>
            <w:r>
              <w:rPr>
                <w:rFonts w:hint="eastAsia" w:ascii="Times New Roman" w:hAnsi="Times New Roman" w:eastAsia="宋体"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相符性分析</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67"/>
              <w:gridCol w:w="4887"/>
              <w:gridCol w:w="2660"/>
              <w:gridCol w:w="462"/>
            </w:tblGrid>
            <w:tr w14:paraId="6FCB18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67" w:type="dxa"/>
                  <w:tcBorders>
                    <w:tl2br w:val="nil"/>
                    <w:tr2bl w:val="nil"/>
                  </w:tcBorders>
                  <w:vAlign w:val="center"/>
                </w:tcPr>
                <w:p w14:paraId="4DD677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b/>
                      <w:bCs/>
                      <w:color w:val="FF0000"/>
                      <w:lang w:val="en-US" w:eastAsia="zh-CN"/>
                    </w:rPr>
                  </w:pPr>
                  <w:r>
                    <w:rPr>
                      <w:rFonts w:hint="eastAsia"/>
                      <w:b/>
                      <w:bCs/>
                      <w:color w:val="FF0000"/>
                      <w:lang w:val="en-US" w:eastAsia="zh-CN"/>
                    </w:rPr>
                    <w:t>序号</w:t>
                  </w:r>
                </w:p>
              </w:tc>
              <w:tc>
                <w:tcPr>
                  <w:tcW w:w="4887" w:type="dxa"/>
                  <w:tcBorders>
                    <w:tl2br w:val="nil"/>
                    <w:tr2bl w:val="nil"/>
                  </w:tcBorders>
                  <w:vAlign w:val="center"/>
                </w:tcPr>
                <w:p w14:paraId="57DD60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要求</w:t>
                  </w:r>
                </w:p>
              </w:tc>
              <w:tc>
                <w:tcPr>
                  <w:tcW w:w="2660" w:type="dxa"/>
                  <w:tcBorders>
                    <w:tl2br w:val="nil"/>
                    <w:tr2bl w:val="nil"/>
                  </w:tcBorders>
                  <w:vAlign w:val="center"/>
                </w:tcPr>
                <w:p w14:paraId="764310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本项目情况</w:t>
                  </w:r>
                </w:p>
              </w:tc>
              <w:tc>
                <w:tcPr>
                  <w:tcW w:w="462" w:type="dxa"/>
                  <w:tcBorders>
                    <w:tl2br w:val="nil"/>
                    <w:tr2bl w:val="nil"/>
                  </w:tcBorders>
                  <w:vAlign w:val="center"/>
                </w:tcPr>
                <w:p w14:paraId="634118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FF0000"/>
                      <w:lang w:val="en-US" w:eastAsia="zh-CN"/>
                    </w:rPr>
                  </w:pPr>
                  <w:r>
                    <w:rPr>
                      <w:rFonts w:hint="eastAsia"/>
                      <w:b/>
                      <w:bCs/>
                      <w:color w:val="FF0000"/>
                      <w:lang w:val="en-US" w:eastAsia="zh-CN"/>
                    </w:rPr>
                    <w:t>符合性</w:t>
                  </w:r>
                </w:p>
              </w:tc>
            </w:tr>
            <w:tr w14:paraId="5D8524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0" w:hRule="atLeast"/>
                <w:jc w:val="center"/>
              </w:trPr>
              <w:tc>
                <w:tcPr>
                  <w:tcW w:w="367" w:type="dxa"/>
                  <w:tcBorders>
                    <w:tl2br w:val="nil"/>
                    <w:tr2bl w:val="nil"/>
                  </w:tcBorders>
                  <w:vAlign w:val="center"/>
                </w:tcPr>
                <w:p w14:paraId="2C7BF3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1</w:t>
                  </w:r>
                </w:p>
              </w:tc>
              <w:tc>
                <w:tcPr>
                  <w:tcW w:w="4887" w:type="dxa"/>
                  <w:tcBorders>
                    <w:tl2br w:val="nil"/>
                    <w:tr2bl w:val="nil"/>
                  </w:tcBorders>
                  <w:shd w:val="clear" w:color="auto" w:fill="auto"/>
                  <w:vAlign w:val="center"/>
                </w:tcPr>
                <w:p w14:paraId="1666C6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default"/>
                      <w:color w:val="FF0000"/>
                      <w:lang w:val="en-US" w:eastAsia="zh-CN"/>
                    </w:rPr>
                    <w:t>加强细颗粒物和臭氧协同治理。以细颗粒物（PM2.5）和臭氧协同控制为主线，进一步降低PM2.5和臭氧浓度，提升空气质量。统筹考虑细颗粒物和臭氧污染区域传输规律和季节性特征，加强重点区域、重点时段、重点领域、重点行业治理，强化分区分时分类差异化精细化协同管控。结合高安实际情况，力争开展细颗粒物和臭氧源解析工作，提升科技治污、精准治污水平。推进细颗粒物浓度持续下降、区域臭氧浓度稳中向好，全市空气质量稳定达到国家二级标准。完善街道（乡镇）空气质量自动监测站建设，织密环境空气监测网络。</w:t>
                  </w:r>
                </w:p>
              </w:tc>
              <w:tc>
                <w:tcPr>
                  <w:tcW w:w="2660" w:type="dxa"/>
                  <w:tcBorders>
                    <w:tl2br w:val="nil"/>
                    <w:tr2bl w:val="nil"/>
                  </w:tcBorders>
                  <w:vAlign w:val="center"/>
                </w:tcPr>
                <w:p w14:paraId="6C7C2C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eastAsia="宋体"/>
                      <w:color w:val="FF0000"/>
                      <w:lang w:val="en-US" w:eastAsia="zh-CN"/>
                    </w:rPr>
                  </w:pPr>
                  <w:r>
                    <w:rPr>
                      <w:rFonts w:hint="eastAsia" w:ascii="Times New Roman" w:hAnsi="Times New Roman" w:eastAsia="宋体" w:cs="Times New Roman"/>
                      <w:color w:val="FF0000"/>
                      <w:kern w:val="2"/>
                      <w:sz w:val="21"/>
                      <w:szCs w:val="21"/>
                      <w:lang w:val="en-US" w:eastAsia="zh-CN" w:bidi="ar-SA"/>
                    </w:rPr>
                    <w:t>项目位于达标区，环境空气质量能够稳定达到国家二级标准。项目产生的粉尘采取袋式除尘器处理后排放浓度满足《大气污染物综合排放标准》（GB16297-1996）表2排放浓度限值要求。</w:t>
                  </w:r>
                </w:p>
              </w:tc>
              <w:tc>
                <w:tcPr>
                  <w:tcW w:w="462" w:type="dxa"/>
                  <w:tcBorders>
                    <w:tl2br w:val="nil"/>
                    <w:tr2bl w:val="nil"/>
                  </w:tcBorders>
                  <w:vAlign w:val="center"/>
                </w:tcPr>
                <w:p w14:paraId="55971D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color w:val="FF0000"/>
                      <w:lang w:val="en-US" w:eastAsia="zh-CN"/>
                    </w:rPr>
                  </w:pPr>
                  <w:r>
                    <w:rPr>
                      <w:rFonts w:hint="eastAsia"/>
                      <w:color w:val="FF0000"/>
                      <w:lang w:val="en-US" w:eastAsia="zh-CN"/>
                    </w:rPr>
                    <w:t>符合</w:t>
                  </w:r>
                </w:p>
              </w:tc>
            </w:tr>
            <w:tr w14:paraId="446EBF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88" w:hRule="atLeast"/>
                <w:jc w:val="center"/>
              </w:trPr>
              <w:tc>
                <w:tcPr>
                  <w:tcW w:w="367" w:type="dxa"/>
                  <w:tcBorders>
                    <w:tl2br w:val="nil"/>
                    <w:tr2bl w:val="nil"/>
                  </w:tcBorders>
                  <w:vAlign w:val="center"/>
                </w:tcPr>
                <w:p w14:paraId="1A53487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2</w:t>
                  </w:r>
                </w:p>
              </w:tc>
              <w:tc>
                <w:tcPr>
                  <w:tcW w:w="4887" w:type="dxa"/>
                  <w:tcBorders>
                    <w:tl2br w:val="nil"/>
                    <w:tr2bl w:val="nil"/>
                  </w:tcBorders>
                  <w:shd w:val="clear" w:color="auto" w:fill="auto"/>
                  <w:vAlign w:val="center"/>
                </w:tcPr>
                <w:p w14:paraId="0A8E0D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default"/>
                      <w:color w:val="FF0000"/>
                      <w:lang w:val="en-US" w:eastAsia="zh-CN"/>
                    </w:rPr>
                    <w:t>加强工业废气污染防治。加快化工、有色金属冶炼、水泥、陶瓷、家具等重点行业企业废气污染治理，加大超标处罚和联合惩戒力度。加大“散乱污”企业整治力度，坚决关停取缔一批、整改提升一批、搬迁入园一批，实现“散乱污”企业彻底“清零”。制定和完善重点行业排放标准和改造方案，推动重点行业脱硫、脱硝、除尘等生产工艺改进和烟气排放设施提标改造。</w:t>
                  </w:r>
                </w:p>
              </w:tc>
              <w:tc>
                <w:tcPr>
                  <w:tcW w:w="2660" w:type="dxa"/>
                  <w:tcBorders>
                    <w:tl2br w:val="nil"/>
                    <w:tr2bl w:val="nil"/>
                  </w:tcBorders>
                  <w:vAlign w:val="center"/>
                </w:tcPr>
                <w:p w14:paraId="1FEA62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eastAsia" w:eastAsia="宋体"/>
                      <w:color w:val="FF0000"/>
                      <w:lang w:val="en-US" w:eastAsia="zh-CN"/>
                    </w:rPr>
                  </w:pPr>
                  <w:r>
                    <w:rPr>
                      <w:rFonts w:hint="eastAsia" w:ascii="Times New Roman" w:hAnsi="Times New Roman" w:eastAsia="宋体" w:cs="Times New Roman"/>
                      <w:color w:val="FF0000"/>
                      <w:lang w:val="en-US" w:eastAsia="zh-CN"/>
                    </w:rPr>
                    <w:t>项目不属于</w:t>
                  </w:r>
                  <w:r>
                    <w:rPr>
                      <w:rFonts w:hint="default" w:ascii="Times New Roman" w:hAnsi="Times New Roman" w:eastAsia="宋体" w:cs="Times New Roman"/>
                      <w:color w:val="FF0000"/>
                      <w:lang w:val="en-US" w:eastAsia="zh-CN"/>
                    </w:rPr>
                    <w:t>化工、有色金属冶炼、水泥、陶瓷、家具等重点行业</w:t>
                  </w:r>
                  <w:r>
                    <w:rPr>
                      <w:rFonts w:hint="eastAsia" w:ascii="Times New Roman" w:hAnsi="Times New Roman" w:eastAsia="宋体" w:cs="Times New Roman"/>
                      <w:color w:val="FF0000"/>
                      <w:lang w:val="en-US" w:eastAsia="zh-CN"/>
                    </w:rPr>
                    <w:t>，且项目产生的粉尘经袋式除尘器处理后能够达标排放。</w:t>
                  </w:r>
                </w:p>
              </w:tc>
              <w:tc>
                <w:tcPr>
                  <w:tcW w:w="462" w:type="dxa"/>
                  <w:tcBorders>
                    <w:tl2br w:val="nil"/>
                    <w:tr2bl w:val="nil"/>
                  </w:tcBorders>
                  <w:vAlign w:val="center"/>
                </w:tcPr>
                <w:p w14:paraId="012C28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符合</w:t>
                  </w:r>
                </w:p>
              </w:tc>
            </w:tr>
            <w:tr w14:paraId="0A8383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67" w:type="dxa"/>
                  <w:tcBorders>
                    <w:tl2br w:val="nil"/>
                    <w:tr2bl w:val="nil"/>
                  </w:tcBorders>
                  <w:vAlign w:val="center"/>
                </w:tcPr>
                <w:p w14:paraId="60029E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3</w:t>
                  </w:r>
                </w:p>
              </w:tc>
              <w:tc>
                <w:tcPr>
                  <w:tcW w:w="4887" w:type="dxa"/>
                  <w:tcBorders>
                    <w:tl2br w:val="nil"/>
                    <w:tr2bl w:val="nil"/>
                  </w:tcBorders>
                  <w:shd w:val="clear" w:color="auto" w:fill="auto"/>
                  <w:vAlign w:val="center"/>
                </w:tcPr>
                <w:p w14:paraId="0BE697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default"/>
                      <w:color w:val="FF0000"/>
                      <w:lang w:val="en-US" w:eastAsia="zh-CN"/>
                    </w:rPr>
                    <w:t>持续推进工业水污染防治。强化工业园区污染治理，工业企业应依法持有排污许可证，并严格按证排污。工业废水不得接入城市生活污水处理设施。工业园区应建成污水集中处理设施并稳定达标运行，应收尽收。禁止偷排漏排行为，入园企业应当按照国家有关规定进行预处理，达到工艺要求后，接入污水集中处理设施处理。</w:t>
                  </w:r>
                </w:p>
              </w:tc>
              <w:tc>
                <w:tcPr>
                  <w:tcW w:w="2660" w:type="dxa"/>
                  <w:tcBorders>
                    <w:tl2br w:val="nil"/>
                    <w:tr2bl w:val="nil"/>
                  </w:tcBorders>
                  <w:vAlign w:val="center"/>
                </w:tcPr>
                <w:p w14:paraId="3D0787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本项目仅生活污水外排，生产废水不外排，雨水收集、处理、排放依托现有措施。项目产生的废水经厂区预处理后排入园区污水处理厂深度处理，尾水达《城镇污水处理厂污染物排放标准》（GB18918-2002）中一级A标准后排放至肖江。本评价要求企业在雨水排放口安装在线监测装置(氟化物、铊）。</w:t>
                  </w:r>
                </w:p>
              </w:tc>
              <w:tc>
                <w:tcPr>
                  <w:tcW w:w="462" w:type="dxa"/>
                  <w:tcBorders>
                    <w:tl2br w:val="nil"/>
                    <w:tr2bl w:val="nil"/>
                  </w:tcBorders>
                  <w:vAlign w:val="center"/>
                </w:tcPr>
                <w:p w14:paraId="0FE23A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符合</w:t>
                  </w:r>
                </w:p>
              </w:tc>
            </w:tr>
            <w:tr w14:paraId="2AA63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67" w:type="dxa"/>
                  <w:tcBorders>
                    <w:tl2br w:val="nil"/>
                    <w:tr2bl w:val="nil"/>
                  </w:tcBorders>
                  <w:vAlign w:val="center"/>
                </w:tcPr>
                <w:p w14:paraId="27283B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4</w:t>
                  </w:r>
                </w:p>
              </w:tc>
              <w:tc>
                <w:tcPr>
                  <w:tcW w:w="4887" w:type="dxa"/>
                  <w:tcBorders>
                    <w:tl2br w:val="nil"/>
                    <w:tr2bl w:val="nil"/>
                  </w:tcBorders>
                  <w:shd w:val="clear" w:color="auto" w:fill="auto"/>
                  <w:vAlign w:val="center"/>
                </w:tcPr>
                <w:p w14:paraId="35B19E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default"/>
                      <w:color w:val="FF0000"/>
                      <w:lang w:val="en-US" w:eastAsia="zh-CN"/>
                    </w:rPr>
                    <w:t>加强环境风险预警防控。持续开展生态环境风险识别与排查，加强风险预警能力建设，建立风险防范预案和联动管控机制，完善环境风险源、敏感目标等数据库。加强重点流域、涉危涉重企业及集中式饮用水水源地环境风险调查评估，绘制重点区域、重点流域环境风险“一张图”。逐步推进装置级、企业级、园区级重大危险源在线监控及事故预警系统建设。抓好排污企业防治设施和环境风险隐患排查，落实企业环境安全主体责任，对问题严重的要坚决实行停产整顿，切实做好环境污染事故防范工作。</w:t>
                  </w:r>
                </w:p>
              </w:tc>
              <w:tc>
                <w:tcPr>
                  <w:tcW w:w="2660" w:type="dxa"/>
                  <w:tcBorders>
                    <w:tl2br w:val="nil"/>
                    <w:tr2bl w:val="nil"/>
                  </w:tcBorders>
                  <w:vAlign w:val="center"/>
                </w:tcPr>
                <w:p w14:paraId="4CC4B4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color w:val="FF0000"/>
                      <w:kern w:val="2"/>
                      <w:sz w:val="21"/>
                      <w:szCs w:val="21"/>
                      <w:lang w:val="en-US" w:eastAsia="zh-CN" w:bidi="ar-SA"/>
                    </w:rPr>
                    <w:t>项目危险物质数量与临界量比值Q&lt;1，环境风险较低，且园区已建立三级环境风险防控体系。本项目将按要求设置环境风险联防联控体系和联合应急体系。按要求建立环境风险防范和编制相应应急预案</w:t>
                  </w:r>
                </w:p>
              </w:tc>
              <w:tc>
                <w:tcPr>
                  <w:tcW w:w="462" w:type="dxa"/>
                  <w:tcBorders>
                    <w:tl2br w:val="nil"/>
                    <w:tr2bl w:val="nil"/>
                  </w:tcBorders>
                  <w:vAlign w:val="center"/>
                </w:tcPr>
                <w:p w14:paraId="1793D3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符合</w:t>
                  </w:r>
                </w:p>
              </w:tc>
            </w:tr>
            <w:tr w14:paraId="300ED9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67" w:type="dxa"/>
                  <w:tcBorders>
                    <w:tl2br w:val="nil"/>
                    <w:tr2bl w:val="nil"/>
                  </w:tcBorders>
                  <w:vAlign w:val="center"/>
                </w:tcPr>
                <w:p w14:paraId="6EB8D4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5</w:t>
                  </w:r>
                </w:p>
              </w:tc>
              <w:tc>
                <w:tcPr>
                  <w:tcW w:w="4887" w:type="dxa"/>
                  <w:tcBorders>
                    <w:tl2br w:val="nil"/>
                    <w:tr2bl w:val="nil"/>
                  </w:tcBorders>
                  <w:shd w:val="clear" w:color="auto" w:fill="auto"/>
                  <w:vAlign w:val="center"/>
                </w:tcPr>
                <w:p w14:paraId="0DBB45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default"/>
                      <w:color w:val="FF0000"/>
                      <w:lang w:val="en-US" w:eastAsia="zh-CN"/>
                    </w:rPr>
                    <w:t>全面实行排污许可制。在固定污染源排污许可全覆盖基础上，推进构建以排污许可制为核心的高安市固定污染源“一证式”监管体系，持续做好新增污染源发证登记，切实提高排污许可证核发质量。开展排污许可证全覆盖“回头看”，强化排污许可证后监管，坚决惩处无证排污、不按证排污等行为。推动建立与环境影响评价、总量控制、生态环境执法、自行监测、生态环境统计、应对气候变化等生态环境管理制度衔接融合的工作机制，强化固定污染源排污许可执法监管，加强自行监测、执行报告等监督管理，逐步实现固定污染源排污许可环境全要素、全周期管理，基本构建以排污许可制为核心的固定污染源监管制度体系。</w:t>
                  </w:r>
                </w:p>
              </w:tc>
              <w:tc>
                <w:tcPr>
                  <w:tcW w:w="2660" w:type="dxa"/>
                  <w:tcBorders>
                    <w:tl2br w:val="nil"/>
                    <w:tr2bl w:val="nil"/>
                  </w:tcBorders>
                  <w:vAlign w:val="center"/>
                </w:tcPr>
                <w:p w14:paraId="6F24882A">
                  <w:pPr>
                    <w:pStyle w:val="78"/>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本项目为扩建项目，现有工程已取得排污许可证（91360983MAELP6T331001U），本评价要求扩建项目批复后应及时变更排污许可证，并按照许可证要求排放污染物。</w:t>
                  </w:r>
                </w:p>
              </w:tc>
              <w:tc>
                <w:tcPr>
                  <w:tcW w:w="462" w:type="dxa"/>
                  <w:tcBorders>
                    <w:tl2br w:val="nil"/>
                    <w:tr2bl w:val="nil"/>
                  </w:tcBorders>
                  <w:vAlign w:val="center"/>
                </w:tcPr>
                <w:p w14:paraId="19A817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color w:val="FF0000"/>
                      <w:sz w:val="21"/>
                      <w:szCs w:val="21"/>
                      <w:lang w:val="en-US" w:eastAsia="zh-CN"/>
                    </w:rPr>
                  </w:pPr>
                  <w:r>
                    <w:rPr>
                      <w:rFonts w:hint="eastAsia"/>
                      <w:color w:val="FF0000"/>
                      <w:sz w:val="21"/>
                      <w:szCs w:val="21"/>
                      <w:lang w:val="en-US" w:eastAsia="zh-CN"/>
                    </w:rPr>
                    <w:t>符合</w:t>
                  </w:r>
                </w:p>
              </w:tc>
            </w:tr>
          </w:tbl>
          <w:p w14:paraId="369464BA">
            <w:pPr>
              <w:pStyle w:val="76"/>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ascii="Times New Roman" w:hAnsi="Times New Roman" w:eastAsia="宋体" w:cs="Times New Roman"/>
                <w:bCs/>
                <w:color w:val="FF0000"/>
                <w:kern w:val="2"/>
                <w:sz w:val="24"/>
                <w:szCs w:val="24"/>
                <w:highlight w:val="none"/>
                <w:lang w:val="en-US" w:eastAsia="zh-CN" w:bidi="ar-SA"/>
              </w:rPr>
            </w:pPr>
            <w:r>
              <w:rPr>
                <w:rFonts w:hint="eastAsia" w:cs="Times New Roman"/>
                <w:bCs/>
                <w:color w:val="FF0000"/>
                <w:kern w:val="2"/>
                <w:sz w:val="24"/>
                <w:szCs w:val="24"/>
                <w:highlight w:val="none"/>
                <w:lang w:val="en-US" w:eastAsia="zh-CN" w:bidi="ar-SA"/>
              </w:rPr>
              <w:t>综上</w:t>
            </w:r>
            <w:r>
              <w:rPr>
                <w:rFonts w:hint="default" w:ascii="Times New Roman" w:hAnsi="Times New Roman" w:eastAsia="宋体" w:cs="Times New Roman"/>
                <w:bCs/>
                <w:color w:val="FF0000"/>
                <w:kern w:val="2"/>
                <w:sz w:val="24"/>
                <w:szCs w:val="24"/>
                <w:highlight w:val="none"/>
                <w:lang w:val="en-US" w:eastAsia="zh-CN" w:bidi="ar-SA"/>
              </w:rPr>
              <w:t>，项目建设符合《</w:t>
            </w:r>
            <w:r>
              <w:rPr>
                <w:rFonts w:hint="eastAsia" w:cs="Times New Roman"/>
                <w:bCs/>
                <w:color w:val="FF0000"/>
                <w:kern w:val="2"/>
                <w:sz w:val="24"/>
                <w:szCs w:val="24"/>
                <w:highlight w:val="none"/>
                <w:lang w:val="en-US" w:eastAsia="zh-CN" w:bidi="ar-SA"/>
              </w:rPr>
              <w:t>高安市</w:t>
            </w:r>
            <w:r>
              <w:rPr>
                <w:rFonts w:hint="default" w:ascii="Times New Roman" w:hAnsi="Times New Roman" w:eastAsia="宋体" w:cs="Times New Roman"/>
                <w:bCs/>
                <w:color w:val="FF0000"/>
                <w:kern w:val="2"/>
                <w:sz w:val="24"/>
                <w:szCs w:val="24"/>
                <w:highlight w:val="none"/>
                <w:lang w:val="en-US" w:eastAsia="zh-CN" w:bidi="ar-SA"/>
              </w:rPr>
              <w:t>“十四五”生态环境保护规划》（高府发〔2022〕9号）相关要求。</w:t>
            </w:r>
          </w:p>
          <w:p w14:paraId="6FD60072">
            <w:pPr>
              <w:pStyle w:val="76"/>
              <w:keepNext w:val="0"/>
              <w:keepLines w:val="0"/>
              <w:numPr>
                <w:ilvl w:val="0"/>
                <w:numId w:val="0"/>
              </w:numPr>
              <w:suppressLineNumbers w:val="0"/>
              <w:bidi w:val="0"/>
              <w:spacing w:before="0" w:beforeAutospacing="0" w:after="0" w:afterAutospacing="0"/>
              <w:ind w:left="0" w:right="0" w:firstLine="482" w:firstLineChars="200"/>
              <w:rPr>
                <w:rFonts w:hint="default"/>
                <w:b/>
                <w:bCs w:val="0"/>
                <w:color w:val="FF0000"/>
                <w:spacing w:val="-6"/>
                <w:highlight w:val="none"/>
              </w:rPr>
            </w:pPr>
            <w:r>
              <w:rPr>
                <w:rFonts w:hint="eastAsia"/>
                <w:b/>
                <w:bCs w:val="0"/>
                <w:color w:val="FF0000"/>
                <w:highlight w:val="none"/>
                <w:lang w:val="en-US" w:eastAsia="zh-CN"/>
              </w:rPr>
              <w:t>23、</w:t>
            </w:r>
            <w:r>
              <w:rPr>
                <w:rFonts w:hint="eastAsia" w:cs="Times New Roman"/>
                <w:b/>
                <w:bCs w:val="0"/>
                <w:color w:val="FF0000"/>
                <w:spacing w:val="-6"/>
                <w:kern w:val="2"/>
                <w:sz w:val="24"/>
                <w:szCs w:val="24"/>
                <w:highlight w:val="none"/>
                <w:lang w:val="en-US" w:eastAsia="zh-CN" w:bidi="ar-SA"/>
              </w:rPr>
              <w:t>与《空气质量持续改善行动计划》（国发（2023）24号）</w:t>
            </w:r>
            <w:r>
              <w:rPr>
                <w:rFonts w:hint="default"/>
                <w:b/>
                <w:bCs w:val="0"/>
                <w:color w:val="FF0000"/>
                <w:spacing w:val="-6"/>
                <w:highlight w:val="none"/>
              </w:rPr>
              <w:t>相符性分析</w:t>
            </w:r>
          </w:p>
          <w:p w14:paraId="11DF5D26">
            <w:pPr>
              <w:pStyle w:val="76"/>
              <w:keepNext w:val="0"/>
              <w:keepLines w:val="0"/>
              <w:suppressLineNumbers w:val="0"/>
              <w:bidi w:val="0"/>
              <w:spacing w:before="0" w:beforeAutospacing="0" w:after="0" w:afterAutospacing="0"/>
              <w:ind w:left="0" w:right="0"/>
              <w:rPr>
                <w:rFonts w:hint="eastAsia"/>
                <w:color w:val="FF0000"/>
                <w:lang w:val="en-US" w:eastAsia="zh-CN"/>
              </w:rPr>
            </w:pPr>
            <w:r>
              <w:rPr>
                <w:rFonts w:hint="default"/>
                <w:color w:val="FF0000"/>
                <w:lang w:val="en-US" w:eastAsia="zh-CN"/>
              </w:rPr>
              <w:t>2023年11月30日，国务院关于印发《空气质量持续改善行动计划》的通知（国发（2023）24号），为持续深入打好蓝天保卫战，切实保障人民群众身体健康，以空气质量持续改善推动经济高质量发展，制定本行动计划。结合项目情况，与《空气质量持续改善行动计划》（国发（2023）24号）符合性见下表</w:t>
            </w:r>
            <w:r>
              <w:rPr>
                <w:rFonts w:hint="eastAsia"/>
                <w:color w:val="FF0000"/>
                <w:lang w:val="en-US" w:eastAsia="zh-CN"/>
              </w:rPr>
              <w:t>。</w:t>
            </w:r>
          </w:p>
          <w:p w14:paraId="64EF67BB">
            <w:pPr>
              <w:pStyle w:val="76"/>
              <w:keepNext w:val="0"/>
              <w:keepLines w:val="0"/>
              <w:suppressLineNumbers w:val="0"/>
              <w:bidi w:val="0"/>
              <w:spacing w:before="0" w:beforeAutospacing="0" w:after="0" w:afterAutospacing="0"/>
              <w:ind w:left="0" w:right="0"/>
              <w:rPr>
                <w:rFonts w:hint="eastAsia"/>
                <w:color w:val="FF0000"/>
                <w:lang w:val="en-US" w:eastAsia="zh-CN"/>
              </w:rPr>
            </w:pPr>
          </w:p>
          <w:p w14:paraId="3E2643F3">
            <w:pPr>
              <w:pStyle w:val="76"/>
              <w:keepNext w:val="0"/>
              <w:keepLines w:val="0"/>
              <w:suppressLineNumbers w:val="0"/>
              <w:bidi w:val="0"/>
              <w:spacing w:before="0" w:beforeAutospacing="0" w:after="0" w:afterAutospacing="0"/>
              <w:ind w:left="0" w:right="0"/>
              <w:rPr>
                <w:rFonts w:hint="eastAsia"/>
                <w:color w:val="FF0000"/>
                <w:lang w:val="en-US" w:eastAsia="zh-CN"/>
              </w:rPr>
            </w:pPr>
          </w:p>
          <w:p w14:paraId="670CC8E4">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与（国发（2023）24号）相符性分析</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30"/>
              <w:gridCol w:w="1691"/>
              <w:gridCol w:w="655"/>
            </w:tblGrid>
            <w:tr w14:paraId="545962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0" w:type="dxa"/>
                  <w:tcBorders>
                    <w:tl2br w:val="nil"/>
                    <w:tr2bl w:val="nil"/>
                  </w:tcBorders>
                  <w:vAlign w:val="center"/>
                </w:tcPr>
                <w:p w14:paraId="18D7A4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要求</w:t>
                  </w:r>
                </w:p>
              </w:tc>
              <w:tc>
                <w:tcPr>
                  <w:tcW w:w="1691" w:type="dxa"/>
                  <w:tcBorders>
                    <w:tl2br w:val="nil"/>
                    <w:tr2bl w:val="nil"/>
                  </w:tcBorders>
                  <w:vAlign w:val="center"/>
                </w:tcPr>
                <w:p w14:paraId="57C33B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本项目情况</w:t>
                  </w:r>
                </w:p>
              </w:tc>
              <w:tc>
                <w:tcPr>
                  <w:tcW w:w="655" w:type="dxa"/>
                  <w:tcBorders>
                    <w:tl2br w:val="nil"/>
                    <w:tr2bl w:val="nil"/>
                  </w:tcBorders>
                  <w:vAlign w:val="center"/>
                </w:tcPr>
                <w:p w14:paraId="1EC699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FF0000"/>
                      <w:lang w:val="en-US" w:eastAsia="zh-CN"/>
                    </w:rPr>
                  </w:pPr>
                  <w:r>
                    <w:rPr>
                      <w:rFonts w:hint="eastAsia"/>
                      <w:b/>
                      <w:bCs/>
                      <w:color w:val="FF0000"/>
                      <w:lang w:val="en-US" w:eastAsia="zh-CN"/>
                    </w:rPr>
                    <w:t>符合性</w:t>
                  </w:r>
                </w:p>
              </w:tc>
            </w:tr>
            <w:tr w14:paraId="6A4948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376" w:type="dxa"/>
                  <w:gridSpan w:val="3"/>
                  <w:tcBorders>
                    <w:tl2br w:val="nil"/>
                    <w:tr2bl w:val="nil"/>
                  </w:tcBorders>
                  <w:vAlign w:val="center"/>
                </w:tcPr>
                <w:p w14:paraId="1BCA27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default"/>
                      <w:color w:val="FF0000"/>
                      <w:lang w:val="en-US" w:eastAsia="zh-CN"/>
                    </w:rPr>
                  </w:pPr>
                  <w:r>
                    <w:rPr>
                      <w:rFonts w:hint="default"/>
                      <w:color w:val="FF0000"/>
                      <w:lang w:val="en-US" w:eastAsia="zh-CN"/>
                    </w:rPr>
                    <w:t>二、优化产业结构，促进产业产品绿色升级</w:t>
                  </w:r>
                </w:p>
              </w:tc>
            </w:tr>
            <w:tr w14:paraId="130C4B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0" w:type="dxa"/>
                  <w:tcBorders>
                    <w:tl2br w:val="nil"/>
                    <w:tr2bl w:val="nil"/>
                  </w:tcBorders>
                  <w:vAlign w:val="center"/>
                </w:tcPr>
                <w:p w14:paraId="26F88B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四）坚决遏制高耗能、高排放、低水平项目盲目上马。新改扩建项目严格落实国家产业规划、产业政策、生态环境分区管控方案、规划环评、项目环评、节能审查、产能置换、重点污染物总量控制、污染物排放区域削减、碳排放达峰目标等相关要求，原则上采用清洁运输方式。涉及产能置换的项目，被置换产能及其配套设施关停后，新建项目方可投产。严禁新增钢铁产能。推行钢铁、焦化、烧结一体化布局，大幅减少独立焦化、烧结、球团和热轧企业及工序，淘汰落后煤炭洗选产能；有序引导高炉—转炉长流程炼钢转型为电炉短流程炼钢。到2025年，短流程炼钢产量占比达15%。京津冀及周边地区继续实施“以钢定焦”，炼焦产能与长流程炼钢产能比控制在0.4左右。</w:t>
                  </w:r>
                </w:p>
              </w:tc>
              <w:tc>
                <w:tcPr>
                  <w:tcW w:w="1691" w:type="dxa"/>
                  <w:tcBorders>
                    <w:tl2br w:val="nil"/>
                    <w:tr2bl w:val="nil"/>
                  </w:tcBorders>
                  <w:vAlign w:val="center"/>
                </w:tcPr>
                <w:p w14:paraId="230572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eastAsia" w:eastAsia="宋体"/>
                      <w:color w:val="FF0000"/>
                      <w:lang w:val="en-US" w:eastAsia="zh-CN"/>
                    </w:rPr>
                  </w:pPr>
                  <w:r>
                    <w:rPr>
                      <w:rFonts w:hint="eastAsia" w:ascii="宋体" w:hAnsi="宋体" w:eastAsia="宋体" w:cs="宋体"/>
                      <w:color w:val="FF0000"/>
                      <w:spacing w:val="2"/>
                      <w:sz w:val="20"/>
                      <w:szCs w:val="20"/>
                      <w:lang w:val="en-US" w:eastAsia="zh-CN"/>
                    </w:rPr>
                    <w:t>项目位于江西省建筑陶瓷产业基地，</w:t>
                  </w:r>
                  <w:r>
                    <w:rPr>
                      <w:rFonts w:hint="default" w:ascii="宋体" w:hAnsi="宋体" w:eastAsia="宋体" w:cs="宋体"/>
                      <w:color w:val="FF0000"/>
                      <w:spacing w:val="2"/>
                      <w:sz w:val="20"/>
                      <w:szCs w:val="20"/>
                    </w:rPr>
                    <w:t>项目符合园区</w:t>
                  </w:r>
                  <w:r>
                    <w:rPr>
                      <w:rFonts w:hint="default" w:ascii="宋体" w:hAnsi="宋体" w:eastAsia="宋体" w:cs="宋体"/>
                      <w:color w:val="FF0000"/>
                      <w:spacing w:val="8"/>
                      <w:sz w:val="20"/>
                      <w:szCs w:val="20"/>
                    </w:rPr>
                    <w:t>规划要求和产业政</w:t>
                  </w:r>
                  <w:r>
                    <w:rPr>
                      <w:rFonts w:hint="default" w:ascii="宋体" w:hAnsi="宋体" w:eastAsia="宋体" w:cs="宋体"/>
                      <w:color w:val="FF0000"/>
                      <w:sz w:val="20"/>
                      <w:szCs w:val="20"/>
                    </w:rPr>
                    <w:t>策</w:t>
                  </w:r>
                  <w:r>
                    <w:rPr>
                      <w:rFonts w:hint="eastAsia" w:ascii="宋体" w:hAnsi="宋体" w:eastAsia="宋体" w:cs="宋体"/>
                      <w:color w:val="FF0000"/>
                      <w:sz w:val="20"/>
                      <w:szCs w:val="20"/>
                      <w:lang w:eastAsia="zh-CN"/>
                    </w:rPr>
                    <w:t>。</w:t>
                  </w:r>
                </w:p>
              </w:tc>
              <w:tc>
                <w:tcPr>
                  <w:tcW w:w="655" w:type="dxa"/>
                  <w:tcBorders>
                    <w:tl2br w:val="nil"/>
                    <w:tr2bl w:val="nil"/>
                  </w:tcBorders>
                  <w:vAlign w:val="center"/>
                </w:tcPr>
                <w:p w14:paraId="525E4F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r w14:paraId="0D1243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030" w:type="dxa"/>
                  <w:tcBorders>
                    <w:tl2br w:val="nil"/>
                    <w:tr2bl w:val="nil"/>
                  </w:tcBorders>
                  <w:vAlign w:val="center"/>
                </w:tcPr>
                <w:p w14:paraId="13F2A2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五）加快退出重点行业落后产能。修订《产业结构调整指体排放明显高出行业平均水平、能效和清洁生产水平低的工艺和装备纳入淘汰类和限制类名单。重点区域进一步提高落后产能能耗、环保、质量、安全、技术等要求，逐步退出限制类涉气行业工艺和装备；逐步淘汰步进式烧结机和球团竖炉以及半封闭式硅锰合金、镍铁、高碳铬铁、高碳锰铁电炉。引导重点区域钢铁、焦化、电解铝等产业有序调整优化。</w:t>
                  </w:r>
                </w:p>
              </w:tc>
              <w:tc>
                <w:tcPr>
                  <w:tcW w:w="1691" w:type="dxa"/>
                  <w:tcBorders>
                    <w:tl2br w:val="nil"/>
                    <w:tr2bl w:val="nil"/>
                  </w:tcBorders>
                  <w:vAlign w:val="center"/>
                </w:tcPr>
                <w:p w14:paraId="45EEE4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根据《产业结构调整指导目录（2024年本）》，</w:t>
                  </w:r>
                  <w:r>
                    <w:rPr>
                      <w:rFonts w:hint="eastAsia"/>
                      <w:color w:val="FF0000"/>
                      <w:lang w:val="en-US" w:eastAsia="zh-CN"/>
                    </w:rPr>
                    <w:t>本项目</w:t>
                  </w:r>
                  <w:r>
                    <w:rPr>
                      <w:rFonts w:hint="default"/>
                      <w:color w:val="FF0000"/>
                      <w:lang w:val="en-US" w:eastAsia="zh-CN"/>
                    </w:rPr>
                    <w:t>属于鼓励类；</w:t>
                  </w:r>
                  <w:r>
                    <w:rPr>
                      <w:rFonts w:hint="eastAsia"/>
                      <w:color w:val="FF0000"/>
                      <w:lang w:val="en-US" w:eastAsia="zh-CN"/>
                    </w:rPr>
                    <w:t>本项目</w:t>
                  </w:r>
                  <w:r>
                    <w:rPr>
                      <w:rFonts w:hint="default"/>
                      <w:color w:val="FF0000"/>
                      <w:lang w:val="en-US" w:eastAsia="zh-CN"/>
                    </w:rPr>
                    <w:t>生产工艺装备和产品</w:t>
                  </w:r>
                  <w:r>
                    <w:rPr>
                      <w:rFonts w:hint="eastAsia"/>
                      <w:color w:val="FF0000"/>
                      <w:lang w:val="en-US" w:eastAsia="zh-CN"/>
                    </w:rPr>
                    <w:t>不属于落后类</w:t>
                  </w:r>
                  <w:r>
                    <w:rPr>
                      <w:rFonts w:hint="default"/>
                      <w:color w:val="FF0000"/>
                      <w:lang w:val="en-US" w:eastAsia="zh-CN"/>
                    </w:rPr>
                    <w:t>。</w:t>
                  </w:r>
                </w:p>
              </w:tc>
              <w:tc>
                <w:tcPr>
                  <w:tcW w:w="655" w:type="dxa"/>
                  <w:tcBorders>
                    <w:tl2br w:val="nil"/>
                    <w:tr2bl w:val="nil"/>
                  </w:tcBorders>
                  <w:vAlign w:val="center"/>
                </w:tcPr>
                <w:p w14:paraId="25858C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r w14:paraId="3DF00D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8376" w:type="dxa"/>
                  <w:gridSpan w:val="3"/>
                  <w:tcBorders>
                    <w:tl2br w:val="nil"/>
                    <w:tr2bl w:val="nil"/>
                  </w:tcBorders>
                  <w:vAlign w:val="center"/>
                </w:tcPr>
                <w:p w14:paraId="0B3735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default"/>
                      <w:color w:val="FF0000"/>
                      <w:lang w:val="en-US" w:eastAsia="zh-CN"/>
                    </w:rPr>
                  </w:pPr>
                  <w:r>
                    <w:rPr>
                      <w:rFonts w:hint="default"/>
                      <w:color w:val="FF0000"/>
                      <w:lang w:val="en-US" w:eastAsia="zh-CN"/>
                    </w:rPr>
                    <w:t>三、优化能源结构，加速能源清洁低碳高效发展</w:t>
                  </w:r>
                </w:p>
              </w:tc>
            </w:tr>
            <w:tr w14:paraId="04D27D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0" w:type="dxa"/>
                  <w:tcBorders>
                    <w:tl2br w:val="nil"/>
                    <w:tr2bl w:val="nil"/>
                  </w:tcBorders>
                  <w:vAlign w:val="center"/>
                </w:tcPr>
                <w:p w14:paraId="3BFD51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九）大力发展新能源和清洁能源。到2025年，非化石能源消费比重达20%左右，电能占终端能源消费比重达30%左右。持续增加天然气生产供应，新增天然气优先保障居民生活和清洁取暖需求。</w:t>
                  </w:r>
                </w:p>
              </w:tc>
              <w:tc>
                <w:tcPr>
                  <w:tcW w:w="1691" w:type="dxa"/>
                  <w:tcBorders>
                    <w:tl2br w:val="nil"/>
                    <w:tr2bl w:val="nil"/>
                  </w:tcBorders>
                  <w:vAlign w:val="center"/>
                </w:tcPr>
                <w:p w14:paraId="377D0B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本项目不使用燃料。</w:t>
                  </w:r>
                </w:p>
              </w:tc>
              <w:tc>
                <w:tcPr>
                  <w:tcW w:w="655" w:type="dxa"/>
                  <w:tcBorders>
                    <w:tl2br w:val="nil"/>
                    <w:tr2bl w:val="nil"/>
                  </w:tcBorders>
                  <w:vAlign w:val="center"/>
                </w:tcPr>
                <w:p w14:paraId="5696017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r w14:paraId="101AFF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76" w:type="dxa"/>
                  <w:gridSpan w:val="3"/>
                  <w:tcBorders>
                    <w:tl2br w:val="nil"/>
                    <w:tr2bl w:val="nil"/>
                  </w:tcBorders>
                  <w:vAlign w:val="center"/>
                </w:tcPr>
                <w:p w14:paraId="440E16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default"/>
                      <w:color w:val="FF0000"/>
                      <w:lang w:val="en-US" w:eastAsia="zh-CN"/>
                    </w:rPr>
                  </w:pPr>
                  <w:r>
                    <w:rPr>
                      <w:rFonts w:hint="default"/>
                      <w:color w:val="FF0000"/>
                      <w:lang w:val="en-US" w:eastAsia="zh-CN"/>
                    </w:rPr>
                    <w:t>五、强化面源污染治理，提升精细化管理水平</w:t>
                  </w:r>
                </w:p>
              </w:tc>
            </w:tr>
            <w:tr w14:paraId="7720DE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030" w:type="dxa"/>
                  <w:tcBorders>
                    <w:tl2br w:val="nil"/>
                    <w:tr2bl w:val="nil"/>
                  </w:tcBorders>
                  <w:vAlign w:val="center"/>
                </w:tcPr>
                <w:p w14:paraId="629AE0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十八）深化扬尘污染综合治理。鼓励经济发达地区5000平方米及以上建筑工地安装视频监控并接入当地监管平台；重点区域道路、水务等长距离线性工程实行分段施工。将防治扬尘污染费用纳入工程造价。到2025年，装配式建筑占新建建筑面积比例达30%；地级及以上城市建成区道路机械化清扫率达80%左右，县城达70%左右。对城市公共裸地进行排查建档并采取防尘措施。城市大型煤炭、矿石等干散货码头物料堆场基本完成抑尘设施建设和物料输送系统封闭改造。</w:t>
                  </w:r>
                </w:p>
              </w:tc>
              <w:tc>
                <w:tcPr>
                  <w:tcW w:w="1691" w:type="dxa"/>
                  <w:tcBorders>
                    <w:tl2br w:val="nil"/>
                    <w:tr2bl w:val="nil"/>
                  </w:tcBorders>
                  <w:vAlign w:val="center"/>
                </w:tcPr>
                <w:p w14:paraId="0AD60D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本项目占地面积12000m</w:t>
                  </w:r>
                  <w:r>
                    <w:rPr>
                      <w:rFonts w:hint="eastAsia"/>
                      <w:color w:val="FF0000"/>
                      <w:vertAlign w:val="superscript"/>
                      <w:lang w:val="en-US" w:eastAsia="zh-CN"/>
                    </w:rPr>
                    <w:t>2</w:t>
                  </w:r>
                  <w:r>
                    <w:rPr>
                      <w:rFonts w:hint="eastAsia"/>
                      <w:color w:val="FF0000"/>
                      <w:lang w:val="en-US" w:eastAsia="zh-CN"/>
                    </w:rPr>
                    <w:t>，搅拌、破碎及筛分产生粉尘经布袋除尘器处理后达标排放，厂房设置密闭厂房，物料运输采取封闭系统等措施。</w:t>
                  </w:r>
                </w:p>
              </w:tc>
              <w:tc>
                <w:tcPr>
                  <w:tcW w:w="655" w:type="dxa"/>
                  <w:tcBorders>
                    <w:tl2br w:val="nil"/>
                    <w:tr2bl w:val="nil"/>
                  </w:tcBorders>
                  <w:vAlign w:val="center"/>
                </w:tcPr>
                <w:p w14:paraId="0985CA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bl>
          <w:p w14:paraId="669D419C">
            <w:pPr>
              <w:pStyle w:val="76"/>
              <w:keepNext w:val="0"/>
              <w:keepLines w:val="0"/>
              <w:numPr>
                <w:ilvl w:val="0"/>
                <w:numId w:val="0"/>
              </w:numPr>
              <w:suppressLineNumbers w:val="0"/>
              <w:bidi w:val="0"/>
              <w:spacing w:before="0" w:beforeAutospacing="0" w:after="0" w:afterAutospacing="0"/>
              <w:ind w:left="0" w:leftChars="0" w:right="0" w:rightChars="0" w:firstLine="464" w:firstLineChars="200"/>
              <w:rPr>
                <w:rFonts w:hint="default"/>
                <w:b/>
                <w:bCs w:val="0"/>
                <w:color w:val="auto"/>
                <w:highlight w:val="none"/>
                <w:lang w:val="en-US" w:eastAsia="zh-CN"/>
              </w:rPr>
            </w:pPr>
            <w:r>
              <w:rPr>
                <w:rFonts w:hint="default" w:ascii="宋体" w:hAnsi="宋体" w:eastAsia="宋体" w:cs="宋体"/>
                <w:color w:val="FF0000"/>
                <w:spacing w:val="-4"/>
                <w:sz w:val="24"/>
                <w:szCs w:val="24"/>
              </w:rPr>
              <w:t>由上表分析，</w:t>
            </w:r>
            <w:r>
              <w:rPr>
                <w:rFonts w:hint="eastAsia" w:ascii="宋体" w:hAnsi="宋体" w:eastAsia="宋体" w:cs="宋体"/>
                <w:color w:val="FF0000"/>
                <w:spacing w:val="-4"/>
                <w:sz w:val="24"/>
                <w:szCs w:val="24"/>
                <w:lang w:val="en-US" w:eastAsia="zh-CN"/>
              </w:rPr>
              <w:t>本</w:t>
            </w:r>
            <w:r>
              <w:rPr>
                <w:rFonts w:hint="default" w:ascii="宋体" w:hAnsi="宋体" w:eastAsia="宋体" w:cs="宋体"/>
                <w:color w:val="FF0000"/>
                <w:spacing w:val="-4"/>
                <w:sz w:val="24"/>
                <w:szCs w:val="24"/>
              </w:rPr>
              <w:t>项目与《空气质量持</w:t>
            </w:r>
            <w:r>
              <w:rPr>
                <w:rFonts w:hint="default" w:ascii="宋体" w:hAnsi="宋体" w:eastAsia="宋体" w:cs="宋体"/>
                <w:color w:val="FF0000"/>
                <w:spacing w:val="-1"/>
                <w:sz w:val="24"/>
                <w:szCs w:val="24"/>
              </w:rPr>
              <w:t>续改善行动计划》（国发〔</w:t>
            </w:r>
            <w:r>
              <w:rPr>
                <w:rFonts w:hint="default" w:ascii="Times New Roman" w:hAnsi="Times New Roman" w:eastAsia="Times New Roman" w:cs="Times New Roman"/>
                <w:color w:val="FF0000"/>
                <w:spacing w:val="-1"/>
                <w:sz w:val="24"/>
                <w:szCs w:val="24"/>
              </w:rPr>
              <w:t>2023</w:t>
            </w:r>
            <w:r>
              <w:rPr>
                <w:rFonts w:hint="default" w:ascii="宋体" w:hAnsi="宋体" w:eastAsia="宋体" w:cs="宋体"/>
                <w:color w:val="FF0000"/>
                <w:spacing w:val="-1"/>
                <w:sz w:val="24"/>
                <w:szCs w:val="24"/>
              </w:rPr>
              <w:t>〕</w:t>
            </w:r>
            <w:r>
              <w:rPr>
                <w:rFonts w:hint="default" w:ascii="Times New Roman" w:hAnsi="Times New Roman" w:eastAsia="Times New Roman" w:cs="Times New Roman"/>
                <w:color w:val="FF0000"/>
                <w:spacing w:val="-1"/>
                <w:sz w:val="24"/>
                <w:szCs w:val="24"/>
              </w:rPr>
              <w:t>24</w:t>
            </w:r>
            <w:r>
              <w:rPr>
                <w:rFonts w:hint="default" w:ascii="宋体" w:hAnsi="宋体" w:eastAsia="宋体" w:cs="宋体"/>
                <w:color w:val="FF0000"/>
                <w:spacing w:val="-1"/>
                <w:sz w:val="24"/>
                <w:szCs w:val="24"/>
              </w:rPr>
              <w:t>号）相</w:t>
            </w:r>
            <w:r>
              <w:rPr>
                <w:rFonts w:hint="eastAsia" w:ascii="宋体" w:hAnsi="宋体" w:eastAsia="宋体" w:cs="宋体"/>
                <w:color w:val="FF0000"/>
                <w:spacing w:val="-1"/>
                <w:sz w:val="24"/>
                <w:szCs w:val="24"/>
                <w:lang w:val="en-US" w:eastAsia="zh-CN"/>
              </w:rPr>
              <w:t>符</w:t>
            </w:r>
            <w:r>
              <w:rPr>
                <w:rFonts w:hint="default" w:ascii="宋体" w:hAnsi="宋体" w:eastAsia="宋体" w:cs="宋体"/>
                <w:color w:val="FF0000"/>
                <w:spacing w:val="-1"/>
                <w:sz w:val="24"/>
                <w:szCs w:val="24"/>
              </w:rPr>
              <w:t>。</w:t>
            </w:r>
          </w:p>
          <w:p w14:paraId="21E7C55F">
            <w:pPr>
              <w:pStyle w:val="76"/>
              <w:keepNext w:val="0"/>
              <w:keepLines w:val="0"/>
              <w:numPr>
                <w:ilvl w:val="0"/>
                <w:numId w:val="0"/>
              </w:numPr>
              <w:suppressLineNumbers w:val="0"/>
              <w:bidi w:val="0"/>
              <w:spacing w:before="0" w:beforeAutospacing="0" w:after="0" w:afterAutospacing="0"/>
              <w:ind w:left="0" w:right="0" w:firstLine="458" w:firstLineChars="200"/>
              <w:rPr>
                <w:rFonts w:hint="default"/>
                <w:b/>
                <w:bCs w:val="0"/>
                <w:color w:val="FF0000"/>
                <w:spacing w:val="-6"/>
                <w:highlight w:val="none"/>
              </w:rPr>
            </w:pPr>
            <w:r>
              <w:rPr>
                <w:rFonts w:hint="eastAsia" w:cs="Times New Roman"/>
                <w:b/>
                <w:bCs w:val="0"/>
                <w:color w:val="FF0000"/>
                <w:spacing w:val="-6"/>
                <w:kern w:val="2"/>
                <w:sz w:val="24"/>
                <w:szCs w:val="24"/>
                <w:highlight w:val="none"/>
                <w:lang w:val="en-US" w:eastAsia="zh-CN" w:bidi="ar-SA"/>
              </w:rPr>
              <w:t>24、与《江西省空气质量持续改善行动计划实施方案》（赣府发〔2024〕20号）</w:t>
            </w:r>
            <w:r>
              <w:rPr>
                <w:rFonts w:hint="default"/>
                <w:b/>
                <w:bCs w:val="0"/>
                <w:color w:val="FF0000"/>
                <w:spacing w:val="-6"/>
                <w:highlight w:val="none"/>
              </w:rPr>
              <w:t>相符性分析</w:t>
            </w:r>
          </w:p>
          <w:p w14:paraId="00467D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FF0000"/>
                <w:lang w:val="en-US" w:eastAsia="zh-CN"/>
              </w:rPr>
            </w:pPr>
            <w:r>
              <w:rPr>
                <w:rFonts w:hint="default"/>
                <w:color w:val="FF0000"/>
                <w:lang w:val="en-US" w:eastAsia="zh-CN"/>
              </w:rPr>
              <w:t>202</w:t>
            </w:r>
            <w:r>
              <w:rPr>
                <w:rFonts w:hint="eastAsia"/>
                <w:color w:val="FF0000"/>
                <w:lang w:val="en-US" w:eastAsia="zh-CN"/>
              </w:rPr>
              <w:t>4</w:t>
            </w:r>
            <w:r>
              <w:rPr>
                <w:rFonts w:hint="default"/>
                <w:color w:val="FF0000"/>
                <w:lang w:val="en-US" w:eastAsia="zh-CN"/>
              </w:rPr>
              <w:t>年1</w:t>
            </w:r>
            <w:r>
              <w:rPr>
                <w:rFonts w:hint="eastAsia"/>
                <w:color w:val="FF0000"/>
                <w:lang w:val="en-US" w:eastAsia="zh-CN"/>
              </w:rPr>
              <w:t>2</w:t>
            </w:r>
            <w:r>
              <w:rPr>
                <w:rFonts w:hint="default"/>
                <w:color w:val="FF0000"/>
                <w:lang w:val="en-US" w:eastAsia="zh-CN"/>
              </w:rPr>
              <w:t>月</w:t>
            </w:r>
            <w:r>
              <w:rPr>
                <w:rFonts w:hint="eastAsia"/>
                <w:color w:val="FF0000"/>
                <w:lang w:val="en-US" w:eastAsia="zh-CN"/>
              </w:rPr>
              <w:t>25</w:t>
            </w:r>
            <w:r>
              <w:rPr>
                <w:rFonts w:hint="default"/>
                <w:color w:val="FF0000"/>
                <w:lang w:val="en-US" w:eastAsia="zh-CN"/>
              </w:rPr>
              <w:t>日，</w:t>
            </w:r>
            <w:r>
              <w:rPr>
                <w:rFonts w:hint="eastAsia"/>
                <w:color w:val="FF0000"/>
                <w:lang w:val="en-US" w:eastAsia="zh-CN"/>
              </w:rPr>
              <w:t>江西省人民政府</w:t>
            </w:r>
            <w:r>
              <w:rPr>
                <w:rFonts w:hint="default"/>
                <w:color w:val="FF0000"/>
                <w:lang w:val="en-US" w:eastAsia="zh-CN"/>
              </w:rPr>
              <w:t>关于印发《江西省空气质量持续改善行动计划实施方案》的通知（赣府发〔2024〕20号），为贯彻落实国务院（国发〔2023〕24号），持续深入打好蓝天保卫战，推动空气质量持续改善，切实保障人民群众身体健康，以生态环境高水平保护推动经济高质量发展，制定本方案。结合项目情况，与《江西省空气质量持续改善行动计划实施方案》（赣府发〔2024〕20号）符合性见下表</w:t>
            </w:r>
            <w:r>
              <w:rPr>
                <w:rFonts w:hint="eastAsia"/>
                <w:color w:val="FF0000"/>
                <w:lang w:val="en-US" w:eastAsia="zh-CN"/>
              </w:rPr>
              <w:t>。</w:t>
            </w:r>
          </w:p>
          <w:p w14:paraId="1849D81D">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ind w:left="0" w:right="0" w:firstLine="0" w:firstLineChars="0"/>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与（赣府发〔2024〕20号）相符性分析</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67"/>
              <w:gridCol w:w="2254"/>
              <w:gridCol w:w="655"/>
            </w:tblGrid>
            <w:tr w14:paraId="4779E1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7" w:type="dxa"/>
                  <w:tcBorders>
                    <w:tl2br w:val="nil"/>
                    <w:tr2bl w:val="nil"/>
                  </w:tcBorders>
                  <w:vAlign w:val="center"/>
                </w:tcPr>
                <w:p w14:paraId="604D22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文件要求</w:t>
                  </w:r>
                </w:p>
              </w:tc>
              <w:tc>
                <w:tcPr>
                  <w:tcW w:w="2254" w:type="dxa"/>
                  <w:tcBorders>
                    <w:tl2br w:val="nil"/>
                    <w:tr2bl w:val="nil"/>
                  </w:tcBorders>
                  <w:vAlign w:val="center"/>
                </w:tcPr>
                <w:p w14:paraId="7BC985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FF0000"/>
                      <w:lang w:val="en-US" w:eastAsia="zh-CN"/>
                    </w:rPr>
                  </w:pPr>
                  <w:r>
                    <w:rPr>
                      <w:rFonts w:hint="eastAsia"/>
                      <w:b/>
                      <w:bCs/>
                      <w:color w:val="FF0000"/>
                      <w:lang w:val="en-US" w:eastAsia="zh-CN"/>
                    </w:rPr>
                    <w:t>本项目情况</w:t>
                  </w:r>
                </w:p>
              </w:tc>
              <w:tc>
                <w:tcPr>
                  <w:tcW w:w="655" w:type="dxa"/>
                  <w:tcBorders>
                    <w:tl2br w:val="nil"/>
                    <w:tr2bl w:val="nil"/>
                  </w:tcBorders>
                  <w:vAlign w:val="center"/>
                </w:tcPr>
                <w:p w14:paraId="611802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FF0000"/>
                      <w:lang w:val="en-US" w:eastAsia="zh-CN"/>
                    </w:rPr>
                  </w:pPr>
                  <w:r>
                    <w:rPr>
                      <w:rFonts w:hint="eastAsia"/>
                      <w:b/>
                      <w:bCs/>
                      <w:color w:val="FF0000"/>
                      <w:lang w:val="en-US" w:eastAsia="zh-CN"/>
                    </w:rPr>
                    <w:t>符合性</w:t>
                  </w:r>
                </w:p>
              </w:tc>
            </w:tr>
            <w:tr w14:paraId="5E89C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76" w:type="dxa"/>
                  <w:gridSpan w:val="3"/>
                  <w:tcBorders>
                    <w:tl2br w:val="nil"/>
                    <w:tr2bl w:val="nil"/>
                  </w:tcBorders>
                  <w:vAlign w:val="center"/>
                </w:tcPr>
                <w:p w14:paraId="371F20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default"/>
                      <w:color w:val="FF0000"/>
                      <w:lang w:val="en-US" w:eastAsia="zh-CN"/>
                    </w:rPr>
                  </w:pPr>
                  <w:r>
                    <w:rPr>
                      <w:rFonts w:hint="default"/>
                      <w:color w:val="FF0000"/>
                      <w:lang w:val="en-US" w:eastAsia="zh-CN"/>
                    </w:rPr>
                    <w:t>二、</w:t>
                  </w:r>
                  <w:r>
                    <w:rPr>
                      <w:rFonts w:hint="eastAsia"/>
                      <w:color w:val="FF0000"/>
                      <w:lang w:val="en-US" w:eastAsia="zh-CN"/>
                    </w:rPr>
                    <w:t>推进</w:t>
                  </w:r>
                  <w:r>
                    <w:rPr>
                      <w:rFonts w:hint="default"/>
                      <w:color w:val="FF0000"/>
                      <w:lang w:val="en-US" w:eastAsia="zh-CN"/>
                    </w:rPr>
                    <w:t>产业结构，促进产业产品绿色升级</w:t>
                  </w:r>
                </w:p>
              </w:tc>
            </w:tr>
            <w:tr w14:paraId="5A762F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7" w:type="dxa"/>
                  <w:tcBorders>
                    <w:tl2br w:val="nil"/>
                    <w:tr2bl w:val="nil"/>
                  </w:tcBorders>
                  <w:vAlign w:val="center"/>
                </w:tcPr>
                <w:p w14:paraId="7422FB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一）严格高耗能、高排放、低水平项目准入。新改扩建项目严格落实国家和省产业规划、产业政策、生态环境分区管控方案、长江经济带发展负面清单、规划环评、项目环评、节能审查、产能置换、重点污染物总量控制、污染物排放区域削减、碳排放达峰目标等相关要求，原则上采用清洁运输方式。严格落实钢铁、水泥、平板玻璃等行业产能置换相关政策。涉及产能置换的项目，被置换产能及其配套设施关停后，新建项目方可投产。</w:t>
                  </w:r>
                </w:p>
              </w:tc>
              <w:tc>
                <w:tcPr>
                  <w:tcW w:w="2254" w:type="dxa"/>
                  <w:tcBorders>
                    <w:tl2br w:val="nil"/>
                    <w:tr2bl w:val="nil"/>
                  </w:tcBorders>
                  <w:vAlign w:val="center"/>
                </w:tcPr>
                <w:p w14:paraId="24291C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textAlignment w:val="auto"/>
                    <w:rPr>
                      <w:rFonts w:hint="eastAsia" w:eastAsia="宋体"/>
                      <w:color w:val="FF0000"/>
                      <w:lang w:val="en-US" w:eastAsia="zh-CN"/>
                    </w:rPr>
                  </w:pPr>
                  <w:r>
                    <w:rPr>
                      <w:rFonts w:hint="eastAsia"/>
                      <w:color w:val="FF0000"/>
                      <w:sz w:val="21"/>
                      <w:szCs w:val="21"/>
                      <w:lang w:val="en-US" w:eastAsia="zh-CN"/>
                    </w:rPr>
                    <w:t>本项目不属于高耗能、高排放、低水平项目，根据《产业结构调整指导目录（2024年本）》，本项目属于鼓励类，不属于上述项目。</w:t>
                  </w:r>
                </w:p>
              </w:tc>
              <w:tc>
                <w:tcPr>
                  <w:tcW w:w="655" w:type="dxa"/>
                  <w:tcBorders>
                    <w:tl2br w:val="nil"/>
                    <w:tr2bl w:val="nil"/>
                  </w:tcBorders>
                  <w:vAlign w:val="center"/>
                </w:tcPr>
                <w:p w14:paraId="5305E6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r w14:paraId="584436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5467" w:type="dxa"/>
                  <w:tcBorders>
                    <w:tl2br w:val="nil"/>
                    <w:tr2bl w:val="nil"/>
                  </w:tcBorders>
                  <w:vAlign w:val="center"/>
                </w:tcPr>
                <w:p w14:paraId="2D966C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default"/>
                      <w:color w:val="FF0000"/>
                      <w:lang w:val="en-US" w:eastAsia="zh-CN"/>
                    </w:rPr>
                    <w:t>（二）加快退出重点行业落后产能。严格执行《产业结构调整指导目录》要求，依法依规淘汰钢铁、水泥、玻璃、有色金属、石化、化工、陶瓷、玻璃纤维和砖瓦等重点行业落后产能，加快推进淘汰类涉气行业工艺和装备退出，推动限制类涉气行业工艺和装备逐步退出。</w:t>
                  </w:r>
                </w:p>
              </w:tc>
              <w:tc>
                <w:tcPr>
                  <w:tcW w:w="2254" w:type="dxa"/>
                  <w:tcBorders>
                    <w:tl2br w:val="nil"/>
                    <w:tr2bl w:val="nil"/>
                  </w:tcBorders>
                  <w:vAlign w:val="center"/>
                </w:tcPr>
                <w:p w14:paraId="2DE074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sz w:val="21"/>
                      <w:szCs w:val="21"/>
                      <w:lang w:val="en-US" w:eastAsia="zh-CN"/>
                    </w:rPr>
                    <w:t>根据《产业结构调整指导目录（2024年本）》，本项目属于鼓励类，项目不属于产能落后类产业。</w:t>
                  </w:r>
                </w:p>
              </w:tc>
              <w:tc>
                <w:tcPr>
                  <w:tcW w:w="655" w:type="dxa"/>
                  <w:tcBorders>
                    <w:tl2br w:val="nil"/>
                    <w:tr2bl w:val="nil"/>
                  </w:tcBorders>
                  <w:vAlign w:val="center"/>
                </w:tcPr>
                <w:p w14:paraId="13EFBA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r w14:paraId="7D0BB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3" w:hRule="atLeast"/>
                <w:jc w:val="center"/>
              </w:trPr>
              <w:tc>
                <w:tcPr>
                  <w:tcW w:w="8376" w:type="dxa"/>
                  <w:gridSpan w:val="3"/>
                  <w:tcBorders>
                    <w:tl2br w:val="nil"/>
                    <w:tr2bl w:val="nil"/>
                  </w:tcBorders>
                  <w:vAlign w:val="center"/>
                </w:tcPr>
                <w:p w14:paraId="33BC2A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eastAsia"/>
                      <w:color w:val="FF0000"/>
                      <w:lang w:val="en-US" w:eastAsia="zh-CN"/>
                    </w:rPr>
                  </w:pPr>
                  <w:r>
                    <w:rPr>
                      <w:rFonts w:hint="eastAsia"/>
                      <w:color w:val="FF0000"/>
                      <w:lang w:val="en-US" w:eastAsia="zh-CN"/>
                    </w:rPr>
                    <w:t>三、推进能源结构优化，加速能源清洁低碳高效发展</w:t>
                  </w:r>
                </w:p>
              </w:tc>
            </w:tr>
            <w:tr w14:paraId="47AC71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5467" w:type="dxa"/>
                  <w:tcBorders>
                    <w:tl2br w:val="nil"/>
                    <w:tr2bl w:val="nil"/>
                  </w:tcBorders>
                  <w:vAlign w:val="center"/>
                </w:tcPr>
                <w:p w14:paraId="410F89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eastAsia"/>
                      <w:color w:val="FF0000"/>
                      <w:lang w:val="en-US" w:eastAsia="zh-CN"/>
                    </w:rPr>
                  </w:pPr>
                  <w:r>
                    <w:rPr>
                      <w:rFonts w:hint="eastAsia"/>
                      <w:color w:val="FF0000"/>
                      <w:lang w:val="en-US" w:eastAsia="zh-CN"/>
                    </w:rPr>
                    <w:t>（六）加快发展新能源和清洁能源。非化石能源逐步成为能源消费增量主体，到2025年，非化石能源消费比重达到18.3%左右，可再生能源电力消纳责任权重目标达到国家要求。积极扩大天然气利用范围，有序引导天然气消费，到2025年，天然气占一次能源消费比重提高到6.8%。</w:t>
                  </w:r>
                </w:p>
              </w:tc>
              <w:tc>
                <w:tcPr>
                  <w:tcW w:w="2254" w:type="dxa"/>
                  <w:tcBorders>
                    <w:tl2br w:val="nil"/>
                    <w:tr2bl w:val="nil"/>
                  </w:tcBorders>
                  <w:vAlign w:val="center"/>
                </w:tcPr>
                <w:p w14:paraId="23DF7C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eastAsia"/>
                      <w:color w:val="FF0000"/>
                      <w:lang w:val="en-US" w:eastAsia="zh-CN"/>
                    </w:rPr>
                  </w:pPr>
                  <w:r>
                    <w:rPr>
                      <w:rFonts w:hint="eastAsia"/>
                      <w:color w:val="FF0000"/>
                      <w:lang w:val="en-US" w:eastAsia="zh-CN"/>
                    </w:rPr>
                    <w:t>本项目不使用燃料。</w:t>
                  </w:r>
                </w:p>
              </w:tc>
              <w:tc>
                <w:tcPr>
                  <w:tcW w:w="655" w:type="dxa"/>
                  <w:tcBorders>
                    <w:tl2br w:val="nil"/>
                    <w:tr2bl w:val="nil"/>
                  </w:tcBorders>
                  <w:vAlign w:val="center"/>
                </w:tcPr>
                <w:p w14:paraId="298CC3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eastAsia"/>
                      <w:color w:val="FF0000"/>
                      <w:lang w:val="en-US" w:eastAsia="zh-CN"/>
                    </w:rPr>
                  </w:pPr>
                  <w:r>
                    <w:rPr>
                      <w:rFonts w:hint="eastAsia"/>
                      <w:color w:val="FF0000"/>
                      <w:lang w:val="en-US" w:eastAsia="zh-CN"/>
                    </w:rPr>
                    <w:t>符合</w:t>
                  </w:r>
                </w:p>
              </w:tc>
            </w:tr>
            <w:tr w14:paraId="73570C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8" w:hRule="atLeast"/>
                <w:jc w:val="center"/>
              </w:trPr>
              <w:tc>
                <w:tcPr>
                  <w:tcW w:w="8376" w:type="dxa"/>
                  <w:gridSpan w:val="3"/>
                  <w:tcBorders>
                    <w:tl2br w:val="nil"/>
                    <w:tr2bl w:val="nil"/>
                  </w:tcBorders>
                  <w:vAlign w:val="center"/>
                </w:tcPr>
                <w:p w14:paraId="6B7F2B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jc w:val="left"/>
                    <w:textAlignment w:val="auto"/>
                    <w:rPr>
                      <w:rFonts w:hint="default"/>
                      <w:color w:val="FF0000"/>
                      <w:lang w:val="en-US" w:eastAsia="zh-CN"/>
                    </w:rPr>
                  </w:pPr>
                  <w:r>
                    <w:rPr>
                      <w:rFonts w:hint="eastAsia"/>
                      <w:color w:val="FF0000"/>
                      <w:lang w:val="en-US" w:eastAsia="zh-CN"/>
                    </w:rPr>
                    <w:t>五、强化面源污染治理，提升精细化管理水平</w:t>
                  </w:r>
                </w:p>
              </w:tc>
            </w:tr>
            <w:tr w14:paraId="5326DA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67" w:type="dxa"/>
                  <w:tcBorders>
                    <w:tl2br w:val="nil"/>
                    <w:tr2bl w:val="nil"/>
                  </w:tcBorders>
                  <w:vAlign w:val="center"/>
                </w:tcPr>
                <w:p w14:paraId="568786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（十四）</w:t>
                  </w:r>
                  <w:r>
                    <w:rPr>
                      <w:rFonts w:hint="default"/>
                      <w:color w:val="FF0000"/>
                      <w:lang w:val="en-US" w:eastAsia="zh-CN"/>
                    </w:rPr>
                    <w:t>深化扬尘污染综合治理。鼓励有条件的地区5000平方米及以上建筑工地安装视频监控，并接入当地监管平台；道路、水务等长距离线性工程实行分段施工。将防治扬尘污染费用纳入工程造价。大力推广应用装配式建筑，到2025年，装配式建筑新开工面积占新建建筑总面积的比例力争达到40%；推进机械化湿法清扫作业，设区市建成区道路湿法作业机械化清扫率力争达到85%，县城达到70%。对城市公共裸地进行排查建档并采取防尘措施。到2025年底，城市大型煤炭、矿石等干散货码头物料堆场基本完成抑尘设施建设和物料输送系统封闭改造。</w:t>
                  </w:r>
                </w:p>
              </w:tc>
              <w:tc>
                <w:tcPr>
                  <w:tcW w:w="2254" w:type="dxa"/>
                  <w:tcBorders>
                    <w:tl2br w:val="nil"/>
                    <w:tr2bl w:val="nil"/>
                  </w:tcBorders>
                  <w:vAlign w:val="center"/>
                </w:tcPr>
                <w:p w14:paraId="062767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本项目占地面积12000m</w:t>
                  </w:r>
                  <w:r>
                    <w:rPr>
                      <w:rFonts w:hint="eastAsia"/>
                      <w:color w:val="FF0000"/>
                      <w:vertAlign w:val="superscript"/>
                      <w:lang w:val="en-US" w:eastAsia="zh-CN"/>
                    </w:rPr>
                    <w:t>2</w:t>
                  </w:r>
                  <w:r>
                    <w:rPr>
                      <w:rFonts w:hint="eastAsia"/>
                      <w:color w:val="FF0000"/>
                      <w:lang w:val="en-US" w:eastAsia="zh-CN"/>
                    </w:rPr>
                    <w:t>，搅拌、破碎及筛分产生粉尘经布袋除尘器处理后达标排放，厂房设置密闭厂房，物料运输采取封闭系统等措施。</w:t>
                  </w:r>
                </w:p>
              </w:tc>
              <w:tc>
                <w:tcPr>
                  <w:tcW w:w="655" w:type="dxa"/>
                  <w:tcBorders>
                    <w:tl2br w:val="nil"/>
                    <w:tr2bl w:val="nil"/>
                  </w:tcBorders>
                  <w:vAlign w:val="center"/>
                </w:tcPr>
                <w:p w14:paraId="4CFB73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lang w:val="en-US" w:eastAsia="zh-CN"/>
                    </w:rPr>
                  </w:pPr>
                  <w:r>
                    <w:rPr>
                      <w:rFonts w:hint="eastAsia"/>
                      <w:color w:val="FF0000"/>
                      <w:lang w:val="en-US" w:eastAsia="zh-CN"/>
                    </w:rPr>
                    <w:t>符合</w:t>
                  </w:r>
                </w:p>
              </w:tc>
            </w:tr>
          </w:tbl>
          <w:p w14:paraId="1BBEE449">
            <w:pPr>
              <w:pStyle w:val="76"/>
              <w:keepNext w:val="0"/>
              <w:keepLines w:val="0"/>
              <w:numPr>
                <w:ilvl w:val="0"/>
                <w:numId w:val="0"/>
              </w:numPr>
              <w:suppressLineNumbers w:val="0"/>
              <w:bidi w:val="0"/>
              <w:spacing w:before="0" w:beforeAutospacing="0" w:after="0" w:afterAutospacing="0"/>
              <w:ind w:left="0" w:leftChars="0" w:right="0" w:rightChars="0" w:firstLine="464" w:firstLineChars="200"/>
              <w:rPr>
                <w:rFonts w:hint="default" w:ascii="Times New Roman" w:hAnsi="Times New Roman" w:cs="Times New Roman"/>
                <w:b/>
                <w:bCs w:val="0"/>
                <w:color w:val="auto"/>
                <w:highlight w:val="none"/>
                <w:lang w:val="en-US" w:eastAsia="zh-CN"/>
              </w:rPr>
            </w:pPr>
            <w:r>
              <w:rPr>
                <w:rFonts w:hint="default" w:ascii="Times New Roman" w:hAnsi="Times New Roman" w:eastAsia="宋体" w:cs="Times New Roman"/>
                <w:color w:val="FF0000"/>
                <w:spacing w:val="-4"/>
                <w:sz w:val="24"/>
                <w:szCs w:val="24"/>
              </w:rPr>
              <w:t>由上表分析，</w:t>
            </w:r>
            <w:r>
              <w:rPr>
                <w:rFonts w:hint="default" w:ascii="Times New Roman" w:hAnsi="Times New Roman" w:eastAsia="宋体" w:cs="Times New Roman"/>
                <w:color w:val="FF0000"/>
                <w:spacing w:val="-4"/>
                <w:sz w:val="24"/>
                <w:szCs w:val="24"/>
                <w:lang w:val="en-US" w:eastAsia="zh-CN"/>
              </w:rPr>
              <w:t>本</w:t>
            </w:r>
            <w:r>
              <w:rPr>
                <w:rFonts w:hint="default" w:ascii="Times New Roman" w:hAnsi="Times New Roman" w:eastAsia="宋体" w:cs="Times New Roman"/>
                <w:color w:val="FF0000"/>
                <w:spacing w:val="-4"/>
                <w:sz w:val="24"/>
                <w:szCs w:val="24"/>
              </w:rPr>
              <w:t>项目与</w:t>
            </w:r>
            <w:r>
              <w:rPr>
                <w:rFonts w:hint="default" w:ascii="Times New Roman" w:hAnsi="Times New Roman" w:eastAsia="宋体" w:cs="Times New Roman"/>
                <w:color w:val="FF0000"/>
                <w:spacing w:val="-4"/>
                <w:sz w:val="24"/>
                <w:szCs w:val="24"/>
                <w:lang w:val="en-US" w:eastAsia="zh-CN"/>
              </w:rPr>
              <w:t>《江西省空气质量持续改善行动计划实施方案》（赣府发〔2024〕20号）</w:t>
            </w:r>
            <w:r>
              <w:rPr>
                <w:rFonts w:hint="default" w:ascii="Times New Roman" w:hAnsi="Times New Roman" w:eastAsia="宋体" w:cs="Times New Roman"/>
                <w:color w:val="FF0000"/>
                <w:spacing w:val="-1"/>
                <w:sz w:val="24"/>
                <w:szCs w:val="24"/>
              </w:rPr>
              <w:t>相</w:t>
            </w:r>
            <w:r>
              <w:rPr>
                <w:rFonts w:hint="default" w:ascii="Times New Roman" w:hAnsi="Times New Roman" w:eastAsia="宋体" w:cs="Times New Roman"/>
                <w:color w:val="FF0000"/>
                <w:spacing w:val="-1"/>
                <w:sz w:val="24"/>
                <w:szCs w:val="24"/>
                <w:lang w:val="en-US" w:eastAsia="zh-CN"/>
              </w:rPr>
              <w:t>符</w:t>
            </w:r>
            <w:r>
              <w:rPr>
                <w:rFonts w:hint="default" w:ascii="Times New Roman" w:hAnsi="Times New Roman" w:eastAsia="宋体" w:cs="Times New Roman"/>
                <w:color w:val="FF0000"/>
                <w:spacing w:val="-1"/>
                <w:sz w:val="24"/>
                <w:szCs w:val="24"/>
              </w:rPr>
              <w:t>。</w:t>
            </w:r>
          </w:p>
          <w:p w14:paraId="4B748857">
            <w:pPr>
              <w:pStyle w:val="76"/>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b/>
                <w:bCs w:val="0"/>
                <w:color w:val="auto"/>
                <w:highlight w:val="none"/>
                <w:lang w:val="en-US" w:eastAsia="zh-CN"/>
              </w:rPr>
            </w:pPr>
            <w:r>
              <w:rPr>
                <w:rFonts w:hint="eastAsia"/>
                <w:b/>
                <w:bCs w:val="0"/>
                <w:color w:val="auto"/>
                <w:highlight w:val="none"/>
                <w:lang w:val="en-US" w:eastAsia="zh-CN"/>
              </w:rPr>
              <w:t>25、与其他文件相符性分析</w:t>
            </w:r>
          </w:p>
          <w:p w14:paraId="6E90AC7E">
            <w:pPr>
              <w:pStyle w:val="12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Lines="0" w:afterAutospacing="0"/>
              <w:ind w:left="0" w:right="0" w:firstLine="0" w:firstLineChars="0"/>
              <w:textAlignment w:val="auto"/>
              <w:rPr>
                <w:rFonts w:hint="eastAsia" w:cs="Times New Roman"/>
                <w:color w:val="auto"/>
                <w:sz w:val="21"/>
                <w:szCs w:val="21"/>
                <w:highlight w:val="none"/>
                <w:lang w:val="en-US" w:eastAsia="zh-CN"/>
              </w:rPr>
            </w:pPr>
            <w:r>
              <w:rPr>
                <w:rFonts w:hint="default" w:cs="Times New Roman"/>
                <w:color w:val="auto"/>
                <w:sz w:val="21"/>
                <w:szCs w:val="21"/>
                <w:highlight w:val="none"/>
                <w:lang w:val="en-US" w:eastAsia="zh-CN"/>
              </w:rPr>
              <w:t xml:space="preserve"> 与其他文件相符性一览表</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30"/>
              <w:gridCol w:w="4974"/>
              <w:gridCol w:w="2539"/>
              <w:gridCol w:w="533"/>
            </w:tblGrid>
            <w:tr w14:paraId="70FD75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vAlign w:val="center"/>
                </w:tcPr>
                <w:p w14:paraId="1E968B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b/>
                      <w:bCs/>
                      <w:color w:val="auto"/>
                      <w:highlight w:val="none"/>
                      <w:lang w:val="en-US" w:eastAsia="zh-CN"/>
                    </w:rPr>
                  </w:pPr>
                  <w:r>
                    <w:rPr>
                      <w:rFonts w:hint="eastAsia"/>
                      <w:b/>
                      <w:bCs/>
                      <w:color w:val="auto"/>
                      <w:highlight w:val="none"/>
                      <w:lang w:val="en-US" w:eastAsia="zh-CN"/>
                    </w:rPr>
                    <w:t>序号</w:t>
                  </w:r>
                </w:p>
              </w:tc>
              <w:tc>
                <w:tcPr>
                  <w:tcW w:w="4974" w:type="dxa"/>
                  <w:tcBorders>
                    <w:tl2br w:val="nil"/>
                    <w:tr2bl w:val="nil"/>
                  </w:tcBorders>
                  <w:vAlign w:val="center"/>
                </w:tcPr>
                <w:p w14:paraId="5B36AE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b/>
                      <w:bCs/>
                      <w:color w:val="auto"/>
                      <w:highlight w:val="none"/>
                      <w:lang w:val="en-US" w:eastAsia="zh-CN"/>
                    </w:rPr>
                  </w:pPr>
                  <w:r>
                    <w:rPr>
                      <w:rFonts w:hint="eastAsia"/>
                      <w:b/>
                      <w:bCs/>
                      <w:color w:val="auto"/>
                      <w:highlight w:val="none"/>
                      <w:lang w:val="en-US" w:eastAsia="zh-CN"/>
                    </w:rPr>
                    <w:t>要求</w:t>
                  </w:r>
                </w:p>
              </w:tc>
              <w:tc>
                <w:tcPr>
                  <w:tcW w:w="2539" w:type="dxa"/>
                  <w:tcBorders>
                    <w:tl2br w:val="nil"/>
                    <w:tr2bl w:val="nil"/>
                  </w:tcBorders>
                  <w:vAlign w:val="center"/>
                </w:tcPr>
                <w:p w14:paraId="0A472A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lang w:val="en-US" w:eastAsia="zh-CN"/>
                    </w:rPr>
                  </w:pPr>
                  <w:r>
                    <w:rPr>
                      <w:rFonts w:hint="eastAsia"/>
                      <w:b/>
                      <w:bCs/>
                      <w:color w:val="auto"/>
                      <w:highlight w:val="none"/>
                      <w:lang w:val="en-US" w:eastAsia="zh-CN"/>
                    </w:rPr>
                    <w:t>本项目情况</w:t>
                  </w:r>
                </w:p>
              </w:tc>
              <w:tc>
                <w:tcPr>
                  <w:tcW w:w="533" w:type="dxa"/>
                  <w:tcBorders>
                    <w:tl2br w:val="nil"/>
                    <w:tr2bl w:val="nil"/>
                  </w:tcBorders>
                  <w:vAlign w:val="center"/>
                </w:tcPr>
                <w:p w14:paraId="33B8C4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b/>
                      <w:bCs/>
                      <w:color w:val="auto"/>
                      <w:highlight w:val="none"/>
                      <w:lang w:val="en-US" w:eastAsia="zh-CN"/>
                    </w:rPr>
                  </w:pPr>
                  <w:r>
                    <w:rPr>
                      <w:rFonts w:hint="eastAsia"/>
                      <w:b/>
                      <w:bCs/>
                      <w:color w:val="auto"/>
                      <w:highlight w:val="none"/>
                      <w:lang w:val="en-US" w:eastAsia="zh-CN"/>
                    </w:rPr>
                    <w:t>相符性</w:t>
                  </w:r>
                </w:p>
              </w:tc>
            </w:tr>
            <w:tr w14:paraId="414F1F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76" w:type="dxa"/>
                  <w:gridSpan w:val="4"/>
                  <w:tcBorders>
                    <w:tl2br w:val="nil"/>
                    <w:tr2bl w:val="nil"/>
                  </w:tcBorders>
                  <w:vAlign w:val="center"/>
                </w:tcPr>
                <w:p w14:paraId="16DA65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eastAsia"/>
                      <w:b/>
                      <w:bCs/>
                      <w:color w:val="auto"/>
                      <w:highlight w:val="none"/>
                    </w:rPr>
                    <w:t>《关于进一步加强环境影响评价管理防范环境风险的通知》（环发[2012]77号）相符性分析</w:t>
                  </w:r>
                </w:p>
              </w:tc>
            </w:tr>
            <w:tr w14:paraId="7412A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shd w:val="clear" w:color="auto" w:fill="auto"/>
                  <w:vAlign w:val="center"/>
                </w:tcPr>
                <w:p w14:paraId="719542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w:t>
                  </w:r>
                </w:p>
              </w:tc>
              <w:tc>
                <w:tcPr>
                  <w:tcW w:w="4974" w:type="dxa"/>
                  <w:tcBorders>
                    <w:tl2br w:val="nil"/>
                    <w:tr2bl w:val="nil"/>
                  </w:tcBorders>
                  <w:shd w:val="clear" w:color="auto" w:fill="auto"/>
                  <w:vAlign w:val="center"/>
                </w:tcPr>
                <w:p w14:paraId="3B6977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rPr>
                    <w:t>建设项目环境风险评价是相关项目环境影响评价的重要组成部分。新、改、扩建相关建设项目环境影响评价应按照相应技术导则要求，科学预测评价突发性事件或事故可能引发的环境风险，提出环境风险防范和应急措施。论证重点如下：1．从环境风险源、扩散途径、保护目标三方面识别环境风险。环境风险识别应包括生产设施和危险物质的识别，有毒有害物质扩散途径的识别(如大气环境、水环境、土壤等)以及可能受影响的环境保护目标的识别。2．科学开展环境风险预测。环境风险预测设定的最大可信事故应包括项目施工、营运等过程中生产设施发生火灾、爆炸，危险物质发生泄漏等事故，并充分考虑伴生/次生的危险物质等，从大气、地表水、海洋、地下水、土壤等环境方面考虑并预测评价突发环境事件对环境的影响范围和程度。3．提出合理有效的环境风险防范和应急措施。结合风险预测结论，有针对性地提出环境风险防范和应急措施并对措施的合理性和有效性进行充分论证。</w:t>
                  </w:r>
                </w:p>
              </w:tc>
              <w:tc>
                <w:tcPr>
                  <w:tcW w:w="2539" w:type="dxa"/>
                  <w:tcBorders>
                    <w:tl2br w:val="nil"/>
                    <w:tr2bl w:val="nil"/>
                  </w:tcBorders>
                  <w:shd w:val="clear" w:color="auto" w:fill="auto"/>
                  <w:vAlign w:val="center"/>
                </w:tcPr>
                <w:p w14:paraId="79616A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rPr>
                    <w:t>1．本环评从环境风险源、扩散途径、保护目标三方面识别了环境风险，风险识别包括了生产设施和危险物质、有毒有害物质扩散途径(如大气环境、水环境)以及可能受影响的环境保护目标。2．本环评环境风险定性分析了项目施工、营运等过程中生产设施发生火灾、爆炸，危险物质发生泄漏等事故，并考虑了伴生/次生事故危害，从大气、地表水、地下水等环境方面考虑并预测评价突发环境事件对环境的影响范围和程度。3．本环评提出了合理有效的环境风险防范和应急措施。</w:t>
                  </w:r>
                </w:p>
              </w:tc>
              <w:tc>
                <w:tcPr>
                  <w:tcW w:w="533" w:type="dxa"/>
                  <w:tcBorders>
                    <w:tl2br w:val="nil"/>
                    <w:tr2bl w:val="nil"/>
                  </w:tcBorders>
                  <w:shd w:val="clear" w:color="auto" w:fill="auto"/>
                  <w:vAlign w:val="center"/>
                </w:tcPr>
                <w:p w14:paraId="6417D7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相符</w:t>
                  </w:r>
                </w:p>
              </w:tc>
            </w:tr>
            <w:tr w14:paraId="00FBC6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30" w:type="dxa"/>
                  <w:tcBorders>
                    <w:tl2br w:val="nil"/>
                    <w:tr2bl w:val="nil"/>
                  </w:tcBorders>
                  <w:shd w:val="clear" w:color="auto" w:fill="auto"/>
                  <w:vAlign w:val="center"/>
                </w:tcPr>
                <w:p w14:paraId="6D1EF5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2</w:t>
                  </w:r>
                </w:p>
              </w:tc>
              <w:tc>
                <w:tcPr>
                  <w:tcW w:w="4974" w:type="dxa"/>
                  <w:tcBorders>
                    <w:tl2br w:val="nil"/>
                    <w:tr2bl w:val="nil"/>
                  </w:tcBorders>
                  <w:shd w:val="clear" w:color="auto" w:fill="auto"/>
                  <w:vAlign w:val="center"/>
                </w:tcPr>
                <w:p w14:paraId="6DDD7B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rPr>
                    <w:t>对存在较大环境风险的相关建设项目，应严格按照《环境影响评价公众参与暂行办法》（环发〔2006〕28号）做好环境影响评价公众参与工作。项目信息公示等内容中应包含项目实施可能产生的环境风险及相应的环境风险防范和应急措施。</w:t>
                  </w:r>
                </w:p>
              </w:tc>
              <w:tc>
                <w:tcPr>
                  <w:tcW w:w="2539" w:type="dxa"/>
                  <w:tcBorders>
                    <w:tl2br w:val="nil"/>
                    <w:tr2bl w:val="nil"/>
                  </w:tcBorders>
                  <w:shd w:val="clear" w:color="auto" w:fill="auto"/>
                  <w:vAlign w:val="center"/>
                </w:tcPr>
                <w:p w14:paraId="098AE6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本项目风险评价属于简单分析。</w:t>
                  </w:r>
                </w:p>
              </w:tc>
              <w:tc>
                <w:tcPr>
                  <w:tcW w:w="533" w:type="dxa"/>
                  <w:tcBorders>
                    <w:tl2br w:val="nil"/>
                    <w:tr2bl w:val="nil"/>
                  </w:tcBorders>
                  <w:shd w:val="clear" w:color="auto" w:fill="auto"/>
                  <w:vAlign w:val="center"/>
                </w:tcPr>
                <w:p w14:paraId="04F0A9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eastAsia="宋体"/>
                      <w:color w:val="auto"/>
                      <w:highlight w:val="none"/>
                      <w:lang w:val="en-US" w:eastAsia="zh-CN"/>
                    </w:rPr>
                    <w:t>相符</w:t>
                  </w:r>
                </w:p>
              </w:tc>
            </w:tr>
            <w:tr w14:paraId="1FE05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shd w:val="clear" w:color="auto" w:fill="auto"/>
                  <w:vAlign w:val="center"/>
                </w:tcPr>
                <w:p w14:paraId="5CC9E0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w:t>
                  </w:r>
                </w:p>
              </w:tc>
              <w:tc>
                <w:tcPr>
                  <w:tcW w:w="4974" w:type="dxa"/>
                  <w:tcBorders>
                    <w:tl2br w:val="nil"/>
                    <w:tr2bl w:val="nil"/>
                  </w:tcBorders>
                  <w:shd w:val="clear" w:color="auto" w:fill="auto"/>
                  <w:vAlign w:val="center"/>
                </w:tcPr>
                <w:p w14:paraId="7E552B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环境风险评价结论应作为相关建设项目环境影响评价文件结论的主要内容之一。无环境风险评价专章的相关建设项目环境影响评价文件不予受理；经论证，环境风险评价内容不完善的相关建设项目环境影响评价文件不予审批。</w:t>
                  </w:r>
                </w:p>
              </w:tc>
              <w:tc>
                <w:tcPr>
                  <w:tcW w:w="2539" w:type="dxa"/>
                  <w:tcBorders>
                    <w:tl2br w:val="nil"/>
                    <w:tr2bl w:val="nil"/>
                  </w:tcBorders>
                  <w:shd w:val="clear" w:color="auto" w:fill="auto"/>
                  <w:vAlign w:val="center"/>
                </w:tcPr>
                <w:p w14:paraId="69E2A0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本环评中</w:t>
                  </w:r>
                  <w:r>
                    <w:rPr>
                      <w:rFonts w:hint="eastAsia"/>
                      <w:color w:val="auto"/>
                      <w:highlight w:val="none"/>
                      <w:lang w:val="en-US" w:eastAsia="zh-CN"/>
                    </w:rPr>
                    <w:t>已分析了本项目环境风险</w:t>
                  </w:r>
                  <w:r>
                    <w:rPr>
                      <w:rFonts w:hint="eastAsia"/>
                      <w:color w:val="auto"/>
                      <w:highlight w:val="none"/>
                    </w:rPr>
                    <w:t>，</w:t>
                  </w:r>
                  <w:r>
                    <w:rPr>
                      <w:rFonts w:hint="eastAsia"/>
                      <w:color w:val="auto"/>
                      <w:highlight w:val="none"/>
                      <w:lang w:val="en-US" w:eastAsia="zh-CN"/>
                    </w:rPr>
                    <w:t>为简单分析，</w:t>
                  </w:r>
                  <w:r>
                    <w:rPr>
                      <w:rFonts w:hint="eastAsia"/>
                      <w:color w:val="auto"/>
                      <w:highlight w:val="none"/>
                    </w:rPr>
                    <w:t>环境风险评价内容完善。</w:t>
                  </w:r>
                </w:p>
              </w:tc>
              <w:tc>
                <w:tcPr>
                  <w:tcW w:w="533" w:type="dxa"/>
                  <w:tcBorders>
                    <w:tl2br w:val="nil"/>
                    <w:tr2bl w:val="nil"/>
                  </w:tcBorders>
                  <w:shd w:val="clear" w:color="auto" w:fill="auto"/>
                  <w:vAlign w:val="center"/>
                </w:tcPr>
                <w:p w14:paraId="0D0677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eastAsia="宋体"/>
                      <w:color w:val="auto"/>
                      <w:highlight w:val="none"/>
                      <w:lang w:val="en-US" w:eastAsia="zh-CN"/>
                    </w:rPr>
                    <w:t>相符</w:t>
                  </w:r>
                </w:p>
              </w:tc>
            </w:tr>
            <w:tr w14:paraId="2510AA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shd w:val="clear" w:color="auto" w:fill="auto"/>
                  <w:vAlign w:val="center"/>
                </w:tcPr>
                <w:p w14:paraId="64788E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4</w:t>
                  </w:r>
                </w:p>
              </w:tc>
              <w:tc>
                <w:tcPr>
                  <w:tcW w:w="4974" w:type="dxa"/>
                  <w:tcBorders>
                    <w:tl2br w:val="nil"/>
                    <w:tr2bl w:val="nil"/>
                  </w:tcBorders>
                  <w:shd w:val="clear" w:color="auto" w:fill="auto"/>
                  <w:vAlign w:val="center"/>
                </w:tcPr>
                <w:p w14:paraId="5D73D7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建设项目设计阶段，应按照或参照《化工建设项目环境保护设计规范》（GB50483）等国家标准和规范要求，设计有效防止泄漏物质、消防水、污染雨水等扩散至外环境的收集、导流、拦截、降污等环境风险防范设施。</w:t>
                  </w:r>
                </w:p>
              </w:tc>
              <w:tc>
                <w:tcPr>
                  <w:tcW w:w="2539" w:type="dxa"/>
                  <w:tcBorders>
                    <w:tl2br w:val="nil"/>
                    <w:tr2bl w:val="nil"/>
                  </w:tcBorders>
                  <w:shd w:val="clear" w:color="auto" w:fill="auto"/>
                  <w:vAlign w:val="center"/>
                </w:tcPr>
                <w:p w14:paraId="118D7B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本项目租赁厂房按</w:t>
                  </w:r>
                  <w:r>
                    <w:rPr>
                      <w:rFonts w:hint="eastAsia"/>
                      <w:color w:val="auto"/>
                      <w:highlight w:val="none"/>
                    </w:rPr>
                    <w:t>国家标准和规范要求，设计有效环境风险防范设施。</w:t>
                  </w:r>
                </w:p>
              </w:tc>
              <w:tc>
                <w:tcPr>
                  <w:tcW w:w="533" w:type="dxa"/>
                  <w:tcBorders>
                    <w:tl2br w:val="nil"/>
                    <w:tr2bl w:val="nil"/>
                  </w:tcBorders>
                  <w:shd w:val="clear" w:color="auto" w:fill="auto"/>
                  <w:vAlign w:val="center"/>
                </w:tcPr>
                <w:p w14:paraId="5333AA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eastAsia="宋体"/>
                      <w:color w:val="auto"/>
                      <w:highlight w:val="none"/>
                      <w:lang w:val="en-US" w:eastAsia="zh-CN"/>
                    </w:rPr>
                    <w:t>相符</w:t>
                  </w:r>
                </w:p>
              </w:tc>
            </w:tr>
            <w:tr w14:paraId="312ACA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shd w:val="clear" w:color="auto" w:fill="auto"/>
                  <w:vAlign w:val="center"/>
                </w:tcPr>
                <w:p w14:paraId="569567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w:t>
                  </w:r>
                </w:p>
              </w:tc>
              <w:tc>
                <w:tcPr>
                  <w:tcW w:w="4974" w:type="dxa"/>
                  <w:tcBorders>
                    <w:tl2br w:val="nil"/>
                    <w:tr2bl w:val="nil"/>
                  </w:tcBorders>
                  <w:shd w:val="clear" w:color="auto" w:fill="auto"/>
                  <w:vAlign w:val="center"/>
                </w:tcPr>
                <w:p w14:paraId="6736C1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企业应建设并完善日常和应急监测系统，配备大气、水环境特征污染物监控设备，编制日常和应急监测方案，提高监控水平、应急响应速度和应急处理能力；建立完备的环境信息平台，定期向社会公布企业环境信息，接受公众监督。将企业突发环境事件应急预案演练和应急物资管理作为日常工作任务，不断提升环境风险防范应急保障能力。</w:t>
                  </w:r>
                </w:p>
              </w:tc>
              <w:tc>
                <w:tcPr>
                  <w:tcW w:w="2539" w:type="dxa"/>
                  <w:tcBorders>
                    <w:tl2br w:val="nil"/>
                    <w:tr2bl w:val="nil"/>
                  </w:tcBorders>
                  <w:shd w:val="clear" w:color="auto" w:fill="auto"/>
                  <w:vAlign w:val="center"/>
                </w:tcPr>
                <w:p w14:paraId="7B1496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本项目将按要求</w:t>
                  </w:r>
                  <w:r>
                    <w:rPr>
                      <w:rFonts w:hint="eastAsia"/>
                      <w:color w:val="auto"/>
                      <w:highlight w:val="none"/>
                    </w:rPr>
                    <w:t>建设并完善日常和应急监测系统，</w:t>
                  </w:r>
                  <w:r>
                    <w:rPr>
                      <w:rFonts w:hint="eastAsia"/>
                      <w:color w:val="auto"/>
                      <w:highlight w:val="none"/>
                      <w:lang w:val="en-US" w:eastAsia="zh-CN"/>
                    </w:rPr>
                    <w:t>本环评要求雨水排放口</w:t>
                  </w:r>
                  <w:r>
                    <w:rPr>
                      <w:rFonts w:hint="eastAsia" w:ascii="Times New Roman" w:eastAsia="宋体"/>
                      <w:color w:val="auto"/>
                      <w:highlight w:val="none"/>
                      <w:lang w:val="en-US" w:eastAsia="zh-CN"/>
                    </w:rPr>
                    <w:t>设有氟化物、铊在线监测设备，并与市、县两级在线监控管理平台联网。</w:t>
                  </w:r>
                </w:p>
              </w:tc>
              <w:tc>
                <w:tcPr>
                  <w:tcW w:w="533" w:type="dxa"/>
                  <w:tcBorders>
                    <w:tl2br w:val="nil"/>
                    <w:tr2bl w:val="nil"/>
                  </w:tcBorders>
                  <w:shd w:val="clear" w:color="auto" w:fill="auto"/>
                  <w:vAlign w:val="center"/>
                </w:tcPr>
                <w:p w14:paraId="617E88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eastAsia="宋体"/>
                      <w:color w:val="auto"/>
                      <w:highlight w:val="none"/>
                      <w:lang w:val="en-US" w:eastAsia="zh-CN"/>
                    </w:rPr>
                    <w:t>相符</w:t>
                  </w:r>
                </w:p>
              </w:tc>
            </w:tr>
            <w:tr w14:paraId="4AC11BD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376" w:type="dxa"/>
                  <w:gridSpan w:val="4"/>
                  <w:tcBorders>
                    <w:tl2br w:val="nil"/>
                    <w:tr2bl w:val="nil"/>
                  </w:tcBorders>
                  <w:vAlign w:val="center"/>
                </w:tcPr>
                <w:p w14:paraId="4791F1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b/>
                      <w:bCs/>
                      <w:color w:val="auto"/>
                      <w:highlight w:val="none"/>
                    </w:rPr>
                    <w:t>与《关于切实加强风险防范严格环境影响评价管理的通知》（环发[2012]98号）相符性分析</w:t>
                  </w:r>
                </w:p>
              </w:tc>
            </w:tr>
            <w:tr w14:paraId="2EA935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vAlign w:val="center"/>
                </w:tcPr>
                <w:p w14:paraId="7DC8CF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1</w:t>
                  </w:r>
                </w:p>
              </w:tc>
              <w:tc>
                <w:tcPr>
                  <w:tcW w:w="4974" w:type="dxa"/>
                  <w:tcBorders>
                    <w:tl2br w:val="nil"/>
                    <w:tr2bl w:val="nil"/>
                  </w:tcBorders>
                  <w:vAlign w:val="center"/>
                </w:tcPr>
                <w:p w14:paraId="1A9E56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化工石化、有色冶炼、制浆造纸等可能引发环境风险的项目，在符合国家产业政策和清洁生产水平要求、满足污染物排放标准以及污染物排放总量控制指标的前提下，必须在依法设立、环境保护基础设施齐全并经规划环评的产业园区内布设。在环境风险防控重点区域如居民集中区、医院和学校附近、重要水源涵养生态功能区等，以及因环境污染导致环境质量不能稳定达标的区域内，禁止新建或扩建可能引发环境风险的项目。</w:t>
                  </w:r>
                </w:p>
              </w:tc>
              <w:tc>
                <w:tcPr>
                  <w:tcW w:w="2539" w:type="dxa"/>
                  <w:tcBorders>
                    <w:tl2br w:val="nil"/>
                    <w:tr2bl w:val="nil"/>
                  </w:tcBorders>
                  <w:vAlign w:val="center"/>
                </w:tcPr>
                <w:p w14:paraId="1FC720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本项目符合国家产业政策和清洁生产要求、满足污染物排放标准及污染物排放总量控制要求，位于依法设立、并经规划环评的</w:t>
                  </w:r>
                  <w:r>
                    <w:rPr>
                      <w:rFonts w:hint="eastAsia"/>
                      <w:color w:val="auto"/>
                      <w:highlight w:val="none"/>
                      <w:lang w:val="en-US" w:eastAsia="zh-CN"/>
                    </w:rPr>
                    <w:t>高安建筑陶瓷产业园内</w:t>
                  </w:r>
                  <w:r>
                    <w:rPr>
                      <w:rFonts w:hint="eastAsia"/>
                      <w:color w:val="auto"/>
                      <w:highlight w:val="none"/>
                    </w:rPr>
                    <w:t>，不在环境风险防控重点区域。</w:t>
                  </w:r>
                </w:p>
              </w:tc>
              <w:tc>
                <w:tcPr>
                  <w:tcW w:w="533" w:type="dxa"/>
                  <w:tcBorders>
                    <w:tl2br w:val="nil"/>
                    <w:tr2bl w:val="nil"/>
                  </w:tcBorders>
                  <w:vAlign w:val="center"/>
                </w:tcPr>
                <w:p w14:paraId="6CA3A74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ascii="Times New Roman" w:eastAsia="宋体"/>
                      <w:color w:val="auto"/>
                      <w:highlight w:val="none"/>
                      <w:lang w:val="en-US" w:eastAsia="zh-CN"/>
                    </w:rPr>
                    <w:t>相符</w:t>
                  </w:r>
                </w:p>
              </w:tc>
            </w:tr>
            <w:tr w14:paraId="3B9465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vAlign w:val="center"/>
                </w:tcPr>
                <w:p w14:paraId="2EF829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2</w:t>
                  </w:r>
                </w:p>
              </w:tc>
              <w:tc>
                <w:tcPr>
                  <w:tcW w:w="4974" w:type="dxa"/>
                  <w:tcBorders>
                    <w:tl2br w:val="nil"/>
                    <w:tr2bl w:val="nil"/>
                  </w:tcBorders>
                  <w:vAlign w:val="center"/>
                </w:tcPr>
                <w:p w14:paraId="7A2490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对“未批先建”、建设过程中擅自作出重大变更、“久拖不验”、“未验先投"等违法行为，要严格依法查处。企业建设项目环境违法问题严重的，对该企业及其上级集团实行环评限批。对区域内建设项目环境违法问题突出、引发群体性事件的地区，要约谈其政府负责人，提出改进工作的建议，督促当地政府依法履行职责，落实整改措施。</w:t>
                  </w:r>
                </w:p>
              </w:tc>
              <w:tc>
                <w:tcPr>
                  <w:tcW w:w="2539" w:type="dxa"/>
                  <w:tcBorders>
                    <w:tl2br w:val="nil"/>
                    <w:tr2bl w:val="nil"/>
                  </w:tcBorders>
                  <w:vAlign w:val="center"/>
                </w:tcPr>
                <w:p w14:paraId="6910EE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rPr>
                    <w:t>本项目</w:t>
                  </w:r>
                  <w:r>
                    <w:rPr>
                      <w:rFonts w:hint="eastAsia"/>
                      <w:color w:val="auto"/>
                      <w:highlight w:val="none"/>
                      <w:lang w:val="en-US" w:eastAsia="zh-CN"/>
                    </w:rPr>
                    <w:t>为租赁已建成厂房，未进行生产，不存在未批先建，已对现有存在问题提出整改意见。</w:t>
                  </w:r>
                </w:p>
              </w:tc>
              <w:tc>
                <w:tcPr>
                  <w:tcW w:w="533" w:type="dxa"/>
                  <w:tcBorders>
                    <w:tl2br w:val="nil"/>
                    <w:tr2bl w:val="nil"/>
                  </w:tcBorders>
                  <w:vAlign w:val="center"/>
                </w:tcPr>
                <w:p w14:paraId="346707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ascii="Times New Roman" w:eastAsia="宋体"/>
                      <w:color w:val="auto"/>
                      <w:highlight w:val="none"/>
                      <w:lang w:val="en-US" w:eastAsia="zh-CN"/>
                    </w:rPr>
                    <w:t>相符</w:t>
                  </w:r>
                </w:p>
              </w:tc>
            </w:tr>
            <w:tr w14:paraId="5F389F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376" w:type="dxa"/>
                  <w:gridSpan w:val="4"/>
                  <w:tcBorders>
                    <w:tl2br w:val="nil"/>
                    <w:tr2bl w:val="nil"/>
                  </w:tcBorders>
                  <w:vAlign w:val="center"/>
                </w:tcPr>
                <w:p w14:paraId="419160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b/>
                      <w:bCs/>
                      <w:color w:val="auto"/>
                      <w:highlight w:val="none"/>
                    </w:rPr>
                    <w:t>与《“十四五”大宗固体废弃物综合利用的指导意见》（发改环资〔2021〕381号）相符性分析</w:t>
                  </w:r>
                </w:p>
              </w:tc>
            </w:tr>
            <w:tr w14:paraId="5A4A16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330" w:type="dxa"/>
                  <w:tcBorders>
                    <w:tl2br w:val="nil"/>
                    <w:tr2bl w:val="nil"/>
                  </w:tcBorders>
                  <w:vAlign w:val="center"/>
                </w:tcPr>
                <w:p w14:paraId="43BAB2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w:t>
                  </w:r>
                </w:p>
              </w:tc>
              <w:tc>
                <w:tcPr>
                  <w:tcW w:w="4974" w:type="dxa"/>
                  <w:tcBorders>
                    <w:tl2br w:val="nil"/>
                    <w:tr2bl w:val="nil"/>
                  </w:tcBorders>
                  <w:vAlign w:val="center"/>
                </w:tcPr>
                <w:p w14:paraId="7CDB7F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十三）推动利废行业绿色生产，强化过程控制。持续提升利废企业技术装备水平，加大小散乱污企业整治力度。强化大宗固废综合利用全流程管理，严格落实全过程环境污染防治责任。推行大宗固废绿色运输，鼓励使用专用运输设备和车辆，加强大宗固废运输过程管理。鼓励利废企业开展清洁生产审核，严格执行污染物排放标准，完善环境保护措施，防止二次污染。</w:t>
                  </w:r>
                </w:p>
              </w:tc>
              <w:tc>
                <w:tcPr>
                  <w:tcW w:w="2539" w:type="dxa"/>
                  <w:tcBorders>
                    <w:tl2br w:val="nil"/>
                    <w:tr2bl w:val="nil"/>
                  </w:tcBorders>
                  <w:vAlign w:val="center"/>
                </w:tcPr>
                <w:p w14:paraId="4EA2C6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项目固废处置过程全流程管理，并使用专用运输设备和车辆进行运输，防止二次污染。</w:t>
                  </w:r>
                </w:p>
              </w:tc>
              <w:tc>
                <w:tcPr>
                  <w:tcW w:w="533" w:type="dxa"/>
                  <w:tcBorders>
                    <w:tl2br w:val="nil"/>
                    <w:tr2bl w:val="nil"/>
                  </w:tcBorders>
                  <w:vAlign w:val="center"/>
                </w:tcPr>
                <w:p w14:paraId="61C150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ascii="Times New Roman" w:eastAsia="宋体"/>
                      <w:color w:val="auto"/>
                      <w:highlight w:val="none"/>
                      <w:lang w:val="en-US" w:eastAsia="zh-CN"/>
                    </w:rPr>
                    <w:t>相符</w:t>
                  </w:r>
                </w:p>
              </w:tc>
            </w:tr>
            <w:tr w14:paraId="76145B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30" w:type="dxa"/>
                  <w:tcBorders>
                    <w:tl2br w:val="nil"/>
                    <w:tr2bl w:val="nil"/>
                  </w:tcBorders>
                  <w:vAlign w:val="center"/>
                </w:tcPr>
                <w:p w14:paraId="25DC0D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2</w:t>
                  </w:r>
                </w:p>
              </w:tc>
              <w:tc>
                <w:tcPr>
                  <w:tcW w:w="4974" w:type="dxa"/>
                  <w:tcBorders>
                    <w:tl2br w:val="nil"/>
                    <w:tr2bl w:val="nil"/>
                  </w:tcBorders>
                  <w:vAlign w:val="center"/>
                </w:tcPr>
                <w:p w14:paraId="1A2C51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十四）强化大宗固废规范处置，守住环境底线。加强大宗固废贮存及处置管理，强化主体责任，推动建设符合有关国家标准的贮存设施，实现安全分类存放，杜绝混排混堆。统筹兼顾大宗固废增量消纳和存量治理，加大重点流域和重点区域大宗固废的综合整治力度，健全环保长效监督管理制度。</w:t>
                  </w:r>
                </w:p>
              </w:tc>
              <w:tc>
                <w:tcPr>
                  <w:tcW w:w="2539" w:type="dxa"/>
                  <w:tcBorders>
                    <w:tl2br w:val="nil"/>
                    <w:tr2bl w:val="nil"/>
                  </w:tcBorders>
                  <w:vAlign w:val="center"/>
                </w:tcPr>
                <w:p w14:paraId="51F3BE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项目固废均能得到合理有效的处置，强化责任主体，贮存设施符合国家相关要求。</w:t>
                  </w:r>
                </w:p>
              </w:tc>
              <w:tc>
                <w:tcPr>
                  <w:tcW w:w="533" w:type="dxa"/>
                  <w:tcBorders>
                    <w:tl2br w:val="nil"/>
                    <w:tr2bl w:val="nil"/>
                  </w:tcBorders>
                  <w:vAlign w:val="center"/>
                </w:tcPr>
                <w:p w14:paraId="4BA24E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ascii="Times New Roman" w:eastAsia="宋体"/>
                      <w:color w:val="auto"/>
                      <w:highlight w:val="none"/>
                      <w:lang w:val="en-US" w:eastAsia="zh-CN"/>
                    </w:rPr>
                    <w:t>相符</w:t>
                  </w:r>
                </w:p>
              </w:tc>
            </w:tr>
          </w:tbl>
          <w:p w14:paraId="7EB7EC27">
            <w:pPr>
              <w:pStyle w:val="76"/>
              <w:keepNext w:val="0"/>
              <w:keepLines w:val="0"/>
              <w:suppressLineNumbers w:val="0"/>
              <w:bidi w:val="0"/>
              <w:spacing w:before="0" w:beforeAutospacing="0" w:after="0" w:afterAutospacing="0"/>
              <w:ind w:left="0" w:right="0"/>
              <w:rPr>
                <w:rFonts w:hint="default"/>
                <w:color w:val="auto"/>
                <w:highlight w:val="none"/>
              </w:rPr>
            </w:pPr>
          </w:p>
          <w:p w14:paraId="6F414713">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447A49CD">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44A480F7">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151A4B34">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56908B2D">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3312AF87">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2762D6F7">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0F24C55B">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36F7849B">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74ABF736">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2F7653DC">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p w14:paraId="397913C0">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p>
        </w:tc>
      </w:tr>
    </w:tbl>
    <w:p w14:paraId="0879806F">
      <w:pPr>
        <w:bidi w:val="0"/>
        <w:rPr>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280D6B06">
      <w:pPr>
        <w:pStyle w:val="22"/>
        <w:keepNext w:val="0"/>
        <w:keepLines w:val="0"/>
        <w:pageBreakBefore w:val="0"/>
        <w:widowControl/>
        <w:kinsoku/>
        <w:wordWrap/>
        <w:overflowPunct/>
        <w:topLinePunct w:val="0"/>
        <w:autoSpaceDE/>
        <w:autoSpaceDN/>
        <w:bidi w:val="0"/>
        <w:adjustRightInd/>
        <w:snapToGrid w:val="0"/>
        <w:spacing w:before="0" w:beforeAutospacing="0" w:after="0" w:afterAutospacing="0"/>
        <w:jc w:val="center"/>
        <w:textAlignment w:val="auto"/>
        <w:outlineLvl w:val="0"/>
        <w:rPr>
          <w:rFonts w:hint="default" w:ascii="Times New Roman" w:hAnsi="Times New Roman" w:eastAsia="黑体" w:cs="Times New Roman"/>
          <w:snapToGrid w:val="0"/>
          <w:color w:val="auto"/>
          <w:sz w:val="30"/>
          <w:szCs w:val="30"/>
          <w:highlight w:val="none"/>
        </w:rPr>
      </w:pPr>
      <w:bookmarkStart w:id="6" w:name="_Toc17602"/>
      <w:bookmarkStart w:id="7" w:name="_Toc29662"/>
      <w:r>
        <w:rPr>
          <w:rFonts w:hint="eastAsia" w:ascii="Times New Roman" w:hAnsi="Times New Roman" w:eastAsia="黑体" w:cs="Times New Roman"/>
          <w:snapToGrid w:val="0"/>
          <w:color w:val="auto"/>
          <w:sz w:val="30"/>
          <w:szCs w:val="30"/>
          <w:highlight w:val="none"/>
          <w:lang w:val="en-US" w:eastAsia="zh-CN"/>
        </w:rPr>
        <w:t>二</w:t>
      </w:r>
      <w:r>
        <w:rPr>
          <w:rFonts w:hint="default" w:ascii="Times New Roman" w:hAnsi="Times New Roman" w:eastAsia="黑体" w:cs="Times New Roman"/>
          <w:snapToGrid w:val="0"/>
          <w:color w:val="auto"/>
          <w:sz w:val="30"/>
          <w:szCs w:val="30"/>
          <w:highlight w:val="none"/>
        </w:rPr>
        <w:t>、建设项目工程分析</w:t>
      </w:r>
      <w:bookmarkEnd w:id="6"/>
      <w:bookmarkEnd w:id="7"/>
    </w:p>
    <w:tbl>
      <w:tblPr>
        <w:tblStyle w:val="25"/>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37"/>
        <w:gridCol w:w="8296"/>
      </w:tblGrid>
      <w:tr w14:paraId="1DA791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23" w:type="dxa"/>
            <w:noWrap w:val="0"/>
            <w:vAlign w:val="center"/>
          </w:tcPr>
          <w:p w14:paraId="0AAE2A79">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szCs w:val="21"/>
                <w:highlight w:val="none"/>
              </w:rPr>
            </w:pPr>
            <w:r>
              <w:rPr>
                <w:rFonts w:hint="default" w:ascii="Times New Roman" w:hAnsi="Times New Roman" w:cs="Times New Roman"/>
                <w:color w:val="auto"/>
                <w:highlight w:val="none"/>
              </w:rPr>
              <w:t>建设内容</w:t>
            </w:r>
          </w:p>
        </w:tc>
        <w:tc>
          <w:tcPr>
            <w:tcW w:w="8161" w:type="dxa"/>
            <w:noWrap w:val="0"/>
            <w:vAlign w:val="top"/>
          </w:tcPr>
          <w:p w14:paraId="5E8E8682">
            <w:pPr>
              <w:pStyle w:val="76"/>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cs="Times New Roman"/>
                <w:b/>
                <w:bCs w:val="0"/>
                <w:color w:val="auto"/>
                <w:highlight w:val="none"/>
                <w:lang w:eastAsia="zh-CN"/>
              </w:rPr>
            </w:pPr>
            <w:r>
              <w:rPr>
                <w:rFonts w:hint="eastAsia" w:ascii="Times New Roman" w:hAnsi="Times New Roman" w:eastAsia="宋体" w:cs="Times New Roman"/>
                <w:b/>
                <w:bCs w:val="0"/>
                <w:color w:val="auto"/>
                <w:kern w:val="2"/>
                <w:sz w:val="24"/>
                <w:szCs w:val="24"/>
                <w:lang w:val="en-US" w:eastAsia="zh-CN" w:bidi="ar-SA"/>
              </w:rPr>
              <w:t>1、</w:t>
            </w:r>
            <w:r>
              <w:rPr>
                <w:rFonts w:hint="eastAsia" w:cs="Times New Roman"/>
                <w:b/>
                <w:bCs w:val="0"/>
                <w:color w:val="auto"/>
                <w:highlight w:val="none"/>
                <w:lang w:eastAsia="zh-CN"/>
              </w:rPr>
              <w:t>项目由来</w:t>
            </w:r>
          </w:p>
          <w:p w14:paraId="07BC66A9">
            <w:pPr>
              <w:pStyle w:val="7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firstLine="480" w:firstLineChars="200"/>
              <w:textAlignment w:val="auto"/>
              <w:rPr>
                <w:rFonts w:hint="eastAsia"/>
                <w:color w:val="auto"/>
                <w:highlight w:val="none"/>
                <w:lang w:eastAsia="zh-CN"/>
              </w:rPr>
            </w:pPr>
            <w:r>
              <w:rPr>
                <w:rFonts w:hint="eastAsia" w:cs="Times New Roman"/>
                <w:color w:val="auto"/>
                <w:highlight w:val="none"/>
                <w:lang w:val="en-US" w:eastAsia="zh-CN"/>
              </w:rPr>
              <w:t>高安市环鑫环保科技有限公司（以下简称“建设单位”）</w:t>
            </w:r>
            <w:r>
              <w:rPr>
                <w:rFonts w:hint="default"/>
                <w:color w:val="auto"/>
                <w:highlight w:val="none"/>
              </w:rPr>
              <w:t>成立于</w:t>
            </w:r>
            <w:r>
              <w:rPr>
                <w:rFonts w:hint="eastAsia"/>
                <w:color w:val="auto"/>
                <w:highlight w:val="none"/>
                <w:lang w:val="en-US" w:eastAsia="zh-CN"/>
              </w:rPr>
              <w:t>2025</w:t>
            </w:r>
            <w:r>
              <w:rPr>
                <w:rFonts w:hint="default"/>
                <w:color w:val="auto"/>
                <w:highlight w:val="none"/>
              </w:rPr>
              <w:t>年</w:t>
            </w:r>
            <w:r>
              <w:rPr>
                <w:rFonts w:hint="eastAsia"/>
                <w:color w:val="auto"/>
                <w:highlight w:val="none"/>
                <w:lang w:val="en-US" w:eastAsia="zh-CN"/>
              </w:rPr>
              <w:t>6月</w:t>
            </w:r>
            <w:r>
              <w:rPr>
                <w:rFonts w:hint="default"/>
                <w:color w:val="auto"/>
                <w:highlight w:val="none"/>
              </w:rPr>
              <w:t>，主要从事</w:t>
            </w:r>
            <w:r>
              <w:rPr>
                <w:rFonts w:hint="default"/>
                <w:color w:val="auto"/>
                <w:highlight w:val="none"/>
                <w:lang w:val="en-US"/>
              </w:rPr>
              <w:t>固体废物治理，建筑用石加工，建筑砌块制造，建筑砌块销售，建筑材料销售等。20</w:t>
            </w:r>
            <w:r>
              <w:rPr>
                <w:rFonts w:hint="eastAsia"/>
                <w:color w:val="auto"/>
                <w:highlight w:val="none"/>
                <w:lang w:val="en-US" w:eastAsia="zh-CN"/>
              </w:rPr>
              <w:t>25</w:t>
            </w:r>
            <w:r>
              <w:rPr>
                <w:rFonts w:hint="default"/>
                <w:color w:val="auto"/>
                <w:highlight w:val="none"/>
                <w:lang w:val="en-US"/>
              </w:rPr>
              <w:t>年6月</w:t>
            </w:r>
            <w:r>
              <w:rPr>
                <w:rFonts w:hint="eastAsia"/>
                <w:color w:val="auto"/>
                <w:highlight w:val="none"/>
                <w:lang w:val="en-US" w:eastAsia="zh-CN"/>
              </w:rPr>
              <w:t>建设单位</w:t>
            </w:r>
            <w:r>
              <w:rPr>
                <w:rFonts w:hint="default"/>
                <w:color w:val="auto"/>
                <w:highlight w:val="none"/>
                <w:lang w:val="en-US"/>
              </w:rPr>
              <w:t>委托</w:t>
            </w:r>
            <w:r>
              <w:rPr>
                <w:rFonts w:hint="eastAsia"/>
                <w:color w:val="auto"/>
                <w:highlight w:val="none"/>
                <w:lang w:val="en-US"/>
              </w:rPr>
              <w:t>江西盛嘉技术咨询服务有限公司</w:t>
            </w:r>
            <w:r>
              <w:rPr>
                <w:rFonts w:hint="default"/>
                <w:color w:val="auto"/>
                <w:highlight w:val="none"/>
                <w:lang w:val="en-US"/>
              </w:rPr>
              <w:t>编制完成《高安市环鑫环保科技有限公司年处理60万吨一般固废资源再生利用项目环境影响报告表》，2</w:t>
            </w:r>
            <w:r>
              <w:rPr>
                <w:rFonts w:hint="eastAsia"/>
                <w:color w:val="auto"/>
                <w:highlight w:val="none"/>
                <w:lang w:val="en-US" w:eastAsia="zh-CN"/>
              </w:rPr>
              <w:t>025</w:t>
            </w:r>
            <w:r>
              <w:rPr>
                <w:rFonts w:hint="default"/>
                <w:color w:val="auto"/>
                <w:highlight w:val="none"/>
                <w:lang w:val="en-US"/>
              </w:rPr>
              <w:t>年</w:t>
            </w:r>
            <w:r>
              <w:rPr>
                <w:rFonts w:hint="eastAsia"/>
                <w:color w:val="auto"/>
                <w:highlight w:val="none"/>
                <w:lang w:val="en-US" w:eastAsia="zh-CN"/>
              </w:rPr>
              <w:t>8月</w:t>
            </w:r>
            <w:r>
              <w:rPr>
                <w:rFonts w:hint="default"/>
                <w:color w:val="auto"/>
                <w:highlight w:val="none"/>
                <w:lang w:val="en-US"/>
              </w:rPr>
              <w:t>，</w:t>
            </w:r>
            <w:r>
              <w:rPr>
                <w:rFonts w:hint="eastAsia"/>
                <w:color w:val="auto"/>
                <w:highlight w:val="none"/>
                <w:lang w:val="en-US" w:eastAsia="zh-CN"/>
              </w:rPr>
              <w:t>宜春市高安生态环境局</w:t>
            </w:r>
            <w:r>
              <w:rPr>
                <w:rFonts w:hint="default"/>
                <w:color w:val="auto"/>
                <w:highlight w:val="none"/>
                <w:lang w:val="en-US"/>
              </w:rPr>
              <w:t>以“高环评字〔20</w:t>
            </w:r>
            <w:r>
              <w:rPr>
                <w:rFonts w:hint="eastAsia"/>
                <w:color w:val="auto"/>
                <w:highlight w:val="none"/>
                <w:lang w:val="en-US" w:eastAsia="zh-CN"/>
              </w:rPr>
              <w:t>25</w:t>
            </w:r>
            <w:r>
              <w:rPr>
                <w:rFonts w:hint="default"/>
                <w:color w:val="auto"/>
                <w:highlight w:val="none"/>
                <w:lang w:val="en-US"/>
              </w:rPr>
              <w:t>〕</w:t>
            </w:r>
            <w:r>
              <w:rPr>
                <w:rFonts w:hint="eastAsia"/>
                <w:color w:val="auto"/>
                <w:highlight w:val="none"/>
                <w:lang w:val="en-US" w:eastAsia="zh-CN"/>
              </w:rPr>
              <w:t>46</w:t>
            </w:r>
            <w:r>
              <w:rPr>
                <w:rFonts w:hint="default"/>
                <w:color w:val="auto"/>
                <w:highlight w:val="none"/>
                <w:lang w:val="en-US"/>
              </w:rPr>
              <w:t>号”文件对该项目进行批复，</w:t>
            </w:r>
            <w:r>
              <w:rPr>
                <w:rFonts w:hint="default"/>
                <w:color w:val="auto"/>
                <w:highlight w:val="none"/>
              </w:rPr>
              <w:t>202</w:t>
            </w:r>
            <w:r>
              <w:rPr>
                <w:rFonts w:hint="eastAsia"/>
                <w:color w:val="auto"/>
                <w:highlight w:val="none"/>
                <w:lang w:val="en-US" w:eastAsia="zh-CN"/>
              </w:rPr>
              <w:t>5</w:t>
            </w:r>
            <w:r>
              <w:rPr>
                <w:rFonts w:hint="default"/>
                <w:color w:val="auto"/>
                <w:highlight w:val="none"/>
              </w:rPr>
              <w:t>年</w:t>
            </w:r>
            <w:r>
              <w:rPr>
                <w:rFonts w:hint="eastAsia"/>
                <w:color w:val="auto"/>
                <w:highlight w:val="none"/>
                <w:lang w:val="en-US" w:eastAsia="zh-CN"/>
              </w:rPr>
              <w:t>9</w:t>
            </w:r>
            <w:r>
              <w:rPr>
                <w:rFonts w:hint="default"/>
                <w:color w:val="auto"/>
                <w:highlight w:val="none"/>
              </w:rPr>
              <w:t>月</w:t>
            </w:r>
            <w:r>
              <w:rPr>
                <w:rFonts w:hint="eastAsia"/>
                <w:color w:val="auto"/>
                <w:highlight w:val="none"/>
                <w:lang w:val="en-US" w:eastAsia="zh-CN"/>
              </w:rPr>
              <w:t>8</w:t>
            </w:r>
            <w:r>
              <w:rPr>
                <w:rFonts w:hint="default"/>
                <w:color w:val="auto"/>
                <w:highlight w:val="none"/>
              </w:rPr>
              <w:t>日在全国排污许可证管理信息平台</w:t>
            </w:r>
            <w:r>
              <w:rPr>
                <w:rFonts w:hint="eastAsia"/>
                <w:color w:val="auto"/>
                <w:highlight w:val="none"/>
                <w:lang w:eastAsia="zh-CN"/>
              </w:rPr>
              <w:t>上取得排污许可证</w:t>
            </w:r>
            <w:r>
              <w:rPr>
                <w:rFonts w:hint="default"/>
                <w:color w:val="auto"/>
                <w:highlight w:val="none"/>
              </w:rPr>
              <w:t>，</w:t>
            </w:r>
            <w:r>
              <w:rPr>
                <w:rFonts w:hint="eastAsia"/>
                <w:color w:val="auto"/>
                <w:highlight w:val="none"/>
                <w:lang w:eastAsia="zh-CN"/>
              </w:rPr>
              <w:t>许可</w:t>
            </w:r>
            <w:r>
              <w:rPr>
                <w:rFonts w:hint="default"/>
                <w:color w:val="auto"/>
                <w:highlight w:val="none"/>
              </w:rPr>
              <w:t>编号</w:t>
            </w:r>
            <w:r>
              <w:rPr>
                <w:rFonts w:hint="eastAsia"/>
                <w:color w:val="auto"/>
                <w:highlight w:val="none"/>
                <w:lang w:eastAsia="zh-CN"/>
              </w:rPr>
              <w:t>为91360983MAELP6T331001U，该项目目前正在验收阶段。</w:t>
            </w:r>
          </w:p>
          <w:p w14:paraId="5CE6673A">
            <w:pPr>
              <w:pStyle w:val="76"/>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ind w:left="0" w:leftChars="0" w:right="0" w:rightChars="0" w:firstLine="480" w:firstLineChars="200"/>
              <w:textAlignment w:val="auto"/>
              <w:rPr>
                <w:rFonts w:hint="default"/>
                <w:color w:val="auto"/>
                <w:highlight w:val="none"/>
                <w:lang w:val="en-US"/>
              </w:rPr>
            </w:pPr>
            <w:r>
              <w:rPr>
                <w:rFonts w:hint="eastAsia"/>
                <w:color w:val="auto"/>
                <w:highlight w:val="none"/>
                <w:lang w:eastAsia="zh-CN"/>
              </w:rPr>
              <w:t>现因公司发展需求，拟投资</w:t>
            </w:r>
            <w:r>
              <w:rPr>
                <w:rFonts w:hint="eastAsia"/>
                <w:color w:val="auto"/>
                <w:highlight w:val="none"/>
                <w:lang w:val="en-US" w:eastAsia="zh-CN"/>
              </w:rPr>
              <w:t>3000万元，新租赁</w:t>
            </w:r>
            <w:r>
              <w:rPr>
                <w:rFonts w:hint="default"/>
                <w:color w:val="auto"/>
                <w:highlight w:val="none"/>
              </w:rPr>
              <w:t>江西恒辉陶瓷有限公司</w:t>
            </w:r>
            <w:r>
              <w:rPr>
                <w:rFonts w:hint="eastAsia"/>
                <w:color w:val="auto"/>
                <w:highlight w:val="none"/>
                <w:lang w:val="en-US" w:eastAsia="zh-CN"/>
              </w:rPr>
              <w:t>12000m</w:t>
            </w:r>
            <w:r>
              <w:rPr>
                <w:rFonts w:hint="eastAsia"/>
                <w:color w:val="auto"/>
                <w:highlight w:val="none"/>
                <w:vertAlign w:val="superscript"/>
                <w:lang w:val="en-US" w:eastAsia="zh-CN"/>
              </w:rPr>
              <w:t>2</w:t>
            </w:r>
            <w:r>
              <w:rPr>
                <w:rFonts w:hint="eastAsia"/>
                <w:color w:val="auto"/>
                <w:highlight w:val="none"/>
                <w:lang w:val="en-US" w:eastAsia="zh-CN"/>
              </w:rPr>
              <w:t>用地，购置破碎机、码坯机、搅拌机、打包机等，扩建“高安市环鑫环保科技有限公司环保免烧砖及掺合料生产建设项目”（以下简称“本项目”）。</w:t>
            </w:r>
            <w:r>
              <w:rPr>
                <w:rFonts w:hint="eastAsia"/>
                <w:b w:val="0"/>
                <w:bCs/>
                <w:color w:val="auto"/>
                <w:highlight w:val="none"/>
                <w:lang w:val="en-US" w:eastAsia="zh-CN"/>
              </w:rPr>
              <w:t>本项目以上游锂电企业宜丰国轩锂业有限公司鉴定为一般固废的浸出渣为原料生产建筑材料，宜丰国轩锂业有限公司已按照程序对浸出渣开展危废属性鉴别，鉴别报告检测因子根据锂渣中关键特征污染因子铍、铊、氟化物等确定为一般固废（附件5）；根据《宜春市长江经济带发展负面清单实施办法(试行，2022年版)》第十五条规定：禁止在合规园区外新建、扩建钢铁、石化、化工、焦化、建材、有色、制浆造纸等高污染项目。该项目需在合规园区范围内。本项目所在地属于经济开发区规划的合规园区调整范围内，且根据《江西省“两高”项目管理目录(2023年版)》，本项目不属于高污染项目。</w:t>
            </w:r>
          </w:p>
          <w:p w14:paraId="1C7D4E16">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Cs w:val="32"/>
                <w:highlight w:val="none"/>
              </w:rPr>
            </w:pPr>
            <w:r>
              <w:rPr>
                <w:rFonts w:hint="default" w:ascii="Times New Roman" w:hAnsi="Times New Roman" w:cs="Times New Roman"/>
                <w:color w:val="auto"/>
                <w:highlight w:val="none"/>
              </w:rPr>
              <w:t>根据《国民经济行业分类》（GB/T4754-2017），本项目行业类别属于</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zh-CN" w:eastAsia="zh-CN"/>
              </w:rPr>
              <w:t>N7723固体废物治理、C3031粘土砖瓦及建筑砌块制造</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。根据《中华人民共和国环境保护法</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中华人民共和国环境影响评价法</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建设项目环境保护管理条例》中的有关规定，本项目须开展环境影响评价工作。根据《建设项目环境影响评价分类管理名录（202</w:t>
            </w:r>
            <w:r>
              <w:rPr>
                <w:rFonts w:hint="eastAsia" w:cs="Times New Roman"/>
                <w:color w:val="auto"/>
                <w:highlight w:val="none"/>
                <w:lang w:val="en-US" w:eastAsia="zh-CN"/>
              </w:rPr>
              <w:t>1</w:t>
            </w:r>
            <w:r>
              <w:rPr>
                <w:rFonts w:hint="default" w:ascii="Times New Roman" w:hAnsi="Times New Roman" w:cs="Times New Roman"/>
                <w:color w:val="auto"/>
                <w:highlight w:val="none"/>
              </w:rPr>
              <w:t>年版）》，本项目属于</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四十七、生态保护和环境治理业103、一般工业固体废物(含污水处理污泥)、建筑施工废弃物处置及综合利用其他；二十七、非金属矿物制品业；56砖瓦、石材等建筑材料制造303-粘土砖瓦及建筑砌块制造、其他建筑材料制造</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，本项目应编制环境影响评价报告表</w:t>
            </w:r>
            <w:r>
              <w:rPr>
                <w:rFonts w:hint="eastAsia" w:cs="Times New Roman"/>
                <w:color w:val="auto"/>
                <w:highlight w:val="none"/>
                <w:lang w:eastAsia="zh-CN"/>
              </w:rPr>
              <w:t>。</w:t>
            </w:r>
            <w:r>
              <w:rPr>
                <w:rFonts w:hint="default" w:ascii="Times New Roman" w:hAnsi="Times New Roman" w:cs="Times New Roman"/>
                <w:color w:val="auto"/>
                <w:highlight w:val="none"/>
              </w:rPr>
              <w:t>具体判定见</w:t>
            </w:r>
            <w:r>
              <w:rPr>
                <w:rFonts w:hint="eastAsia" w:cs="Times New Roman"/>
                <w:color w:val="auto"/>
                <w:highlight w:val="none"/>
                <w:lang w:eastAsia="zh-CN"/>
              </w:rPr>
              <w:t>表</w:t>
            </w:r>
            <w:r>
              <w:rPr>
                <w:rFonts w:hint="eastAsia" w:cs="Times New Roman"/>
                <w:color w:val="auto"/>
                <w:highlight w:val="none"/>
                <w:lang w:val="en-US" w:eastAsia="zh-CN"/>
              </w:rPr>
              <w:t>2-1</w:t>
            </w:r>
            <w:r>
              <w:rPr>
                <w:rFonts w:hint="default" w:ascii="Times New Roman" w:hAnsi="Times New Roman" w:cs="Times New Roman"/>
                <w:color w:val="auto"/>
                <w:highlight w:val="none"/>
              </w:rPr>
              <w:t>。</w:t>
            </w:r>
            <w:bookmarkStart w:id="8" w:name="OLE_LINK81"/>
            <w:r>
              <w:rPr>
                <w:rFonts w:hint="eastAsia"/>
                <w:color w:val="auto"/>
                <w:sz w:val="24"/>
                <w:highlight w:val="none"/>
                <w:lang w:eastAsia="zh-CN"/>
              </w:rPr>
              <w:t>为此，</w:t>
            </w:r>
            <w:r>
              <w:rPr>
                <w:rFonts w:hint="default"/>
                <w:color w:val="auto"/>
                <w:sz w:val="24"/>
                <w:highlight w:val="none"/>
              </w:rPr>
              <w:t>高安市环鑫环保科技有限公司</w:t>
            </w:r>
            <w:bookmarkEnd w:id="8"/>
            <w:r>
              <w:rPr>
                <w:rFonts w:hint="default" w:ascii="Times New Roman" w:hAnsi="Times New Roman" w:cs="Times New Roman"/>
                <w:color w:val="auto"/>
                <w:highlight w:val="none"/>
              </w:rPr>
              <w:t>委托</w:t>
            </w:r>
            <w:r>
              <w:rPr>
                <w:rFonts w:hint="default" w:ascii="Times New Roman" w:hAnsi="Times New Roman" w:cs="Times New Roman"/>
                <w:color w:val="auto"/>
                <w:highlight w:val="none"/>
                <w:lang w:val="en-US" w:eastAsia="zh-CN"/>
              </w:rPr>
              <w:t>本</w:t>
            </w:r>
            <w:r>
              <w:rPr>
                <w:rFonts w:hint="default" w:ascii="Times New Roman" w:hAnsi="Times New Roman" w:cs="Times New Roman"/>
                <w:color w:val="auto"/>
                <w:highlight w:val="none"/>
              </w:rPr>
              <w:t>公司承担本项目的环境影响评价工作。本环评单位接受委托后，通过现场踏勘、资料收集、调查研究等工作，编制完成了本项目的《建设项目环境影响评价报告表》，作为项目建设的依据和</w:t>
            </w:r>
            <w:r>
              <w:rPr>
                <w:rFonts w:hint="eastAsia"/>
                <w:highlight w:val="none"/>
                <w:lang w:eastAsia="zh-CN"/>
              </w:rPr>
              <w:t>生态环</w:t>
            </w:r>
            <w:r>
              <w:rPr>
                <w:rFonts w:hint="default"/>
                <w:highlight w:val="none"/>
              </w:rPr>
              <w:t>境主管</w:t>
            </w:r>
            <w:r>
              <w:rPr>
                <w:rFonts w:hint="default" w:ascii="Times New Roman" w:hAnsi="Times New Roman" w:cs="Times New Roman"/>
                <w:color w:val="auto"/>
                <w:highlight w:val="none"/>
              </w:rPr>
              <w:t>部门管理的依据。</w:t>
            </w:r>
          </w:p>
          <w:p w14:paraId="7CDD6B56">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项目环评类别判定情况表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74"/>
              <w:gridCol w:w="1703"/>
              <w:gridCol w:w="2047"/>
              <w:gridCol w:w="3082"/>
              <w:gridCol w:w="674"/>
            </w:tblGrid>
            <w:tr w14:paraId="527A14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277" w:type="dxa"/>
                  <w:gridSpan w:val="2"/>
                  <w:noWrap w:val="0"/>
                  <w:vAlign w:val="center"/>
                </w:tcPr>
                <w:p w14:paraId="28D41920">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b/>
                      <w:bCs/>
                      <w:color w:val="auto"/>
                      <w:sz w:val="21"/>
                      <w:szCs w:val="21"/>
                      <w:highlight w:val="none"/>
                    </w:rPr>
                  </w:pPr>
                  <w:r>
                    <w:rPr>
                      <w:rFonts w:hint="default"/>
                      <w:color w:val="auto"/>
                      <w:sz w:val="21"/>
                      <w:szCs w:val="21"/>
                      <w:highlight w:val="none"/>
                    </w:rPr>
                    <mc:AlternateContent>
                      <mc:Choice Requires="wps">
                        <w:drawing>
                          <wp:anchor distT="0" distB="0" distL="114300" distR="114300" simplePos="0" relativeHeight="251662336" behindDoc="0" locked="0" layoutInCell="1" allowOverlap="1">
                            <wp:simplePos x="0" y="0"/>
                            <wp:positionH relativeFrom="column">
                              <wp:posOffset>-58420</wp:posOffset>
                            </wp:positionH>
                            <wp:positionV relativeFrom="paragraph">
                              <wp:posOffset>-6985</wp:posOffset>
                            </wp:positionV>
                            <wp:extent cx="1443355" cy="342265"/>
                            <wp:effectExtent l="1270" t="4445" r="3175" b="15240"/>
                            <wp:wrapNone/>
                            <wp:docPr id="26" name="直接连接符 26"/>
                            <wp:cNvGraphicFramePr/>
                            <a:graphic xmlns:a="http://schemas.openxmlformats.org/drawingml/2006/main">
                              <a:graphicData uri="http://schemas.microsoft.com/office/word/2010/wordprocessingShape">
                                <wps:wsp>
                                  <wps:cNvCnPr/>
                                  <wps:spPr>
                                    <a:xfrm>
                                      <a:off x="0" y="0"/>
                                      <a:ext cx="1443355" cy="342265"/>
                                    </a:xfrm>
                                    <a:prstGeom prst="line">
                                      <a:avLst/>
                                    </a:prstGeom>
                                    <a:ln w="635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6pt;margin-top:-0.55pt;height:26.95pt;width:113.65pt;z-index:251662336;mso-width-relative:page;mso-height-relative:page;" filled="f" stroked="t" coordsize="21600,21600" o:gfxdata="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IEg+U3VAAAACAEAAA8AAAAAAAAAAQAgAAAAIgAAAGRycy9kb3ducmV2LnhtbFBL&#10;AQIUABQAAAAIAIdO4kC/mIUa+QEAAOsDAAAOAAAAAAAAAAEAIAAAACQBAABkcnMvZTJvRG9jLnht&#10;bFBLBQYAAAAABgAGAFkBAACPBQAAAAA=&#10;">
                            <v:fill on="f" focussize="0,0"/>
                            <v:stroke weight="0.5pt" color="#000000" joinstyle="round"/>
                            <v:imagedata o:title=""/>
                            <o:lock v:ext="edit" aspectratio="f"/>
                          </v:line>
                        </w:pict>
                      </mc:Fallback>
                    </mc:AlternateContent>
                  </w:r>
                  <w:r>
                    <w:rPr>
                      <w:rFonts w:hint="eastAsia" w:cs="宋体"/>
                      <w:b/>
                      <w:bCs/>
                      <w:color w:val="auto"/>
                      <w:sz w:val="21"/>
                      <w:szCs w:val="21"/>
                      <w:highlight w:val="none"/>
                      <w:lang w:val="en-US" w:eastAsia="zh-CN"/>
                    </w:rPr>
                    <w:t xml:space="preserve">         </w:t>
                  </w:r>
                  <w:r>
                    <w:rPr>
                      <w:rFonts w:hint="eastAsia" w:cs="宋体"/>
                      <w:b/>
                      <w:bCs/>
                      <w:color w:val="auto"/>
                      <w:sz w:val="21"/>
                      <w:szCs w:val="21"/>
                      <w:highlight w:val="none"/>
                    </w:rPr>
                    <w:t>项目类别</w:t>
                  </w:r>
                </w:p>
                <w:p w14:paraId="21CA4888">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rPr>
                      <w:rFonts w:hint="eastAsia" w:cs="宋体"/>
                      <w:b/>
                      <w:bCs/>
                      <w:color w:val="auto"/>
                      <w:sz w:val="21"/>
                      <w:szCs w:val="21"/>
                      <w:highlight w:val="none"/>
                    </w:rPr>
                  </w:pPr>
                  <w:r>
                    <w:rPr>
                      <w:rFonts w:hint="eastAsia" w:cs="宋体"/>
                      <w:b/>
                      <w:bCs/>
                      <w:color w:val="auto"/>
                      <w:sz w:val="21"/>
                      <w:szCs w:val="21"/>
                      <w:highlight w:val="none"/>
                    </w:rPr>
                    <w:t>环评类别</w:t>
                  </w:r>
                </w:p>
              </w:tc>
              <w:tc>
                <w:tcPr>
                  <w:tcW w:w="2047" w:type="dxa"/>
                  <w:noWrap w:val="0"/>
                  <w:vAlign w:val="center"/>
                </w:tcPr>
                <w:p w14:paraId="74B92289">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b/>
                      <w:bCs/>
                      <w:color w:val="auto"/>
                      <w:sz w:val="21"/>
                      <w:szCs w:val="21"/>
                      <w:highlight w:val="none"/>
                    </w:rPr>
                  </w:pPr>
                  <w:r>
                    <w:rPr>
                      <w:rFonts w:hint="eastAsia" w:cs="宋体"/>
                      <w:b/>
                      <w:bCs/>
                      <w:color w:val="auto"/>
                      <w:sz w:val="21"/>
                      <w:szCs w:val="21"/>
                      <w:highlight w:val="none"/>
                    </w:rPr>
                    <w:t>报告书</w:t>
                  </w:r>
                </w:p>
              </w:tc>
              <w:tc>
                <w:tcPr>
                  <w:tcW w:w="3082" w:type="dxa"/>
                  <w:noWrap w:val="0"/>
                  <w:vAlign w:val="center"/>
                </w:tcPr>
                <w:p w14:paraId="6C1B4402">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b/>
                      <w:bCs/>
                      <w:color w:val="auto"/>
                      <w:sz w:val="21"/>
                      <w:szCs w:val="21"/>
                      <w:highlight w:val="none"/>
                    </w:rPr>
                  </w:pPr>
                  <w:r>
                    <w:rPr>
                      <w:rFonts w:hint="eastAsia" w:cs="宋体"/>
                      <w:b/>
                      <w:bCs/>
                      <w:color w:val="auto"/>
                      <w:sz w:val="21"/>
                      <w:szCs w:val="21"/>
                      <w:highlight w:val="none"/>
                    </w:rPr>
                    <w:t>报告表</w:t>
                  </w:r>
                </w:p>
              </w:tc>
              <w:tc>
                <w:tcPr>
                  <w:tcW w:w="674" w:type="dxa"/>
                  <w:noWrap w:val="0"/>
                  <w:vAlign w:val="center"/>
                </w:tcPr>
                <w:p w14:paraId="13A43FDC">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b/>
                      <w:bCs/>
                      <w:color w:val="auto"/>
                      <w:sz w:val="21"/>
                      <w:szCs w:val="21"/>
                      <w:highlight w:val="none"/>
                    </w:rPr>
                  </w:pPr>
                  <w:r>
                    <w:rPr>
                      <w:rFonts w:hint="eastAsia" w:cs="宋体"/>
                      <w:b/>
                      <w:bCs/>
                      <w:color w:val="auto"/>
                      <w:sz w:val="21"/>
                      <w:szCs w:val="21"/>
                      <w:highlight w:val="none"/>
                    </w:rPr>
                    <w:t>登记表</w:t>
                  </w:r>
                </w:p>
              </w:tc>
            </w:tr>
            <w:tr w14:paraId="1D68D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080" w:type="dxa"/>
                  <w:gridSpan w:val="5"/>
                  <w:noWrap w:val="0"/>
                  <w:vAlign w:val="center"/>
                </w:tcPr>
                <w:p w14:paraId="42124529">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color w:val="auto"/>
                      <w:sz w:val="21"/>
                      <w:szCs w:val="21"/>
                      <w:highlight w:val="none"/>
                    </w:rPr>
                  </w:pPr>
                  <w:r>
                    <w:rPr>
                      <w:rFonts w:hint="eastAsia" w:cs="宋体"/>
                      <w:color w:val="auto"/>
                      <w:sz w:val="21"/>
                      <w:szCs w:val="21"/>
                      <w:highlight w:val="none"/>
                      <w:lang w:val="en-US" w:eastAsia="zh-CN"/>
                    </w:rPr>
                    <w:t>四十七、生态保护和环境治理业</w:t>
                  </w:r>
                </w:p>
              </w:tc>
            </w:tr>
            <w:tr w14:paraId="1185DD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34" w:hRule="atLeast"/>
                <w:jc w:val="center"/>
              </w:trPr>
              <w:tc>
                <w:tcPr>
                  <w:tcW w:w="574" w:type="dxa"/>
                  <w:shd w:val="clear" w:color="auto" w:fill="auto"/>
                  <w:noWrap w:val="0"/>
                  <w:vAlign w:val="center"/>
                </w:tcPr>
                <w:p w14:paraId="6709383D">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eastAsia="宋体" w:cs="宋体"/>
                      <w:color w:val="auto"/>
                      <w:sz w:val="21"/>
                      <w:szCs w:val="21"/>
                      <w:highlight w:val="none"/>
                      <w:lang w:val="en-US" w:eastAsia="zh-CN"/>
                    </w:rPr>
                  </w:pPr>
                  <w:r>
                    <w:rPr>
                      <w:rFonts w:hint="eastAsia" w:cs="宋体"/>
                      <w:color w:val="auto"/>
                      <w:sz w:val="21"/>
                      <w:szCs w:val="21"/>
                      <w:highlight w:val="none"/>
                      <w:lang w:val="en-US" w:eastAsia="zh-CN"/>
                    </w:rPr>
                    <w:t>103</w:t>
                  </w:r>
                </w:p>
              </w:tc>
              <w:tc>
                <w:tcPr>
                  <w:tcW w:w="1703" w:type="dxa"/>
                  <w:shd w:val="clear" w:color="auto" w:fill="auto"/>
                  <w:noWrap w:val="0"/>
                  <w:vAlign w:val="center"/>
                </w:tcPr>
                <w:p w14:paraId="21FB49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cs="宋体"/>
                      <w:color w:val="auto"/>
                      <w:sz w:val="21"/>
                      <w:szCs w:val="21"/>
                      <w:highlight w:val="none"/>
                    </w:rPr>
                  </w:pPr>
                  <w:r>
                    <w:rPr>
                      <w:rFonts w:hint="eastAsia" w:cs="宋体"/>
                      <w:color w:val="auto"/>
                      <w:sz w:val="21"/>
                      <w:szCs w:val="21"/>
                      <w:highlight w:val="none"/>
                      <w:lang w:val="en-US" w:eastAsia="zh-CN"/>
                    </w:rPr>
                    <w:t>一般工业固体废物(含污水处理污泥)、建筑施工废弃物处置及综合利用</w:t>
                  </w:r>
                </w:p>
              </w:tc>
              <w:tc>
                <w:tcPr>
                  <w:tcW w:w="2047" w:type="dxa"/>
                  <w:shd w:val="clear" w:color="auto" w:fill="auto"/>
                  <w:noWrap w:val="0"/>
                  <w:vAlign w:val="center"/>
                </w:tcPr>
                <w:p w14:paraId="6D4DAA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rPr>
                  </w:pPr>
                  <w:r>
                    <w:rPr>
                      <w:rFonts w:hint="default"/>
                      <w:color w:val="auto"/>
                      <w:highlight w:val="none"/>
                      <w:lang w:val="en-US" w:eastAsia="zh-CN"/>
                    </w:rPr>
                    <w:t>一般工业固体废物(含污水处理污泥)采取填埋、焚烧（水泥窑协同处置的改造项目除外）方式的</w:t>
                  </w:r>
                </w:p>
              </w:tc>
              <w:tc>
                <w:tcPr>
                  <w:tcW w:w="3082" w:type="dxa"/>
                  <w:shd w:val="clear" w:color="auto" w:fill="D7D7D7"/>
                  <w:noWrap w:val="0"/>
                  <w:vAlign w:val="center"/>
                </w:tcPr>
                <w:p w14:paraId="1FE507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rPr>
                  </w:pPr>
                  <w:r>
                    <w:rPr>
                      <w:rFonts w:hint="default"/>
                      <w:color w:val="auto"/>
                      <w:highlight w:val="none"/>
                      <w:lang w:eastAsia="zh-CN"/>
                    </w:rPr>
                    <w:t>其他</w:t>
                  </w:r>
                </w:p>
              </w:tc>
              <w:tc>
                <w:tcPr>
                  <w:tcW w:w="674" w:type="dxa"/>
                  <w:noWrap w:val="0"/>
                  <w:vAlign w:val="center"/>
                </w:tcPr>
                <w:p w14:paraId="4B84C1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rPr>
                  </w:pPr>
                  <w:r>
                    <w:rPr>
                      <w:rFonts w:hint="default"/>
                      <w:color w:val="auto"/>
                      <w:highlight w:val="none"/>
                      <w:lang w:val="en-US" w:eastAsia="zh-CN"/>
                    </w:rPr>
                    <w:t>/</w:t>
                  </w:r>
                </w:p>
              </w:tc>
            </w:tr>
            <w:tr w14:paraId="5B4494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8080" w:type="dxa"/>
                  <w:gridSpan w:val="5"/>
                  <w:shd w:val="clear" w:color="auto" w:fill="auto"/>
                  <w:noWrap w:val="0"/>
                  <w:vAlign w:val="center"/>
                </w:tcPr>
                <w:p w14:paraId="145ECF5B">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cs="宋体"/>
                      <w:color w:val="auto"/>
                      <w:sz w:val="21"/>
                      <w:szCs w:val="21"/>
                      <w:highlight w:val="none"/>
                    </w:rPr>
                  </w:pPr>
                  <w:r>
                    <w:rPr>
                      <w:rFonts w:hint="eastAsia" w:cs="宋体"/>
                      <w:color w:val="auto"/>
                      <w:sz w:val="21"/>
                      <w:szCs w:val="21"/>
                      <w:highlight w:val="none"/>
                      <w:lang w:val="en-US" w:eastAsia="zh-CN"/>
                    </w:rPr>
                    <w:t>二十七、非金属矿物制品业</w:t>
                  </w:r>
                </w:p>
              </w:tc>
            </w:tr>
            <w:tr w14:paraId="428E0B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574" w:type="dxa"/>
                  <w:shd w:val="clear" w:color="auto" w:fill="auto"/>
                  <w:noWrap w:val="0"/>
                  <w:vAlign w:val="center"/>
                </w:tcPr>
                <w:p w14:paraId="0426348D">
                  <w:pPr>
                    <w:pStyle w:val="118"/>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eastAsia="宋体" w:cs="宋体"/>
                      <w:color w:val="auto"/>
                      <w:sz w:val="21"/>
                      <w:szCs w:val="21"/>
                      <w:highlight w:val="none"/>
                      <w:lang w:val="en-US" w:eastAsia="zh-CN"/>
                    </w:rPr>
                  </w:pPr>
                  <w:r>
                    <w:rPr>
                      <w:rFonts w:hint="eastAsia" w:eastAsia="宋体" w:cs="宋体"/>
                      <w:color w:val="auto"/>
                      <w:sz w:val="21"/>
                      <w:szCs w:val="21"/>
                      <w:highlight w:val="none"/>
                      <w:lang w:val="en-US" w:eastAsia="zh-CN"/>
                    </w:rPr>
                    <w:t>5</w:t>
                  </w:r>
                  <w:r>
                    <w:rPr>
                      <w:rFonts w:hint="eastAsia" w:cs="宋体"/>
                      <w:color w:val="auto"/>
                      <w:sz w:val="21"/>
                      <w:szCs w:val="21"/>
                      <w:highlight w:val="none"/>
                      <w:lang w:val="en-US" w:eastAsia="zh-CN"/>
                    </w:rPr>
                    <w:t>6</w:t>
                  </w:r>
                </w:p>
              </w:tc>
              <w:tc>
                <w:tcPr>
                  <w:tcW w:w="1703" w:type="dxa"/>
                  <w:shd w:val="clear" w:color="auto" w:fill="auto"/>
                  <w:noWrap w:val="0"/>
                  <w:vAlign w:val="center"/>
                </w:tcPr>
                <w:p w14:paraId="6ABBF9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left"/>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砖瓦、石材等建筑材料制造303</w:t>
                  </w:r>
                </w:p>
              </w:tc>
              <w:tc>
                <w:tcPr>
                  <w:tcW w:w="2047" w:type="dxa"/>
                  <w:shd w:val="clear" w:color="auto" w:fill="auto"/>
                  <w:noWrap w:val="0"/>
                  <w:vAlign w:val="center"/>
                </w:tcPr>
                <w:p w14:paraId="359CA8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lang w:val="en-US" w:eastAsia="zh-CN"/>
                    </w:rPr>
                  </w:pPr>
                  <w:r>
                    <w:rPr>
                      <w:rFonts w:hint="default"/>
                      <w:color w:val="auto"/>
                      <w:highlight w:val="none"/>
                      <w:lang w:val="en-US" w:eastAsia="zh-CN"/>
                    </w:rPr>
                    <w:t>/</w:t>
                  </w:r>
                </w:p>
              </w:tc>
              <w:tc>
                <w:tcPr>
                  <w:tcW w:w="3082" w:type="dxa"/>
                  <w:shd w:val="clear" w:color="auto" w:fill="D7D7D7"/>
                  <w:noWrap w:val="0"/>
                  <w:vAlign w:val="center"/>
                </w:tcPr>
                <w:p w14:paraId="46DFC8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lang w:val="en-US" w:eastAsia="zh-CN"/>
                    </w:rPr>
                  </w:pPr>
                  <w:r>
                    <w:rPr>
                      <w:rFonts w:hint="eastAsia" w:cs="宋体"/>
                      <w:color w:val="auto"/>
                      <w:sz w:val="21"/>
                      <w:szCs w:val="21"/>
                      <w:highlight w:val="none"/>
                      <w:lang w:val="en-US" w:eastAsia="zh-CN"/>
                    </w:rPr>
                    <w:t>粘土砖瓦及建筑砌块制造；建筑用石加工；防水建筑材料制造；隔热、隔音材料制造；其他建筑材料制造（含干粉砂浆搅拌站）以上均不含利用石材板材切割、打磨、成型的</w:t>
                  </w:r>
                </w:p>
              </w:tc>
              <w:tc>
                <w:tcPr>
                  <w:tcW w:w="674" w:type="dxa"/>
                  <w:noWrap w:val="0"/>
                  <w:vAlign w:val="center"/>
                </w:tcPr>
                <w:p w14:paraId="2F3F86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宋体"/>
                      <w:color w:val="auto"/>
                      <w:sz w:val="21"/>
                      <w:szCs w:val="21"/>
                      <w:highlight w:val="none"/>
                    </w:rPr>
                  </w:pPr>
                  <w:r>
                    <w:rPr>
                      <w:rFonts w:hint="default"/>
                      <w:color w:val="auto"/>
                      <w:highlight w:val="none"/>
                      <w:lang w:val="en-US" w:eastAsia="zh-CN"/>
                    </w:rPr>
                    <w:t>/</w:t>
                  </w:r>
                </w:p>
              </w:tc>
            </w:tr>
          </w:tbl>
          <w:p w14:paraId="07C272ED">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rPr>
            </w:pPr>
            <w:r>
              <w:rPr>
                <w:rFonts w:hint="default" w:ascii="Times New Roman" w:hAnsi="Times New Roman" w:cs="Times New Roman"/>
                <w:b/>
                <w:bCs w:val="0"/>
                <w:color w:val="auto"/>
                <w:highlight w:val="none"/>
                <w:lang w:val="en-US" w:eastAsia="zh-CN"/>
              </w:rPr>
              <w:t>3</w:t>
            </w:r>
            <w:r>
              <w:rPr>
                <w:rFonts w:hint="default" w:ascii="Times New Roman" w:hAnsi="Times New Roman" w:cs="Times New Roman"/>
                <w:b/>
                <w:bCs w:val="0"/>
                <w:color w:val="auto"/>
                <w:highlight w:val="none"/>
              </w:rPr>
              <w:t>、项目主要建设内容</w:t>
            </w:r>
          </w:p>
          <w:p w14:paraId="35FC9271">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eastAsia" w:cs="Times New Roman"/>
                <w:color w:val="auto"/>
                <w:highlight w:val="none"/>
                <w:lang w:val="en-US" w:eastAsia="zh-CN"/>
              </w:rPr>
              <w:t>本项目</w:t>
            </w:r>
            <w:r>
              <w:rPr>
                <w:rFonts w:hint="default" w:ascii="Times New Roman" w:hAnsi="Times New Roman" w:cs="Times New Roman"/>
                <w:color w:val="auto"/>
                <w:highlight w:val="none"/>
                <w:lang w:val="en-US" w:eastAsia="zh-CN"/>
              </w:rPr>
              <w:t>建设内容情况见下表</w:t>
            </w:r>
            <w:r>
              <w:rPr>
                <w:rFonts w:hint="default" w:ascii="Times New Roman" w:hAnsi="Times New Roman" w:cs="Times New Roman"/>
                <w:color w:val="auto"/>
                <w:highlight w:val="none"/>
              </w:rPr>
              <w:t>。</w:t>
            </w:r>
          </w:p>
          <w:p w14:paraId="0BDDD1CB">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项目主要建设内容一览表</w:t>
            </w:r>
          </w:p>
          <w:tbl>
            <w:tblPr>
              <w:tblStyle w:val="25"/>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3"/>
              <w:gridCol w:w="617"/>
              <w:gridCol w:w="1866"/>
              <w:gridCol w:w="2175"/>
              <w:gridCol w:w="2030"/>
              <w:gridCol w:w="709"/>
            </w:tblGrid>
            <w:tr w14:paraId="0DE260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5" w:hRule="atLeast"/>
              </w:trPr>
              <w:tc>
                <w:tcPr>
                  <w:tcW w:w="683" w:type="dxa"/>
                  <w:vMerge w:val="restart"/>
                  <w:tcBorders>
                    <w:tl2br w:val="nil"/>
                    <w:tr2bl w:val="nil"/>
                  </w:tcBorders>
                  <w:vAlign w:val="center"/>
                </w:tcPr>
                <w:p w14:paraId="6DF4C4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工程性质</w:t>
                  </w:r>
                </w:p>
              </w:tc>
              <w:tc>
                <w:tcPr>
                  <w:tcW w:w="617" w:type="dxa"/>
                  <w:vMerge w:val="restart"/>
                  <w:tcBorders>
                    <w:tl2br w:val="nil"/>
                    <w:tr2bl w:val="nil"/>
                  </w:tcBorders>
                  <w:vAlign w:val="center"/>
                </w:tcPr>
                <w:p w14:paraId="26AFA9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项目内容</w:t>
                  </w:r>
                </w:p>
              </w:tc>
              <w:tc>
                <w:tcPr>
                  <w:tcW w:w="6071" w:type="dxa"/>
                  <w:gridSpan w:val="3"/>
                  <w:tcBorders>
                    <w:tl2br w:val="nil"/>
                    <w:tr2bl w:val="nil"/>
                  </w:tcBorders>
                  <w:vAlign w:val="center"/>
                </w:tcPr>
                <w:p w14:paraId="24EB3E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建设规模</w:t>
                  </w:r>
                </w:p>
              </w:tc>
              <w:tc>
                <w:tcPr>
                  <w:tcW w:w="709" w:type="dxa"/>
                  <w:vMerge w:val="restart"/>
                  <w:tcBorders>
                    <w:tl2br w:val="nil"/>
                    <w:tr2bl w:val="nil"/>
                  </w:tcBorders>
                  <w:vAlign w:val="center"/>
                </w:tcPr>
                <w:p w14:paraId="463D68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备注</w:t>
                  </w:r>
                </w:p>
              </w:tc>
            </w:tr>
            <w:tr w14:paraId="3230A5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683" w:type="dxa"/>
                  <w:vMerge w:val="continue"/>
                  <w:tcBorders>
                    <w:tl2br w:val="nil"/>
                    <w:tr2bl w:val="nil"/>
                  </w:tcBorders>
                  <w:vAlign w:val="center"/>
                </w:tcPr>
                <w:p w14:paraId="70A558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vAlign w:val="center"/>
                </w:tcPr>
                <w:p w14:paraId="3130AD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vAlign w:val="center"/>
                </w:tcPr>
                <w:p w14:paraId="392BE3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z w:val="21"/>
                      <w:szCs w:val="21"/>
                      <w:highlight w:val="none"/>
                      <w:lang w:eastAsia="zh-CN"/>
                    </w:rPr>
                  </w:pPr>
                  <w:r>
                    <w:rPr>
                      <w:rFonts w:hint="default" w:ascii="Times New Roman" w:hAnsi="Times New Roman" w:eastAsia="宋体" w:cs="Times New Roman"/>
                      <w:b/>
                      <w:bCs/>
                      <w:color w:val="FF0000"/>
                      <w:sz w:val="21"/>
                      <w:szCs w:val="21"/>
                      <w:highlight w:val="none"/>
                      <w:lang w:eastAsia="zh-CN"/>
                    </w:rPr>
                    <w:t>现有项目</w:t>
                  </w:r>
                </w:p>
              </w:tc>
              <w:tc>
                <w:tcPr>
                  <w:tcW w:w="2175" w:type="dxa"/>
                  <w:tcBorders>
                    <w:tl2br w:val="nil"/>
                    <w:tr2bl w:val="nil"/>
                  </w:tcBorders>
                  <w:vAlign w:val="center"/>
                </w:tcPr>
                <w:p w14:paraId="693E40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z w:val="21"/>
                      <w:szCs w:val="21"/>
                      <w:highlight w:val="none"/>
                      <w:lang w:eastAsia="zh-CN"/>
                    </w:rPr>
                  </w:pPr>
                  <w:r>
                    <w:rPr>
                      <w:rFonts w:hint="eastAsia" w:cs="Times New Roman"/>
                      <w:b/>
                      <w:bCs/>
                      <w:color w:val="FF0000"/>
                      <w:sz w:val="21"/>
                      <w:szCs w:val="21"/>
                      <w:highlight w:val="none"/>
                      <w:lang w:eastAsia="zh-CN"/>
                    </w:rPr>
                    <w:t>本次</w:t>
                  </w:r>
                  <w:r>
                    <w:rPr>
                      <w:rFonts w:hint="default" w:ascii="Times New Roman" w:hAnsi="Times New Roman" w:eastAsia="宋体" w:cs="Times New Roman"/>
                      <w:b/>
                      <w:bCs/>
                      <w:color w:val="FF0000"/>
                      <w:sz w:val="21"/>
                      <w:szCs w:val="21"/>
                      <w:highlight w:val="none"/>
                      <w:lang w:eastAsia="zh-CN"/>
                    </w:rPr>
                    <w:t>扩建项目</w:t>
                  </w:r>
                </w:p>
              </w:tc>
              <w:tc>
                <w:tcPr>
                  <w:tcW w:w="2030" w:type="dxa"/>
                  <w:tcBorders>
                    <w:tl2br w:val="nil"/>
                    <w:tr2bl w:val="nil"/>
                  </w:tcBorders>
                  <w:vAlign w:val="center"/>
                </w:tcPr>
                <w:p w14:paraId="634F57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eastAsia="zh-CN"/>
                    </w:rPr>
                    <w:t>扩建后全厂</w:t>
                  </w:r>
                </w:p>
              </w:tc>
              <w:tc>
                <w:tcPr>
                  <w:tcW w:w="709" w:type="dxa"/>
                  <w:vMerge w:val="continue"/>
                  <w:tcBorders>
                    <w:tl2br w:val="nil"/>
                    <w:tr2bl w:val="nil"/>
                  </w:tcBorders>
                  <w:vAlign w:val="center"/>
                </w:tcPr>
                <w:p w14:paraId="411D2F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r>
            <w:tr w14:paraId="3CD0F4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restart"/>
                  <w:tcBorders>
                    <w:tl2br w:val="nil"/>
                    <w:tr2bl w:val="nil"/>
                  </w:tcBorders>
                  <w:vAlign w:val="center"/>
                </w:tcPr>
                <w:p w14:paraId="3270BD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617" w:type="dxa"/>
                  <w:tcBorders>
                    <w:tl2br w:val="nil"/>
                    <w:tr2bl w:val="nil"/>
                  </w:tcBorders>
                  <w:vAlign w:val="center"/>
                </w:tcPr>
                <w:p w14:paraId="538C79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1#生产</w:t>
                  </w:r>
                  <w:r>
                    <w:rPr>
                      <w:rFonts w:hint="eastAsia" w:ascii="Times New Roman" w:hAnsi="Times New Roman" w:eastAsia="宋体" w:cs="Times New Roman"/>
                      <w:color w:val="auto"/>
                      <w:sz w:val="21"/>
                      <w:szCs w:val="21"/>
                      <w:highlight w:val="none"/>
                      <w:lang w:val="en-US" w:eastAsia="zh-CN"/>
                    </w:rPr>
                    <w:t>车间</w:t>
                  </w:r>
                </w:p>
              </w:tc>
              <w:tc>
                <w:tcPr>
                  <w:tcW w:w="1866" w:type="dxa"/>
                  <w:tcBorders>
                    <w:tl2br w:val="nil"/>
                    <w:tr2bl w:val="nil"/>
                  </w:tcBorders>
                  <w:vAlign w:val="center"/>
                </w:tcPr>
                <w:p w14:paraId="70CEBC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1F，层高10m，钢结构，建筑面积为18000m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。内布设生产区（4500m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）、原辅材料区（4500m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）、成品区（7500m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）等。</w:t>
                  </w:r>
                </w:p>
              </w:tc>
              <w:tc>
                <w:tcPr>
                  <w:tcW w:w="2175" w:type="dxa"/>
                  <w:tcBorders>
                    <w:tl2br w:val="nil"/>
                    <w:tr2bl w:val="nil"/>
                  </w:tcBorders>
                  <w:vAlign w:val="center"/>
                </w:tcPr>
                <w:p w14:paraId="15D511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030" w:type="dxa"/>
                  <w:tcBorders>
                    <w:tl2br w:val="nil"/>
                    <w:tr2bl w:val="nil"/>
                  </w:tcBorders>
                  <w:vAlign w:val="center"/>
                </w:tcPr>
                <w:p w14:paraId="3C00DE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1F，层高10m，钢结构，建筑面积为18000m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。内布设生产区（4500m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）、原辅材料区（4500m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）、成品区（7500m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）等。</w:t>
                  </w:r>
                </w:p>
              </w:tc>
              <w:tc>
                <w:tcPr>
                  <w:tcW w:w="709" w:type="dxa"/>
                  <w:tcBorders>
                    <w:tl2br w:val="nil"/>
                    <w:tr2bl w:val="nil"/>
                  </w:tcBorders>
                  <w:vAlign w:val="center"/>
                </w:tcPr>
                <w:p w14:paraId="34BA0E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w:t>
                  </w:r>
                  <w:r>
                    <w:rPr>
                      <w:rFonts w:hint="default" w:ascii="Times New Roman" w:hAnsi="Times New Roman" w:eastAsia="宋体" w:cs="Times New Roman"/>
                      <w:color w:val="auto"/>
                      <w:sz w:val="21"/>
                      <w:szCs w:val="21"/>
                      <w:highlight w:val="none"/>
                      <w:lang w:val="en-US" w:eastAsia="zh-CN"/>
                    </w:rPr>
                    <w:t>租赁厂房</w:t>
                  </w:r>
                </w:p>
              </w:tc>
            </w:tr>
            <w:tr w14:paraId="5C286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continue"/>
                  <w:tcBorders>
                    <w:tl2br w:val="nil"/>
                    <w:tr2bl w:val="nil"/>
                  </w:tcBorders>
                  <w:vAlign w:val="center"/>
                </w:tcPr>
                <w:p w14:paraId="026740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4AC968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2#生产</w:t>
                  </w:r>
                  <w:r>
                    <w:rPr>
                      <w:rFonts w:hint="eastAsia" w:ascii="Times New Roman" w:hAnsi="Times New Roman" w:eastAsia="宋体" w:cs="Times New Roman"/>
                      <w:color w:val="auto"/>
                      <w:sz w:val="21"/>
                      <w:szCs w:val="21"/>
                      <w:highlight w:val="none"/>
                      <w:lang w:val="en-US" w:eastAsia="zh-CN"/>
                    </w:rPr>
                    <w:t>车间</w:t>
                  </w:r>
                </w:p>
              </w:tc>
              <w:tc>
                <w:tcPr>
                  <w:tcW w:w="1866" w:type="dxa"/>
                  <w:tcBorders>
                    <w:tl2br w:val="nil"/>
                    <w:tr2bl w:val="nil"/>
                  </w:tcBorders>
                  <w:vAlign w:val="center"/>
                </w:tcPr>
                <w:p w14:paraId="1BDA7F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2175" w:type="dxa"/>
                  <w:tcBorders>
                    <w:tl2br w:val="nil"/>
                    <w:tr2bl w:val="nil"/>
                  </w:tcBorders>
                  <w:vAlign w:val="center"/>
                </w:tcPr>
                <w:p w14:paraId="4F2A21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位于厂房东南侧，</w:t>
                  </w:r>
                  <w:r>
                    <w:rPr>
                      <w:rFonts w:hint="default" w:ascii="Times New Roman" w:hAnsi="Times New Roman" w:eastAsia="宋体" w:cs="Times New Roman"/>
                      <w:color w:val="auto"/>
                      <w:sz w:val="21"/>
                      <w:szCs w:val="21"/>
                      <w:highlight w:val="none"/>
                    </w:rPr>
                    <w:t>1F，层高</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m，建筑面积为</w:t>
                  </w:r>
                  <w:r>
                    <w:rPr>
                      <w:rFonts w:hint="default" w:ascii="Times New Roman" w:hAnsi="Times New Roman" w:eastAsia="宋体" w:cs="Times New Roman"/>
                      <w:color w:val="auto"/>
                      <w:sz w:val="21"/>
                      <w:szCs w:val="21"/>
                      <w:highlight w:val="none"/>
                      <w:lang w:val="en-US" w:eastAsia="zh-CN"/>
                    </w:rPr>
                    <w:t>12000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。内布设生产区（</w:t>
                  </w:r>
                  <w:r>
                    <w:rPr>
                      <w:rFonts w:hint="eastAsia" w:ascii="Times New Roman" w:hAnsi="Times New Roman" w:eastAsia="宋体"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）、原辅材料区（</w:t>
                  </w:r>
                  <w:r>
                    <w:rPr>
                      <w:rFonts w:hint="eastAsia" w:ascii="Times New Roman" w:hAnsi="Times New Roman" w:eastAsia="宋体" w:cs="Times New Roman"/>
                      <w:color w:val="auto"/>
                      <w:sz w:val="21"/>
                      <w:szCs w:val="21"/>
                      <w:highlight w:val="none"/>
                      <w:lang w:val="en-US" w:eastAsia="zh-CN"/>
                    </w:rPr>
                    <w:t>50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）、成品区（</w:t>
                  </w:r>
                  <w:r>
                    <w:rPr>
                      <w:rFonts w:hint="eastAsia"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）等。</w:t>
                  </w:r>
                </w:p>
              </w:tc>
              <w:tc>
                <w:tcPr>
                  <w:tcW w:w="2030" w:type="dxa"/>
                  <w:tcBorders>
                    <w:tl2br w:val="nil"/>
                    <w:tr2bl w:val="nil"/>
                  </w:tcBorders>
                  <w:vAlign w:val="center"/>
                </w:tcPr>
                <w:p w14:paraId="63402F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位于租赁厂房东南侧，</w:t>
                  </w:r>
                  <w:r>
                    <w:rPr>
                      <w:rFonts w:hint="default" w:ascii="Times New Roman" w:hAnsi="Times New Roman" w:eastAsia="宋体" w:cs="Times New Roman"/>
                      <w:color w:val="auto"/>
                      <w:sz w:val="21"/>
                      <w:szCs w:val="21"/>
                      <w:highlight w:val="none"/>
                    </w:rPr>
                    <w:t>1F，层高</w:t>
                  </w:r>
                  <w:r>
                    <w:rPr>
                      <w:rFonts w:hint="default" w:ascii="Times New Roman" w:hAnsi="Times New Roman" w:eastAsia="宋体" w:cs="Times New Roman"/>
                      <w:color w:val="auto"/>
                      <w:sz w:val="21"/>
                      <w:szCs w:val="21"/>
                      <w:highlight w:val="none"/>
                      <w:lang w:val="en-US" w:eastAsia="zh-CN"/>
                    </w:rPr>
                    <w:t>10</w:t>
                  </w:r>
                  <w:r>
                    <w:rPr>
                      <w:rFonts w:hint="default" w:ascii="Times New Roman" w:hAnsi="Times New Roman" w:eastAsia="宋体" w:cs="Times New Roman"/>
                      <w:color w:val="auto"/>
                      <w:sz w:val="21"/>
                      <w:szCs w:val="21"/>
                      <w:highlight w:val="none"/>
                    </w:rPr>
                    <w:t>m，建筑面积为</w:t>
                  </w:r>
                  <w:r>
                    <w:rPr>
                      <w:rFonts w:hint="default" w:ascii="Times New Roman" w:hAnsi="Times New Roman" w:eastAsia="宋体" w:cs="Times New Roman"/>
                      <w:color w:val="auto"/>
                      <w:sz w:val="21"/>
                      <w:szCs w:val="21"/>
                      <w:highlight w:val="none"/>
                      <w:lang w:val="en-US" w:eastAsia="zh-CN"/>
                    </w:rPr>
                    <w:t>12000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。内布设生产区（</w:t>
                  </w:r>
                  <w:r>
                    <w:rPr>
                      <w:rFonts w:hint="eastAsia" w:ascii="Times New Roman" w:hAnsi="Times New Roman" w:eastAsia="宋体" w:cs="Times New Roman"/>
                      <w:color w:val="auto"/>
                      <w:sz w:val="21"/>
                      <w:szCs w:val="21"/>
                      <w:highlight w:val="none"/>
                      <w:lang w:val="en-US" w:eastAsia="zh-CN"/>
                    </w:rPr>
                    <w:t>30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）、原辅材料区（</w:t>
                  </w:r>
                  <w:r>
                    <w:rPr>
                      <w:rFonts w:hint="eastAsia" w:ascii="Times New Roman" w:hAnsi="Times New Roman" w:eastAsia="宋体" w:cs="Times New Roman"/>
                      <w:color w:val="auto"/>
                      <w:sz w:val="21"/>
                      <w:szCs w:val="21"/>
                      <w:highlight w:val="none"/>
                      <w:lang w:val="en-US" w:eastAsia="zh-CN"/>
                    </w:rPr>
                    <w:t>50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）、成品区（</w:t>
                  </w:r>
                  <w:r>
                    <w:rPr>
                      <w:rFonts w:hint="eastAsia" w:ascii="Times New Roman" w:hAnsi="Times New Roman" w:eastAsia="宋体" w:cs="Times New Roman"/>
                      <w:color w:val="auto"/>
                      <w:sz w:val="21"/>
                      <w:szCs w:val="21"/>
                      <w:highlight w:val="none"/>
                      <w:lang w:val="en-US" w:eastAsia="zh-CN"/>
                    </w:rPr>
                    <w:t>40</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）等。</w:t>
                  </w:r>
                </w:p>
              </w:tc>
              <w:tc>
                <w:tcPr>
                  <w:tcW w:w="709" w:type="dxa"/>
                  <w:tcBorders>
                    <w:tl2br w:val="nil"/>
                    <w:tr2bl w:val="nil"/>
                  </w:tcBorders>
                  <w:vAlign w:val="center"/>
                </w:tcPr>
                <w:p w14:paraId="1D9E23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eastAsia="zh-CN"/>
                    </w:rPr>
                    <w:t>已建，依托租赁</w:t>
                  </w:r>
                  <w:r>
                    <w:rPr>
                      <w:rFonts w:hint="eastAsia" w:ascii="Times New Roman" w:hAnsi="Times New Roman" w:eastAsia="宋体" w:cs="Times New Roman"/>
                      <w:color w:val="auto"/>
                      <w:sz w:val="21"/>
                      <w:szCs w:val="21"/>
                      <w:highlight w:val="none"/>
                      <w:lang w:eastAsia="zh-CN"/>
                    </w:rPr>
                    <w:t>厂房</w:t>
                  </w:r>
                </w:p>
              </w:tc>
            </w:tr>
            <w:tr w14:paraId="14211C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83" w:type="dxa"/>
                  <w:vMerge w:val="restart"/>
                  <w:tcBorders>
                    <w:tl2br w:val="nil"/>
                    <w:tr2bl w:val="nil"/>
                  </w:tcBorders>
                  <w:vAlign w:val="center"/>
                </w:tcPr>
                <w:p w14:paraId="0DF810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储运工程</w:t>
                  </w:r>
                </w:p>
              </w:tc>
              <w:tc>
                <w:tcPr>
                  <w:tcW w:w="617" w:type="dxa"/>
                  <w:tcBorders>
                    <w:tl2br w:val="nil"/>
                    <w:tr2bl w:val="nil"/>
                  </w:tcBorders>
                  <w:vAlign w:val="center"/>
                </w:tcPr>
                <w:p w14:paraId="71342D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原料区</w:t>
                  </w:r>
                </w:p>
              </w:tc>
              <w:tc>
                <w:tcPr>
                  <w:tcW w:w="1866" w:type="dxa"/>
                  <w:tcBorders>
                    <w:tl2br w:val="nil"/>
                    <w:tr2bl w:val="nil"/>
                  </w:tcBorders>
                  <w:vAlign w:val="center"/>
                </w:tcPr>
                <w:p w14:paraId="4EBED842">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rPr>
                  </w:pPr>
                  <w:bookmarkStart w:id="9" w:name="_Toc18119"/>
                  <w:r>
                    <w:rPr>
                      <w:rFonts w:hint="eastAsia"/>
                      <w:color w:val="auto"/>
                      <w:highlight w:val="none"/>
                      <w:lang w:val="en-US" w:eastAsia="zh-CN"/>
                    </w:rPr>
                    <w:t>1#</w:t>
                  </w:r>
                  <w:r>
                    <w:rPr>
                      <w:rFonts w:hint="default"/>
                      <w:color w:val="auto"/>
                      <w:highlight w:val="none"/>
                    </w:rPr>
                    <w:t>生产车间内，建筑面积为4500m</w:t>
                  </w:r>
                  <w:r>
                    <w:rPr>
                      <w:rFonts w:hint="default"/>
                      <w:color w:val="auto"/>
                      <w:highlight w:val="none"/>
                      <w:vertAlign w:val="superscript"/>
                    </w:rPr>
                    <w:t>2</w:t>
                  </w:r>
                  <w:r>
                    <w:rPr>
                      <w:rFonts w:hint="default"/>
                      <w:color w:val="auto"/>
                      <w:highlight w:val="none"/>
                    </w:rPr>
                    <w:t>。</w:t>
                  </w:r>
                  <w:bookmarkEnd w:id="9"/>
                </w:p>
              </w:tc>
              <w:tc>
                <w:tcPr>
                  <w:tcW w:w="2175" w:type="dxa"/>
                  <w:tcBorders>
                    <w:tl2br w:val="nil"/>
                    <w:tr2bl w:val="nil"/>
                  </w:tcBorders>
                  <w:vAlign w:val="center"/>
                </w:tcPr>
                <w:p w14:paraId="610590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default"/>
                      <w:color w:val="auto"/>
                      <w:sz w:val="21"/>
                      <w:szCs w:val="21"/>
                      <w:highlight w:val="none"/>
                    </w:rPr>
                    <w:t>生产车间内，建筑面积</w:t>
                  </w:r>
                  <w:r>
                    <w:rPr>
                      <w:rFonts w:hint="eastAsia"/>
                      <w:color w:val="auto"/>
                      <w:sz w:val="21"/>
                      <w:szCs w:val="21"/>
                      <w:highlight w:val="none"/>
                      <w:lang w:eastAsia="zh-CN"/>
                    </w:rPr>
                    <w:t>约</w:t>
                  </w:r>
                  <w:r>
                    <w:rPr>
                      <w:rFonts w:hint="default"/>
                      <w:color w:val="auto"/>
                      <w:sz w:val="21"/>
                      <w:szCs w:val="21"/>
                      <w:highlight w:val="none"/>
                    </w:rPr>
                    <w:t>为</w:t>
                  </w:r>
                  <w:r>
                    <w:rPr>
                      <w:rFonts w:hint="eastAsia"/>
                      <w:color w:val="auto"/>
                      <w:sz w:val="21"/>
                      <w:szCs w:val="21"/>
                      <w:highlight w:val="none"/>
                      <w:lang w:val="en-US" w:eastAsia="zh-CN"/>
                    </w:rPr>
                    <w:t>50</w:t>
                  </w:r>
                  <w:r>
                    <w:rPr>
                      <w:rFonts w:hint="default"/>
                      <w:color w:val="auto"/>
                      <w:sz w:val="21"/>
                      <w:szCs w:val="21"/>
                      <w:highlight w:val="none"/>
                    </w:rPr>
                    <w:t>00m</w:t>
                  </w:r>
                  <w:r>
                    <w:rPr>
                      <w:rFonts w:hint="default"/>
                      <w:color w:val="auto"/>
                      <w:sz w:val="21"/>
                      <w:szCs w:val="21"/>
                      <w:highlight w:val="none"/>
                      <w:vertAlign w:val="superscript"/>
                    </w:rPr>
                    <w:t>2</w:t>
                  </w:r>
                  <w:r>
                    <w:rPr>
                      <w:rFonts w:hint="default"/>
                      <w:color w:val="auto"/>
                      <w:highlight w:val="none"/>
                    </w:rPr>
                    <w:t>。</w:t>
                  </w:r>
                </w:p>
              </w:tc>
              <w:tc>
                <w:tcPr>
                  <w:tcW w:w="2030" w:type="dxa"/>
                  <w:tcBorders>
                    <w:tl2br w:val="nil"/>
                    <w:tr2bl w:val="nil"/>
                  </w:tcBorders>
                  <w:vAlign w:val="center"/>
                </w:tcPr>
                <w:p w14:paraId="3E30AB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#生产车间内，建筑面积为4500m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w:t>
                  </w:r>
                  <w:r>
                    <w:rPr>
                      <w:rFonts w:hint="default"/>
                      <w:color w:val="auto"/>
                      <w:sz w:val="21"/>
                      <w:szCs w:val="21"/>
                      <w:highlight w:val="none"/>
                    </w:rPr>
                    <w:t>生产车间内，建筑面积</w:t>
                  </w:r>
                  <w:r>
                    <w:rPr>
                      <w:rFonts w:hint="eastAsia"/>
                      <w:color w:val="auto"/>
                      <w:sz w:val="21"/>
                      <w:szCs w:val="21"/>
                      <w:highlight w:val="none"/>
                      <w:lang w:eastAsia="zh-CN"/>
                    </w:rPr>
                    <w:t>约</w:t>
                  </w:r>
                  <w:r>
                    <w:rPr>
                      <w:rFonts w:hint="default"/>
                      <w:color w:val="auto"/>
                      <w:sz w:val="21"/>
                      <w:szCs w:val="21"/>
                      <w:highlight w:val="none"/>
                    </w:rPr>
                    <w:t>为</w:t>
                  </w:r>
                  <w:r>
                    <w:rPr>
                      <w:rFonts w:hint="eastAsia"/>
                      <w:color w:val="auto"/>
                      <w:sz w:val="21"/>
                      <w:szCs w:val="21"/>
                      <w:highlight w:val="none"/>
                      <w:lang w:val="en-US" w:eastAsia="zh-CN"/>
                    </w:rPr>
                    <w:t>50</w:t>
                  </w:r>
                  <w:r>
                    <w:rPr>
                      <w:rFonts w:hint="default"/>
                      <w:color w:val="auto"/>
                      <w:sz w:val="21"/>
                      <w:szCs w:val="21"/>
                      <w:highlight w:val="none"/>
                    </w:rPr>
                    <w:t>00m</w:t>
                  </w:r>
                  <w:r>
                    <w:rPr>
                      <w:rFonts w:hint="default"/>
                      <w:color w:val="auto"/>
                      <w:sz w:val="21"/>
                      <w:szCs w:val="21"/>
                      <w:highlight w:val="none"/>
                      <w:vertAlign w:val="superscript"/>
                    </w:rPr>
                    <w:t>2</w:t>
                  </w:r>
                  <w:r>
                    <w:rPr>
                      <w:rFonts w:hint="default"/>
                      <w:color w:val="auto"/>
                      <w:highlight w:val="none"/>
                    </w:rPr>
                    <w:t>。</w:t>
                  </w:r>
                </w:p>
              </w:tc>
              <w:tc>
                <w:tcPr>
                  <w:tcW w:w="709" w:type="dxa"/>
                  <w:vMerge w:val="restart"/>
                  <w:tcBorders>
                    <w:tl2br w:val="nil"/>
                    <w:tr2bl w:val="nil"/>
                  </w:tcBorders>
                  <w:vAlign w:val="center"/>
                </w:tcPr>
                <w:p w14:paraId="31E51D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依托租赁方已建内容</w:t>
                  </w:r>
                </w:p>
              </w:tc>
            </w:tr>
            <w:tr w14:paraId="7CC32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83" w:type="dxa"/>
                  <w:vMerge w:val="continue"/>
                  <w:tcBorders>
                    <w:tl2br w:val="nil"/>
                    <w:tr2bl w:val="nil"/>
                  </w:tcBorders>
                  <w:vAlign w:val="center"/>
                </w:tcPr>
                <w:p w14:paraId="3C4ABB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03534C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成品区</w:t>
                  </w:r>
                </w:p>
              </w:tc>
              <w:tc>
                <w:tcPr>
                  <w:tcW w:w="1866" w:type="dxa"/>
                  <w:tcBorders>
                    <w:tl2br w:val="nil"/>
                    <w:tr2bl w:val="nil"/>
                  </w:tcBorders>
                  <w:vAlign w:val="center"/>
                </w:tcPr>
                <w:p w14:paraId="32F65107">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10" w:name="_Toc8464"/>
                  <w:r>
                    <w:rPr>
                      <w:rFonts w:hint="eastAsia"/>
                      <w:color w:val="auto"/>
                      <w:highlight w:val="none"/>
                      <w:lang w:val="en-US" w:eastAsia="zh-CN"/>
                    </w:rPr>
                    <w:t>1#</w:t>
                  </w:r>
                  <w:r>
                    <w:rPr>
                      <w:rFonts w:hint="default"/>
                      <w:color w:val="auto"/>
                      <w:highlight w:val="none"/>
                    </w:rPr>
                    <w:t>生产车间内，建筑面积为7500m</w:t>
                  </w:r>
                  <w:r>
                    <w:rPr>
                      <w:rFonts w:hint="default"/>
                      <w:color w:val="auto"/>
                      <w:highlight w:val="none"/>
                      <w:vertAlign w:val="superscript"/>
                    </w:rPr>
                    <w:t>2</w:t>
                  </w:r>
                  <w:r>
                    <w:rPr>
                      <w:rFonts w:hint="default"/>
                      <w:color w:val="auto"/>
                      <w:highlight w:val="none"/>
                    </w:rPr>
                    <w:t>。</w:t>
                  </w:r>
                  <w:bookmarkEnd w:id="10"/>
                </w:p>
              </w:tc>
              <w:tc>
                <w:tcPr>
                  <w:tcW w:w="2175" w:type="dxa"/>
                  <w:tcBorders>
                    <w:tl2br w:val="nil"/>
                    <w:tr2bl w:val="nil"/>
                  </w:tcBorders>
                  <w:vAlign w:val="center"/>
                </w:tcPr>
                <w:p w14:paraId="1F6AD1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default"/>
                      <w:color w:val="auto"/>
                      <w:sz w:val="21"/>
                      <w:szCs w:val="21"/>
                      <w:highlight w:val="none"/>
                    </w:rPr>
                    <w:t>生产车间内，建筑面积为</w:t>
                  </w:r>
                  <w:r>
                    <w:rPr>
                      <w:rFonts w:hint="eastAsia"/>
                      <w:color w:val="auto"/>
                      <w:sz w:val="21"/>
                      <w:szCs w:val="21"/>
                      <w:highlight w:val="none"/>
                      <w:lang w:val="en-US" w:eastAsia="zh-CN"/>
                    </w:rPr>
                    <w:t>40</w:t>
                  </w:r>
                  <w:r>
                    <w:rPr>
                      <w:rFonts w:hint="default"/>
                      <w:color w:val="auto"/>
                      <w:sz w:val="21"/>
                      <w:szCs w:val="21"/>
                      <w:highlight w:val="none"/>
                    </w:rPr>
                    <w:t>00m</w:t>
                  </w:r>
                  <w:r>
                    <w:rPr>
                      <w:rFonts w:hint="default"/>
                      <w:color w:val="auto"/>
                      <w:sz w:val="21"/>
                      <w:szCs w:val="21"/>
                      <w:highlight w:val="none"/>
                      <w:vertAlign w:val="superscript"/>
                    </w:rPr>
                    <w:t>2</w:t>
                  </w:r>
                  <w:r>
                    <w:rPr>
                      <w:rFonts w:hint="default"/>
                      <w:color w:val="auto"/>
                      <w:highlight w:val="none"/>
                    </w:rPr>
                    <w:t>。</w:t>
                  </w:r>
                </w:p>
              </w:tc>
              <w:tc>
                <w:tcPr>
                  <w:tcW w:w="2030" w:type="dxa"/>
                  <w:tcBorders>
                    <w:tl2br w:val="nil"/>
                    <w:tr2bl w:val="nil"/>
                  </w:tcBorders>
                  <w:vAlign w:val="center"/>
                </w:tcPr>
                <w:p w14:paraId="1B5083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1#生产车间内，建筑面积为7500m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；2#</w:t>
                  </w:r>
                  <w:r>
                    <w:rPr>
                      <w:rFonts w:hint="default"/>
                      <w:color w:val="auto"/>
                      <w:sz w:val="21"/>
                      <w:szCs w:val="21"/>
                      <w:highlight w:val="none"/>
                    </w:rPr>
                    <w:t>生产车间内，建筑面积为</w:t>
                  </w:r>
                  <w:r>
                    <w:rPr>
                      <w:rFonts w:hint="eastAsia"/>
                      <w:color w:val="auto"/>
                      <w:sz w:val="21"/>
                      <w:szCs w:val="21"/>
                      <w:highlight w:val="none"/>
                      <w:lang w:val="en-US" w:eastAsia="zh-CN"/>
                    </w:rPr>
                    <w:t>40</w:t>
                  </w:r>
                  <w:r>
                    <w:rPr>
                      <w:rFonts w:hint="default"/>
                      <w:color w:val="auto"/>
                      <w:sz w:val="21"/>
                      <w:szCs w:val="21"/>
                      <w:highlight w:val="none"/>
                    </w:rPr>
                    <w:t>00m</w:t>
                  </w:r>
                  <w:r>
                    <w:rPr>
                      <w:rFonts w:hint="default"/>
                      <w:color w:val="auto"/>
                      <w:sz w:val="21"/>
                      <w:szCs w:val="21"/>
                      <w:highlight w:val="none"/>
                      <w:vertAlign w:val="superscript"/>
                    </w:rPr>
                    <w:t>2</w:t>
                  </w:r>
                  <w:r>
                    <w:rPr>
                      <w:rFonts w:hint="default" w:ascii="Times New Roman" w:hAnsi="Times New Roman" w:eastAsia="宋体" w:cs="Times New Roman"/>
                      <w:color w:val="auto"/>
                      <w:sz w:val="21"/>
                      <w:szCs w:val="21"/>
                      <w:highlight w:val="none"/>
                      <w:lang w:val="en-US" w:eastAsia="zh-CN"/>
                    </w:rPr>
                    <w:t>。</w:t>
                  </w:r>
                </w:p>
              </w:tc>
              <w:tc>
                <w:tcPr>
                  <w:tcW w:w="709" w:type="dxa"/>
                  <w:vMerge w:val="continue"/>
                  <w:tcBorders>
                    <w:tl2br w:val="nil"/>
                    <w:tr2bl w:val="nil"/>
                  </w:tcBorders>
                  <w:vAlign w:val="center"/>
                </w:tcPr>
                <w:p w14:paraId="3CD864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r>
            <w:tr w14:paraId="10386A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9" w:hRule="atLeast"/>
              </w:trPr>
              <w:tc>
                <w:tcPr>
                  <w:tcW w:w="683" w:type="dxa"/>
                  <w:vMerge w:val="continue"/>
                  <w:tcBorders>
                    <w:tl2br w:val="nil"/>
                    <w:tr2bl w:val="nil"/>
                  </w:tcBorders>
                  <w:vAlign w:val="center"/>
                </w:tcPr>
                <w:p w14:paraId="3EC9D4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2BA088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含锂溶液储存池</w:t>
                  </w:r>
                </w:p>
              </w:tc>
              <w:tc>
                <w:tcPr>
                  <w:tcW w:w="1866" w:type="dxa"/>
                  <w:tcBorders>
                    <w:tl2br w:val="nil"/>
                    <w:tr2bl w:val="nil"/>
                  </w:tcBorders>
                  <w:vAlign w:val="center"/>
                </w:tcPr>
                <w:p w14:paraId="45A3A536">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rPr>
                  </w:pPr>
                  <w:bookmarkStart w:id="11" w:name="_Toc1374"/>
                  <w:r>
                    <w:rPr>
                      <w:rFonts w:hint="eastAsia"/>
                      <w:color w:val="auto"/>
                      <w:highlight w:val="none"/>
                      <w:lang w:val="en-US" w:eastAsia="zh-CN"/>
                    </w:rPr>
                    <w:t>1#</w:t>
                  </w:r>
                  <w:r>
                    <w:rPr>
                      <w:rFonts w:hint="default"/>
                      <w:color w:val="auto"/>
                      <w:highlight w:val="none"/>
                    </w:rPr>
                    <w:t>生产车间内，2个，分别为297.5m</w:t>
                  </w:r>
                  <w:r>
                    <w:rPr>
                      <w:rFonts w:hint="default"/>
                      <w:color w:val="auto"/>
                      <w:highlight w:val="none"/>
                      <w:vertAlign w:val="superscript"/>
                    </w:rPr>
                    <w:t>3</w:t>
                  </w:r>
                  <w:r>
                    <w:rPr>
                      <w:rFonts w:hint="default"/>
                      <w:color w:val="auto"/>
                      <w:highlight w:val="none"/>
                    </w:rPr>
                    <w:t>，425m</w:t>
                  </w:r>
                  <w:r>
                    <w:rPr>
                      <w:rFonts w:hint="default"/>
                      <w:color w:val="auto"/>
                      <w:highlight w:val="none"/>
                      <w:vertAlign w:val="superscript"/>
                    </w:rPr>
                    <w:t>3</w:t>
                  </w:r>
                  <w:r>
                    <w:rPr>
                      <w:rFonts w:hint="default"/>
                      <w:color w:val="auto"/>
                      <w:highlight w:val="none"/>
                    </w:rPr>
                    <w:t>。</w:t>
                  </w:r>
                  <w:bookmarkEnd w:id="11"/>
                </w:p>
              </w:tc>
              <w:tc>
                <w:tcPr>
                  <w:tcW w:w="2175" w:type="dxa"/>
                  <w:tcBorders>
                    <w:tl2br w:val="nil"/>
                    <w:tr2bl w:val="nil"/>
                  </w:tcBorders>
                  <w:vAlign w:val="center"/>
                </w:tcPr>
                <w:p w14:paraId="3D8556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030" w:type="dxa"/>
                  <w:tcBorders>
                    <w:tl2br w:val="nil"/>
                    <w:tr2bl w:val="nil"/>
                  </w:tcBorders>
                  <w:vAlign w:val="center"/>
                </w:tcPr>
                <w:p w14:paraId="3D16BC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1#生产车间内，2个，分别为297.5m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，425m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w:t>
                  </w:r>
                </w:p>
              </w:tc>
              <w:tc>
                <w:tcPr>
                  <w:tcW w:w="709" w:type="dxa"/>
                  <w:vMerge w:val="continue"/>
                  <w:tcBorders>
                    <w:tl2br w:val="nil"/>
                    <w:tr2bl w:val="nil"/>
                  </w:tcBorders>
                  <w:vAlign w:val="center"/>
                </w:tcPr>
                <w:p w14:paraId="1F9F29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r>
            <w:tr w14:paraId="41E0DE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restart"/>
                  <w:tcBorders>
                    <w:tl2br w:val="nil"/>
                    <w:tr2bl w:val="nil"/>
                  </w:tcBorders>
                  <w:vAlign w:val="center"/>
                </w:tcPr>
                <w:p w14:paraId="7F605A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辅助工程</w:t>
                  </w:r>
                </w:p>
              </w:tc>
              <w:tc>
                <w:tcPr>
                  <w:tcW w:w="617" w:type="dxa"/>
                  <w:tcBorders>
                    <w:tl2br w:val="nil"/>
                    <w:tr2bl w:val="nil"/>
                  </w:tcBorders>
                  <w:shd w:val="clear" w:color="auto" w:fill="auto"/>
                  <w:vAlign w:val="center"/>
                </w:tcPr>
                <w:p w14:paraId="7A64D0D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heme="minorBidi"/>
                      <w:b w:val="0"/>
                      <w:color w:val="auto"/>
                      <w:kern w:val="2"/>
                      <w:sz w:val="21"/>
                      <w:szCs w:val="24"/>
                      <w:highlight w:val="none"/>
                      <w:lang w:val="en-US" w:eastAsia="zh-CN" w:bidi="ar-SA"/>
                    </w:rPr>
                  </w:pPr>
                  <w:bookmarkStart w:id="12" w:name="_Toc612"/>
                  <w:r>
                    <w:rPr>
                      <w:rFonts w:hint="default"/>
                      <w:color w:val="auto"/>
                      <w:highlight w:val="none"/>
                    </w:rPr>
                    <w:t>办公、宿舍楼</w:t>
                  </w:r>
                  <w:bookmarkEnd w:id="12"/>
                </w:p>
              </w:tc>
              <w:tc>
                <w:tcPr>
                  <w:tcW w:w="1866" w:type="dxa"/>
                  <w:tcBorders>
                    <w:tl2br w:val="nil"/>
                    <w:tr2bl w:val="nil"/>
                  </w:tcBorders>
                  <w:shd w:val="clear" w:color="auto" w:fill="auto"/>
                  <w:vAlign w:val="center"/>
                </w:tcPr>
                <w:p w14:paraId="0C0858F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heme="minorBidi"/>
                      <w:b w:val="0"/>
                      <w:color w:val="auto"/>
                      <w:kern w:val="2"/>
                      <w:sz w:val="21"/>
                      <w:szCs w:val="24"/>
                      <w:highlight w:val="none"/>
                      <w:lang w:val="en-US" w:eastAsia="zh-CN" w:bidi="ar-SA"/>
                    </w:rPr>
                  </w:pPr>
                  <w:bookmarkStart w:id="13" w:name="_Toc17198"/>
                  <w:r>
                    <w:rPr>
                      <w:rFonts w:hint="default"/>
                      <w:color w:val="auto"/>
                      <w:highlight w:val="none"/>
                    </w:rPr>
                    <w:t>5F，层高15m，建筑面积2000m</w:t>
                  </w:r>
                  <w:r>
                    <w:rPr>
                      <w:rFonts w:hint="default"/>
                      <w:color w:val="auto"/>
                      <w:highlight w:val="none"/>
                      <w:vertAlign w:val="superscript"/>
                    </w:rPr>
                    <w:t>2</w:t>
                  </w:r>
                  <w:r>
                    <w:rPr>
                      <w:rFonts w:hint="default"/>
                      <w:color w:val="auto"/>
                      <w:highlight w:val="none"/>
                    </w:rPr>
                    <w:t>。</w:t>
                  </w:r>
                  <w:bookmarkEnd w:id="13"/>
                </w:p>
              </w:tc>
              <w:tc>
                <w:tcPr>
                  <w:tcW w:w="2175" w:type="dxa"/>
                  <w:tcBorders>
                    <w:tl2br w:val="nil"/>
                    <w:tr2bl w:val="nil"/>
                  </w:tcBorders>
                  <w:vAlign w:val="center"/>
                </w:tcPr>
                <w:p w14:paraId="721DF9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依托现有工程</w:t>
                  </w:r>
                </w:p>
              </w:tc>
              <w:tc>
                <w:tcPr>
                  <w:tcW w:w="2030" w:type="dxa"/>
                  <w:tcBorders>
                    <w:tl2br w:val="nil"/>
                    <w:tr2bl w:val="nil"/>
                  </w:tcBorders>
                  <w:vAlign w:val="center"/>
                </w:tcPr>
                <w:p w14:paraId="7F56EB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color w:val="auto"/>
                      <w:sz w:val="21"/>
                      <w:szCs w:val="21"/>
                      <w:highlight w:val="none"/>
                    </w:rPr>
                    <w:t>5F，层高15m，建筑面积2000m</w:t>
                  </w:r>
                  <w:r>
                    <w:rPr>
                      <w:rFonts w:hint="default"/>
                      <w:color w:val="auto"/>
                      <w:sz w:val="21"/>
                      <w:szCs w:val="21"/>
                      <w:highlight w:val="none"/>
                      <w:vertAlign w:val="superscript"/>
                    </w:rPr>
                    <w:t>2</w:t>
                  </w:r>
                  <w:r>
                    <w:rPr>
                      <w:rFonts w:hint="default"/>
                      <w:color w:val="auto"/>
                      <w:sz w:val="21"/>
                      <w:szCs w:val="21"/>
                      <w:highlight w:val="none"/>
                    </w:rPr>
                    <w:t>。</w:t>
                  </w:r>
                </w:p>
              </w:tc>
              <w:tc>
                <w:tcPr>
                  <w:tcW w:w="709" w:type="dxa"/>
                  <w:tcBorders>
                    <w:tl2br w:val="nil"/>
                    <w:tr2bl w:val="nil"/>
                  </w:tcBorders>
                  <w:vAlign w:val="center"/>
                </w:tcPr>
                <w:p w14:paraId="4CBBEC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依托租赁</w:t>
                  </w:r>
                </w:p>
              </w:tc>
            </w:tr>
            <w:tr w14:paraId="56A0D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continue"/>
                  <w:tcBorders>
                    <w:tl2br w:val="nil"/>
                    <w:tr2bl w:val="nil"/>
                  </w:tcBorders>
                  <w:vAlign w:val="center"/>
                </w:tcPr>
                <w:p w14:paraId="3C7D65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shd w:val="clear" w:color="auto" w:fill="auto"/>
                  <w:vAlign w:val="center"/>
                </w:tcPr>
                <w:p w14:paraId="1E15A86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eastAsia" w:eastAsia="宋体"/>
                      <w:color w:val="FF0000"/>
                      <w:highlight w:val="none"/>
                      <w:lang w:eastAsia="zh-CN"/>
                    </w:rPr>
                  </w:pPr>
                  <w:r>
                    <w:rPr>
                      <w:rFonts w:hint="eastAsia"/>
                      <w:color w:val="FF0000"/>
                      <w:highlight w:val="none"/>
                      <w:lang w:eastAsia="zh-CN"/>
                    </w:rPr>
                    <w:t>化验室</w:t>
                  </w:r>
                </w:p>
              </w:tc>
              <w:tc>
                <w:tcPr>
                  <w:tcW w:w="1866" w:type="dxa"/>
                  <w:tcBorders>
                    <w:tl2br w:val="nil"/>
                    <w:tr2bl w:val="nil"/>
                  </w:tcBorders>
                  <w:shd w:val="clear" w:color="auto" w:fill="auto"/>
                  <w:vAlign w:val="center"/>
                </w:tcPr>
                <w:p w14:paraId="6465586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eastAsia="宋体"/>
                      <w:color w:val="FF0000"/>
                      <w:highlight w:val="none"/>
                      <w:lang w:eastAsia="zh-CN"/>
                    </w:rPr>
                  </w:pPr>
                  <w:r>
                    <w:rPr>
                      <w:rFonts w:hint="eastAsia"/>
                      <w:color w:val="FF0000"/>
                      <w:highlight w:val="none"/>
                      <w:lang w:val="en-US" w:eastAsia="zh-CN"/>
                    </w:rPr>
                    <w:t>/</w:t>
                  </w:r>
                </w:p>
              </w:tc>
              <w:tc>
                <w:tcPr>
                  <w:tcW w:w="2175" w:type="dxa"/>
                  <w:tcBorders>
                    <w:tl2br w:val="nil"/>
                    <w:tr2bl w:val="nil"/>
                  </w:tcBorders>
                  <w:vAlign w:val="center"/>
                </w:tcPr>
                <w:p w14:paraId="180E27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位于2#厂房搅拌区西北角</w:t>
                  </w:r>
                </w:p>
              </w:tc>
              <w:tc>
                <w:tcPr>
                  <w:tcW w:w="2030" w:type="dxa"/>
                  <w:tcBorders>
                    <w:tl2br w:val="nil"/>
                    <w:tr2bl w:val="nil"/>
                  </w:tcBorders>
                  <w:vAlign w:val="center"/>
                </w:tcPr>
                <w:p w14:paraId="663EF7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FF0000"/>
                      <w:sz w:val="21"/>
                      <w:szCs w:val="21"/>
                      <w:highlight w:val="none"/>
                    </w:rPr>
                  </w:pPr>
                  <w:r>
                    <w:rPr>
                      <w:rFonts w:hint="eastAsia" w:cs="Times New Roman"/>
                      <w:color w:val="FF0000"/>
                      <w:sz w:val="21"/>
                      <w:szCs w:val="21"/>
                      <w:highlight w:val="none"/>
                      <w:lang w:val="en-US" w:eastAsia="zh-CN"/>
                    </w:rPr>
                    <w:t>位于2#厂房搅拌区西北角</w:t>
                  </w:r>
                </w:p>
              </w:tc>
              <w:tc>
                <w:tcPr>
                  <w:tcW w:w="709" w:type="dxa"/>
                  <w:tcBorders>
                    <w:tl2br w:val="nil"/>
                    <w:tr2bl w:val="nil"/>
                  </w:tcBorders>
                  <w:vAlign w:val="center"/>
                </w:tcPr>
                <w:p w14:paraId="4B6C0E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FF0000"/>
                      <w:sz w:val="21"/>
                      <w:szCs w:val="21"/>
                      <w:highlight w:val="none"/>
                      <w:lang w:eastAsia="zh-CN"/>
                    </w:rPr>
                  </w:pPr>
                  <w:r>
                    <w:rPr>
                      <w:rFonts w:hint="eastAsia" w:cs="Times New Roman"/>
                      <w:color w:val="FF0000"/>
                      <w:sz w:val="21"/>
                      <w:szCs w:val="21"/>
                      <w:highlight w:val="none"/>
                      <w:lang w:eastAsia="zh-CN"/>
                    </w:rPr>
                    <w:t>新建</w:t>
                  </w:r>
                </w:p>
              </w:tc>
            </w:tr>
            <w:tr w14:paraId="09FB73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restart"/>
                  <w:tcBorders>
                    <w:tl2br w:val="nil"/>
                    <w:tr2bl w:val="nil"/>
                  </w:tcBorders>
                  <w:vAlign w:val="center"/>
                </w:tcPr>
                <w:p w14:paraId="69A891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公用工程</w:t>
                  </w:r>
                </w:p>
              </w:tc>
              <w:tc>
                <w:tcPr>
                  <w:tcW w:w="617" w:type="dxa"/>
                  <w:tcBorders>
                    <w:tl2br w:val="nil"/>
                    <w:tr2bl w:val="nil"/>
                  </w:tcBorders>
                  <w:vAlign w:val="center"/>
                </w:tcPr>
                <w:p w14:paraId="6A1C90B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4" w:name="_Toc30769"/>
                  <w:r>
                    <w:rPr>
                      <w:rFonts w:hint="default"/>
                      <w:color w:val="auto"/>
                      <w:highlight w:val="none"/>
                    </w:rPr>
                    <w:t>供电</w:t>
                  </w:r>
                  <w:bookmarkEnd w:id="14"/>
                </w:p>
              </w:tc>
              <w:tc>
                <w:tcPr>
                  <w:tcW w:w="1866" w:type="dxa"/>
                  <w:tcBorders>
                    <w:tl2br w:val="nil"/>
                    <w:tr2bl w:val="nil"/>
                  </w:tcBorders>
                  <w:vAlign w:val="center"/>
                </w:tcPr>
                <w:p w14:paraId="758F932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5" w:name="_Toc22074"/>
                  <w:r>
                    <w:rPr>
                      <w:rFonts w:hint="default"/>
                      <w:color w:val="auto"/>
                      <w:highlight w:val="none"/>
                    </w:rPr>
                    <w:t>国家电网供电。</w:t>
                  </w:r>
                  <w:bookmarkEnd w:id="15"/>
                </w:p>
              </w:tc>
              <w:tc>
                <w:tcPr>
                  <w:tcW w:w="2175" w:type="dxa"/>
                  <w:tcBorders>
                    <w:tl2br w:val="nil"/>
                    <w:tr2bl w:val="nil"/>
                  </w:tcBorders>
                  <w:vAlign w:val="center"/>
                </w:tcPr>
                <w:p w14:paraId="66A5148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6" w:name="_Toc23381"/>
                  <w:r>
                    <w:rPr>
                      <w:rFonts w:hint="default"/>
                      <w:color w:val="auto"/>
                      <w:highlight w:val="none"/>
                    </w:rPr>
                    <w:t>国家电网供电。</w:t>
                  </w:r>
                  <w:bookmarkEnd w:id="16"/>
                </w:p>
              </w:tc>
              <w:tc>
                <w:tcPr>
                  <w:tcW w:w="2030" w:type="dxa"/>
                  <w:tcBorders>
                    <w:tl2br w:val="nil"/>
                    <w:tr2bl w:val="nil"/>
                  </w:tcBorders>
                  <w:vAlign w:val="center"/>
                </w:tcPr>
                <w:p w14:paraId="37DF3D1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7" w:name="_Toc27407"/>
                  <w:r>
                    <w:rPr>
                      <w:rFonts w:hint="default"/>
                      <w:color w:val="auto"/>
                      <w:highlight w:val="none"/>
                    </w:rPr>
                    <w:t>国家电网供电。</w:t>
                  </w:r>
                  <w:bookmarkEnd w:id="17"/>
                </w:p>
              </w:tc>
              <w:tc>
                <w:tcPr>
                  <w:tcW w:w="709" w:type="dxa"/>
                  <w:vMerge w:val="restart"/>
                  <w:tcBorders>
                    <w:tl2br w:val="nil"/>
                    <w:tr2bl w:val="nil"/>
                  </w:tcBorders>
                  <w:vAlign w:val="center"/>
                </w:tcPr>
                <w:p w14:paraId="6A4E4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r>
            <w:tr w14:paraId="6443B2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83" w:type="dxa"/>
                  <w:vMerge w:val="continue"/>
                  <w:tcBorders>
                    <w:tl2br w:val="nil"/>
                    <w:tr2bl w:val="nil"/>
                  </w:tcBorders>
                  <w:vAlign w:val="center"/>
                </w:tcPr>
                <w:p w14:paraId="476553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340CBD19">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8" w:name="_Toc10418"/>
                  <w:r>
                    <w:rPr>
                      <w:rFonts w:hint="default"/>
                      <w:color w:val="auto"/>
                      <w:highlight w:val="none"/>
                    </w:rPr>
                    <w:t>供水</w:t>
                  </w:r>
                  <w:bookmarkEnd w:id="18"/>
                </w:p>
              </w:tc>
              <w:tc>
                <w:tcPr>
                  <w:tcW w:w="1866" w:type="dxa"/>
                  <w:tcBorders>
                    <w:tl2br w:val="nil"/>
                    <w:tr2bl w:val="nil"/>
                  </w:tcBorders>
                  <w:vAlign w:val="center"/>
                </w:tcPr>
                <w:p w14:paraId="4C1C447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19" w:name="_Toc2945"/>
                  <w:r>
                    <w:rPr>
                      <w:rFonts w:hint="default"/>
                      <w:color w:val="auto"/>
                      <w:highlight w:val="none"/>
                    </w:rPr>
                    <w:t>市政自来水管网供水。</w:t>
                  </w:r>
                  <w:bookmarkEnd w:id="19"/>
                </w:p>
              </w:tc>
              <w:tc>
                <w:tcPr>
                  <w:tcW w:w="2175" w:type="dxa"/>
                  <w:tcBorders>
                    <w:tl2br w:val="nil"/>
                    <w:tr2bl w:val="nil"/>
                  </w:tcBorders>
                  <w:vAlign w:val="center"/>
                </w:tcPr>
                <w:p w14:paraId="6B7B5FD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20" w:name="_Toc10590"/>
                  <w:r>
                    <w:rPr>
                      <w:rFonts w:hint="default"/>
                      <w:color w:val="auto"/>
                      <w:highlight w:val="none"/>
                    </w:rPr>
                    <w:t>市政自来水管网供水。</w:t>
                  </w:r>
                  <w:bookmarkEnd w:id="20"/>
                </w:p>
              </w:tc>
              <w:tc>
                <w:tcPr>
                  <w:tcW w:w="2030" w:type="dxa"/>
                  <w:tcBorders>
                    <w:tl2br w:val="nil"/>
                    <w:tr2bl w:val="nil"/>
                  </w:tcBorders>
                  <w:vAlign w:val="center"/>
                </w:tcPr>
                <w:p w14:paraId="5C0E0F18">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eastAsia="宋体" w:cs="Times New Roman"/>
                      <w:color w:val="auto"/>
                      <w:sz w:val="21"/>
                      <w:szCs w:val="21"/>
                      <w:highlight w:val="none"/>
                    </w:rPr>
                  </w:pPr>
                  <w:bookmarkStart w:id="21" w:name="_Toc28828"/>
                  <w:r>
                    <w:rPr>
                      <w:rFonts w:hint="default"/>
                      <w:color w:val="auto"/>
                      <w:highlight w:val="none"/>
                    </w:rPr>
                    <w:t>市政自来水管网供水。</w:t>
                  </w:r>
                  <w:bookmarkEnd w:id="21"/>
                </w:p>
              </w:tc>
              <w:tc>
                <w:tcPr>
                  <w:tcW w:w="709" w:type="dxa"/>
                  <w:vMerge w:val="continue"/>
                  <w:tcBorders>
                    <w:tl2br w:val="nil"/>
                    <w:tr2bl w:val="nil"/>
                  </w:tcBorders>
                  <w:vAlign w:val="center"/>
                </w:tcPr>
                <w:p w14:paraId="040013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eastAsia="zh-CN"/>
                    </w:rPr>
                  </w:pPr>
                </w:p>
              </w:tc>
            </w:tr>
            <w:tr w14:paraId="71622E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683" w:type="dxa"/>
                  <w:vMerge w:val="restart"/>
                  <w:tcBorders>
                    <w:tl2br w:val="nil"/>
                    <w:tr2bl w:val="nil"/>
                  </w:tcBorders>
                  <w:vAlign w:val="center"/>
                </w:tcPr>
                <w:p w14:paraId="3F28C0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617" w:type="dxa"/>
                  <w:vMerge w:val="restart"/>
                  <w:tcBorders>
                    <w:tl2br w:val="nil"/>
                    <w:tr2bl w:val="nil"/>
                  </w:tcBorders>
                  <w:vAlign w:val="center"/>
                </w:tcPr>
                <w:p w14:paraId="2BC95E1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废气</w:t>
                  </w:r>
                </w:p>
              </w:tc>
              <w:tc>
                <w:tcPr>
                  <w:tcW w:w="1866" w:type="dxa"/>
                  <w:tcBorders>
                    <w:tl2br w:val="nil"/>
                    <w:tr2bl w:val="nil"/>
                  </w:tcBorders>
                  <w:shd w:val="clear" w:color="auto" w:fill="auto"/>
                  <w:vAlign w:val="center"/>
                </w:tcPr>
                <w:p w14:paraId="2BA2EDA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2" w:name="_Toc7508"/>
                  <w:r>
                    <w:rPr>
                      <w:rFonts w:hint="default"/>
                      <w:color w:val="auto"/>
                      <w:highlight w:val="none"/>
                    </w:rPr>
                    <w:t>喂料粉尘、辅料投料粉尘</w:t>
                  </w:r>
                  <w:r>
                    <w:rPr>
                      <w:rFonts w:hint="eastAsia"/>
                      <w:color w:val="auto"/>
                      <w:highlight w:val="none"/>
                      <w:lang w:eastAsia="zh-CN"/>
                    </w:rPr>
                    <w:t>（</w:t>
                  </w:r>
                  <w:r>
                    <w:rPr>
                      <w:rFonts w:hint="default"/>
                      <w:color w:val="auto"/>
                      <w:highlight w:val="none"/>
                    </w:rPr>
                    <w:t>集气罩</w:t>
                  </w:r>
                  <w:r>
                    <w:rPr>
                      <w:rFonts w:hint="eastAsia"/>
                      <w:color w:val="auto"/>
                      <w:highlight w:val="none"/>
                      <w:lang w:eastAsia="zh-CN"/>
                    </w:rPr>
                    <w:t>）、</w:t>
                  </w:r>
                  <w:r>
                    <w:rPr>
                      <w:rFonts w:hint="default"/>
                      <w:color w:val="auto"/>
                      <w:highlight w:val="none"/>
                    </w:rPr>
                    <w:t>粉碎粉尘</w:t>
                  </w:r>
                  <w:r>
                    <w:rPr>
                      <w:rFonts w:hint="eastAsia"/>
                      <w:color w:val="auto"/>
                      <w:highlight w:val="none"/>
                      <w:lang w:eastAsia="zh-CN"/>
                    </w:rPr>
                    <w:t>（</w:t>
                  </w:r>
                  <w:r>
                    <w:rPr>
                      <w:rFonts w:hint="default"/>
                      <w:color w:val="auto"/>
                      <w:highlight w:val="none"/>
                    </w:rPr>
                    <w:t>管道收集</w:t>
                  </w:r>
                  <w:r>
                    <w:rPr>
                      <w:rFonts w:hint="eastAsia"/>
                      <w:color w:val="auto"/>
                      <w:highlight w:val="none"/>
                      <w:lang w:eastAsia="zh-CN"/>
                    </w:rPr>
                    <w:t>）</w:t>
                  </w:r>
                  <w:r>
                    <w:rPr>
                      <w:rFonts w:hint="eastAsia"/>
                      <w:color w:val="auto"/>
                      <w:highlight w:val="none"/>
                      <w:lang w:val="en-US" w:eastAsia="zh-CN"/>
                    </w:rPr>
                    <w:t>+</w:t>
                  </w:r>
                  <w:r>
                    <w:rPr>
                      <w:rFonts w:hint="default"/>
                      <w:color w:val="auto"/>
                      <w:highlight w:val="none"/>
                    </w:rPr>
                    <w:t>布袋除尘器</w:t>
                  </w:r>
                  <w:r>
                    <w:rPr>
                      <w:rFonts w:hint="eastAsia"/>
                      <w:color w:val="auto"/>
                      <w:highlight w:val="none"/>
                      <w:lang w:val="en-US" w:eastAsia="zh-CN"/>
                    </w:rPr>
                    <w:t>+</w:t>
                  </w:r>
                  <w:r>
                    <w:rPr>
                      <w:rFonts w:hint="default"/>
                      <w:color w:val="auto"/>
                      <w:highlight w:val="none"/>
                    </w:rPr>
                    <w:t>20m排气筒（DA001）排放；</w:t>
                  </w:r>
                  <w:bookmarkEnd w:id="22"/>
                </w:p>
              </w:tc>
              <w:tc>
                <w:tcPr>
                  <w:tcW w:w="2175" w:type="dxa"/>
                  <w:tcBorders>
                    <w:tl2br w:val="nil"/>
                    <w:tr2bl w:val="nil"/>
                  </w:tcBorders>
                  <w:vAlign w:val="center"/>
                </w:tcPr>
                <w:p w14:paraId="6BD5B0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搅拌粉尘：密闭管道收集+布袋除尘器+20m排气筒（DA003排放）</w:t>
                  </w:r>
                </w:p>
              </w:tc>
              <w:tc>
                <w:tcPr>
                  <w:tcW w:w="2030" w:type="dxa"/>
                  <w:tcBorders>
                    <w:tl2br w:val="nil"/>
                    <w:tr2bl w:val="nil"/>
                  </w:tcBorders>
                  <w:vAlign w:val="center"/>
                </w:tcPr>
                <w:p w14:paraId="455374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喂料粉尘、辅料投料粉尘（集气罩）、粉碎粉尘（管道收集）+布袋除尘器+20m排气筒（DA001）排放；</w:t>
                  </w:r>
                  <w:r>
                    <w:rPr>
                      <w:rFonts w:hint="eastAsia" w:ascii="Times New Roman" w:hAnsi="Times New Roman" w:eastAsia="宋体" w:cs="Times New Roman"/>
                      <w:color w:val="auto"/>
                      <w:sz w:val="21"/>
                      <w:szCs w:val="21"/>
                      <w:highlight w:val="none"/>
                      <w:lang w:val="en-US" w:eastAsia="zh-CN"/>
                    </w:rPr>
                    <w:t>搅拌粉尘：密闭管道收集+布袋除尘器+20m排气筒（DA003排放）</w:t>
                  </w:r>
                </w:p>
              </w:tc>
              <w:tc>
                <w:tcPr>
                  <w:tcW w:w="709" w:type="dxa"/>
                  <w:tcBorders>
                    <w:tl2br w:val="nil"/>
                    <w:tr2bl w:val="nil"/>
                  </w:tcBorders>
                  <w:vAlign w:val="center"/>
                </w:tcPr>
                <w:p w14:paraId="6C7CD5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eastAsia="zh-CN"/>
                    </w:rPr>
                    <w:t>新增一套布袋除尘器</w:t>
                  </w:r>
                  <w:r>
                    <w:rPr>
                      <w:rFonts w:hint="eastAsia" w:ascii="Times New Roman" w:hAnsi="Times New Roman" w:eastAsia="宋体" w:cs="Times New Roman"/>
                      <w:color w:val="auto"/>
                      <w:sz w:val="21"/>
                      <w:szCs w:val="21"/>
                      <w:highlight w:val="none"/>
                      <w:lang w:val="en-US" w:eastAsia="zh-CN"/>
                    </w:rPr>
                    <w:t>+DA003排气筒</w:t>
                  </w:r>
                </w:p>
              </w:tc>
            </w:tr>
            <w:tr w14:paraId="0B1596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683" w:type="dxa"/>
                  <w:vMerge w:val="continue"/>
                  <w:tcBorders>
                    <w:tl2br w:val="nil"/>
                    <w:tr2bl w:val="nil"/>
                  </w:tcBorders>
                  <w:vAlign w:val="center"/>
                </w:tcPr>
                <w:p w14:paraId="2463FB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shd w:val="clear" w:color="auto" w:fill="auto"/>
                  <w:vAlign w:val="center"/>
                </w:tcPr>
                <w:p w14:paraId="07277C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shd w:val="clear" w:color="auto" w:fill="auto"/>
                  <w:vAlign w:val="center"/>
                </w:tcPr>
                <w:p w14:paraId="6781CD3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3" w:name="_Toc8451"/>
                  <w:r>
                    <w:rPr>
                      <w:rFonts w:hint="default"/>
                      <w:color w:val="auto"/>
                      <w:highlight w:val="none"/>
                    </w:rPr>
                    <w:t>烘干粉尘、天然气燃烧烟气</w:t>
                  </w:r>
                  <w:r>
                    <w:rPr>
                      <w:rFonts w:hint="eastAsia"/>
                      <w:color w:val="auto"/>
                      <w:highlight w:val="none"/>
                      <w:lang w:eastAsia="zh-CN"/>
                    </w:rPr>
                    <w:t>：</w:t>
                  </w:r>
                  <w:r>
                    <w:rPr>
                      <w:rFonts w:hint="default"/>
                      <w:color w:val="auto"/>
                      <w:highlight w:val="none"/>
                    </w:rPr>
                    <w:t>密闭管道</w:t>
                  </w:r>
                  <w:r>
                    <w:rPr>
                      <w:rFonts w:hint="eastAsia"/>
                      <w:color w:val="auto"/>
                      <w:highlight w:val="none"/>
                      <w:lang w:val="en-US" w:eastAsia="zh-CN"/>
                    </w:rPr>
                    <w:t>+</w:t>
                  </w:r>
                  <w:r>
                    <w:rPr>
                      <w:rFonts w:hint="default"/>
                      <w:color w:val="auto"/>
                      <w:highlight w:val="none"/>
                    </w:rPr>
                    <w:t>布袋除尘器</w:t>
                  </w:r>
                  <w:r>
                    <w:rPr>
                      <w:rFonts w:hint="eastAsia"/>
                      <w:color w:val="auto"/>
                      <w:highlight w:val="none"/>
                      <w:lang w:val="en-US" w:eastAsia="zh-CN"/>
                    </w:rPr>
                    <w:t>+</w:t>
                  </w:r>
                  <w:r>
                    <w:rPr>
                      <w:rFonts w:hint="default"/>
                      <w:color w:val="auto"/>
                      <w:highlight w:val="none"/>
                    </w:rPr>
                    <w:t>20m排气筒（DA002）排放；食堂</w:t>
                  </w:r>
                  <w:r>
                    <w:rPr>
                      <w:rFonts w:hint="eastAsia"/>
                      <w:color w:val="auto"/>
                      <w:highlight w:val="none"/>
                      <w:lang w:eastAsia="zh-CN"/>
                    </w:rPr>
                    <w:t>油烟：</w:t>
                  </w:r>
                  <w:r>
                    <w:rPr>
                      <w:rFonts w:hint="default"/>
                      <w:color w:val="auto"/>
                      <w:highlight w:val="none"/>
                    </w:rPr>
                    <w:t>油烟净化器</w:t>
                  </w:r>
                  <w:r>
                    <w:rPr>
                      <w:rFonts w:hint="eastAsia"/>
                      <w:color w:val="auto"/>
                      <w:highlight w:val="none"/>
                      <w:lang w:val="en-US" w:eastAsia="zh-CN"/>
                    </w:rPr>
                    <w:t>+</w:t>
                  </w:r>
                  <w:r>
                    <w:rPr>
                      <w:rFonts w:hint="default"/>
                      <w:color w:val="auto"/>
                      <w:highlight w:val="none"/>
                    </w:rPr>
                    <w:t>专用烟道引至楼顶排放。</w:t>
                  </w:r>
                  <w:bookmarkEnd w:id="23"/>
                </w:p>
              </w:tc>
              <w:tc>
                <w:tcPr>
                  <w:tcW w:w="2175" w:type="dxa"/>
                  <w:tcBorders>
                    <w:tl2br w:val="nil"/>
                    <w:tr2bl w:val="nil"/>
                  </w:tcBorders>
                  <w:shd w:val="clear" w:color="auto" w:fill="auto"/>
                  <w:vAlign w:val="center"/>
                </w:tcPr>
                <w:p w14:paraId="62AF7E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破碎及筛分粉尘：集气罩收集+布袋除尘器+20m排气筒（DA004排放）</w:t>
                  </w:r>
                </w:p>
              </w:tc>
              <w:tc>
                <w:tcPr>
                  <w:tcW w:w="2030" w:type="dxa"/>
                  <w:tcBorders>
                    <w:tl2br w:val="nil"/>
                    <w:tr2bl w:val="nil"/>
                  </w:tcBorders>
                  <w:shd w:val="clear" w:color="auto" w:fill="auto"/>
                  <w:vAlign w:val="center"/>
                </w:tcPr>
                <w:p w14:paraId="6B74739D">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烘干粉尘、天然气燃烧烟气：密闭管道+布袋除尘器+20m排气筒（DA002）排放；</w:t>
                  </w:r>
                  <w:r>
                    <w:rPr>
                      <w:rFonts w:hint="eastAsia" w:ascii="Times New Roman" w:hAnsi="Times New Roman" w:eastAsia="宋体" w:cs="Times New Roman"/>
                      <w:color w:val="auto"/>
                      <w:sz w:val="21"/>
                      <w:szCs w:val="21"/>
                      <w:highlight w:val="none"/>
                      <w:lang w:val="en-US" w:eastAsia="zh-CN"/>
                    </w:rPr>
                    <w:t>破碎及筛分粉尘：集气罩收集+布袋除尘器+20m排气筒（DA004排放）；</w:t>
                  </w:r>
                  <w:r>
                    <w:rPr>
                      <w:rFonts w:hint="default" w:ascii="Times New Roman" w:hAnsi="Times New Roman" w:eastAsia="宋体" w:cs="Times New Roman"/>
                      <w:color w:val="auto"/>
                      <w:sz w:val="21"/>
                      <w:szCs w:val="21"/>
                      <w:highlight w:val="none"/>
                      <w:lang w:val="en-US" w:eastAsia="zh-CN"/>
                    </w:rPr>
                    <w:t>食堂油烟：油烟净化器+专用烟道引至楼顶排放。</w:t>
                  </w:r>
                </w:p>
              </w:tc>
              <w:tc>
                <w:tcPr>
                  <w:tcW w:w="709" w:type="dxa"/>
                  <w:tcBorders>
                    <w:tl2br w:val="nil"/>
                    <w:tr2bl w:val="nil"/>
                  </w:tcBorders>
                  <w:shd w:val="clear" w:color="auto" w:fill="auto"/>
                  <w:vAlign w:val="center"/>
                </w:tcPr>
                <w:p w14:paraId="1E3C67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新增一套布袋除尘器</w:t>
                  </w:r>
                  <w:r>
                    <w:rPr>
                      <w:rFonts w:hint="eastAsia" w:ascii="Times New Roman" w:hAnsi="Times New Roman" w:eastAsia="宋体" w:cs="Times New Roman"/>
                      <w:color w:val="auto"/>
                      <w:sz w:val="21"/>
                      <w:szCs w:val="21"/>
                      <w:highlight w:val="none"/>
                      <w:lang w:val="en-US" w:eastAsia="zh-CN"/>
                    </w:rPr>
                    <w:t>+DA004排气筒</w:t>
                  </w:r>
                </w:p>
              </w:tc>
            </w:tr>
            <w:tr w14:paraId="27B664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683" w:type="dxa"/>
                  <w:vMerge w:val="continue"/>
                  <w:tcBorders>
                    <w:tl2br w:val="nil"/>
                    <w:tr2bl w:val="nil"/>
                  </w:tcBorders>
                  <w:vAlign w:val="center"/>
                </w:tcPr>
                <w:p w14:paraId="78F0B3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shd w:val="clear" w:color="auto" w:fill="auto"/>
                  <w:vAlign w:val="center"/>
                </w:tcPr>
                <w:p w14:paraId="62D490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shd w:val="clear" w:color="auto" w:fill="auto"/>
                  <w:vAlign w:val="center"/>
                </w:tcPr>
                <w:p w14:paraId="0C598B9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无组织废气</w:t>
                  </w:r>
                  <w:bookmarkStart w:id="24" w:name="_Hlk205282054"/>
                  <w:r>
                    <w:rPr>
                      <w:rFonts w:hint="default" w:ascii="Times New Roman" w:hAnsi="Times New Roman" w:eastAsia="宋体" w:cs="Times New Roman"/>
                      <w:color w:val="auto"/>
                      <w:sz w:val="21"/>
                      <w:szCs w:val="21"/>
                      <w:highlight w:val="none"/>
                      <w:lang w:val="en-US" w:eastAsia="zh-CN"/>
                    </w:rPr>
                    <w:t>装卸粉尘</w:t>
                  </w:r>
                  <w:bookmarkStart w:id="25" w:name="OLE_LINK72"/>
                  <w:r>
                    <w:rPr>
                      <w:rFonts w:hint="default" w:ascii="Times New Roman" w:hAnsi="Times New Roman" w:eastAsia="宋体" w:cs="Times New Roman"/>
                      <w:color w:val="auto"/>
                      <w:sz w:val="21"/>
                      <w:szCs w:val="21"/>
                      <w:highlight w:val="none"/>
                      <w:lang w:val="en-US" w:eastAsia="zh-CN"/>
                    </w:rPr>
                    <w:t>、产品装运粉尘</w:t>
                  </w:r>
                  <w:r>
                    <w:rPr>
                      <w:rFonts w:hint="eastAsia" w:ascii="Times New Roman" w:hAnsi="Times New Roman" w:eastAsia="宋体" w:cs="Times New Roman"/>
                      <w:color w:val="auto"/>
                      <w:sz w:val="21"/>
                      <w:szCs w:val="21"/>
                      <w:highlight w:val="none"/>
                      <w:lang w:val="en-US" w:eastAsia="zh-CN"/>
                    </w:rPr>
                    <w:t>通过</w:t>
                  </w:r>
                  <w:r>
                    <w:rPr>
                      <w:rFonts w:hint="default" w:ascii="Times New Roman" w:hAnsi="Times New Roman" w:eastAsia="宋体" w:cs="Times New Roman"/>
                      <w:color w:val="auto"/>
                      <w:sz w:val="21"/>
                      <w:szCs w:val="21"/>
                      <w:highlight w:val="none"/>
                      <w:lang w:val="en-US" w:eastAsia="zh-CN"/>
                    </w:rPr>
                    <w:t>喷淋降尘</w:t>
                  </w:r>
                  <w:bookmarkEnd w:id="24"/>
                  <w:bookmarkEnd w:id="25"/>
                </w:p>
              </w:tc>
              <w:tc>
                <w:tcPr>
                  <w:tcW w:w="2175" w:type="dxa"/>
                  <w:tcBorders>
                    <w:tl2br w:val="nil"/>
                    <w:tr2bl w:val="nil"/>
                  </w:tcBorders>
                  <w:shd w:val="clear" w:color="auto" w:fill="auto"/>
                  <w:vAlign w:val="center"/>
                </w:tcPr>
                <w:p w14:paraId="2B56B8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无组织废气卸料粉尘、</w:t>
                  </w:r>
                  <w:r>
                    <w:rPr>
                      <w:rFonts w:hint="eastAsia" w:ascii="Times New Roman" w:hAnsi="Times New Roman" w:eastAsia="宋体" w:cs="Times New Roman"/>
                      <w:color w:val="FF0000"/>
                      <w:sz w:val="21"/>
                      <w:szCs w:val="21"/>
                      <w:highlight w:val="none"/>
                      <w:lang w:val="en-US" w:eastAsia="zh-CN"/>
                    </w:rPr>
                    <w:t>投料</w:t>
                  </w:r>
                  <w:r>
                    <w:rPr>
                      <w:rFonts w:hint="eastAsia" w:cs="Times New Roman"/>
                      <w:color w:val="FF0000"/>
                      <w:sz w:val="21"/>
                      <w:szCs w:val="21"/>
                      <w:highlight w:val="none"/>
                      <w:lang w:val="en-US" w:eastAsia="zh-CN"/>
                    </w:rPr>
                    <w:t>及转运</w:t>
                  </w:r>
                  <w:r>
                    <w:rPr>
                      <w:rFonts w:hint="eastAsia" w:ascii="Times New Roman" w:hAnsi="Times New Roman" w:eastAsia="宋体" w:cs="Times New Roman"/>
                      <w:color w:val="FF0000"/>
                      <w:sz w:val="21"/>
                      <w:szCs w:val="21"/>
                      <w:highlight w:val="none"/>
                      <w:lang w:val="en-US" w:eastAsia="zh-CN"/>
                    </w:rPr>
                    <w:t>粉尘</w:t>
                  </w:r>
                  <w:r>
                    <w:rPr>
                      <w:rFonts w:hint="eastAsia" w:ascii="Times New Roman" w:hAnsi="Times New Roman" w:eastAsia="宋体" w:cs="Times New Roman"/>
                      <w:color w:val="auto"/>
                      <w:sz w:val="21"/>
                      <w:szCs w:val="21"/>
                      <w:highlight w:val="none"/>
                      <w:lang w:val="en-US" w:eastAsia="zh-CN"/>
                    </w:rPr>
                    <w:t>、筒仓粉尘、运输扬尘：喷淋洒水+沉降</w:t>
                  </w:r>
                </w:p>
              </w:tc>
              <w:tc>
                <w:tcPr>
                  <w:tcW w:w="2030" w:type="dxa"/>
                  <w:tcBorders>
                    <w:tl2br w:val="nil"/>
                    <w:tr2bl w:val="nil"/>
                  </w:tcBorders>
                  <w:shd w:val="clear" w:color="auto" w:fill="auto"/>
                  <w:vAlign w:val="center"/>
                </w:tcPr>
                <w:p w14:paraId="4D797C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无组织废气</w:t>
                  </w:r>
                  <w:r>
                    <w:rPr>
                      <w:rFonts w:hint="default" w:ascii="Times New Roman" w:hAnsi="Times New Roman" w:eastAsia="宋体" w:cs="Times New Roman"/>
                      <w:color w:val="auto"/>
                      <w:sz w:val="21"/>
                      <w:szCs w:val="21"/>
                      <w:highlight w:val="none"/>
                      <w:lang w:val="en-US" w:eastAsia="zh-CN"/>
                    </w:rPr>
                    <w:t>装卸粉尘、产品装运粉尘</w:t>
                  </w:r>
                  <w:r>
                    <w:rPr>
                      <w:rFonts w:hint="eastAsia" w:ascii="Times New Roman" w:hAnsi="Times New Roman" w:eastAsia="宋体" w:cs="Times New Roman"/>
                      <w:color w:val="auto"/>
                      <w:sz w:val="21"/>
                      <w:szCs w:val="21"/>
                      <w:highlight w:val="none"/>
                      <w:lang w:val="en-US" w:eastAsia="zh-CN"/>
                    </w:rPr>
                    <w:t>、卸料粉尘、</w:t>
                  </w:r>
                  <w:r>
                    <w:rPr>
                      <w:rFonts w:hint="eastAsia" w:ascii="Times New Roman" w:hAnsi="Times New Roman" w:eastAsia="宋体" w:cs="Times New Roman"/>
                      <w:color w:val="FF0000"/>
                      <w:sz w:val="21"/>
                      <w:szCs w:val="21"/>
                      <w:highlight w:val="none"/>
                      <w:lang w:val="en-US" w:eastAsia="zh-CN"/>
                    </w:rPr>
                    <w:t>投料</w:t>
                  </w:r>
                  <w:r>
                    <w:rPr>
                      <w:rFonts w:hint="eastAsia" w:cs="Times New Roman"/>
                      <w:color w:val="FF0000"/>
                      <w:sz w:val="21"/>
                      <w:szCs w:val="21"/>
                      <w:highlight w:val="none"/>
                      <w:lang w:val="en-US" w:eastAsia="zh-CN"/>
                    </w:rPr>
                    <w:t>及转运</w:t>
                  </w:r>
                  <w:r>
                    <w:rPr>
                      <w:rFonts w:hint="eastAsia" w:ascii="Times New Roman" w:hAnsi="Times New Roman" w:eastAsia="宋体" w:cs="Times New Roman"/>
                      <w:color w:val="FF0000"/>
                      <w:sz w:val="21"/>
                      <w:szCs w:val="21"/>
                      <w:highlight w:val="none"/>
                      <w:lang w:val="en-US" w:eastAsia="zh-CN"/>
                    </w:rPr>
                    <w:t>粉尘</w:t>
                  </w:r>
                  <w:r>
                    <w:rPr>
                      <w:rFonts w:hint="eastAsia" w:ascii="Times New Roman" w:hAnsi="Times New Roman" w:eastAsia="宋体" w:cs="Times New Roman"/>
                      <w:color w:val="auto"/>
                      <w:sz w:val="21"/>
                      <w:szCs w:val="21"/>
                      <w:highlight w:val="none"/>
                      <w:lang w:val="en-US" w:eastAsia="zh-CN"/>
                    </w:rPr>
                    <w:t>、筒仓粉尘通过喷淋+沉降抑尘</w:t>
                  </w:r>
                </w:p>
              </w:tc>
              <w:tc>
                <w:tcPr>
                  <w:tcW w:w="709" w:type="dxa"/>
                  <w:tcBorders>
                    <w:tl2br w:val="nil"/>
                    <w:tr2bl w:val="nil"/>
                  </w:tcBorders>
                  <w:shd w:val="clear" w:color="auto" w:fill="auto"/>
                  <w:vAlign w:val="center"/>
                </w:tcPr>
                <w:p w14:paraId="12CE36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无组织废气喷淋洒水+沉降</w:t>
                  </w:r>
                </w:p>
              </w:tc>
            </w:tr>
            <w:tr w14:paraId="6B9E04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683" w:type="dxa"/>
                  <w:vMerge w:val="continue"/>
                  <w:tcBorders>
                    <w:tl2br w:val="nil"/>
                    <w:tr2bl w:val="nil"/>
                  </w:tcBorders>
                  <w:vAlign w:val="center"/>
                </w:tcPr>
                <w:p w14:paraId="4389CC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restart"/>
                  <w:tcBorders>
                    <w:tl2br w:val="nil"/>
                    <w:tr2bl w:val="nil"/>
                  </w:tcBorders>
                  <w:shd w:val="clear" w:color="auto" w:fill="auto"/>
                  <w:vAlign w:val="center"/>
                </w:tcPr>
                <w:p w14:paraId="6F76BB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废水处理措施</w:t>
                  </w:r>
                </w:p>
              </w:tc>
              <w:tc>
                <w:tcPr>
                  <w:tcW w:w="1866" w:type="dxa"/>
                  <w:tcBorders>
                    <w:tl2br w:val="nil"/>
                    <w:tr2bl w:val="nil"/>
                  </w:tcBorders>
                  <w:shd w:val="clear" w:color="auto" w:fill="auto"/>
                  <w:vAlign w:val="center"/>
                </w:tcPr>
                <w:p w14:paraId="3D880A3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6" w:name="_Toc1246"/>
                  <w:r>
                    <w:rPr>
                      <w:rFonts w:hint="default"/>
                      <w:color w:val="auto"/>
                      <w:highlight w:val="none"/>
                    </w:rPr>
                    <w:t>生活污水：隔油池+化粪池处理</w:t>
                  </w:r>
                  <w:bookmarkEnd w:id="26"/>
                </w:p>
              </w:tc>
              <w:tc>
                <w:tcPr>
                  <w:tcW w:w="2175" w:type="dxa"/>
                  <w:tcBorders>
                    <w:tl2br w:val="nil"/>
                    <w:tr2bl w:val="nil"/>
                  </w:tcBorders>
                  <w:shd w:val="clear" w:color="auto" w:fill="auto"/>
                  <w:vAlign w:val="center"/>
                </w:tcPr>
                <w:p w14:paraId="002EE6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依托现有工程</w:t>
                  </w:r>
                </w:p>
              </w:tc>
              <w:tc>
                <w:tcPr>
                  <w:tcW w:w="2030" w:type="dxa"/>
                  <w:tcBorders>
                    <w:tl2br w:val="nil"/>
                    <w:tr2bl w:val="nil"/>
                  </w:tcBorders>
                  <w:shd w:val="clear" w:color="auto" w:fill="auto"/>
                  <w:vAlign w:val="center"/>
                </w:tcPr>
                <w:p w14:paraId="515CAE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生活污水：隔油池+化粪池处理</w:t>
                  </w:r>
                </w:p>
              </w:tc>
              <w:tc>
                <w:tcPr>
                  <w:tcW w:w="709" w:type="dxa"/>
                  <w:tcBorders>
                    <w:tl2br w:val="nil"/>
                    <w:tr2bl w:val="nil"/>
                  </w:tcBorders>
                  <w:shd w:val="clear" w:color="auto" w:fill="auto"/>
                  <w:vAlign w:val="center"/>
                </w:tcPr>
                <w:p w14:paraId="53CF30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依托现有</w:t>
                  </w:r>
                </w:p>
              </w:tc>
            </w:tr>
            <w:tr w14:paraId="73BEA1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683" w:type="dxa"/>
                  <w:vMerge w:val="continue"/>
                  <w:tcBorders>
                    <w:tl2br w:val="nil"/>
                    <w:tr2bl w:val="nil"/>
                  </w:tcBorders>
                  <w:vAlign w:val="center"/>
                </w:tcPr>
                <w:p w14:paraId="714E4E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shd w:val="clear" w:color="auto" w:fill="auto"/>
                  <w:vAlign w:val="center"/>
                </w:tcPr>
                <w:p w14:paraId="0CFDAE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shd w:val="clear" w:color="auto" w:fill="auto"/>
                  <w:vAlign w:val="center"/>
                </w:tcPr>
                <w:p w14:paraId="76BBB116">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7" w:name="_Toc10058"/>
                  <w:r>
                    <w:rPr>
                      <w:rFonts w:hint="default"/>
                      <w:color w:val="FF0000"/>
                      <w:highlight w:val="none"/>
                    </w:rPr>
                    <w:t>初期雨水收集池（960m</w:t>
                  </w:r>
                  <w:r>
                    <w:rPr>
                      <w:rFonts w:hint="default"/>
                      <w:color w:val="FF0000"/>
                      <w:highlight w:val="none"/>
                      <w:vertAlign w:val="superscript"/>
                    </w:rPr>
                    <w:t>3</w:t>
                  </w:r>
                  <w:r>
                    <w:rPr>
                      <w:rFonts w:hint="default"/>
                      <w:color w:val="FF0000"/>
                      <w:highlight w:val="none"/>
                    </w:rPr>
                    <w:t>），</w:t>
                  </w:r>
                  <w:r>
                    <w:rPr>
                      <w:rFonts w:hint="default"/>
                      <w:color w:val="auto"/>
                      <w:highlight w:val="none"/>
                    </w:rPr>
                    <w:t>初期雨水处理设施1套（氧化+除铊除氟+絮凝沉淀）</w:t>
                  </w:r>
                  <w:bookmarkEnd w:id="27"/>
                </w:p>
              </w:tc>
              <w:tc>
                <w:tcPr>
                  <w:tcW w:w="2175" w:type="dxa"/>
                  <w:tcBorders>
                    <w:tl2br w:val="nil"/>
                    <w:tr2bl w:val="nil"/>
                  </w:tcBorders>
                  <w:shd w:val="clear" w:color="auto" w:fill="auto"/>
                  <w:vAlign w:val="center"/>
                </w:tcPr>
                <w:p w14:paraId="6114EC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初期雨水收集池</w:t>
                  </w:r>
                  <w:r>
                    <w:rPr>
                      <w:rFonts w:hint="eastAsia" w:cs="Times New Roman"/>
                      <w:color w:val="auto"/>
                      <w:sz w:val="21"/>
                      <w:szCs w:val="21"/>
                      <w:highlight w:val="none"/>
                      <w:lang w:val="en-US" w:eastAsia="zh-CN"/>
                    </w:rPr>
                    <w:t>依托现有工程</w:t>
                  </w:r>
                </w:p>
              </w:tc>
              <w:tc>
                <w:tcPr>
                  <w:tcW w:w="2030" w:type="dxa"/>
                  <w:tcBorders>
                    <w:tl2br w:val="nil"/>
                    <w:tr2bl w:val="nil"/>
                  </w:tcBorders>
                  <w:shd w:val="clear" w:color="auto" w:fill="auto"/>
                  <w:vAlign w:val="center"/>
                </w:tcPr>
                <w:p w14:paraId="00FC4A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cs="Times New Roman"/>
                      <w:color w:val="auto"/>
                      <w:sz w:val="21"/>
                      <w:szCs w:val="21"/>
                      <w:highlight w:val="none"/>
                      <w:lang w:val="en-US" w:eastAsia="zh-CN"/>
                    </w:rPr>
                    <w:t>1#车间外东北侧设置一个960m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vertAlign w:val="baseline"/>
                      <w:lang w:val="en-US" w:eastAsia="zh-CN"/>
                    </w:rPr>
                    <w:t>的初期雨水池</w:t>
                  </w:r>
                  <w:r>
                    <w:rPr>
                      <w:rFonts w:hint="default" w:ascii="Times New Roman" w:hAnsi="Times New Roman" w:eastAsia="宋体" w:cs="Times New Roman"/>
                      <w:color w:val="auto"/>
                      <w:sz w:val="21"/>
                      <w:szCs w:val="21"/>
                      <w:highlight w:val="none"/>
                      <w:lang w:val="en-US" w:eastAsia="zh-CN"/>
                    </w:rPr>
                    <w:t>（氧化+除铊除氟+絮凝沉淀）</w:t>
                  </w:r>
                  <w:r>
                    <w:rPr>
                      <w:rFonts w:hint="eastAsia" w:cs="Times New Roman"/>
                      <w:color w:val="auto"/>
                      <w:sz w:val="21"/>
                      <w:szCs w:val="21"/>
                      <w:highlight w:val="none"/>
                      <w:vertAlign w:val="baseline"/>
                      <w:lang w:val="en-US" w:eastAsia="zh-CN"/>
                    </w:rPr>
                    <w:t>，</w:t>
                  </w:r>
                </w:p>
              </w:tc>
              <w:tc>
                <w:tcPr>
                  <w:tcW w:w="709" w:type="dxa"/>
                  <w:tcBorders>
                    <w:tl2br w:val="nil"/>
                    <w:tr2bl w:val="nil"/>
                  </w:tcBorders>
                  <w:shd w:val="clear" w:color="auto" w:fill="auto"/>
                  <w:vAlign w:val="center"/>
                </w:tcPr>
                <w:p w14:paraId="0357FE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依托现有</w:t>
                  </w:r>
                </w:p>
              </w:tc>
            </w:tr>
            <w:tr w14:paraId="41AED6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683" w:type="dxa"/>
                  <w:vMerge w:val="continue"/>
                  <w:tcBorders>
                    <w:tl2br w:val="nil"/>
                    <w:tr2bl w:val="nil"/>
                  </w:tcBorders>
                  <w:vAlign w:val="center"/>
                </w:tcPr>
                <w:p w14:paraId="1D18D8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shd w:val="clear" w:color="auto" w:fill="auto"/>
                  <w:vAlign w:val="center"/>
                </w:tcPr>
                <w:p w14:paraId="6F6D0C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shd w:val="clear" w:color="auto" w:fill="auto"/>
                  <w:vAlign w:val="center"/>
                </w:tcPr>
                <w:p w14:paraId="5E66D057">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8" w:name="_Toc17924"/>
                  <w:r>
                    <w:rPr>
                      <w:rFonts w:hint="default"/>
                      <w:color w:val="auto"/>
                      <w:highlight w:val="none"/>
                    </w:rPr>
                    <w:t>车辆冲洗废水：洗车平台+沉淀池</w:t>
                  </w:r>
                  <w:bookmarkEnd w:id="28"/>
                </w:p>
              </w:tc>
              <w:tc>
                <w:tcPr>
                  <w:tcW w:w="2175" w:type="dxa"/>
                  <w:tcBorders>
                    <w:tl2br w:val="nil"/>
                    <w:tr2bl w:val="nil"/>
                  </w:tcBorders>
                  <w:shd w:val="clear" w:color="auto" w:fill="auto"/>
                  <w:vAlign w:val="center"/>
                </w:tcPr>
                <w:p w14:paraId="63BCF0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依托现有工程</w:t>
                  </w:r>
                </w:p>
              </w:tc>
              <w:tc>
                <w:tcPr>
                  <w:tcW w:w="2030" w:type="dxa"/>
                  <w:tcBorders>
                    <w:tl2br w:val="nil"/>
                    <w:tr2bl w:val="nil"/>
                  </w:tcBorders>
                  <w:shd w:val="clear" w:color="auto" w:fill="auto"/>
                  <w:vAlign w:val="center"/>
                </w:tcPr>
                <w:p w14:paraId="24A244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车辆冲洗废水：洗车平台+沉淀池</w:t>
                  </w:r>
                </w:p>
              </w:tc>
              <w:tc>
                <w:tcPr>
                  <w:tcW w:w="709" w:type="dxa"/>
                  <w:tcBorders>
                    <w:tl2br w:val="nil"/>
                    <w:tr2bl w:val="nil"/>
                  </w:tcBorders>
                  <w:shd w:val="clear" w:color="auto" w:fill="auto"/>
                  <w:vAlign w:val="center"/>
                </w:tcPr>
                <w:p w14:paraId="61109E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r>
            <w:tr w14:paraId="271027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83" w:type="dxa"/>
                  <w:vMerge w:val="continue"/>
                  <w:tcBorders>
                    <w:tl2br w:val="nil"/>
                    <w:tr2bl w:val="nil"/>
                  </w:tcBorders>
                  <w:vAlign w:val="center"/>
                </w:tcPr>
                <w:p w14:paraId="457CFF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shd w:val="clear" w:color="auto" w:fill="auto"/>
                  <w:vAlign w:val="center"/>
                </w:tcPr>
                <w:p w14:paraId="5175DC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shd w:val="clear" w:color="auto" w:fill="auto"/>
                  <w:vAlign w:val="center"/>
                </w:tcPr>
                <w:p w14:paraId="6E9A145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sz w:val="21"/>
                      <w:szCs w:val="21"/>
                      <w:highlight w:val="none"/>
                      <w:lang w:val="en-US" w:eastAsia="zh-CN"/>
                    </w:rPr>
                  </w:pPr>
                  <w:bookmarkStart w:id="29" w:name="_Toc18442"/>
                  <w:r>
                    <w:rPr>
                      <w:rFonts w:hint="eastAsia"/>
                      <w:color w:val="auto"/>
                      <w:highlight w:val="none"/>
                      <w:lang w:val="en-US" w:eastAsia="zh-CN"/>
                    </w:rPr>
                    <w:t>1#</w:t>
                  </w:r>
                  <w:r>
                    <w:rPr>
                      <w:rFonts w:hint="default"/>
                      <w:color w:val="auto"/>
                      <w:highlight w:val="none"/>
                    </w:rPr>
                    <w:t>生产车间原料区内设置渗滤液收集池</w:t>
                  </w:r>
                  <w:bookmarkEnd w:id="29"/>
                </w:p>
              </w:tc>
              <w:tc>
                <w:tcPr>
                  <w:tcW w:w="2175" w:type="dxa"/>
                  <w:tcBorders>
                    <w:tl2br w:val="nil"/>
                    <w:tr2bl w:val="nil"/>
                  </w:tcBorders>
                  <w:shd w:val="clear" w:color="auto" w:fill="auto"/>
                  <w:vAlign w:val="center"/>
                </w:tcPr>
                <w:p w14:paraId="0DE953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#生产车间原料区内设置渗滤液收集池</w:t>
                  </w:r>
                </w:p>
              </w:tc>
              <w:tc>
                <w:tcPr>
                  <w:tcW w:w="2030" w:type="dxa"/>
                  <w:tcBorders>
                    <w:tl2br w:val="nil"/>
                    <w:tr2bl w:val="nil"/>
                  </w:tcBorders>
                  <w:shd w:val="clear" w:color="auto" w:fill="auto"/>
                  <w:vAlign w:val="center"/>
                </w:tcPr>
                <w:p w14:paraId="2801F3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2个车间原料区各设置一个渗滤液收集池</w:t>
                  </w:r>
                </w:p>
              </w:tc>
              <w:tc>
                <w:tcPr>
                  <w:tcW w:w="709" w:type="dxa"/>
                  <w:tcBorders>
                    <w:tl2br w:val="nil"/>
                    <w:tr2bl w:val="nil"/>
                  </w:tcBorders>
                  <w:shd w:val="clear" w:color="auto" w:fill="auto"/>
                  <w:vAlign w:val="center"/>
                </w:tcPr>
                <w:p w14:paraId="55FE74A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w:t>
                  </w:r>
                </w:p>
              </w:tc>
            </w:tr>
            <w:tr w14:paraId="0B4822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continue"/>
                  <w:tcBorders>
                    <w:tl2br w:val="nil"/>
                    <w:tr2bl w:val="nil"/>
                  </w:tcBorders>
                  <w:vAlign w:val="center"/>
                </w:tcPr>
                <w:p w14:paraId="34F3CA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3A9840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1866" w:type="dxa"/>
                  <w:tcBorders>
                    <w:tl2br w:val="nil"/>
                    <w:tr2bl w:val="nil"/>
                  </w:tcBorders>
                  <w:vAlign w:val="center"/>
                </w:tcPr>
                <w:p w14:paraId="6F1A4C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减振、车间隔声等措施。</w:t>
                  </w:r>
                </w:p>
              </w:tc>
              <w:tc>
                <w:tcPr>
                  <w:tcW w:w="2175" w:type="dxa"/>
                  <w:tcBorders>
                    <w:tl2br w:val="nil"/>
                    <w:tr2bl w:val="nil"/>
                  </w:tcBorders>
                  <w:vAlign w:val="center"/>
                </w:tcPr>
                <w:p w14:paraId="2E2044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建筑隔声、合理布局</w:t>
                  </w:r>
                </w:p>
              </w:tc>
              <w:tc>
                <w:tcPr>
                  <w:tcW w:w="2030" w:type="dxa"/>
                  <w:tcBorders>
                    <w:tl2br w:val="nil"/>
                    <w:tr2bl w:val="nil"/>
                  </w:tcBorders>
                  <w:vAlign w:val="center"/>
                </w:tcPr>
                <w:p w14:paraId="64792E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减振、车间隔声等措施。</w:t>
                  </w:r>
                </w:p>
              </w:tc>
              <w:tc>
                <w:tcPr>
                  <w:tcW w:w="709" w:type="dxa"/>
                  <w:tcBorders>
                    <w:tl2br w:val="nil"/>
                    <w:tr2bl w:val="nil"/>
                  </w:tcBorders>
                  <w:vAlign w:val="center"/>
                </w:tcPr>
                <w:p w14:paraId="1CA44F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w:t>
                  </w:r>
                </w:p>
              </w:tc>
            </w:tr>
            <w:tr w14:paraId="29A000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83" w:type="dxa"/>
                  <w:vMerge w:val="continue"/>
                  <w:tcBorders>
                    <w:tl2br w:val="nil"/>
                    <w:tr2bl w:val="nil"/>
                  </w:tcBorders>
                  <w:vAlign w:val="center"/>
                </w:tcPr>
                <w:p w14:paraId="43A3D5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restart"/>
                  <w:tcBorders>
                    <w:tl2br w:val="nil"/>
                    <w:tr2bl w:val="nil"/>
                  </w:tcBorders>
                  <w:vAlign w:val="center"/>
                </w:tcPr>
                <w:p w14:paraId="520899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固废</w:t>
                  </w:r>
                </w:p>
              </w:tc>
              <w:tc>
                <w:tcPr>
                  <w:tcW w:w="1866" w:type="dxa"/>
                  <w:tcBorders>
                    <w:tl2br w:val="nil"/>
                    <w:tr2bl w:val="nil"/>
                  </w:tcBorders>
                  <w:vAlign w:val="center"/>
                </w:tcPr>
                <w:p w14:paraId="1F8E4E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生活垃圾交由环卫部门定期清理。</w:t>
                  </w:r>
                </w:p>
              </w:tc>
              <w:tc>
                <w:tcPr>
                  <w:tcW w:w="2175" w:type="dxa"/>
                  <w:tcBorders>
                    <w:tl2br w:val="nil"/>
                    <w:tr2bl w:val="nil"/>
                  </w:tcBorders>
                  <w:vAlign w:val="center"/>
                </w:tcPr>
                <w:p w14:paraId="5C06BE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依托现有</w:t>
                  </w:r>
                </w:p>
              </w:tc>
              <w:tc>
                <w:tcPr>
                  <w:tcW w:w="2030" w:type="dxa"/>
                  <w:tcBorders>
                    <w:tl2br w:val="nil"/>
                    <w:tr2bl w:val="nil"/>
                  </w:tcBorders>
                  <w:vAlign w:val="center"/>
                </w:tcPr>
                <w:p w14:paraId="6960FA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生活垃圾交由环卫部门定期清理。</w:t>
                  </w:r>
                </w:p>
              </w:tc>
              <w:tc>
                <w:tcPr>
                  <w:tcW w:w="709" w:type="dxa"/>
                  <w:tcBorders>
                    <w:tl2br w:val="nil"/>
                    <w:tr2bl w:val="nil"/>
                  </w:tcBorders>
                  <w:vAlign w:val="center"/>
                </w:tcPr>
                <w:p w14:paraId="63797B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新建</w:t>
                  </w:r>
                </w:p>
              </w:tc>
            </w:tr>
            <w:tr w14:paraId="71470E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683" w:type="dxa"/>
                  <w:vMerge w:val="continue"/>
                  <w:tcBorders>
                    <w:tl2br w:val="nil"/>
                    <w:tr2bl w:val="nil"/>
                  </w:tcBorders>
                  <w:vAlign w:val="center"/>
                </w:tcPr>
                <w:p w14:paraId="6561E6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vMerge w:val="continue"/>
                  <w:tcBorders>
                    <w:tl2br w:val="nil"/>
                    <w:tr2bl w:val="nil"/>
                  </w:tcBorders>
                  <w:vAlign w:val="center"/>
                </w:tcPr>
                <w:p w14:paraId="0FAC5C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1866" w:type="dxa"/>
                  <w:tcBorders>
                    <w:tl2br w:val="nil"/>
                    <w:tr2bl w:val="nil"/>
                  </w:tcBorders>
                  <w:vAlign w:val="center"/>
                </w:tcPr>
                <w:p w14:paraId="7C22121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rPr>
                    <w:t>一般固废间</w:t>
                  </w:r>
                  <w:r>
                    <w:rPr>
                      <w:rFonts w:hint="default" w:ascii="Times New Roman" w:hAnsi="Times New Roman" w:eastAsia="宋体" w:cs="Times New Roman"/>
                      <w:color w:val="FF0000"/>
                      <w:sz w:val="21"/>
                      <w:szCs w:val="21"/>
                      <w:highlight w:val="none"/>
                      <w:lang w:val="en-US" w:eastAsia="zh-CN"/>
                    </w:rPr>
                    <w:t>100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rPr>
                    <w:t>，危险固废间</w:t>
                  </w:r>
                  <w:r>
                    <w:rPr>
                      <w:rFonts w:hint="default" w:ascii="Times New Roman" w:hAnsi="Times New Roman" w:eastAsia="宋体" w:cs="Times New Roman"/>
                      <w:color w:val="FF0000"/>
                      <w:sz w:val="21"/>
                      <w:szCs w:val="21"/>
                      <w:highlight w:val="none"/>
                      <w:lang w:val="en-US" w:eastAsia="zh-CN"/>
                    </w:rPr>
                    <w:t>20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厂房</w:t>
                  </w:r>
                  <w:r>
                    <w:rPr>
                      <w:rFonts w:hint="eastAsia" w:cs="Times New Roman"/>
                      <w:color w:val="auto"/>
                      <w:sz w:val="21"/>
                      <w:szCs w:val="21"/>
                      <w:highlight w:val="none"/>
                      <w:lang w:val="en-US" w:eastAsia="zh-CN"/>
                    </w:rPr>
                    <w:t>东北</w:t>
                  </w:r>
                  <w:r>
                    <w:rPr>
                      <w:rFonts w:hint="default" w:ascii="Times New Roman" w:hAnsi="Times New Roman" w:eastAsia="宋体" w:cs="Times New Roman"/>
                      <w:color w:val="auto"/>
                      <w:sz w:val="21"/>
                      <w:szCs w:val="21"/>
                      <w:highlight w:val="none"/>
                      <w:lang w:val="en-US" w:eastAsia="zh-CN"/>
                    </w:rPr>
                    <w:t>侧。</w:t>
                  </w:r>
                </w:p>
              </w:tc>
              <w:tc>
                <w:tcPr>
                  <w:tcW w:w="2175" w:type="dxa"/>
                  <w:tcBorders>
                    <w:tl2br w:val="nil"/>
                    <w:tr2bl w:val="nil"/>
                  </w:tcBorders>
                  <w:vAlign w:val="center"/>
                </w:tcPr>
                <w:p w14:paraId="273D1D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一般固废间</w:t>
                  </w:r>
                  <w:r>
                    <w:rPr>
                      <w:rFonts w:hint="eastAsia" w:cs="Times New Roman"/>
                      <w:color w:val="FF0000"/>
                      <w:sz w:val="21"/>
                      <w:szCs w:val="21"/>
                      <w:highlight w:val="none"/>
                      <w:lang w:val="en-US" w:eastAsia="zh-CN"/>
                    </w:rPr>
                    <w:t>30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rPr>
                    <w:t>，危险固废间</w:t>
                  </w:r>
                  <w:r>
                    <w:rPr>
                      <w:rFonts w:hint="eastAsia" w:cs="Times New Roman"/>
                      <w:color w:val="FF0000"/>
                      <w:sz w:val="21"/>
                      <w:szCs w:val="21"/>
                      <w:highlight w:val="none"/>
                      <w:lang w:val="en-US" w:eastAsia="zh-CN"/>
                    </w:rPr>
                    <w:t>30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厂房</w:t>
                  </w:r>
                  <w:r>
                    <w:rPr>
                      <w:rFonts w:hint="eastAsia"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侧</w:t>
                  </w:r>
                </w:p>
              </w:tc>
              <w:tc>
                <w:tcPr>
                  <w:tcW w:w="2030" w:type="dxa"/>
                  <w:tcBorders>
                    <w:tl2br w:val="nil"/>
                    <w:tr2bl w:val="nil"/>
                  </w:tcBorders>
                  <w:vAlign w:val="center"/>
                </w:tcPr>
                <w:p w14:paraId="7648B3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厂房</w:t>
                  </w:r>
                  <w:r>
                    <w:rPr>
                      <w:rFonts w:hint="eastAsia" w:cs="Times New Roman"/>
                      <w:color w:val="auto"/>
                      <w:sz w:val="21"/>
                      <w:szCs w:val="21"/>
                      <w:highlight w:val="none"/>
                      <w:lang w:val="en-US" w:eastAsia="zh-CN"/>
                    </w:rPr>
                    <w:t>东北</w:t>
                  </w:r>
                  <w:r>
                    <w:rPr>
                      <w:rFonts w:hint="default" w:ascii="Times New Roman" w:hAnsi="Times New Roman" w:eastAsia="宋体" w:cs="Times New Roman"/>
                      <w:color w:val="auto"/>
                      <w:sz w:val="21"/>
                      <w:szCs w:val="21"/>
                      <w:highlight w:val="none"/>
                      <w:lang w:val="en-US" w:eastAsia="zh-CN"/>
                    </w:rPr>
                    <w:t>侧</w:t>
                  </w:r>
                  <w:r>
                    <w:rPr>
                      <w:rFonts w:hint="eastAsia" w:cs="Times New Roman"/>
                      <w:color w:val="auto"/>
                      <w:sz w:val="21"/>
                      <w:szCs w:val="21"/>
                      <w:highlight w:val="none"/>
                      <w:lang w:val="en-US" w:eastAsia="zh-CN"/>
                    </w:rPr>
                    <w:t>设置</w:t>
                  </w:r>
                  <w:r>
                    <w:rPr>
                      <w:rFonts w:hint="default" w:ascii="Times New Roman" w:hAnsi="Times New Roman" w:eastAsia="宋体" w:cs="Times New Roman"/>
                      <w:color w:val="auto"/>
                      <w:sz w:val="21"/>
                      <w:szCs w:val="21"/>
                      <w:highlight w:val="none"/>
                    </w:rPr>
                    <w:t>一般固废间</w:t>
                  </w:r>
                  <w:r>
                    <w:rPr>
                      <w:rFonts w:hint="default" w:ascii="Times New Roman" w:hAnsi="Times New Roman" w:eastAsia="宋体" w:cs="Times New Roman"/>
                      <w:color w:val="FF0000"/>
                      <w:sz w:val="21"/>
                      <w:szCs w:val="21"/>
                      <w:highlight w:val="none"/>
                      <w:lang w:val="en-US" w:eastAsia="zh-CN"/>
                    </w:rPr>
                    <w:t>100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rPr>
                    <w:t>，危险固废间</w:t>
                  </w:r>
                  <w:r>
                    <w:rPr>
                      <w:rFonts w:hint="default" w:ascii="Times New Roman" w:hAnsi="Times New Roman" w:eastAsia="宋体" w:cs="Times New Roman"/>
                      <w:color w:val="FF0000"/>
                      <w:sz w:val="21"/>
                      <w:szCs w:val="21"/>
                      <w:highlight w:val="none"/>
                      <w:lang w:val="en-US" w:eastAsia="zh-CN"/>
                    </w:rPr>
                    <w:t>20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val="en-US" w:eastAsia="zh-CN"/>
                    </w:rPr>
                    <w:t>厂房</w:t>
                  </w:r>
                  <w:r>
                    <w:rPr>
                      <w:rFonts w:hint="eastAsia" w:cs="Times New Roman"/>
                      <w:color w:val="auto"/>
                      <w:sz w:val="21"/>
                      <w:szCs w:val="21"/>
                      <w:highlight w:val="none"/>
                      <w:lang w:val="en-US" w:eastAsia="zh-CN"/>
                    </w:rPr>
                    <w:t>原料区西北侧设置</w:t>
                  </w:r>
                  <w:r>
                    <w:rPr>
                      <w:rFonts w:hint="default" w:ascii="Times New Roman" w:hAnsi="Times New Roman" w:eastAsia="宋体" w:cs="Times New Roman"/>
                      <w:color w:val="auto"/>
                      <w:sz w:val="21"/>
                      <w:szCs w:val="21"/>
                      <w:highlight w:val="none"/>
                    </w:rPr>
                    <w:t>一般固废间</w:t>
                  </w:r>
                  <w:r>
                    <w:rPr>
                      <w:rFonts w:hint="eastAsia" w:cs="Times New Roman"/>
                      <w:color w:val="FF0000"/>
                      <w:sz w:val="21"/>
                      <w:szCs w:val="21"/>
                      <w:highlight w:val="none"/>
                      <w:lang w:val="en-US" w:eastAsia="zh-CN"/>
                    </w:rPr>
                    <w:t>3</w:t>
                  </w:r>
                  <w:r>
                    <w:rPr>
                      <w:rFonts w:hint="default" w:ascii="Times New Roman" w:hAnsi="Times New Roman" w:eastAsia="宋体" w:cs="Times New Roman"/>
                      <w:color w:val="FF0000"/>
                      <w:sz w:val="21"/>
                      <w:szCs w:val="21"/>
                      <w:highlight w:val="none"/>
                      <w:lang w:val="en-US" w:eastAsia="zh-CN"/>
                    </w:rPr>
                    <w:t>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FF0000"/>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厂房外</w:t>
                  </w:r>
                  <w:r>
                    <w:rPr>
                      <w:rFonts w:hint="eastAsia" w:cs="Times New Roman"/>
                      <w:color w:val="auto"/>
                      <w:sz w:val="21"/>
                      <w:szCs w:val="21"/>
                      <w:highlight w:val="none"/>
                      <w:lang w:val="en-US" w:eastAsia="zh-CN"/>
                    </w:rPr>
                    <w:t>东</w:t>
                  </w:r>
                  <w:r>
                    <w:rPr>
                      <w:rFonts w:hint="default" w:ascii="Times New Roman" w:hAnsi="Times New Roman" w:eastAsia="宋体" w:cs="Times New Roman"/>
                      <w:color w:val="auto"/>
                      <w:sz w:val="21"/>
                      <w:szCs w:val="21"/>
                      <w:highlight w:val="none"/>
                      <w:lang w:val="en-US" w:eastAsia="zh-CN"/>
                    </w:rPr>
                    <w:t>侧</w:t>
                  </w:r>
                  <w:r>
                    <w:rPr>
                      <w:rFonts w:hint="eastAsia" w:cs="Times New Roman"/>
                      <w:color w:val="auto"/>
                      <w:sz w:val="21"/>
                      <w:szCs w:val="21"/>
                      <w:highlight w:val="none"/>
                      <w:lang w:eastAsia="zh-CN"/>
                    </w:rPr>
                    <w:t>设置</w:t>
                  </w:r>
                  <w:r>
                    <w:rPr>
                      <w:rFonts w:hint="default" w:ascii="Times New Roman" w:hAnsi="Times New Roman" w:eastAsia="宋体" w:cs="Times New Roman"/>
                      <w:color w:val="auto"/>
                      <w:sz w:val="21"/>
                      <w:szCs w:val="21"/>
                      <w:highlight w:val="none"/>
                    </w:rPr>
                    <w:t>危险固废间</w:t>
                  </w:r>
                  <w:r>
                    <w:rPr>
                      <w:rFonts w:hint="eastAsia" w:cs="Times New Roman"/>
                      <w:color w:val="FF0000"/>
                      <w:sz w:val="21"/>
                      <w:szCs w:val="21"/>
                      <w:highlight w:val="none"/>
                      <w:lang w:val="en-US" w:eastAsia="zh-CN"/>
                    </w:rPr>
                    <w:t>3</w:t>
                  </w:r>
                  <w:r>
                    <w:rPr>
                      <w:rFonts w:hint="default" w:ascii="Times New Roman" w:hAnsi="Times New Roman" w:eastAsia="宋体" w:cs="Times New Roman"/>
                      <w:color w:val="FF0000"/>
                      <w:sz w:val="21"/>
                      <w:szCs w:val="21"/>
                      <w:highlight w:val="none"/>
                      <w:lang w:val="en-US" w:eastAsia="zh-CN"/>
                    </w:rPr>
                    <w:t>0</w:t>
                  </w:r>
                  <w:r>
                    <w:rPr>
                      <w:rFonts w:hint="default" w:ascii="Times New Roman" w:hAnsi="Times New Roman" w:eastAsia="宋体" w:cs="Times New Roman"/>
                      <w:color w:val="FF0000"/>
                      <w:sz w:val="21"/>
                      <w:szCs w:val="21"/>
                      <w:highlight w:val="none"/>
                    </w:rPr>
                    <w:t>m</w:t>
                  </w:r>
                  <w:r>
                    <w:rPr>
                      <w:rFonts w:hint="default" w:ascii="Times New Roman" w:hAnsi="Times New Roman" w:eastAsia="宋体" w:cs="Times New Roman"/>
                      <w:color w:val="auto"/>
                      <w:sz w:val="21"/>
                      <w:szCs w:val="21"/>
                      <w:highlight w:val="none"/>
                      <w:vertAlign w:val="superscript"/>
                    </w:rPr>
                    <w:t>2</w:t>
                  </w:r>
                </w:p>
              </w:tc>
              <w:tc>
                <w:tcPr>
                  <w:tcW w:w="709" w:type="dxa"/>
                  <w:tcBorders>
                    <w:tl2br w:val="nil"/>
                    <w:tr2bl w:val="nil"/>
                  </w:tcBorders>
                  <w:vAlign w:val="center"/>
                </w:tcPr>
                <w:p w14:paraId="0E6662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eastAsia="zh-CN"/>
                    </w:rPr>
                    <w:t>依托租赁</w:t>
                  </w:r>
                </w:p>
              </w:tc>
            </w:tr>
            <w:tr w14:paraId="265963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continue"/>
                  <w:tcBorders>
                    <w:tl2br w:val="nil"/>
                    <w:tr2bl w:val="nil"/>
                  </w:tcBorders>
                  <w:vAlign w:val="center"/>
                </w:tcPr>
                <w:p w14:paraId="5DB890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FF0000"/>
                      <w:sz w:val="21"/>
                      <w:szCs w:val="21"/>
                      <w:highlight w:val="none"/>
                    </w:rPr>
                  </w:pPr>
                </w:p>
              </w:tc>
              <w:tc>
                <w:tcPr>
                  <w:tcW w:w="617" w:type="dxa"/>
                  <w:tcBorders>
                    <w:tl2br w:val="nil"/>
                    <w:tr2bl w:val="nil"/>
                  </w:tcBorders>
                  <w:vAlign w:val="center"/>
                </w:tcPr>
                <w:p w14:paraId="2AAB15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FF0000"/>
                      <w:sz w:val="21"/>
                      <w:szCs w:val="21"/>
                      <w:highlight w:val="none"/>
                      <w:lang w:eastAsia="zh-CN"/>
                    </w:rPr>
                  </w:pPr>
                  <w:r>
                    <w:rPr>
                      <w:rFonts w:hint="eastAsia" w:cs="Times New Roman"/>
                      <w:color w:val="FF0000"/>
                      <w:sz w:val="21"/>
                      <w:szCs w:val="21"/>
                      <w:highlight w:val="none"/>
                      <w:lang w:eastAsia="zh-CN"/>
                    </w:rPr>
                    <w:t>土壤及地下水</w:t>
                  </w:r>
                </w:p>
              </w:tc>
              <w:tc>
                <w:tcPr>
                  <w:tcW w:w="1866" w:type="dxa"/>
                  <w:tcBorders>
                    <w:tl2br w:val="nil"/>
                    <w:tr2bl w:val="nil"/>
                  </w:tcBorders>
                  <w:vAlign w:val="center"/>
                </w:tcPr>
                <w:p w14:paraId="1EE019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分区防渗措施</w:t>
                  </w:r>
                </w:p>
              </w:tc>
              <w:tc>
                <w:tcPr>
                  <w:tcW w:w="2175" w:type="dxa"/>
                  <w:tcBorders>
                    <w:tl2br w:val="nil"/>
                    <w:tr2bl w:val="nil"/>
                  </w:tcBorders>
                  <w:vAlign w:val="center"/>
                </w:tcPr>
                <w:p w14:paraId="3E8482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分区防渗措施</w:t>
                  </w:r>
                </w:p>
              </w:tc>
              <w:tc>
                <w:tcPr>
                  <w:tcW w:w="2030" w:type="dxa"/>
                  <w:tcBorders>
                    <w:tl2br w:val="nil"/>
                    <w:tr2bl w:val="nil"/>
                  </w:tcBorders>
                  <w:vAlign w:val="center"/>
                </w:tcPr>
                <w:p w14:paraId="37B1D5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sz w:val="21"/>
                      <w:szCs w:val="21"/>
                      <w:highlight w:val="none"/>
                      <w:lang w:val="en-US" w:eastAsia="zh-CN"/>
                    </w:rPr>
                  </w:pPr>
                  <w:r>
                    <w:rPr>
                      <w:rFonts w:hint="eastAsia" w:cs="Times New Roman"/>
                      <w:color w:val="FF0000"/>
                      <w:sz w:val="21"/>
                      <w:szCs w:val="21"/>
                      <w:highlight w:val="none"/>
                      <w:lang w:val="en-US" w:eastAsia="zh-CN"/>
                    </w:rPr>
                    <w:t>分区防渗措施</w:t>
                  </w:r>
                </w:p>
              </w:tc>
              <w:tc>
                <w:tcPr>
                  <w:tcW w:w="709" w:type="dxa"/>
                  <w:tcBorders>
                    <w:tl2br w:val="nil"/>
                    <w:tr2bl w:val="nil"/>
                  </w:tcBorders>
                  <w:vAlign w:val="center"/>
                </w:tcPr>
                <w:p w14:paraId="0B8D41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r>
            <w:tr w14:paraId="5B9AAF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83" w:type="dxa"/>
                  <w:vMerge w:val="continue"/>
                  <w:tcBorders>
                    <w:tl2br w:val="nil"/>
                    <w:tr2bl w:val="nil"/>
                  </w:tcBorders>
                  <w:vAlign w:val="center"/>
                </w:tcPr>
                <w:p w14:paraId="1653FA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p>
              </w:tc>
              <w:tc>
                <w:tcPr>
                  <w:tcW w:w="617" w:type="dxa"/>
                  <w:tcBorders>
                    <w:tl2br w:val="nil"/>
                    <w:tr2bl w:val="nil"/>
                  </w:tcBorders>
                  <w:vAlign w:val="center"/>
                </w:tcPr>
                <w:p w14:paraId="07E9EA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环境风险</w:t>
                  </w:r>
                </w:p>
              </w:tc>
              <w:tc>
                <w:tcPr>
                  <w:tcW w:w="1866" w:type="dxa"/>
                  <w:tcBorders>
                    <w:tl2br w:val="nil"/>
                    <w:tr2bl w:val="nil"/>
                  </w:tcBorders>
                  <w:vAlign w:val="center"/>
                </w:tcPr>
                <w:p w14:paraId="58E898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FF0000"/>
                      <w:sz w:val="21"/>
                      <w:szCs w:val="21"/>
                      <w:highlight w:val="none"/>
                      <w:lang w:val="en-US" w:eastAsia="zh-CN"/>
                    </w:rPr>
                    <w:t>1#厂房外东北侧</w:t>
                  </w:r>
                  <w:r>
                    <w:rPr>
                      <w:rFonts w:hint="default" w:ascii="Times New Roman" w:hAnsi="Times New Roman" w:eastAsia="宋体" w:cs="Times New Roman"/>
                      <w:color w:val="FF0000"/>
                      <w:sz w:val="21"/>
                      <w:szCs w:val="21"/>
                      <w:highlight w:val="none"/>
                    </w:rPr>
                    <w:t>设置一座事故应急池（</w:t>
                  </w:r>
                  <w:r>
                    <w:rPr>
                      <w:rFonts w:hint="eastAsia" w:cs="Times New Roman"/>
                      <w:color w:val="FF0000"/>
                      <w:sz w:val="21"/>
                      <w:szCs w:val="21"/>
                      <w:highlight w:val="none"/>
                      <w:lang w:val="en-US" w:eastAsia="zh-CN"/>
                    </w:rPr>
                    <w:t>3</w:t>
                  </w:r>
                  <w:r>
                    <w:rPr>
                      <w:rFonts w:hint="default" w:ascii="Times New Roman" w:hAnsi="Times New Roman" w:eastAsia="宋体" w:cs="Times New Roman"/>
                      <w:color w:val="FF0000"/>
                      <w:sz w:val="21"/>
                      <w:szCs w:val="21"/>
                      <w:highlight w:val="none"/>
                    </w:rPr>
                    <w:t>00m</w:t>
                  </w:r>
                  <w:r>
                    <w:rPr>
                      <w:rFonts w:hint="default" w:ascii="Times New Roman" w:hAnsi="Times New Roman" w:eastAsia="宋体" w:cs="Times New Roman"/>
                      <w:color w:val="FF0000"/>
                      <w:sz w:val="21"/>
                      <w:szCs w:val="21"/>
                      <w:highlight w:val="none"/>
                      <w:vertAlign w:val="superscript"/>
                    </w:rPr>
                    <w:t>3</w:t>
                  </w:r>
                  <w:r>
                    <w:rPr>
                      <w:rFonts w:hint="default" w:ascii="Times New Roman" w:hAnsi="Times New Roman" w:eastAsia="宋体" w:cs="Times New Roman"/>
                      <w:color w:val="auto"/>
                      <w:sz w:val="21"/>
                      <w:szCs w:val="21"/>
                      <w:highlight w:val="none"/>
                    </w:rPr>
                    <w:t>）</w:t>
                  </w:r>
                </w:p>
              </w:tc>
              <w:tc>
                <w:tcPr>
                  <w:tcW w:w="2175" w:type="dxa"/>
                  <w:tcBorders>
                    <w:tl2br w:val="nil"/>
                    <w:tr2bl w:val="nil"/>
                  </w:tcBorders>
                  <w:vAlign w:val="center"/>
                </w:tcPr>
                <w:p w14:paraId="50D98E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2#车间外东南侧</w:t>
                  </w:r>
                  <w:r>
                    <w:rPr>
                      <w:rFonts w:hint="eastAsia" w:cs="Times New Roman"/>
                      <w:color w:val="auto"/>
                      <w:sz w:val="21"/>
                      <w:szCs w:val="21"/>
                      <w:highlight w:val="none"/>
                      <w:lang w:eastAsia="zh-CN"/>
                    </w:rPr>
                    <w:t>设置一个</w:t>
                  </w:r>
                  <w:r>
                    <w:rPr>
                      <w:rFonts w:hint="eastAsia" w:cs="Times New Roman"/>
                      <w:color w:val="auto"/>
                      <w:sz w:val="21"/>
                      <w:szCs w:val="21"/>
                      <w:highlight w:val="none"/>
                      <w:lang w:val="en-US" w:eastAsia="zh-CN"/>
                    </w:rPr>
                    <w:t>600m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的</w:t>
                  </w:r>
                  <w:r>
                    <w:rPr>
                      <w:rFonts w:hint="eastAsia" w:cs="Times New Roman"/>
                      <w:color w:val="auto"/>
                      <w:sz w:val="21"/>
                      <w:szCs w:val="21"/>
                      <w:highlight w:val="none"/>
                      <w:lang w:eastAsia="zh-CN"/>
                    </w:rPr>
                    <w:t>事故池</w:t>
                  </w:r>
                </w:p>
              </w:tc>
              <w:tc>
                <w:tcPr>
                  <w:tcW w:w="2030" w:type="dxa"/>
                  <w:tcBorders>
                    <w:tl2br w:val="nil"/>
                    <w:tr2bl w:val="nil"/>
                  </w:tcBorders>
                  <w:vAlign w:val="center"/>
                </w:tcPr>
                <w:p w14:paraId="10E1C4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1#厂房外东北侧</w:t>
                  </w:r>
                  <w:r>
                    <w:rPr>
                      <w:rFonts w:hint="default" w:ascii="Times New Roman" w:hAnsi="Times New Roman" w:eastAsia="宋体" w:cs="Times New Roman"/>
                      <w:color w:val="auto"/>
                      <w:sz w:val="21"/>
                      <w:szCs w:val="21"/>
                      <w:highlight w:val="none"/>
                    </w:rPr>
                    <w:t>设置一座事故应急池（</w:t>
                  </w:r>
                  <w:r>
                    <w:rPr>
                      <w:rFonts w:hint="eastAsia"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2#车间外东南侧</w:t>
                  </w:r>
                  <w:r>
                    <w:rPr>
                      <w:rFonts w:hint="eastAsia" w:cs="Times New Roman"/>
                      <w:color w:val="auto"/>
                      <w:sz w:val="21"/>
                      <w:szCs w:val="21"/>
                      <w:highlight w:val="none"/>
                      <w:lang w:eastAsia="zh-CN"/>
                    </w:rPr>
                    <w:t>设置一个</w:t>
                  </w:r>
                  <w:r>
                    <w:rPr>
                      <w:rFonts w:hint="eastAsia" w:cs="Times New Roman"/>
                      <w:color w:val="auto"/>
                      <w:sz w:val="21"/>
                      <w:szCs w:val="21"/>
                      <w:highlight w:val="none"/>
                      <w:lang w:val="en-US" w:eastAsia="zh-CN"/>
                    </w:rPr>
                    <w:t>600m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的</w:t>
                  </w:r>
                  <w:r>
                    <w:rPr>
                      <w:rFonts w:hint="eastAsia" w:cs="Times New Roman"/>
                      <w:color w:val="auto"/>
                      <w:sz w:val="21"/>
                      <w:szCs w:val="21"/>
                      <w:highlight w:val="none"/>
                      <w:lang w:eastAsia="zh-CN"/>
                    </w:rPr>
                    <w:t>事故池</w:t>
                  </w:r>
                </w:p>
              </w:tc>
              <w:tc>
                <w:tcPr>
                  <w:tcW w:w="709" w:type="dxa"/>
                  <w:tcBorders>
                    <w:tl2br w:val="nil"/>
                    <w:tr2bl w:val="nil"/>
                  </w:tcBorders>
                  <w:vAlign w:val="center"/>
                </w:tcPr>
                <w:p w14:paraId="0017AC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依托租赁</w:t>
                  </w:r>
                </w:p>
              </w:tc>
            </w:tr>
            <w:tr w14:paraId="27331A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080" w:type="dxa"/>
                  <w:gridSpan w:val="6"/>
                  <w:tcBorders>
                    <w:tl2br w:val="nil"/>
                    <w:tr2bl w:val="nil"/>
                  </w:tcBorders>
                  <w:vAlign w:val="center"/>
                </w:tcPr>
                <w:p w14:paraId="242B39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left"/>
                    <w:textAlignment w:val="auto"/>
                    <w:rPr>
                      <w:rFonts w:hint="eastAsia" w:cs="Times New Roman"/>
                      <w:color w:val="auto"/>
                      <w:sz w:val="21"/>
                      <w:szCs w:val="21"/>
                      <w:highlight w:val="none"/>
                      <w:lang w:eastAsia="zh-CN"/>
                    </w:rPr>
                  </w:pPr>
                  <w:r>
                    <w:rPr>
                      <w:rFonts w:hint="default" w:ascii="Times New Roman" w:hAnsi="Times New Roman" w:cs="Times New Roman"/>
                      <w:color w:val="FF0000"/>
                      <w:sz w:val="21"/>
                      <w:szCs w:val="21"/>
                      <w:highlight w:val="none"/>
                      <w:lang w:val="en-US" w:eastAsia="zh-CN"/>
                    </w:rPr>
                    <w:t>注：本项目仅对产品抗性进行物理检测，不使用试剂，不产生废水、废液；产品中污染物检测全部委外。</w:t>
                  </w:r>
                </w:p>
              </w:tc>
            </w:tr>
          </w:tbl>
          <w:p w14:paraId="2D952F40">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lang w:val="en-US" w:eastAsia="zh-CN"/>
              </w:rPr>
              <w:t>4</w:t>
            </w:r>
            <w:r>
              <w:rPr>
                <w:rFonts w:hint="default"/>
                <w:b/>
                <w:bCs/>
                <w:color w:val="auto"/>
                <w:highlight w:val="none"/>
              </w:rPr>
              <w:t>、项目产品方案</w:t>
            </w:r>
          </w:p>
          <w:p w14:paraId="4B3BE1F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w:t>
            </w:r>
            <w:r>
              <w:rPr>
                <w:rFonts w:hint="default"/>
                <w:color w:val="auto"/>
                <w:highlight w:val="none"/>
                <w:lang w:val="en-US" w:eastAsia="zh-CN"/>
              </w:rPr>
              <w:t>产品方案</w:t>
            </w:r>
            <w:r>
              <w:rPr>
                <w:rFonts w:hint="default"/>
                <w:color w:val="auto"/>
                <w:highlight w:val="none"/>
              </w:rPr>
              <w:t>详</w:t>
            </w:r>
            <w:r>
              <w:rPr>
                <w:rFonts w:hint="default"/>
                <w:color w:val="auto"/>
                <w:highlight w:val="none"/>
                <w:lang w:val="en-US" w:eastAsia="zh-CN"/>
              </w:rPr>
              <w:t>情</w:t>
            </w:r>
            <w:r>
              <w:rPr>
                <w:rFonts w:hint="default"/>
                <w:color w:val="auto"/>
                <w:highlight w:val="none"/>
              </w:rPr>
              <w:t>见</w:t>
            </w:r>
            <w:r>
              <w:rPr>
                <w:rFonts w:hint="default"/>
                <w:color w:val="auto"/>
                <w:highlight w:val="none"/>
                <w:lang w:val="en-US" w:eastAsia="zh-CN"/>
              </w:rPr>
              <w:t>下</w:t>
            </w:r>
            <w:r>
              <w:rPr>
                <w:rFonts w:hint="default"/>
                <w:color w:val="auto"/>
                <w:highlight w:val="none"/>
              </w:rPr>
              <w:t>表。</w:t>
            </w:r>
          </w:p>
          <w:p w14:paraId="066FB2A7">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项目产品方案一览表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562"/>
              <w:gridCol w:w="1281"/>
              <w:gridCol w:w="1378"/>
              <w:gridCol w:w="1663"/>
              <w:gridCol w:w="1015"/>
              <w:gridCol w:w="2181"/>
            </w:tblGrid>
            <w:tr w14:paraId="154BC4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28" w:hRule="atLeast"/>
                <w:jc w:val="center"/>
              </w:trPr>
              <w:tc>
                <w:tcPr>
                  <w:tcW w:w="347" w:type="pct"/>
                  <w:tcBorders>
                    <w:tl2br w:val="nil"/>
                    <w:tr2bl w:val="nil"/>
                  </w:tcBorders>
                  <w:noWrap w:val="0"/>
                  <w:vAlign w:val="center"/>
                </w:tcPr>
                <w:p w14:paraId="112687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bookmarkStart w:id="30" w:name="OLE_LINK2"/>
                  <w:bookmarkStart w:id="31" w:name="OLE_LINK1"/>
                  <w:r>
                    <w:rPr>
                      <w:rFonts w:hint="default"/>
                      <w:b/>
                      <w:bCs/>
                      <w:color w:val="auto"/>
                      <w:sz w:val="21"/>
                      <w:szCs w:val="21"/>
                      <w:highlight w:val="none"/>
                    </w:rPr>
                    <w:t>序号</w:t>
                  </w:r>
                </w:p>
              </w:tc>
              <w:tc>
                <w:tcPr>
                  <w:tcW w:w="792" w:type="pct"/>
                  <w:tcBorders>
                    <w:tl2br w:val="nil"/>
                    <w:tr2bl w:val="nil"/>
                  </w:tcBorders>
                  <w:noWrap w:val="0"/>
                  <w:vAlign w:val="center"/>
                </w:tcPr>
                <w:p w14:paraId="1342D1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产品名称</w:t>
                  </w:r>
                </w:p>
              </w:tc>
              <w:tc>
                <w:tcPr>
                  <w:tcW w:w="852" w:type="pct"/>
                  <w:tcBorders>
                    <w:tl2br w:val="nil"/>
                    <w:tr2bl w:val="nil"/>
                  </w:tcBorders>
                  <w:noWrap w:val="0"/>
                  <w:vAlign w:val="center"/>
                </w:tcPr>
                <w:p w14:paraId="457404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eastAsia="zh-CN"/>
                    </w:rPr>
                  </w:pPr>
                  <w:r>
                    <w:rPr>
                      <w:rFonts w:hint="default"/>
                      <w:b/>
                      <w:bCs/>
                      <w:color w:val="auto"/>
                      <w:sz w:val="21"/>
                      <w:szCs w:val="21"/>
                      <w:highlight w:val="none"/>
                    </w:rPr>
                    <w:t>产能</w:t>
                  </w:r>
                  <w:r>
                    <w:rPr>
                      <w:rFonts w:hint="default"/>
                      <w:b/>
                      <w:bCs/>
                      <w:color w:val="auto"/>
                      <w:sz w:val="21"/>
                      <w:szCs w:val="21"/>
                      <w:highlight w:val="none"/>
                      <w:lang w:eastAsia="zh-CN"/>
                    </w:rPr>
                    <w:t>（万</w:t>
                  </w:r>
                  <w:r>
                    <w:rPr>
                      <w:rFonts w:hint="default"/>
                      <w:b/>
                      <w:bCs/>
                      <w:color w:val="auto"/>
                      <w:sz w:val="21"/>
                      <w:szCs w:val="21"/>
                      <w:highlight w:val="none"/>
                      <w:lang w:val="en-US" w:eastAsia="zh-CN"/>
                    </w:rPr>
                    <w:t>吨</w:t>
                  </w:r>
                  <w:r>
                    <w:rPr>
                      <w:rFonts w:hint="default"/>
                      <w:b/>
                      <w:bCs/>
                      <w:color w:val="auto"/>
                      <w:sz w:val="21"/>
                      <w:szCs w:val="21"/>
                      <w:highlight w:val="none"/>
                      <w:lang w:eastAsia="zh-CN"/>
                    </w:rPr>
                    <w:t>）</w:t>
                  </w:r>
                </w:p>
              </w:tc>
              <w:tc>
                <w:tcPr>
                  <w:tcW w:w="1029" w:type="pct"/>
                  <w:tcBorders>
                    <w:tl2br w:val="nil"/>
                    <w:tr2bl w:val="nil"/>
                  </w:tcBorders>
                  <w:shd w:val="clear" w:color="auto" w:fill="auto"/>
                  <w:noWrap w:val="0"/>
                  <w:vAlign w:val="center"/>
                </w:tcPr>
                <w:p w14:paraId="3BB221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产品规格</w:t>
                  </w:r>
                </w:p>
              </w:tc>
              <w:tc>
                <w:tcPr>
                  <w:tcW w:w="628" w:type="pct"/>
                  <w:tcBorders>
                    <w:tl2br w:val="nil"/>
                    <w:tr2bl w:val="nil"/>
                  </w:tcBorders>
                  <w:shd w:val="clear" w:color="auto" w:fill="auto"/>
                  <w:noWrap w:val="0"/>
                  <w:vAlign w:val="center"/>
                </w:tcPr>
                <w:p w14:paraId="21F3CF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FF0000"/>
                      <w:sz w:val="21"/>
                      <w:szCs w:val="21"/>
                      <w:highlight w:val="none"/>
                      <w:lang w:val="en-US" w:eastAsia="zh-CN"/>
                    </w:rPr>
                  </w:pPr>
                  <w:r>
                    <w:rPr>
                      <w:rFonts w:hint="default"/>
                      <w:b/>
                      <w:bCs/>
                      <w:color w:val="FF0000"/>
                      <w:sz w:val="21"/>
                      <w:szCs w:val="21"/>
                      <w:highlight w:val="none"/>
                      <w:lang w:val="en-US" w:eastAsia="zh-CN"/>
                    </w:rPr>
                    <w:t>包装方式</w:t>
                  </w:r>
                </w:p>
              </w:tc>
              <w:tc>
                <w:tcPr>
                  <w:tcW w:w="1349" w:type="pct"/>
                  <w:tcBorders>
                    <w:tl2br w:val="nil"/>
                    <w:tr2bl w:val="nil"/>
                  </w:tcBorders>
                  <w:noWrap w:val="0"/>
                  <w:vAlign w:val="center"/>
                </w:tcPr>
                <w:p w14:paraId="1FB64F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产品质量标准</w:t>
                  </w:r>
                </w:p>
              </w:tc>
            </w:tr>
            <w:tr w14:paraId="785FB4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643" w:hRule="atLeast"/>
                <w:jc w:val="center"/>
              </w:trPr>
              <w:tc>
                <w:tcPr>
                  <w:tcW w:w="347" w:type="pct"/>
                  <w:tcBorders>
                    <w:tl2br w:val="nil"/>
                    <w:tr2bl w:val="nil"/>
                  </w:tcBorders>
                  <w:noWrap w:val="0"/>
                  <w:vAlign w:val="center"/>
                </w:tcPr>
                <w:p w14:paraId="456C00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1</w:t>
                  </w:r>
                </w:p>
              </w:tc>
              <w:tc>
                <w:tcPr>
                  <w:tcW w:w="792" w:type="pct"/>
                  <w:tcBorders>
                    <w:tl2br w:val="nil"/>
                    <w:tr2bl w:val="nil"/>
                  </w:tcBorders>
                  <w:shd w:val="clear" w:color="auto" w:fill="auto"/>
                  <w:noWrap w:val="0"/>
                  <w:vAlign w:val="center"/>
                </w:tcPr>
                <w:p w14:paraId="637E7D7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环保免烧砖</w:t>
                  </w:r>
                </w:p>
              </w:tc>
              <w:tc>
                <w:tcPr>
                  <w:tcW w:w="852" w:type="pct"/>
                  <w:tcBorders>
                    <w:tl2br w:val="nil"/>
                    <w:tr2bl w:val="nil"/>
                  </w:tcBorders>
                  <w:shd w:val="clear" w:color="auto" w:fill="auto"/>
                  <w:noWrap w:val="0"/>
                  <w:vAlign w:val="center"/>
                </w:tcPr>
                <w:p w14:paraId="529092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50</w:t>
                  </w:r>
                </w:p>
              </w:tc>
              <w:tc>
                <w:tcPr>
                  <w:tcW w:w="1029" w:type="pct"/>
                  <w:tcBorders>
                    <w:tl2br w:val="nil"/>
                    <w:tr2bl w:val="nil"/>
                  </w:tcBorders>
                  <w:shd w:val="clear" w:color="auto" w:fill="auto"/>
                  <w:noWrap w:val="0"/>
                  <w:vAlign w:val="center"/>
                </w:tcPr>
                <w:p w14:paraId="17A5EB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240mm×115mm×53mm</w:t>
                  </w:r>
                </w:p>
              </w:tc>
              <w:tc>
                <w:tcPr>
                  <w:tcW w:w="628" w:type="pct"/>
                  <w:tcBorders>
                    <w:tl2br w:val="nil"/>
                    <w:tr2bl w:val="nil"/>
                  </w:tcBorders>
                  <w:shd w:val="clear" w:color="auto" w:fill="auto"/>
                  <w:noWrap w:val="0"/>
                  <w:vAlign w:val="center"/>
                </w:tcPr>
                <w:p w14:paraId="30ABE5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散装</w:t>
                  </w:r>
                </w:p>
              </w:tc>
              <w:tc>
                <w:tcPr>
                  <w:tcW w:w="1349" w:type="pct"/>
                  <w:tcBorders>
                    <w:tl2br w:val="nil"/>
                    <w:tr2bl w:val="nil"/>
                  </w:tcBorders>
                  <w:shd w:val="clear" w:color="auto" w:fill="auto"/>
                  <w:noWrap w:val="0"/>
                  <w:vAlign w:val="center"/>
                </w:tcPr>
                <w:p w14:paraId="5C13FC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《混凝土路面砖》（GB/T 28635-2012）</w:t>
                  </w:r>
                </w:p>
              </w:tc>
            </w:tr>
            <w:tr w14:paraId="39FD4A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60" w:hRule="atLeast"/>
                <w:jc w:val="center"/>
              </w:trPr>
              <w:tc>
                <w:tcPr>
                  <w:tcW w:w="347" w:type="pct"/>
                  <w:tcBorders>
                    <w:tl2br w:val="nil"/>
                    <w:tr2bl w:val="nil"/>
                  </w:tcBorders>
                  <w:noWrap w:val="0"/>
                  <w:vAlign w:val="center"/>
                </w:tcPr>
                <w:p w14:paraId="6209DD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2</w:t>
                  </w:r>
                </w:p>
              </w:tc>
              <w:tc>
                <w:tcPr>
                  <w:tcW w:w="792" w:type="pct"/>
                  <w:tcBorders>
                    <w:tl2br w:val="nil"/>
                    <w:tr2bl w:val="nil"/>
                  </w:tcBorders>
                  <w:shd w:val="clear" w:color="auto" w:fill="auto"/>
                  <w:noWrap w:val="0"/>
                  <w:vAlign w:val="center"/>
                </w:tcPr>
                <w:p w14:paraId="64F793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掺合料</w:t>
                  </w:r>
                </w:p>
              </w:tc>
              <w:tc>
                <w:tcPr>
                  <w:tcW w:w="852" w:type="pct"/>
                  <w:tcBorders>
                    <w:tl2br w:val="nil"/>
                    <w:tr2bl w:val="nil"/>
                  </w:tcBorders>
                  <w:shd w:val="clear" w:color="auto" w:fill="auto"/>
                  <w:noWrap w:val="0"/>
                  <w:vAlign w:val="center"/>
                </w:tcPr>
                <w:p w14:paraId="438E95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40</w:t>
                  </w:r>
                </w:p>
              </w:tc>
              <w:tc>
                <w:tcPr>
                  <w:tcW w:w="1029" w:type="pct"/>
                  <w:tcBorders>
                    <w:tl2br w:val="nil"/>
                    <w:tr2bl w:val="nil"/>
                  </w:tcBorders>
                  <w:shd w:val="clear" w:color="auto" w:fill="auto"/>
                  <w:noWrap w:val="0"/>
                  <w:vAlign w:val="center"/>
                </w:tcPr>
                <w:p w14:paraId="05F72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0.075mm</w:t>
                  </w:r>
                </w:p>
              </w:tc>
              <w:tc>
                <w:tcPr>
                  <w:tcW w:w="628" w:type="pct"/>
                  <w:tcBorders>
                    <w:tl2br w:val="nil"/>
                    <w:tr2bl w:val="nil"/>
                  </w:tcBorders>
                  <w:shd w:val="clear" w:color="auto" w:fill="auto"/>
                  <w:noWrap w:val="0"/>
                  <w:vAlign w:val="center"/>
                </w:tcPr>
                <w:p w14:paraId="175C46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散装</w:t>
                  </w:r>
                </w:p>
              </w:tc>
              <w:tc>
                <w:tcPr>
                  <w:tcW w:w="1349" w:type="pct"/>
                  <w:tcBorders>
                    <w:tl2br w:val="nil"/>
                    <w:tr2bl w:val="nil"/>
                  </w:tcBorders>
                  <w:shd w:val="clear" w:color="auto" w:fill="auto"/>
                  <w:noWrap w:val="0"/>
                  <w:vAlign w:val="center"/>
                </w:tcPr>
                <w:p w14:paraId="24177C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eastAsia="zh-CN"/>
                    </w:rPr>
                    <w:t>《</w:t>
                  </w:r>
                  <w:r>
                    <w:rPr>
                      <w:rFonts w:hint="default"/>
                      <w:color w:val="auto"/>
                      <w:sz w:val="21"/>
                      <w:szCs w:val="21"/>
                      <w:highlight w:val="none"/>
                    </w:rPr>
                    <w:t>混凝土用复合掺合料</w:t>
                  </w:r>
                  <w:r>
                    <w:rPr>
                      <w:rFonts w:hint="default"/>
                      <w:color w:val="auto"/>
                      <w:sz w:val="21"/>
                      <w:szCs w:val="21"/>
                      <w:highlight w:val="none"/>
                      <w:lang w:eastAsia="zh-CN"/>
                    </w:rPr>
                    <w:t>》（JG</w:t>
                  </w:r>
                  <w:r>
                    <w:rPr>
                      <w:rFonts w:hint="default"/>
                      <w:color w:val="auto"/>
                      <w:sz w:val="21"/>
                      <w:szCs w:val="21"/>
                      <w:highlight w:val="none"/>
                      <w:lang w:val="en-US" w:eastAsia="zh-CN"/>
                    </w:rPr>
                    <w:t>/</w:t>
                  </w:r>
                  <w:r>
                    <w:rPr>
                      <w:rFonts w:hint="default"/>
                      <w:color w:val="auto"/>
                      <w:sz w:val="21"/>
                      <w:szCs w:val="21"/>
                      <w:highlight w:val="none"/>
                      <w:lang w:eastAsia="zh-CN"/>
                    </w:rPr>
                    <w:t>T486-2015）</w:t>
                  </w:r>
                  <w:r>
                    <w:rPr>
                      <w:rFonts w:hint="default"/>
                      <w:color w:val="auto"/>
                      <w:sz w:val="21"/>
                      <w:szCs w:val="21"/>
                      <w:highlight w:val="none"/>
                      <w:lang w:val="en-US" w:eastAsia="zh-CN"/>
                    </w:rPr>
                    <w:t>中普通型Ⅱ级</w:t>
                  </w:r>
                </w:p>
              </w:tc>
            </w:tr>
            <w:bookmarkEnd w:id="30"/>
            <w:bookmarkEnd w:id="31"/>
          </w:tbl>
          <w:p w14:paraId="2C381AD9">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auto"/>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全厂扩建前后产品产量一览表</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28" w:type="dxa"/>
                <w:bottom w:w="0" w:type="dxa"/>
                <w:right w:w="28" w:type="dxa"/>
              </w:tblCellMar>
            </w:tblPr>
            <w:tblGrid>
              <w:gridCol w:w="1729"/>
              <w:gridCol w:w="1400"/>
              <w:gridCol w:w="1730"/>
              <w:gridCol w:w="1405"/>
              <w:gridCol w:w="1072"/>
              <w:gridCol w:w="744"/>
            </w:tblGrid>
            <w:tr w14:paraId="1495F61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vMerge w:val="restart"/>
                  <w:tcBorders>
                    <w:tl2br w:val="nil"/>
                    <w:tr2bl w:val="nil"/>
                  </w:tcBorders>
                  <w:noWrap w:val="0"/>
                  <w:vAlign w:val="center"/>
                </w:tcPr>
                <w:p w14:paraId="797702E9">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bCs/>
                      <w:color w:val="auto"/>
                      <w:sz w:val="21"/>
                      <w:szCs w:val="21"/>
                      <w:highlight w:val="none"/>
                    </w:rPr>
                  </w:pPr>
                  <w:r>
                    <w:rPr>
                      <w:rFonts w:hint="default"/>
                      <w:bCs/>
                      <w:color w:val="auto"/>
                      <w:sz w:val="21"/>
                      <w:szCs w:val="21"/>
                      <w:highlight w:val="none"/>
                    </w:rPr>
                    <w:t>产品名称</w:t>
                  </w:r>
                </w:p>
              </w:tc>
              <w:tc>
                <w:tcPr>
                  <w:tcW w:w="2806" w:type="pct"/>
                  <w:gridSpan w:val="3"/>
                  <w:tcBorders>
                    <w:tl2br w:val="nil"/>
                    <w:tr2bl w:val="nil"/>
                  </w:tcBorders>
                  <w:noWrap w:val="0"/>
                  <w:vAlign w:val="center"/>
                </w:tcPr>
                <w:p w14:paraId="70609DC6">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eastAsia="宋体"/>
                      <w:bCs/>
                      <w:color w:val="auto"/>
                      <w:sz w:val="21"/>
                      <w:szCs w:val="21"/>
                      <w:highlight w:val="none"/>
                      <w:lang w:eastAsia="zh-CN"/>
                    </w:rPr>
                  </w:pPr>
                  <w:r>
                    <w:rPr>
                      <w:rFonts w:hint="default"/>
                      <w:bCs/>
                      <w:color w:val="auto"/>
                      <w:sz w:val="21"/>
                      <w:szCs w:val="21"/>
                      <w:highlight w:val="none"/>
                    </w:rPr>
                    <w:t>年产量</w:t>
                  </w:r>
                  <w:r>
                    <w:rPr>
                      <w:rFonts w:hint="eastAsia"/>
                      <w:bCs/>
                      <w:color w:val="auto"/>
                      <w:sz w:val="21"/>
                      <w:szCs w:val="21"/>
                      <w:highlight w:val="none"/>
                      <w:lang w:eastAsia="zh-CN"/>
                    </w:rPr>
                    <w:t>（</w:t>
                  </w:r>
                  <w:r>
                    <w:rPr>
                      <w:rFonts w:hint="eastAsia"/>
                      <w:bCs/>
                      <w:color w:val="auto"/>
                      <w:sz w:val="21"/>
                      <w:szCs w:val="21"/>
                      <w:highlight w:val="none"/>
                      <w:lang w:val="en-US" w:eastAsia="zh-CN"/>
                    </w:rPr>
                    <w:t>t/a</w:t>
                  </w:r>
                  <w:r>
                    <w:rPr>
                      <w:rFonts w:hint="eastAsia"/>
                      <w:bCs/>
                      <w:color w:val="auto"/>
                      <w:sz w:val="21"/>
                      <w:szCs w:val="21"/>
                      <w:highlight w:val="none"/>
                      <w:lang w:eastAsia="zh-CN"/>
                    </w:rPr>
                    <w:t>）</w:t>
                  </w:r>
                </w:p>
              </w:tc>
              <w:tc>
                <w:tcPr>
                  <w:tcW w:w="663" w:type="pct"/>
                  <w:vMerge w:val="restart"/>
                  <w:tcBorders>
                    <w:tl2br w:val="nil"/>
                    <w:tr2bl w:val="nil"/>
                  </w:tcBorders>
                  <w:noWrap w:val="0"/>
                  <w:vAlign w:val="center"/>
                </w:tcPr>
                <w:p w14:paraId="6808B301">
                  <w:pPr>
                    <w:keepNext/>
                    <w:keepLines w:val="0"/>
                    <w:pageBreakBefore w:val="0"/>
                    <w:widowControl w:val="0"/>
                    <w:suppressLineNumbers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bCs/>
                      <w:color w:val="auto"/>
                      <w:sz w:val="21"/>
                      <w:szCs w:val="21"/>
                      <w:highlight w:val="none"/>
                      <w:lang w:eastAsia="zh-CN"/>
                    </w:rPr>
                  </w:pPr>
                  <w:r>
                    <w:rPr>
                      <w:rFonts w:hint="eastAsia" w:ascii="Times New Roman" w:hAnsi="Times New Roman" w:eastAsia="宋体" w:cs="Times New Roman"/>
                      <w:bCs/>
                      <w:color w:val="auto"/>
                      <w:sz w:val="21"/>
                      <w:szCs w:val="21"/>
                      <w:highlight w:val="none"/>
                      <w:lang w:eastAsia="zh-CN"/>
                    </w:rPr>
                    <w:t>变化量</w:t>
                  </w:r>
                </w:p>
              </w:tc>
              <w:tc>
                <w:tcPr>
                  <w:tcW w:w="460" w:type="pct"/>
                  <w:vMerge w:val="restart"/>
                  <w:tcBorders>
                    <w:tl2br w:val="nil"/>
                    <w:tr2bl w:val="nil"/>
                  </w:tcBorders>
                  <w:noWrap w:val="0"/>
                  <w:vAlign w:val="center"/>
                </w:tcPr>
                <w:p w14:paraId="7C30909A">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eastAsia="宋体"/>
                      <w:bCs/>
                      <w:color w:val="auto"/>
                      <w:sz w:val="21"/>
                      <w:szCs w:val="21"/>
                      <w:highlight w:val="none"/>
                      <w:lang w:eastAsia="zh-CN"/>
                    </w:rPr>
                  </w:pPr>
                  <w:r>
                    <w:rPr>
                      <w:rFonts w:hint="eastAsia"/>
                      <w:bCs/>
                      <w:color w:val="auto"/>
                      <w:sz w:val="21"/>
                      <w:szCs w:val="21"/>
                      <w:highlight w:val="none"/>
                      <w:lang w:eastAsia="zh-CN"/>
                    </w:rPr>
                    <w:t>备注</w:t>
                  </w:r>
                </w:p>
              </w:tc>
            </w:tr>
            <w:tr w14:paraId="2B4761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vMerge w:val="continue"/>
                  <w:tcBorders>
                    <w:tl2br w:val="nil"/>
                    <w:tr2bl w:val="nil"/>
                  </w:tcBorders>
                  <w:noWrap w:val="0"/>
                  <w:vAlign w:val="center"/>
                </w:tcPr>
                <w:p w14:paraId="1DBD48C4">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color w:val="auto"/>
                      <w:sz w:val="21"/>
                      <w:szCs w:val="21"/>
                      <w:highlight w:val="none"/>
                    </w:rPr>
                  </w:pPr>
                </w:p>
              </w:tc>
              <w:tc>
                <w:tcPr>
                  <w:tcW w:w="866" w:type="pct"/>
                  <w:tcBorders>
                    <w:tl2br w:val="nil"/>
                    <w:tr2bl w:val="nil"/>
                  </w:tcBorders>
                  <w:noWrap w:val="0"/>
                  <w:vAlign w:val="center"/>
                </w:tcPr>
                <w:p w14:paraId="1F6032CC">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bCs/>
                      <w:color w:val="auto"/>
                      <w:sz w:val="21"/>
                      <w:szCs w:val="21"/>
                      <w:highlight w:val="none"/>
                    </w:rPr>
                  </w:pPr>
                  <w:r>
                    <w:rPr>
                      <w:rFonts w:hint="eastAsia"/>
                      <w:bCs/>
                      <w:color w:val="auto"/>
                      <w:sz w:val="21"/>
                      <w:szCs w:val="21"/>
                      <w:highlight w:val="none"/>
                    </w:rPr>
                    <w:t>扩建前</w:t>
                  </w:r>
                </w:p>
              </w:tc>
              <w:tc>
                <w:tcPr>
                  <w:tcW w:w="1070" w:type="pct"/>
                  <w:tcBorders>
                    <w:tl2br w:val="nil"/>
                    <w:tr2bl w:val="nil"/>
                  </w:tcBorders>
                  <w:noWrap w:val="0"/>
                  <w:vAlign w:val="center"/>
                </w:tcPr>
                <w:p w14:paraId="5BA7DA74">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eastAsia="宋体"/>
                      <w:bCs/>
                      <w:color w:val="auto"/>
                      <w:sz w:val="21"/>
                      <w:szCs w:val="21"/>
                      <w:highlight w:val="none"/>
                      <w:lang w:eastAsia="zh-CN"/>
                    </w:rPr>
                  </w:pPr>
                  <w:r>
                    <w:rPr>
                      <w:rFonts w:hint="eastAsia"/>
                      <w:bCs/>
                      <w:color w:val="auto"/>
                      <w:sz w:val="21"/>
                      <w:szCs w:val="21"/>
                      <w:highlight w:val="none"/>
                      <w:lang w:eastAsia="zh-CN"/>
                    </w:rPr>
                    <w:t>扩建项目</w:t>
                  </w:r>
                </w:p>
              </w:tc>
              <w:tc>
                <w:tcPr>
                  <w:tcW w:w="869" w:type="pct"/>
                  <w:tcBorders>
                    <w:tl2br w:val="nil"/>
                    <w:tr2bl w:val="nil"/>
                  </w:tcBorders>
                  <w:noWrap w:val="0"/>
                  <w:vAlign w:val="center"/>
                </w:tcPr>
                <w:p w14:paraId="49706ECC">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bCs/>
                      <w:color w:val="auto"/>
                      <w:sz w:val="21"/>
                      <w:szCs w:val="21"/>
                      <w:highlight w:val="none"/>
                    </w:rPr>
                  </w:pPr>
                  <w:r>
                    <w:rPr>
                      <w:rFonts w:hint="eastAsia"/>
                      <w:bCs/>
                      <w:color w:val="auto"/>
                      <w:sz w:val="21"/>
                      <w:szCs w:val="21"/>
                      <w:highlight w:val="none"/>
                    </w:rPr>
                    <w:t>扩建后</w:t>
                  </w:r>
                </w:p>
              </w:tc>
              <w:tc>
                <w:tcPr>
                  <w:tcW w:w="663" w:type="pct"/>
                  <w:vMerge w:val="continue"/>
                  <w:tcBorders>
                    <w:tl2br w:val="nil"/>
                    <w:tr2bl w:val="nil"/>
                  </w:tcBorders>
                  <w:noWrap w:val="0"/>
                  <w:vAlign w:val="center"/>
                </w:tcPr>
                <w:p w14:paraId="5A29A82C">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bCs/>
                      <w:color w:val="auto"/>
                      <w:sz w:val="21"/>
                      <w:szCs w:val="21"/>
                      <w:highlight w:val="none"/>
                    </w:rPr>
                  </w:pPr>
                </w:p>
              </w:tc>
              <w:tc>
                <w:tcPr>
                  <w:tcW w:w="460" w:type="pct"/>
                  <w:vMerge w:val="continue"/>
                  <w:tcBorders>
                    <w:tl2br w:val="nil"/>
                    <w:tr2bl w:val="nil"/>
                  </w:tcBorders>
                  <w:noWrap w:val="0"/>
                  <w:vAlign w:val="center"/>
                </w:tcPr>
                <w:p w14:paraId="65D40050">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bCs/>
                      <w:color w:val="auto"/>
                      <w:sz w:val="21"/>
                      <w:szCs w:val="21"/>
                      <w:highlight w:val="none"/>
                    </w:rPr>
                  </w:pPr>
                </w:p>
              </w:tc>
            </w:tr>
            <w:tr w14:paraId="015D54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tcBorders>
                    <w:tl2br w:val="nil"/>
                    <w:tr2bl w:val="nil"/>
                  </w:tcBorders>
                  <w:noWrap w:val="0"/>
                  <w:vAlign w:val="center"/>
                </w:tcPr>
                <w:p w14:paraId="6F0F3856">
                  <w:pPr>
                    <w:pStyle w:val="114"/>
                    <w:keepNext w:val="0"/>
                    <w:keepLines w:val="0"/>
                    <w:suppressLineNumbers w:val="0"/>
                    <w:spacing w:before="0" w:beforeAutospacing="0" w:after="0" w:afterAutospacing="0"/>
                    <w:ind w:left="0" w:right="0" w:firstLine="0" w:firstLineChars="0"/>
                    <w:rPr>
                      <w:rFonts w:hint="eastAsia" w:ascii="宋体" w:hAnsi="宋体" w:eastAsia="宋体" w:cs="宋体"/>
                      <w:bCs/>
                      <w:color w:val="auto"/>
                      <w:sz w:val="21"/>
                      <w:szCs w:val="21"/>
                      <w:highlight w:val="none"/>
                      <w:lang w:eastAsia="zh-CN"/>
                    </w:rPr>
                  </w:pPr>
                  <w:bookmarkStart w:id="32" w:name="_Toc5833"/>
                  <w:r>
                    <w:rPr>
                      <w:rFonts w:hint="default"/>
                      <w:color w:val="auto"/>
                      <w:highlight w:val="none"/>
                    </w:rPr>
                    <w:t>固化尾渣</w:t>
                  </w:r>
                  <w:bookmarkEnd w:id="32"/>
                </w:p>
              </w:tc>
              <w:tc>
                <w:tcPr>
                  <w:tcW w:w="866" w:type="pct"/>
                  <w:tcBorders>
                    <w:tl2br w:val="nil"/>
                    <w:tr2bl w:val="nil"/>
                  </w:tcBorders>
                  <w:noWrap w:val="0"/>
                  <w:vAlign w:val="center"/>
                </w:tcPr>
                <w:p w14:paraId="256B11DA">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bCs/>
                      <w:color w:val="auto"/>
                      <w:kern w:val="2"/>
                      <w:sz w:val="21"/>
                      <w:szCs w:val="21"/>
                      <w:highlight w:val="none"/>
                      <w:lang w:val="en-US" w:eastAsia="zh-CN" w:bidi="ar-SA"/>
                    </w:rPr>
                  </w:pPr>
                  <w:bookmarkStart w:id="33" w:name="_Toc7625"/>
                  <w:r>
                    <w:rPr>
                      <w:rFonts w:hint="default"/>
                      <w:color w:val="auto"/>
                      <w:highlight w:val="none"/>
                    </w:rPr>
                    <w:t>591400</w:t>
                  </w:r>
                  <w:bookmarkEnd w:id="33"/>
                </w:p>
              </w:tc>
              <w:tc>
                <w:tcPr>
                  <w:tcW w:w="1070" w:type="pct"/>
                  <w:tcBorders>
                    <w:tl2br w:val="nil"/>
                    <w:tr2bl w:val="nil"/>
                  </w:tcBorders>
                  <w:noWrap w:val="0"/>
                  <w:vAlign w:val="center"/>
                </w:tcPr>
                <w:p w14:paraId="3FEE8E8F">
                  <w:pPr>
                    <w:keepNext/>
                    <w:keepLines w:val="0"/>
                    <w:pageBreakBefore w:val="0"/>
                    <w:widowControl w:val="0"/>
                    <w:suppressLineNumbers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869" w:type="pct"/>
                  <w:tcBorders>
                    <w:tl2br w:val="nil"/>
                    <w:tr2bl w:val="nil"/>
                  </w:tcBorders>
                  <w:noWrap w:val="0"/>
                  <w:vAlign w:val="center"/>
                </w:tcPr>
                <w:p w14:paraId="717EDB44">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bCs/>
                      <w:color w:val="FF0000"/>
                      <w:kern w:val="2"/>
                      <w:sz w:val="21"/>
                      <w:szCs w:val="21"/>
                      <w:highlight w:val="none"/>
                      <w:lang w:val="en-US" w:eastAsia="zh-CN" w:bidi="ar-SA"/>
                    </w:rPr>
                  </w:pPr>
                  <w:r>
                    <w:rPr>
                      <w:rFonts w:hint="eastAsia"/>
                      <w:color w:val="FF0000"/>
                      <w:highlight w:val="none"/>
                      <w:lang w:val="en-US" w:eastAsia="zh-CN"/>
                    </w:rPr>
                    <w:t>161400</w:t>
                  </w:r>
                </w:p>
              </w:tc>
              <w:tc>
                <w:tcPr>
                  <w:tcW w:w="663" w:type="pct"/>
                  <w:tcBorders>
                    <w:tl2br w:val="nil"/>
                    <w:tr2bl w:val="nil"/>
                  </w:tcBorders>
                  <w:noWrap w:val="0"/>
                  <w:vAlign w:val="center"/>
                </w:tcPr>
                <w:p w14:paraId="40AD25FE">
                  <w:pPr>
                    <w:keepNext/>
                    <w:keepLines w:val="0"/>
                    <w:pageBreakBefore w:val="0"/>
                    <w:widowControl w:val="0"/>
                    <w:suppressLineNumbers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bCs/>
                      <w:color w:val="FF0000"/>
                      <w:sz w:val="21"/>
                      <w:szCs w:val="21"/>
                      <w:highlight w:val="none"/>
                      <w:lang w:val="en-US" w:eastAsia="zh-CN"/>
                    </w:rPr>
                  </w:pPr>
                  <w:r>
                    <w:rPr>
                      <w:rFonts w:hint="eastAsia" w:cs="Times New Roman"/>
                      <w:bCs/>
                      <w:color w:val="FF0000"/>
                      <w:sz w:val="21"/>
                      <w:szCs w:val="21"/>
                      <w:highlight w:val="none"/>
                      <w:lang w:val="en-US" w:eastAsia="zh-CN"/>
                    </w:rPr>
                    <w:t>-43000</w:t>
                  </w:r>
                </w:p>
              </w:tc>
              <w:tc>
                <w:tcPr>
                  <w:tcW w:w="460" w:type="pct"/>
                  <w:tcBorders>
                    <w:tl2br w:val="nil"/>
                    <w:tr2bl w:val="nil"/>
                  </w:tcBorders>
                  <w:noWrap w:val="0"/>
                  <w:vAlign w:val="center"/>
                </w:tcPr>
                <w:p w14:paraId="0B79AFE7">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w:t>
                  </w:r>
                </w:p>
              </w:tc>
            </w:tr>
            <w:tr w14:paraId="04E370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tcBorders>
                    <w:tl2br w:val="nil"/>
                    <w:tr2bl w:val="nil"/>
                  </w:tcBorders>
                  <w:noWrap w:val="0"/>
                  <w:vAlign w:val="center"/>
                </w:tcPr>
                <w:p w14:paraId="0B116410">
                  <w:pPr>
                    <w:pStyle w:val="114"/>
                    <w:keepNext w:val="0"/>
                    <w:keepLines w:val="0"/>
                    <w:suppressLineNumbers w:val="0"/>
                    <w:spacing w:before="0" w:beforeAutospacing="0" w:after="0" w:afterAutospacing="0"/>
                    <w:ind w:left="0" w:right="0" w:firstLine="0" w:firstLineChars="0"/>
                    <w:rPr>
                      <w:rFonts w:hint="eastAsia" w:ascii="宋体" w:hAnsi="宋体" w:eastAsia="宋体" w:cs="宋体"/>
                      <w:bCs/>
                      <w:color w:val="auto"/>
                      <w:sz w:val="21"/>
                      <w:szCs w:val="21"/>
                      <w:highlight w:val="none"/>
                    </w:rPr>
                  </w:pPr>
                  <w:bookmarkStart w:id="34" w:name="_Toc28906"/>
                  <w:r>
                    <w:rPr>
                      <w:rFonts w:hint="default"/>
                      <w:color w:val="auto"/>
                      <w:highlight w:val="none"/>
                    </w:rPr>
                    <w:t>含锂溶液</w:t>
                  </w:r>
                  <w:bookmarkEnd w:id="34"/>
                </w:p>
              </w:tc>
              <w:tc>
                <w:tcPr>
                  <w:tcW w:w="866" w:type="pct"/>
                  <w:tcBorders>
                    <w:tl2br w:val="nil"/>
                    <w:tr2bl w:val="nil"/>
                  </w:tcBorders>
                  <w:noWrap w:val="0"/>
                  <w:vAlign w:val="center"/>
                </w:tcPr>
                <w:p w14:paraId="048FB9E7">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Cs/>
                      <w:color w:val="auto"/>
                      <w:kern w:val="2"/>
                      <w:sz w:val="21"/>
                      <w:szCs w:val="21"/>
                      <w:highlight w:val="none"/>
                      <w:lang w:val="en-US" w:eastAsia="zh-CN" w:bidi="ar-SA"/>
                    </w:rPr>
                  </w:pPr>
                  <w:bookmarkStart w:id="35" w:name="_Toc19441"/>
                  <w:r>
                    <w:rPr>
                      <w:rFonts w:hint="default"/>
                      <w:color w:val="auto"/>
                      <w:highlight w:val="none"/>
                    </w:rPr>
                    <w:t>66000</w:t>
                  </w:r>
                  <w:bookmarkEnd w:id="35"/>
                </w:p>
              </w:tc>
              <w:tc>
                <w:tcPr>
                  <w:tcW w:w="1070" w:type="pct"/>
                  <w:tcBorders>
                    <w:tl2br w:val="nil"/>
                    <w:tr2bl w:val="nil"/>
                  </w:tcBorders>
                  <w:noWrap w:val="0"/>
                  <w:vAlign w:val="center"/>
                </w:tcPr>
                <w:p w14:paraId="72BC130C">
                  <w:pPr>
                    <w:keepNext/>
                    <w:keepLines w:val="0"/>
                    <w:pageBreakBefore w:val="0"/>
                    <w:widowControl w:val="0"/>
                    <w:suppressLineNumbers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869" w:type="pct"/>
                  <w:tcBorders>
                    <w:tl2br w:val="nil"/>
                    <w:tr2bl w:val="nil"/>
                  </w:tcBorders>
                  <w:noWrap w:val="0"/>
                  <w:vAlign w:val="center"/>
                </w:tcPr>
                <w:p w14:paraId="00868FD4">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Cs/>
                      <w:color w:val="auto"/>
                      <w:kern w:val="2"/>
                      <w:sz w:val="21"/>
                      <w:szCs w:val="21"/>
                      <w:highlight w:val="none"/>
                      <w:lang w:val="en-US" w:eastAsia="zh-CN" w:bidi="ar-SA"/>
                    </w:rPr>
                  </w:pPr>
                  <w:bookmarkStart w:id="36" w:name="_Toc5177"/>
                  <w:r>
                    <w:rPr>
                      <w:rFonts w:hint="default"/>
                      <w:color w:val="auto"/>
                      <w:highlight w:val="none"/>
                    </w:rPr>
                    <w:t>66000</w:t>
                  </w:r>
                  <w:bookmarkEnd w:id="36"/>
                </w:p>
              </w:tc>
              <w:tc>
                <w:tcPr>
                  <w:tcW w:w="663" w:type="pct"/>
                  <w:tcBorders>
                    <w:tl2br w:val="nil"/>
                    <w:tr2bl w:val="nil"/>
                  </w:tcBorders>
                  <w:noWrap w:val="0"/>
                  <w:vAlign w:val="center"/>
                </w:tcPr>
                <w:p w14:paraId="7A90F29B">
                  <w:pPr>
                    <w:keepNext/>
                    <w:keepLines w:val="0"/>
                    <w:pageBreakBefore w:val="0"/>
                    <w:widowControl w:val="0"/>
                    <w:suppressLineNumbers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0</w:t>
                  </w:r>
                </w:p>
              </w:tc>
              <w:tc>
                <w:tcPr>
                  <w:tcW w:w="460" w:type="pct"/>
                  <w:tcBorders>
                    <w:tl2br w:val="nil"/>
                    <w:tr2bl w:val="nil"/>
                  </w:tcBorders>
                  <w:noWrap w:val="0"/>
                  <w:vAlign w:val="center"/>
                </w:tcPr>
                <w:p w14:paraId="02F0FA60">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w:t>
                  </w:r>
                </w:p>
              </w:tc>
            </w:tr>
            <w:tr w14:paraId="389E67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tcBorders>
                    <w:tl2br w:val="nil"/>
                    <w:tr2bl w:val="nil"/>
                  </w:tcBorders>
                  <w:noWrap w:val="0"/>
                  <w:vAlign w:val="center"/>
                </w:tcPr>
                <w:p w14:paraId="78690D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宋体" w:hAnsi="宋体" w:eastAsia="宋体" w:cs="宋体"/>
                      <w:bCs/>
                      <w:color w:val="auto"/>
                      <w:sz w:val="21"/>
                      <w:szCs w:val="21"/>
                      <w:highlight w:val="none"/>
                    </w:rPr>
                  </w:pPr>
                  <w:r>
                    <w:rPr>
                      <w:rFonts w:hint="default"/>
                      <w:color w:val="auto"/>
                      <w:sz w:val="21"/>
                      <w:szCs w:val="21"/>
                      <w:highlight w:val="none"/>
                    </w:rPr>
                    <w:t>环保免烧砖</w:t>
                  </w:r>
                </w:p>
              </w:tc>
              <w:tc>
                <w:tcPr>
                  <w:tcW w:w="866" w:type="pct"/>
                  <w:tcBorders>
                    <w:tl2br w:val="nil"/>
                    <w:tr2bl w:val="nil"/>
                  </w:tcBorders>
                  <w:noWrap w:val="0"/>
                  <w:vAlign w:val="center"/>
                </w:tcPr>
                <w:p w14:paraId="1076BA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cs="Times New Roman"/>
                      <w:bCs/>
                      <w:color w:val="auto"/>
                      <w:kern w:val="2"/>
                      <w:sz w:val="21"/>
                      <w:szCs w:val="21"/>
                      <w:highlight w:val="none"/>
                      <w:lang w:val="en-US" w:eastAsia="zh-CN" w:bidi="ar-SA"/>
                    </w:rPr>
                    <w:t>0</w:t>
                  </w:r>
                </w:p>
              </w:tc>
              <w:tc>
                <w:tcPr>
                  <w:tcW w:w="1070" w:type="pct"/>
                  <w:tcBorders>
                    <w:tl2br w:val="nil"/>
                    <w:tr2bl w:val="nil"/>
                  </w:tcBorders>
                  <w:noWrap w:val="0"/>
                  <w:vAlign w:val="center"/>
                </w:tcPr>
                <w:p w14:paraId="7099F6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500000</w:t>
                  </w:r>
                </w:p>
              </w:tc>
              <w:tc>
                <w:tcPr>
                  <w:tcW w:w="869" w:type="pct"/>
                  <w:tcBorders>
                    <w:tl2br w:val="nil"/>
                    <w:tr2bl w:val="nil"/>
                  </w:tcBorders>
                  <w:noWrap w:val="0"/>
                  <w:vAlign w:val="center"/>
                </w:tcPr>
                <w:p w14:paraId="2076B6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eastAsia"/>
                      <w:color w:val="auto"/>
                      <w:sz w:val="21"/>
                      <w:szCs w:val="21"/>
                      <w:highlight w:val="none"/>
                      <w:lang w:val="en-US" w:eastAsia="zh-CN"/>
                    </w:rPr>
                    <w:t>500000</w:t>
                  </w:r>
                </w:p>
              </w:tc>
              <w:tc>
                <w:tcPr>
                  <w:tcW w:w="663" w:type="pct"/>
                  <w:tcBorders>
                    <w:tl2br w:val="nil"/>
                    <w:tr2bl w:val="nil"/>
                  </w:tcBorders>
                  <w:noWrap w:val="0"/>
                  <w:vAlign w:val="center"/>
                </w:tcPr>
                <w:p w14:paraId="4E098C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sz w:val="21"/>
                      <w:szCs w:val="21"/>
                      <w:highlight w:val="none"/>
                      <w:lang w:val="en-US" w:eastAsia="zh-CN"/>
                    </w:rPr>
                    <w:t>+500000</w:t>
                  </w:r>
                </w:p>
              </w:tc>
              <w:tc>
                <w:tcPr>
                  <w:tcW w:w="460" w:type="pct"/>
                  <w:tcBorders>
                    <w:tl2br w:val="nil"/>
                    <w:tr2bl w:val="nil"/>
                  </w:tcBorders>
                  <w:noWrap w:val="0"/>
                  <w:vAlign w:val="center"/>
                </w:tcPr>
                <w:p w14:paraId="317C70E0">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w:t>
                  </w:r>
                </w:p>
              </w:tc>
            </w:tr>
            <w:tr w14:paraId="682FCB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8" w:type="dxa"/>
                  <w:bottom w:w="0" w:type="dxa"/>
                  <w:right w:w="28" w:type="dxa"/>
                </w:tblCellMar>
              </w:tblPrEx>
              <w:trPr>
                <w:trHeight w:val="312" w:hRule="atLeast"/>
                <w:jc w:val="center"/>
              </w:trPr>
              <w:tc>
                <w:tcPr>
                  <w:tcW w:w="1069" w:type="pct"/>
                  <w:tcBorders>
                    <w:tl2br w:val="nil"/>
                    <w:tr2bl w:val="nil"/>
                  </w:tcBorders>
                  <w:noWrap w:val="0"/>
                  <w:vAlign w:val="center"/>
                </w:tcPr>
                <w:p w14:paraId="64D2C5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highlight w:val="none"/>
                      <w:lang w:val="en-US" w:eastAsia="zh-CN"/>
                    </w:rPr>
                  </w:pPr>
                  <w:r>
                    <w:rPr>
                      <w:rFonts w:hint="default"/>
                      <w:color w:val="auto"/>
                      <w:sz w:val="21"/>
                      <w:szCs w:val="21"/>
                      <w:highlight w:val="none"/>
                    </w:rPr>
                    <w:t>掺合料</w:t>
                  </w:r>
                </w:p>
              </w:tc>
              <w:tc>
                <w:tcPr>
                  <w:tcW w:w="866" w:type="pct"/>
                  <w:tcBorders>
                    <w:tl2br w:val="nil"/>
                    <w:tr2bl w:val="nil"/>
                  </w:tcBorders>
                  <w:noWrap w:val="0"/>
                  <w:vAlign w:val="center"/>
                </w:tcPr>
                <w:p w14:paraId="52D3E5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Cs/>
                      <w:i w:val="0"/>
                      <w:iCs w:val="0"/>
                      <w:color w:val="auto"/>
                      <w:sz w:val="21"/>
                      <w:szCs w:val="21"/>
                      <w:highlight w:val="none"/>
                      <w:lang w:val="en-US" w:eastAsia="zh-CN"/>
                    </w:rPr>
                  </w:pPr>
                  <w:r>
                    <w:rPr>
                      <w:rFonts w:hint="eastAsia" w:ascii="Times New Roman" w:hAnsi="Times New Roman" w:cs="Times New Roman"/>
                      <w:bCs/>
                      <w:i w:val="0"/>
                      <w:iCs w:val="0"/>
                      <w:color w:val="auto"/>
                      <w:sz w:val="21"/>
                      <w:szCs w:val="21"/>
                      <w:highlight w:val="none"/>
                      <w:lang w:val="en-US" w:eastAsia="zh-CN"/>
                    </w:rPr>
                    <w:t>0</w:t>
                  </w:r>
                </w:p>
              </w:tc>
              <w:tc>
                <w:tcPr>
                  <w:tcW w:w="1070" w:type="pct"/>
                  <w:tcBorders>
                    <w:tl2br w:val="nil"/>
                    <w:tr2bl w:val="nil"/>
                  </w:tcBorders>
                  <w:noWrap w:val="0"/>
                  <w:vAlign w:val="center"/>
                </w:tcPr>
                <w:p w14:paraId="600215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400000</w:t>
                  </w:r>
                </w:p>
              </w:tc>
              <w:tc>
                <w:tcPr>
                  <w:tcW w:w="869" w:type="pct"/>
                  <w:tcBorders>
                    <w:tl2br w:val="nil"/>
                    <w:tr2bl w:val="nil"/>
                  </w:tcBorders>
                  <w:noWrap w:val="0"/>
                  <w:vAlign w:val="center"/>
                </w:tcPr>
                <w:p w14:paraId="128DC2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cs="Times New Roman"/>
                      <w:bCs/>
                      <w:i w:val="0"/>
                      <w:iCs w:val="0"/>
                      <w:color w:val="auto"/>
                      <w:sz w:val="21"/>
                      <w:szCs w:val="21"/>
                      <w:highlight w:val="none"/>
                      <w:lang w:val="en-US" w:eastAsia="zh-CN"/>
                    </w:rPr>
                  </w:pPr>
                  <w:r>
                    <w:rPr>
                      <w:rFonts w:hint="eastAsia"/>
                      <w:color w:val="auto"/>
                      <w:sz w:val="21"/>
                      <w:szCs w:val="21"/>
                      <w:highlight w:val="none"/>
                      <w:lang w:val="en-US" w:eastAsia="zh-CN"/>
                    </w:rPr>
                    <w:t>400000</w:t>
                  </w:r>
                </w:p>
              </w:tc>
              <w:tc>
                <w:tcPr>
                  <w:tcW w:w="663" w:type="pct"/>
                  <w:tcBorders>
                    <w:tl2br w:val="nil"/>
                    <w:tr2bl w:val="nil"/>
                  </w:tcBorders>
                  <w:noWrap w:val="0"/>
                  <w:vAlign w:val="center"/>
                </w:tcPr>
                <w:p w14:paraId="575950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eastAsia"/>
                      <w:color w:val="auto"/>
                      <w:sz w:val="21"/>
                      <w:szCs w:val="21"/>
                      <w:highlight w:val="none"/>
                      <w:lang w:val="en-US" w:eastAsia="zh-CN"/>
                    </w:rPr>
                    <w:t>+400000</w:t>
                  </w:r>
                </w:p>
              </w:tc>
              <w:tc>
                <w:tcPr>
                  <w:tcW w:w="460" w:type="pct"/>
                  <w:tcBorders>
                    <w:tl2br w:val="nil"/>
                    <w:tr2bl w:val="nil"/>
                  </w:tcBorders>
                  <w:noWrap w:val="0"/>
                  <w:vAlign w:val="center"/>
                </w:tcPr>
                <w:p w14:paraId="0359392D">
                  <w:pPr>
                    <w:keepNext/>
                    <w:keepLines w:val="0"/>
                    <w:pageBreakBefore w:val="0"/>
                    <w:widowControl w:val="0"/>
                    <w:suppressLineNumbers w:val="0"/>
                    <w:kinsoku w:val="0"/>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w:t>
                  </w:r>
                </w:p>
              </w:tc>
            </w:tr>
          </w:tbl>
          <w:p w14:paraId="71BAC886">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4</w:t>
            </w:r>
            <w:r>
              <w:rPr>
                <w:rFonts w:hint="default"/>
                <w:b/>
                <w:bCs/>
                <w:color w:val="auto"/>
                <w:highlight w:val="none"/>
                <w:lang w:val="en-US" w:eastAsia="en-US"/>
              </w:rPr>
              <w:t>.1</w:t>
            </w:r>
            <w:r>
              <w:rPr>
                <w:rFonts w:hint="default"/>
                <w:b/>
                <w:bCs/>
                <w:color w:val="auto"/>
                <w:highlight w:val="none"/>
                <w:lang w:val="en-US" w:eastAsia="zh-CN"/>
              </w:rPr>
              <w:t>、产品定义</w:t>
            </w:r>
          </w:p>
          <w:p w14:paraId="06230BC7">
            <w:pPr>
              <w:keepNext w:val="0"/>
              <w:keepLines w:val="0"/>
              <w:suppressLineNumbers w:val="0"/>
              <w:bidi w:val="0"/>
              <w:spacing w:before="0" w:beforeAutospacing="0" w:after="0" w:afterAutospacing="0"/>
              <w:ind w:left="0" w:right="0"/>
              <w:rPr>
                <w:rFonts w:hint="default"/>
                <w:color w:val="auto"/>
                <w:highlight w:val="none"/>
                <w:lang w:val="en-US" w:eastAsia="en-US"/>
              </w:rPr>
            </w:pPr>
            <w:r>
              <w:rPr>
                <w:rFonts w:hint="default"/>
                <w:color w:val="auto"/>
                <w:highlight w:val="none"/>
                <w:lang w:val="en-US" w:eastAsia="zh-CN"/>
              </w:rPr>
              <w:t>（1）</w:t>
            </w:r>
            <w:r>
              <w:rPr>
                <w:rFonts w:hint="default"/>
                <w:color w:val="auto"/>
                <w:highlight w:val="none"/>
              </w:rPr>
              <w:t>掺合料</w:t>
            </w:r>
            <w:r>
              <w:rPr>
                <w:rFonts w:hint="default"/>
                <w:color w:val="auto"/>
                <w:highlight w:val="none"/>
                <w:lang w:val="en-US" w:eastAsia="en-US"/>
              </w:rPr>
              <w:t>：指以硅铝酸盐类工业固体废弃物为主体组分，通过</w:t>
            </w:r>
            <w:r>
              <w:rPr>
                <w:rFonts w:hint="default"/>
                <w:color w:val="auto"/>
                <w:highlight w:val="none"/>
                <w:lang w:val="en-US" w:eastAsia="zh-CN"/>
              </w:rPr>
              <w:t>搅拌混合所形成的</w:t>
            </w:r>
            <w:r>
              <w:rPr>
                <w:rFonts w:hint="default"/>
                <w:color w:val="auto"/>
                <w:highlight w:val="none"/>
                <w:lang w:val="en-US" w:eastAsia="en-US"/>
              </w:rPr>
              <w:t>材料</w:t>
            </w:r>
            <w:r>
              <w:rPr>
                <w:rFonts w:hint="default"/>
                <w:color w:val="auto"/>
                <w:highlight w:val="none"/>
                <w:lang w:val="en-US" w:eastAsia="zh-CN"/>
              </w:rPr>
              <w:t>，</w:t>
            </w:r>
            <w:r>
              <w:rPr>
                <w:rFonts w:hint="default"/>
                <w:color w:val="auto"/>
                <w:highlight w:val="none"/>
                <w:lang w:val="en-US" w:eastAsia="en-US"/>
              </w:rPr>
              <w:t>主要用于</w:t>
            </w:r>
            <w:r>
              <w:rPr>
                <w:rFonts w:hint="default"/>
                <w:color w:val="auto"/>
                <w:highlight w:val="none"/>
                <w:lang w:val="en-US" w:eastAsia="zh-CN"/>
              </w:rPr>
              <w:t>建材产品</w:t>
            </w:r>
            <w:r>
              <w:rPr>
                <w:rFonts w:hint="default"/>
                <w:color w:val="auto"/>
                <w:highlight w:val="none"/>
                <w:lang w:val="en-US" w:eastAsia="en-US"/>
              </w:rPr>
              <w:t>中使用。</w:t>
            </w:r>
          </w:p>
          <w:p w14:paraId="62170911">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（2）环保</w:t>
            </w:r>
            <w:r>
              <w:rPr>
                <w:rFonts w:hint="eastAsia"/>
                <w:color w:val="auto"/>
                <w:highlight w:val="none"/>
                <w:lang w:val="en-US" w:eastAsia="zh-CN"/>
              </w:rPr>
              <w:t>免烧</w:t>
            </w:r>
            <w:r>
              <w:rPr>
                <w:rFonts w:hint="default"/>
                <w:color w:val="auto"/>
                <w:highlight w:val="none"/>
                <w:lang w:val="en-US" w:eastAsia="zh-CN"/>
              </w:rPr>
              <w:t>砖：规格为240mm×115mm×53mm，以</w:t>
            </w:r>
            <w:r>
              <w:rPr>
                <w:rFonts w:hint="default"/>
                <w:color w:val="auto"/>
                <w:highlight w:val="none"/>
                <w:lang w:val="en-US" w:eastAsia="en-US"/>
              </w:rPr>
              <w:t>工业固体废弃物</w:t>
            </w:r>
            <w:r>
              <w:rPr>
                <w:rFonts w:hint="default"/>
                <w:color w:val="auto"/>
                <w:highlight w:val="none"/>
                <w:lang w:val="en-US" w:eastAsia="zh-CN"/>
              </w:rPr>
              <w:t>、水泥为主要原料，经原料制备、</w:t>
            </w:r>
            <w:r>
              <w:rPr>
                <w:rFonts w:hint="eastAsia"/>
                <w:color w:val="auto"/>
                <w:highlight w:val="none"/>
                <w:lang w:val="en-US" w:eastAsia="zh-CN"/>
              </w:rPr>
              <w:t>静压</w:t>
            </w:r>
            <w:r>
              <w:rPr>
                <w:rFonts w:hint="default"/>
                <w:color w:val="auto"/>
                <w:highlight w:val="none"/>
                <w:lang w:val="en-US" w:eastAsia="zh-CN"/>
              </w:rPr>
              <w:t>、养护而制成，用于工业与民用建筑基础和墙体的实心砖。</w:t>
            </w:r>
          </w:p>
          <w:p w14:paraId="10E2BB1A">
            <w:pPr>
              <w:keepNext w:val="0"/>
              <w:keepLines w:val="0"/>
              <w:suppressLineNumbers w:val="0"/>
              <w:bidi w:val="0"/>
              <w:spacing w:before="0" w:beforeAutospacing="0" w:after="0" w:afterAutospacing="0"/>
              <w:ind w:left="0" w:right="0"/>
              <w:rPr>
                <w:rFonts w:hint="default"/>
                <w:b/>
                <w:bCs/>
                <w:color w:val="auto"/>
                <w:highlight w:val="none"/>
                <w:lang w:val="en-US" w:eastAsia="en-US"/>
              </w:rPr>
            </w:pPr>
            <w:r>
              <w:rPr>
                <w:rFonts w:hint="default"/>
                <w:b/>
                <w:bCs/>
                <w:color w:val="auto"/>
                <w:highlight w:val="none"/>
                <w:lang w:val="en-US" w:eastAsia="zh-CN"/>
              </w:rPr>
              <w:t>4</w:t>
            </w:r>
            <w:r>
              <w:rPr>
                <w:rFonts w:hint="default"/>
                <w:b/>
                <w:bCs/>
                <w:color w:val="auto"/>
                <w:highlight w:val="none"/>
                <w:lang w:val="en-US" w:eastAsia="en-US"/>
              </w:rPr>
              <w:t>.</w:t>
            </w:r>
            <w:r>
              <w:rPr>
                <w:rFonts w:hint="default"/>
                <w:b/>
                <w:bCs/>
                <w:color w:val="auto"/>
                <w:highlight w:val="none"/>
                <w:lang w:val="en-US" w:eastAsia="zh-CN"/>
              </w:rPr>
              <w:t>2、</w:t>
            </w:r>
            <w:r>
              <w:rPr>
                <w:rFonts w:hint="default"/>
                <w:b/>
                <w:bCs/>
                <w:color w:val="auto"/>
                <w:highlight w:val="none"/>
                <w:lang w:val="en-US" w:eastAsia="en-US"/>
              </w:rPr>
              <w:t>产品质量要求</w:t>
            </w:r>
          </w:p>
          <w:p w14:paraId="5391086C">
            <w:pPr>
              <w:keepNext w:val="0"/>
              <w:keepLines w:val="0"/>
              <w:suppressLineNumbers w:val="0"/>
              <w:bidi w:val="0"/>
              <w:spacing w:before="0" w:beforeAutospacing="0" w:after="0" w:afterAutospacing="0"/>
              <w:ind w:left="0" w:right="0"/>
              <w:rPr>
                <w:rFonts w:hint="eastAsia"/>
                <w:b/>
                <w:bCs/>
                <w:color w:val="FF0000"/>
                <w:highlight w:val="none"/>
                <w:lang w:val="en-US" w:eastAsia="zh-CN"/>
              </w:rPr>
            </w:pPr>
            <w:r>
              <w:rPr>
                <w:rFonts w:hint="eastAsia"/>
                <w:b/>
                <w:bCs/>
                <w:color w:val="FF0000"/>
                <w:highlight w:val="none"/>
                <w:lang w:val="en-US" w:eastAsia="zh-CN"/>
              </w:rPr>
              <w:t>（1）产品质量标准</w:t>
            </w:r>
          </w:p>
          <w:p w14:paraId="5F2EA972">
            <w:pPr>
              <w:keepNext w:val="0"/>
              <w:keepLines w:val="0"/>
              <w:suppressLineNumbers w:val="0"/>
              <w:bidi w:val="0"/>
              <w:spacing w:before="0" w:beforeAutospacing="0" w:after="0" w:afterAutospacing="0"/>
              <w:ind w:left="0" w:right="0"/>
              <w:rPr>
                <w:rFonts w:hint="eastAsia"/>
                <w:b/>
                <w:bCs/>
                <w:color w:val="FF0000"/>
                <w:highlight w:val="none"/>
                <w:lang w:val="en-US" w:eastAsia="zh-CN"/>
              </w:rPr>
            </w:pPr>
            <w:r>
              <w:rPr>
                <w:rFonts w:hint="eastAsia"/>
                <w:b w:val="0"/>
                <w:bCs w:val="0"/>
                <w:color w:val="FF0000"/>
                <w:highlight w:val="none"/>
                <w:lang w:val="en-US" w:eastAsia="zh-CN"/>
              </w:rPr>
              <w:t>本项目产品环保免烧砖质量标准执行《混凝土路面砖》（GB/T 28635-2012）标准，掺合料执行《混凝土用复合掺合料》（JG/T 486-2015）中普通型Ⅱ级，以上标准均为产品的物理性能要求，不详细列出。</w:t>
            </w:r>
          </w:p>
          <w:p w14:paraId="4236C7C5">
            <w:pPr>
              <w:keepNext w:val="0"/>
              <w:keepLines w:val="0"/>
              <w:suppressLineNumbers w:val="0"/>
              <w:bidi w:val="0"/>
              <w:spacing w:before="0" w:beforeAutospacing="0" w:after="0" w:afterAutospacing="0"/>
              <w:ind w:left="0" w:right="0"/>
              <w:rPr>
                <w:rFonts w:hint="eastAsia" w:eastAsia="宋体"/>
                <w:b/>
                <w:bCs/>
                <w:color w:val="FF0000"/>
                <w:highlight w:val="none"/>
                <w:lang w:val="en-US" w:eastAsia="zh-CN"/>
              </w:rPr>
            </w:pPr>
            <w:r>
              <w:rPr>
                <w:rFonts w:hint="default"/>
                <w:b/>
                <w:bCs/>
                <w:color w:val="FF0000"/>
                <w:highlight w:val="none"/>
                <w:lang w:val="en-US" w:eastAsia="en-US"/>
              </w:rPr>
              <w:t>（</w:t>
            </w:r>
            <w:r>
              <w:rPr>
                <w:rFonts w:hint="eastAsia"/>
                <w:b/>
                <w:bCs/>
                <w:color w:val="FF0000"/>
                <w:highlight w:val="none"/>
                <w:lang w:val="en-US" w:eastAsia="zh-CN"/>
              </w:rPr>
              <w:t>2</w:t>
            </w:r>
            <w:r>
              <w:rPr>
                <w:rFonts w:hint="default"/>
                <w:b/>
                <w:bCs/>
                <w:color w:val="FF0000"/>
                <w:highlight w:val="none"/>
                <w:lang w:val="en-US" w:eastAsia="en-US"/>
              </w:rPr>
              <w:t>）</w:t>
            </w:r>
            <w:r>
              <w:rPr>
                <w:rFonts w:hint="eastAsia"/>
                <w:b/>
                <w:bCs/>
                <w:color w:val="FF0000"/>
                <w:highlight w:val="none"/>
                <w:lang w:val="en-US" w:eastAsia="zh-CN"/>
              </w:rPr>
              <w:t>产品污染物控制要求</w:t>
            </w:r>
          </w:p>
          <w:p w14:paraId="3C24314F">
            <w:pPr>
              <w:keepNext w:val="0"/>
              <w:keepLines w:val="0"/>
              <w:suppressLineNumbers w:val="0"/>
              <w:bidi w:val="0"/>
              <w:spacing w:before="0" w:beforeAutospacing="0" w:after="0" w:afterAutospacing="0"/>
              <w:ind w:left="0" w:right="0"/>
              <w:rPr>
                <w:rFonts w:hint="default"/>
                <w:color w:val="FF0000"/>
                <w:highlight w:val="none"/>
                <w:lang w:val="en-US" w:eastAsia="en-US"/>
              </w:rPr>
            </w:pPr>
            <w:r>
              <w:rPr>
                <w:rFonts w:hint="default"/>
                <w:color w:val="FF0000"/>
                <w:highlight w:val="none"/>
                <w:lang w:val="en-US" w:eastAsia="zh-CN"/>
              </w:rPr>
              <w:t>根据《固废再生利用污染防治技术导则》（HJ1091-2020）要求：“利用固体废物生产砖瓦、轻骨料、集料、玻璃、陶瓷、陶粒、路基材料等建材过程的污染控制执行相关行业污染物排放标准，相关产品中有害物质含量参照GB30760的要求执行”，因此，本项目产品应参照执行《水泥窑协同处置固体废物技术规范》（GB/T30760-2024）水泥熟料重金属含量限值要求；环境安全性</w:t>
            </w:r>
            <w:r>
              <w:rPr>
                <w:rFonts w:hint="default"/>
                <w:color w:val="FF0000"/>
                <w:highlight w:val="none"/>
                <w:lang w:val="en-US" w:eastAsia="en-US"/>
              </w:rPr>
              <w:t>质量满足</w:t>
            </w:r>
            <w:r>
              <w:rPr>
                <w:rFonts w:hint="default"/>
                <w:color w:val="FF0000"/>
                <w:highlight w:val="none"/>
                <w:lang w:val="en-US" w:eastAsia="zh-CN"/>
              </w:rPr>
              <w:t>水泥基再生材料环境安全性能指标及限量值</w:t>
            </w:r>
            <w:r>
              <w:rPr>
                <w:rFonts w:hint="default"/>
                <w:color w:val="FF0000"/>
                <w:highlight w:val="none"/>
                <w:lang w:val="en-US" w:eastAsia="en-US"/>
              </w:rPr>
              <w:t>要求</w:t>
            </w:r>
            <w:r>
              <w:rPr>
                <w:rFonts w:hint="default"/>
                <w:color w:val="FF0000"/>
                <w:highlight w:val="none"/>
                <w:lang w:val="en-US" w:eastAsia="zh-CN"/>
              </w:rPr>
              <w:t>；浸出毒性按</w:t>
            </w:r>
            <w:r>
              <w:rPr>
                <w:rFonts w:hint="default"/>
                <w:color w:val="FF0000"/>
                <w:highlight w:val="none"/>
              </w:rPr>
              <w:t>江西省地方标准《公路工程利用锂渣技术规范第1部分：路基工程（试行）》</w:t>
            </w:r>
            <w:r>
              <w:rPr>
                <w:rFonts w:hint="default"/>
                <w:color w:val="FF0000"/>
                <w:highlight w:val="none"/>
                <w:lang w:eastAsia="zh-CN"/>
              </w:rPr>
              <w:t>（</w:t>
            </w:r>
            <w:r>
              <w:rPr>
                <w:rFonts w:hint="default"/>
                <w:color w:val="FF0000"/>
                <w:highlight w:val="none"/>
                <w:lang w:val="en-US" w:eastAsia="zh-CN"/>
              </w:rPr>
              <w:t>DB36/T1968-2024</w:t>
            </w:r>
            <w:r>
              <w:rPr>
                <w:rFonts w:hint="default"/>
                <w:color w:val="FF0000"/>
                <w:highlight w:val="none"/>
                <w:lang w:eastAsia="zh-CN"/>
              </w:rPr>
              <w:t>）</w:t>
            </w:r>
            <w:r>
              <w:rPr>
                <w:rFonts w:hint="default"/>
                <w:color w:val="FF0000"/>
                <w:highlight w:val="none"/>
                <w:lang w:val="en-US" w:eastAsia="zh-CN"/>
              </w:rPr>
              <w:t>执行</w:t>
            </w:r>
            <w:r>
              <w:rPr>
                <w:rFonts w:hint="default"/>
                <w:color w:val="FF0000"/>
                <w:highlight w:val="none"/>
                <w:lang w:eastAsia="zh-CN"/>
              </w:rPr>
              <w:t>；</w:t>
            </w:r>
            <w:r>
              <w:rPr>
                <w:rFonts w:hint="default"/>
                <w:color w:val="FF0000"/>
                <w:highlight w:val="none"/>
                <w:lang w:val="en-US" w:eastAsia="en-US"/>
              </w:rPr>
              <w:t>具体指标见</w:t>
            </w:r>
            <w:r>
              <w:rPr>
                <w:rFonts w:hint="default"/>
                <w:color w:val="FF0000"/>
                <w:highlight w:val="none"/>
                <w:lang w:val="en-US" w:eastAsia="zh-CN"/>
              </w:rPr>
              <w:t>下</w:t>
            </w:r>
            <w:r>
              <w:rPr>
                <w:rFonts w:hint="default"/>
                <w:color w:val="FF0000"/>
                <w:highlight w:val="none"/>
                <w:lang w:val="en-US" w:eastAsia="en-US"/>
              </w:rPr>
              <w:t>表。</w:t>
            </w:r>
          </w:p>
          <w:p w14:paraId="39242724">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产品中重金属含量及可浸出含量限制要求</w:t>
            </w:r>
          </w:p>
          <w:tbl>
            <w:tblPr>
              <w:tblStyle w:val="96"/>
              <w:tblpPr w:vertAnchor="text" w:tblpXSpec="center" w:tblpY="1"/>
              <w:tblOverlap w:val="never"/>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39"/>
              <w:gridCol w:w="2094"/>
              <w:gridCol w:w="2475"/>
              <w:gridCol w:w="2072"/>
            </w:tblGrid>
            <w:tr w14:paraId="411692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9" w:hRule="atLeast"/>
                <w:jc w:val="center"/>
              </w:trPr>
              <w:tc>
                <w:tcPr>
                  <w:tcW w:w="3533" w:type="dxa"/>
                  <w:gridSpan w:val="2"/>
                  <w:tcBorders>
                    <w:tl2br w:val="nil"/>
                    <w:tr2bl w:val="nil"/>
                  </w:tcBorders>
                  <w:vAlign w:val="center"/>
                </w:tcPr>
                <w:p w14:paraId="25DF989F">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项目</w:t>
                  </w:r>
                </w:p>
              </w:tc>
              <w:tc>
                <w:tcPr>
                  <w:tcW w:w="2475" w:type="dxa"/>
                  <w:tcBorders>
                    <w:tl2br w:val="nil"/>
                    <w:tr2bl w:val="nil"/>
                  </w:tcBorders>
                  <w:vAlign w:val="center"/>
                </w:tcPr>
                <w:p w14:paraId="3D6B01E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指标限值</w:t>
                  </w:r>
                </w:p>
              </w:tc>
              <w:tc>
                <w:tcPr>
                  <w:tcW w:w="2072" w:type="dxa"/>
                  <w:tcBorders>
                    <w:tl2br w:val="nil"/>
                    <w:tr2bl w:val="nil"/>
                  </w:tcBorders>
                  <w:vAlign w:val="center"/>
                </w:tcPr>
                <w:p w14:paraId="5606E7F4">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b/>
                      <w:bCs/>
                      <w:color w:val="FF0000"/>
                      <w:highlight w:val="none"/>
                    </w:rPr>
                  </w:pPr>
                  <w:r>
                    <w:rPr>
                      <w:rFonts w:hint="default" w:ascii="Times New Roman" w:hAnsi="Times New Roman" w:cs="Times New Roman"/>
                      <w:b/>
                      <w:bCs/>
                      <w:color w:val="FF0000"/>
                      <w:highlight w:val="none"/>
                    </w:rPr>
                    <w:t>依据</w:t>
                  </w:r>
                </w:p>
              </w:tc>
            </w:tr>
            <w:tr w14:paraId="3A9440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restart"/>
                  <w:tcBorders>
                    <w:tl2br w:val="nil"/>
                    <w:tr2bl w:val="nil"/>
                  </w:tcBorders>
                  <w:vAlign w:val="center"/>
                </w:tcPr>
                <w:p w14:paraId="08417DCF">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产品中重金</w:t>
                  </w:r>
                </w:p>
                <w:p w14:paraId="3DE5054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属含量限值</w:t>
                  </w:r>
                </w:p>
              </w:tc>
              <w:tc>
                <w:tcPr>
                  <w:tcW w:w="2094" w:type="dxa"/>
                  <w:tcBorders>
                    <w:tl2br w:val="nil"/>
                    <w:tr2bl w:val="nil"/>
                  </w:tcBorders>
                  <w:vAlign w:val="center"/>
                </w:tcPr>
                <w:p w14:paraId="2951276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砷（As）</w:t>
                  </w:r>
                </w:p>
              </w:tc>
              <w:tc>
                <w:tcPr>
                  <w:tcW w:w="2475" w:type="dxa"/>
                  <w:tcBorders>
                    <w:tl2br w:val="nil"/>
                    <w:tr2bl w:val="nil"/>
                  </w:tcBorders>
                  <w:vAlign w:val="center"/>
                </w:tcPr>
                <w:p w14:paraId="0470217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40mg/kg</w:t>
                  </w:r>
                </w:p>
              </w:tc>
              <w:tc>
                <w:tcPr>
                  <w:tcW w:w="2072" w:type="dxa"/>
                  <w:vMerge w:val="restart"/>
                  <w:tcBorders>
                    <w:tl2br w:val="nil"/>
                    <w:tr2bl w:val="nil"/>
                  </w:tcBorders>
                  <w:vAlign w:val="center"/>
                </w:tcPr>
                <w:p w14:paraId="19C8039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《水泥窑协同处置固体废物技术规范》（GB 30760-2024）</w:t>
                  </w:r>
                </w:p>
              </w:tc>
            </w:tr>
            <w:tr w14:paraId="2971DF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62C1E77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4E8DEFE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铅（Pb）</w:t>
                  </w:r>
                </w:p>
              </w:tc>
              <w:tc>
                <w:tcPr>
                  <w:tcW w:w="2475" w:type="dxa"/>
                  <w:tcBorders>
                    <w:tl2br w:val="nil"/>
                    <w:tr2bl w:val="nil"/>
                  </w:tcBorders>
                  <w:vAlign w:val="center"/>
                </w:tcPr>
                <w:p w14:paraId="7A866BD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100mg/kg</w:t>
                  </w:r>
                </w:p>
              </w:tc>
              <w:tc>
                <w:tcPr>
                  <w:tcW w:w="2072" w:type="dxa"/>
                  <w:vMerge w:val="continue"/>
                  <w:tcBorders>
                    <w:tl2br w:val="nil"/>
                    <w:tr2bl w:val="nil"/>
                  </w:tcBorders>
                  <w:vAlign w:val="center"/>
                </w:tcPr>
                <w:p w14:paraId="3C4C19A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5AEFC8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03E3252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665905C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镉（Cd）</w:t>
                  </w:r>
                </w:p>
              </w:tc>
              <w:tc>
                <w:tcPr>
                  <w:tcW w:w="2475" w:type="dxa"/>
                  <w:tcBorders>
                    <w:tl2br w:val="nil"/>
                    <w:tr2bl w:val="nil"/>
                  </w:tcBorders>
                  <w:vAlign w:val="center"/>
                </w:tcPr>
                <w:p w14:paraId="792A9A5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1.5mg/kg</w:t>
                  </w:r>
                </w:p>
              </w:tc>
              <w:tc>
                <w:tcPr>
                  <w:tcW w:w="2072" w:type="dxa"/>
                  <w:vMerge w:val="continue"/>
                  <w:tcBorders>
                    <w:tl2br w:val="nil"/>
                    <w:tr2bl w:val="nil"/>
                  </w:tcBorders>
                  <w:vAlign w:val="center"/>
                </w:tcPr>
                <w:p w14:paraId="65241A98">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0729AC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26D8A5B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3FC6C33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铬（Cr）</w:t>
                  </w:r>
                </w:p>
              </w:tc>
              <w:tc>
                <w:tcPr>
                  <w:tcW w:w="2475" w:type="dxa"/>
                  <w:tcBorders>
                    <w:tl2br w:val="nil"/>
                    <w:tr2bl w:val="nil"/>
                  </w:tcBorders>
                  <w:vAlign w:val="center"/>
                </w:tcPr>
                <w:p w14:paraId="65A4C04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150mg/kg</w:t>
                  </w:r>
                </w:p>
              </w:tc>
              <w:tc>
                <w:tcPr>
                  <w:tcW w:w="2072" w:type="dxa"/>
                  <w:vMerge w:val="continue"/>
                  <w:tcBorders>
                    <w:tl2br w:val="nil"/>
                    <w:tr2bl w:val="nil"/>
                  </w:tcBorders>
                  <w:vAlign w:val="center"/>
                </w:tcPr>
                <w:p w14:paraId="7B1ED3FE">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4771370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731DFE4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423272B3">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铜（Cu）</w:t>
                  </w:r>
                </w:p>
              </w:tc>
              <w:tc>
                <w:tcPr>
                  <w:tcW w:w="2475" w:type="dxa"/>
                  <w:tcBorders>
                    <w:tl2br w:val="nil"/>
                    <w:tr2bl w:val="nil"/>
                  </w:tcBorders>
                  <w:vAlign w:val="center"/>
                </w:tcPr>
                <w:p w14:paraId="40748C2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100mg/kg</w:t>
                  </w:r>
                </w:p>
              </w:tc>
              <w:tc>
                <w:tcPr>
                  <w:tcW w:w="2072" w:type="dxa"/>
                  <w:vMerge w:val="continue"/>
                  <w:tcBorders>
                    <w:tl2br w:val="nil"/>
                    <w:tr2bl w:val="nil"/>
                  </w:tcBorders>
                  <w:vAlign w:val="center"/>
                </w:tcPr>
                <w:p w14:paraId="14EACBE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0C209F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0E4F82C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265C4FE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镍（Ni）</w:t>
                  </w:r>
                </w:p>
              </w:tc>
              <w:tc>
                <w:tcPr>
                  <w:tcW w:w="2475" w:type="dxa"/>
                  <w:tcBorders>
                    <w:tl2br w:val="nil"/>
                    <w:tr2bl w:val="nil"/>
                  </w:tcBorders>
                  <w:vAlign w:val="center"/>
                </w:tcPr>
                <w:p w14:paraId="7EAFCB5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100mg/kg</w:t>
                  </w:r>
                </w:p>
              </w:tc>
              <w:tc>
                <w:tcPr>
                  <w:tcW w:w="2072" w:type="dxa"/>
                  <w:vMerge w:val="continue"/>
                  <w:tcBorders>
                    <w:tl2br w:val="nil"/>
                    <w:tr2bl w:val="nil"/>
                  </w:tcBorders>
                  <w:vAlign w:val="center"/>
                </w:tcPr>
                <w:p w14:paraId="42CAFBD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6D7815E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13D16BB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219C089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锌（Zn）</w:t>
                  </w:r>
                </w:p>
              </w:tc>
              <w:tc>
                <w:tcPr>
                  <w:tcW w:w="2475" w:type="dxa"/>
                  <w:tcBorders>
                    <w:tl2br w:val="nil"/>
                    <w:tr2bl w:val="nil"/>
                  </w:tcBorders>
                  <w:vAlign w:val="center"/>
                </w:tcPr>
                <w:p w14:paraId="2E6EB66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500mg/kg</w:t>
                  </w:r>
                </w:p>
              </w:tc>
              <w:tc>
                <w:tcPr>
                  <w:tcW w:w="2072" w:type="dxa"/>
                  <w:vMerge w:val="continue"/>
                  <w:tcBorders>
                    <w:tl2br w:val="nil"/>
                    <w:tr2bl w:val="nil"/>
                  </w:tcBorders>
                  <w:vAlign w:val="center"/>
                </w:tcPr>
                <w:p w14:paraId="22B7BE18">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6103E4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554DADB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00B4596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锰（Mn）</w:t>
                  </w:r>
                </w:p>
              </w:tc>
              <w:tc>
                <w:tcPr>
                  <w:tcW w:w="2475" w:type="dxa"/>
                  <w:tcBorders>
                    <w:tl2br w:val="nil"/>
                    <w:tr2bl w:val="nil"/>
                  </w:tcBorders>
                  <w:vAlign w:val="center"/>
                </w:tcPr>
                <w:p w14:paraId="4204B9A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600mg/kg</w:t>
                  </w:r>
                </w:p>
              </w:tc>
              <w:tc>
                <w:tcPr>
                  <w:tcW w:w="2072" w:type="dxa"/>
                  <w:vMerge w:val="continue"/>
                  <w:tcBorders>
                    <w:tl2br w:val="nil"/>
                    <w:tr2bl w:val="nil"/>
                  </w:tcBorders>
                  <w:vAlign w:val="center"/>
                </w:tcPr>
                <w:p w14:paraId="1B721AE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6CB65D5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restart"/>
                  <w:tcBorders>
                    <w:tl2br w:val="nil"/>
                    <w:tr2bl w:val="nil"/>
                  </w:tcBorders>
                  <w:vAlign w:val="center"/>
                </w:tcPr>
                <w:p w14:paraId="60A4CE1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产品中可浸出重金属含量限值</w:t>
                  </w:r>
                </w:p>
              </w:tc>
              <w:tc>
                <w:tcPr>
                  <w:tcW w:w="2094" w:type="dxa"/>
                  <w:tcBorders>
                    <w:tl2br w:val="nil"/>
                    <w:tr2bl w:val="nil"/>
                  </w:tcBorders>
                  <w:vAlign w:val="center"/>
                </w:tcPr>
                <w:p w14:paraId="24EA1D26">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砷（As）</w:t>
                  </w:r>
                </w:p>
              </w:tc>
              <w:tc>
                <w:tcPr>
                  <w:tcW w:w="2475" w:type="dxa"/>
                  <w:tcBorders>
                    <w:tl2br w:val="nil"/>
                    <w:tr2bl w:val="nil"/>
                  </w:tcBorders>
                  <w:vAlign w:val="center"/>
                </w:tcPr>
                <w:p w14:paraId="7886393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0.1mg/L</w:t>
                  </w:r>
                </w:p>
              </w:tc>
              <w:tc>
                <w:tcPr>
                  <w:tcW w:w="2072" w:type="dxa"/>
                  <w:vMerge w:val="continue"/>
                  <w:tcBorders>
                    <w:tl2br w:val="nil"/>
                    <w:tr2bl w:val="nil"/>
                  </w:tcBorders>
                  <w:vAlign w:val="center"/>
                </w:tcPr>
                <w:p w14:paraId="4B98A6C6">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6E49AEA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5C7E887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6E7E4BA4">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铅（Pb）</w:t>
                  </w:r>
                </w:p>
              </w:tc>
              <w:tc>
                <w:tcPr>
                  <w:tcW w:w="2475" w:type="dxa"/>
                  <w:tcBorders>
                    <w:tl2br w:val="nil"/>
                    <w:tr2bl w:val="nil"/>
                  </w:tcBorders>
                  <w:vAlign w:val="center"/>
                </w:tcPr>
                <w:p w14:paraId="56D9C18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0.3mg/L</w:t>
                  </w:r>
                </w:p>
              </w:tc>
              <w:tc>
                <w:tcPr>
                  <w:tcW w:w="2072" w:type="dxa"/>
                  <w:vMerge w:val="continue"/>
                  <w:tcBorders>
                    <w:tl2br w:val="nil"/>
                    <w:tr2bl w:val="nil"/>
                  </w:tcBorders>
                  <w:vAlign w:val="center"/>
                </w:tcPr>
                <w:p w14:paraId="0491E49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603B376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5B478933">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365D043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镉（Cd）</w:t>
                  </w:r>
                </w:p>
              </w:tc>
              <w:tc>
                <w:tcPr>
                  <w:tcW w:w="2475" w:type="dxa"/>
                  <w:tcBorders>
                    <w:tl2br w:val="nil"/>
                    <w:tr2bl w:val="nil"/>
                  </w:tcBorders>
                  <w:vAlign w:val="center"/>
                </w:tcPr>
                <w:p w14:paraId="5BF62AB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0.03mg/L</w:t>
                  </w:r>
                </w:p>
              </w:tc>
              <w:tc>
                <w:tcPr>
                  <w:tcW w:w="2072" w:type="dxa"/>
                  <w:vMerge w:val="continue"/>
                  <w:tcBorders>
                    <w:tl2br w:val="nil"/>
                    <w:tr2bl w:val="nil"/>
                  </w:tcBorders>
                  <w:vAlign w:val="center"/>
                </w:tcPr>
                <w:p w14:paraId="0BF9C2B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0F7970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1A32D496">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2DD6144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铬（Cr）</w:t>
                  </w:r>
                </w:p>
              </w:tc>
              <w:tc>
                <w:tcPr>
                  <w:tcW w:w="2475" w:type="dxa"/>
                  <w:tcBorders>
                    <w:tl2br w:val="nil"/>
                    <w:tr2bl w:val="nil"/>
                  </w:tcBorders>
                  <w:vAlign w:val="center"/>
                </w:tcPr>
                <w:p w14:paraId="2073F8D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0.2mg/L</w:t>
                  </w:r>
                </w:p>
              </w:tc>
              <w:tc>
                <w:tcPr>
                  <w:tcW w:w="2072" w:type="dxa"/>
                  <w:vMerge w:val="continue"/>
                  <w:tcBorders>
                    <w:tl2br w:val="nil"/>
                    <w:tr2bl w:val="nil"/>
                  </w:tcBorders>
                  <w:vAlign w:val="center"/>
                </w:tcPr>
                <w:p w14:paraId="1E9B43A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4098CF6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7F02FED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5EDFEB7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铜（Cu）</w:t>
                  </w:r>
                </w:p>
              </w:tc>
              <w:tc>
                <w:tcPr>
                  <w:tcW w:w="2475" w:type="dxa"/>
                  <w:tcBorders>
                    <w:tl2br w:val="nil"/>
                    <w:tr2bl w:val="nil"/>
                  </w:tcBorders>
                  <w:vAlign w:val="center"/>
                </w:tcPr>
                <w:p w14:paraId="3CEE5F5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b/>
                      <w:bCs/>
                      <w:color w:val="FF0000"/>
                      <w:highlight w:val="none"/>
                    </w:rPr>
                  </w:pPr>
                  <w:r>
                    <w:rPr>
                      <w:rFonts w:hint="default" w:ascii="Times New Roman" w:hAnsi="Times New Roman" w:cs="Times New Roman"/>
                      <w:color w:val="FF0000"/>
                      <w:highlight w:val="none"/>
                      <w:lang w:val="en-US" w:eastAsia="zh-CN"/>
                    </w:rPr>
                    <w:t>1.0</w:t>
                  </w:r>
                  <w:r>
                    <w:rPr>
                      <w:rFonts w:hint="default" w:ascii="Times New Roman" w:hAnsi="Times New Roman" w:cs="Times New Roman"/>
                      <w:color w:val="FF0000"/>
                      <w:highlight w:val="none"/>
                    </w:rPr>
                    <w:t>mg/L</w:t>
                  </w:r>
                </w:p>
              </w:tc>
              <w:tc>
                <w:tcPr>
                  <w:tcW w:w="2072" w:type="dxa"/>
                  <w:vMerge w:val="continue"/>
                  <w:tcBorders>
                    <w:tl2br w:val="nil"/>
                    <w:tr2bl w:val="nil"/>
                  </w:tcBorders>
                  <w:vAlign w:val="center"/>
                </w:tcPr>
                <w:p w14:paraId="7884ACB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167F7B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6418DA9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003B6399">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镍（Ni）</w:t>
                  </w:r>
                </w:p>
              </w:tc>
              <w:tc>
                <w:tcPr>
                  <w:tcW w:w="2475" w:type="dxa"/>
                  <w:tcBorders>
                    <w:tl2br w:val="nil"/>
                    <w:tr2bl w:val="nil"/>
                  </w:tcBorders>
                  <w:vAlign w:val="center"/>
                </w:tcPr>
                <w:p w14:paraId="3692EAF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0.2</w:t>
                  </w:r>
                  <w:r>
                    <w:rPr>
                      <w:rFonts w:hint="default" w:ascii="Times New Roman" w:hAnsi="Times New Roman" w:cs="Times New Roman"/>
                      <w:color w:val="FF0000"/>
                      <w:highlight w:val="none"/>
                    </w:rPr>
                    <w:t>mg/L</w:t>
                  </w:r>
                </w:p>
              </w:tc>
              <w:tc>
                <w:tcPr>
                  <w:tcW w:w="2072" w:type="dxa"/>
                  <w:vMerge w:val="continue"/>
                  <w:tcBorders>
                    <w:tl2br w:val="nil"/>
                    <w:tr2bl w:val="nil"/>
                  </w:tcBorders>
                  <w:vAlign w:val="center"/>
                </w:tcPr>
                <w:p w14:paraId="56157AA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10A14C1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283" w:hRule="atLeast"/>
                <w:jc w:val="center"/>
              </w:trPr>
              <w:tc>
                <w:tcPr>
                  <w:tcW w:w="1439" w:type="dxa"/>
                  <w:vMerge w:val="continue"/>
                  <w:tcBorders>
                    <w:tl2br w:val="nil"/>
                    <w:tr2bl w:val="nil"/>
                  </w:tcBorders>
                  <w:vAlign w:val="center"/>
                </w:tcPr>
                <w:p w14:paraId="2CBC2D6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7025E9A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锌（Zn）</w:t>
                  </w:r>
                </w:p>
              </w:tc>
              <w:tc>
                <w:tcPr>
                  <w:tcW w:w="2475" w:type="dxa"/>
                  <w:tcBorders>
                    <w:tl2br w:val="nil"/>
                    <w:tr2bl w:val="nil"/>
                  </w:tcBorders>
                  <w:vAlign w:val="center"/>
                </w:tcPr>
                <w:p w14:paraId="63C9737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eastAsia="宋体" w:cs="Times New Roman"/>
                      <w:color w:val="FF0000"/>
                      <w:highlight w:val="none"/>
                      <w:lang w:val="en-US" w:eastAsia="zh-CN"/>
                    </w:rPr>
                    <w:t>1.0</w:t>
                  </w:r>
                  <w:r>
                    <w:rPr>
                      <w:rFonts w:hint="default" w:ascii="Times New Roman" w:hAnsi="Times New Roman" w:cs="Times New Roman"/>
                      <w:color w:val="FF0000"/>
                      <w:highlight w:val="none"/>
                    </w:rPr>
                    <w:t>mg/L</w:t>
                  </w:r>
                </w:p>
              </w:tc>
              <w:tc>
                <w:tcPr>
                  <w:tcW w:w="2072" w:type="dxa"/>
                  <w:vMerge w:val="continue"/>
                  <w:tcBorders>
                    <w:tl2br w:val="nil"/>
                    <w:tr2bl w:val="nil"/>
                  </w:tcBorders>
                  <w:vAlign w:val="center"/>
                </w:tcPr>
                <w:p w14:paraId="3B247F9F">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r w14:paraId="751213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83" w:hRule="atLeast"/>
                <w:jc w:val="center"/>
              </w:trPr>
              <w:tc>
                <w:tcPr>
                  <w:tcW w:w="1439" w:type="dxa"/>
                  <w:vMerge w:val="continue"/>
                  <w:tcBorders>
                    <w:tl2br w:val="nil"/>
                    <w:tr2bl w:val="nil"/>
                  </w:tcBorders>
                  <w:vAlign w:val="center"/>
                </w:tcPr>
                <w:p w14:paraId="1444C82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2094" w:type="dxa"/>
                  <w:tcBorders>
                    <w:tl2br w:val="nil"/>
                    <w:tr2bl w:val="nil"/>
                  </w:tcBorders>
                  <w:vAlign w:val="center"/>
                </w:tcPr>
                <w:p w14:paraId="065B08E8">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锰（Mn）</w:t>
                  </w:r>
                </w:p>
              </w:tc>
              <w:tc>
                <w:tcPr>
                  <w:tcW w:w="2475" w:type="dxa"/>
                  <w:tcBorders>
                    <w:tl2br w:val="nil"/>
                    <w:tr2bl w:val="nil"/>
                  </w:tcBorders>
                  <w:vAlign w:val="center"/>
                </w:tcPr>
                <w:p w14:paraId="4785CAA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eastAsia="宋体" w:cs="Times New Roman"/>
                      <w:color w:val="FF0000"/>
                      <w:highlight w:val="none"/>
                      <w:lang w:val="en-US" w:eastAsia="zh-CN"/>
                    </w:rPr>
                    <w:t>1.0</w:t>
                  </w:r>
                  <w:r>
                    <w:rPr>
                      <w:rFonts w:hint="default" w:ascii="Times New Roman" w:hAnsi="Times New Roman" w:cs="Times New Roman"/>
                      <w:color w:val="FF0000"/>
                      <w:highlight w:val="none"/>
                    </w:rPr>
                    <w:t>mg/L</w:t>
                  </w:r>
                </w:p>
              </w:tc>
              <w:tc>
                <w:tcPr>
                  <w:tcW w:w="2072" w:type="dxa"/>
                  <w:vMerge w:val="continue"/>
                  <w:tcBorders>
                    <w:tl2br w:val="nil"/>
                    <w:tr2bl w:val="nil"/>
                  </w:tcBorders>
                  <w:vAlign w:val="center"/>
                </w:tcPr>
                <w:p w14:paraId="2DCAFEC5">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r>
          </w:tbl>
          <w:p w14:paraId="5F90E2D5">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产品中锂渣浸出液技术指标一览表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2272"/>
              <w:gridCol w:w="2460"/>
              <w:gridCol w:w="2460"/>
            </w:tblGrid>
            <w:tr w14:paraId="678737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73D6B0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eastAsia" w:cs="Times New Roman"/>
                      <w:b/>
                      <w:bCs/>
                      <w:color w:val="FF0000"/>
                      <w:highlight w:val="none"/>
                      <w:lang w:val="en-US" w:eastAsia="zh-CN"/>
                    </w:rPr>
                    <w:t>序号</w:t>
                  </w:r>
                </w:p>
              </w:tc>
              <w:tc>
                <w:tcPr>
                  <w:tcW w:w="2272" w:type="dxa"/>
                  <w:tcBorders>
                    <w:tl2br w:val="nil"/>
                    <w:tr2bl w:val="nil"/>
                  </w:tcBorders>
                  <w:noWrap w:val="0"/>
                  <w:vAlign w:val="center"/>
                </w:tcPr>
                <w:p w14:paraId="10AC1C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eastAsia="zh-CN"/>
                    </w:rPr>
                  </w:pPr>
                  <w:r>
                    <w:rPr>
                      <w:rFonts w:hint="default" w:ascii="Times New Roman" w:hAnsi="Times New Roman" w:cs="Times New Roman"/>
                      <w:b/>
                      <w:bCs/>
                      <w:color w:val="FF0000"/>
                      <w:highlight w:val="none"/>
                      <w:lang w:val="en-US" w:eastAsia="zh-CN"/>
                    </w:rPr>
                    <w:t>项目</w:t>
                  </w:r>
                </w:p>
              </w:tc>
              <w:tc>
                <w:tcPr>
                  <w:tcW w:w="2460" w:type="dxa"/>
                  <w:tcBorders>
                    <w:tl2br w:val="nil"/>
                    <w:tr2bl w:val="nil"/>
                  </w:tcBorders>
                  <w:noWrap w:val="0"/>
                  <w:vAlign w:val="center"/>
                </w:tcPr>
                <w:p w14:paraId="734B60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eastAsia="zh-CN"/>
                    </w:rPr>
                  </w:pPr>
                  <w:r>
                    <w:rPr>
                      <w:rFonts w:hint="default" w:ascii="Times New Roman" w:hAnsi="Times New Roman" w:cs="Times New Roman"/>
                      <w:b/>
                      <w:bCs/>
                      <w:color w:val="FF0000"/>
                      <w:highlight w:val="none"/>
                      <w:lang w:val="en-US" w:eastAsia="zh-CN"/>
                    </w:rPr>
                    <w:t>限值</w:t>
                  </w:r>
                </w:p>
              </w:tc>
              <w:tc>
                <w:tcPr>
                  <w:tcW w:w="2460" w:type="dxa"/>
                  <w:tcBorders>
                    <w:tl2br w:val="nil"/>
                    <w:tr2bl w:val="nil"/>
                  </w:tcBorders>
                  <w:noWrap w:val="0"/>
                  <w:vAlign w:val="center"/>
                </w:tcPr>
                <w:p w14:paraId="075356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lang w:val="en-US" w:eastAsia="zh-CN"/>
                    </w:rPr>
                    <w:t>依据</w:t>
                  </w:r>
                </w:p>
              </w:tc>
            </w:tr>
            <w:tr w14:paraId="6540B7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88" w:type="dxa"/>
                  <w:tcBorders>
                    <w:tl2br w:val="nil"/>
                    <w:tr2bl w:val="nil"/>
                  </w:tcBorders>
                  <w:noWrap w:val="0"/>
                  <w:vAlign w:val="center"/>
                </w:tcPr>
                <w:p w14:paraId="60427D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lang w:val="en-US" w:eastAsia="zh-CN"/>
                    </w:rPr>
                  </w:pPr>
                  <w:r>
                    <w:rPr>
                      <w:rFonts w:hint="default" w:ascii="Times New Roman" w:hAnsi="Times New Roman" w:cs="Times New Roman"/>
                      <w:b w:val="0"/>
                      <w:bCs w:val="0"/>
                      <w:color w:val="FF0000"/>
                      <w:highlight w:val="none"/>
                      <w:lang w:val="en-US" w:eastAsia="zh-CN"/>
                    </w:rPr>
                    <w:t>1</w:t>
                  </w:r>
                </w:p>
              </w:tc>
              <w:tc>
                <w:tcPr>
                  <w:tcW w:w="2272" w:type="dxa"/>
                  <w:tcBorders>
                    <w:tl2br w:val="nil"/>
                    <w:tr2bl w:val="nil"/>
                  </w:tcBorders>
                  <w:noWrap w:val="0"/>
                  <w:vAlign w:val="center"/>
                </w:tcPr>
                <w:p w14:paraId="51EDE8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lang w:val="en-US" w:eastAsia="zh-CN"/>
                    </w:rPr>
                  </w:pPr>
                  <w:r>
                    <w:rPr>
                      <w:rFonts w:hint="default" w:ascii="Times New Roman" w:hAnsi="Times New Roman" w:cs="Times New Roman"/>
                      <w:b w:val="0"/>
                      <w:bCs w:val="0"/>
                      <w:color w:val="FF0000"/>
                      <w:highlight w:val="none"/>
                      <w:lang w:val="en-US" w:eastAsia="zh-CN"/>
                    </w:rPr>
                    <w:t>水溶性盐</w:t>
                  </w:r>
                </w:p>
              </w:tc>
              <w:tc>
                <w:tcPr>
                  <w:tcW w:w="2460" w:type="dxa"/>
                  <w:tcBorders>
                    <w:tl2br w:val="nil"/>
                    <w:tr2bl w:val="nil"/>
                  </w:tcBorders>
                  <w:noWrap w:val="0"/>
                  <w:vAlign w:val="center"/>
                </w:tcPr>
                <w:p w14:paraId="3275A2B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lang w:val="en-US" w:eastAsia="zh-CN"/>
                    </w:rPr>
                  </w:pPr>
                  <w:r>
                    <w:rPr>
                      <w:rFonts w:hint="default" w:ascii="Times New Roman" w:hAnsi="Times New Roman" w:cs="Times New Roman"/>
                      <w:b w:val="0"/>
                      <w:bCs w:val="0"/>
                      <w:color w:val="FF0000"/>
                      <w:highlight w:val="none"/>
                      <w:lang w:val="en-US" w:eastAsia="zh-CN"/>
                    </w:rPr>
                    <w:t>&lt;5%</w:t>
                  </w:r>
                </w:p>
              </w:tc>
              <w:tc>
                <w:tcPr>
                  <w:tcW w:w="2460" w:type="dxa"/>
                  <w:vMerge w:val="restart"/>
                  <w:tcBorders>
                    <w:tl2br w:val="nil"/>
                    <w:tr2bl w:val="nil"/>
                  </w:tcBorders>
                  <w:noWrap w:val="0"/>
                  <w:vAlign w:val="center"/>
                </w:tcPr>
                <w:p w14:paraId="314AEB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rPr>
                  </w:pPr>
                  <w:r>
                    <w:rPr>
                      <w:rFonts w:hint="default" w:ascii="Times New Roman" w:hAnsi="Times New Roman" w:cs="Times New Roman"/>
                      <w:b w:val="0"/>
                      <w:bCs w:val="0"/>
                      <w:color w:val="FF0000"/>
                      <w:highlight w:val="none"/>
                      <w:lang w:val="en-US" w:eastAsia="zh-CN"/>
                    </w:rPr>
                    <w:t>《公路路基工程利用锂渣技术规范（试行）》（DB36/T1968-2024）表1</w:t>
                  </w:r>
                </w:p>
              </w:tc>
            </w:tr>
            <w:tr w14:paraId="3C23D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888" w:type="dxa"/>
                  <w:tcBorders>
                    <w:tl2br w:val="nil"/>
                    <w:tr2bl w:val="nil"/>
                  </w:tcBorders>
                  <w:noWrap w:val="0"/>
                  <w:vAlign w:val="center"/>
                </w:tcPr>
                <w:p w14:paraId="793198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rPr>
                  </w:pPr>
                  <w:r>
                    <w:rPr>
                      <w:rFonts w:hint="default" w:ascii="Times New Roman" w:hAnsi="Times New Roman" w:cs="Times New Roman"/>
                      <w:b w:val="0"/>
                      <w:bCs w:val="0"/>
                      <w:color w:val="FF0000"/>
                      <w:highlight w:val="none"/>
                      <w:lang w:val="en-US" w:eastAsia="zh-CN"/>
                    </w:rPr>
                    <w:t>2</w:t>
                  </w:r>
                </w:p>
              </w:tc>
              <w:tc>
                <w:tcPr>
                  <w:tcW w:w="2272" w:type="dxa"/>
                  <w:tcBorders>
                    <w:tl2br w:val="nil"/>
                    <w:tr2bl w:val="nil"/>
                  </w:tcBorders>
                  <w:noWrap w:val="0"/>
                  <w:vAlign w:val="center"/>
                </w:tcPr>
                <w:p w14:paraId="4E30BA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rPr>
                  </w:pPr>
                  <w:r>
                    <w:rPr>
                      <w:rFonts w:hint="default" w:ascii="Times New Roman" w:hAnsi="Times New Roman" w:cs="Times New Roman"/>
                      <w:b w:val="0"/>
                      <w:bCs w:val="0"/>
                      <w:color w:val="FF0000"/>
                      <w:highlight w:val="none"/>
                      <w:lang w:val="en-US" w:eastAsia="zh-CN"/>
                    </w:rPr>
                    <w:t>pH</w:t>
                  </w:r>
                </w:p>
              </w:tc>
              <w:tc>
                <w:tcPr>
                  <w:tcW w:w="2460" w:type="dxa"/>
                  <w:tcBorders>
                    <w:tl2br w:val="nil"/>
                    <w:tr2bl w:val="nil"/>
                  </w:tcBorders>
                  <w:noWrap w:val="0"/>
                  <w:vAlign w:val="center"/>
                </w:tcPr>
                <w:p w14:paraId="41F27C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rPr>
                  </w:pPr>
                  <w:r>
                    <w:rPr>
                      <w:rFonts w:hint="default" w:ascii="Times New Roman" w:hAnsi="Times New Roman" w:cs="Times New Roman"/>
                      <w:b w:val="0"/>
                      <w:bCs w:val="0"/>
                      <w:color w:val="FF0000"/>
                      <w:highlight w:val="none"/>
                      <w:lang w:val="en-US" w:eastAsia="zh-CN"/>
                    </w:rPr>
                    <w:t>6~9</w:t>
                  </w:r>
                </w:p>
              </w:tc>
              <w:tc>
                <w:tcPr>
                  <w:tcW w:w="2460" w:type="dxa"/>
                  <w:vMerge w:val="continue"/>
                  <w:tcBorders>
                    <w:tl2br w:val="nil"/>
                    <w:tr2bl w:val="nil"/>
                  </w:tcBorders>
                  <w:noWrap w:val="0"/>
                  <w:vAlign w:val="center"/>
                </w:tcPr>
                <w:p w14:paraId="6B88D3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val="0"/>
                      <w:bCs w:val="0"/>
                      <w:color w:val="FF0000"/>
                      <w:highlight w:val="none"/>
                      <w:lang w:val="en-US" w:eastAsia="zh-CN"/>
                    </w:rPr>
                  </w:pPr>
                </w:p>
              </w:tc>
            </w:tr>
            <w:tr w14:paraId="0B6E10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2B3482A5">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3</w:t>
                  </w:r>
                </w:p>
              </w:tc>
              <w:tc>
                <w:tcPr>
                  <w:tcW w:w="2272" w:type="dxa"/>
                  <w:tcBorders>
                    <w:tl2br w:val="nil"/>
                    <w:tr2bl w:val="nil"/>
                  </w:tcBorders>
                  <w:noWrap w:val="0"/>
                  <w:vAlign w:val="center"/>
                </w:tcPr>
                <w:p w14:paraId="389B1D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总镍，mg/L</w:t>
                  </w:r>
                </w:p>
              </w:tc>
              <w:tc>
                <w:tcPr>
                  <w:tcW w:w="2460" w:type="dxa"/>
                  <w:tcBorders>
                    <w:tl2br w:val="nil"/>
                    <w:tr2bl w:val="nil"/>
                  </w:tcBorders>
                  <w:noWrap w:val="0"/>
                  <w:vAlign w:val="center"/>
                </w:tcPr>
                <w:p w14:paraId="138BE1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c>
                <w:tcPr>
                  <w:tcW w:w="2460" w:type="dxa"/>
                  <w:vMerge w:val="continue"/>
                  <w:tcBorders>
                    <w:tl2br w:val="nil"/>
                    <w:tr2bl w:val="nil"/>
                  </w:tcBorders>
                  <w:noWrap w:val="0"/>
                  <w:vAlign w:val="center"/>
                </w:tcPr>
                <w:p w14:paraId="6B4E155F">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5FEC34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321815B0">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4</w:t>
                  </w:r>
                </w:p>
              </w:tc>
              <w:tc>
                <w:tcPr>
                  <w:tcW w:w="2272" w:type="dxa"/>
                  <w:tcBorders>
                    <w:tl2br w:val="nil"/>
                    <w:tr2bl w:val="nil"/>
                  </w:tcBorders>
                  <w:noWrap w:val="0"/>
                  <w:vAlign w:val="center"/>
                </w:tcPr>
                <w:p w14:paraId="0EF540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总铜，mg/L</w:t>
                  </w:r>
                </w:p>
              </w:tc>
              <w:tc>
                <w:tcPr>
                  <w:tcW w:w="2460" w:type="dxa"/>
                  <w:tcBorders>
                    <w:tl2br w:val="nil"/>
                    <w:tr2bl w:val="nil"/>
                  </w:tcBorders>
                  <w:noWrap w:val="0"/>
                  <w:vAlign w:val="center"/>
                </w:tcPr>
                <w:p w14:paraId="2A21C2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0.5</w:t>
                  </w:r>
                </w:p>
              </w:tc>
              <w:tc>
                <w:tcPr>
                  <w:tcW w:w="2460" w:type="dxa"/>
                  <w:vMerge w:val="continue"/>
                  <w:tcBorders>
                    <w:tl2br w:val="nil"/>
                    <w:tr2bl w:val="nil"/>
                  </w:tcBorders>
                  <w:noWrap w:val="0"/>
                  <w:vAlign w:val="center"/>
                </w:tcPr>
                <w:p w14:paraId="49FE0141">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49D801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2161D064">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5</w:t>
                  </w:r>
                </w:p>
              </w:tc>
              <w:tc>
                <w:tcPr>
                  <w:tcW w:w="2272" w:type="dxa"/>
                  <w:tcBorders>
                    <w:tl2br w:val="nil"/>
                    <w:tr2bl w:val="nil"/>
                  </w:tcBorders>
                  <w:noWrap w:val="0"/>
                  <w:vAlign w:val="center"/>
                </w:tcPr>
                <w:p w14:paraId="24C24A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总锌，mg/L</w:t>
                  </w:r>
                </w:p>
              </w:tc>
              <w:tc>
                <w:tcPr>
                  <w:tcW w:w="2460" w:type="dxa"/>
                  <w:tcBorders>
                    <w:tl2br w:val="nil"/>
                    <w:tr2bl w:val="nil"/>
                  </w:tcBorders>
                  <w:noWrap w:val="0"/>
                  <w:vAlign w:val="center"/>
                </w:tcPr>
                <w:p w14:paraId="3889A9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2.0</w:t>
                  </w:r>
                </w:p>
              </w:tc>
              <w:tc>
                <w:tcPr>
                  <w:tcW w:w="2460" w:type="dxa"/>
                  <w:vMerge w:val="continue"/>
                  <w:tcBorders>
                    <w:tl2br w:val="nil"/>
                    <w:tr2bl w:val="nil"/>
                  </w:tcBorders>
                  <w:noWrap w:val="0"/>
                  <w:vAlign w:val="center"/>
                </w:tcPr>
                <w:p w14:paraId="0BFD81C3">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75103B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1C295530">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6</w:t>
                  </w:r>
                </w:p>
              </w:tc>
              <w:tc>
                <w:tcPr>
                  <w:tcW w:w="2272" w:type="dxa"/>
                  <w:tcBorders>
                    <w:tl2br w:val="nil"/>
                    <w:tr2bl w:val="nil"/>
                  </w:tcBorders>
                  <w:noWrap w:val="0"/>
                  <w:vAlign w:val="center"/>
                </w:tcPr>
                <w:p w14:paraId="503F9D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总镉，mg/L</w:t>
                  </w:r>
                </w:p>
              </w:tc>
              <w:tc>
                <w:tcPr>
                  <w:tcW w:w="2460" w:type="dxa"/>
                  <w:tcBorders>
                    <w:tl2br w:val="nil"/>
                    <w:tr2bl w:val="nil"/>
                  </w:tcBorders>
                  <w:noWrap w:val="0"/>
                  <w:vAlign w:val="center"/>
                </w:tcPr>
                <w:p w14:paraId="7732E3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0.1</w:t>
                  </w:r>
                </w:p>
              </w:tc>
              <w:tc>
                <w:tcPr>
                  <w:tcW w:w="2460" w:type="dxa"/>
                  <w:vMerge w:val="continue"/>
                  <w:tcBorders>
                    <w:tl2br w:val="nil"/>
                    <w:tr2bl w:val="nil"/>
                  </w:tcBorders>
                  <w:noWrap w:val="0"/>
                  <w:vAlign w:val="center"/>
                </w:tcPr>
                <w:p w14:paraId="218C3A76">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6EA19A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3FB03D83">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7</w:t>
                  </w:r>
                </w:p>
              </w:tc>
              <w:tc>
                <w:tcPr>
                  <w:tcW w:w="2272" w:type="dxa"/>
                  <w:tcBorders>
                    <w:tl2br w:val="nil"/>
                    <w:tr2bl w:val="nil"/>
                  </w:tcBorders>
                  <w:noWrap w:val="0"/>
                  <w:vAlign w:val="center"/>
                </w:tcPr>
                <w:p w14:paraId="0F1434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总铅，mg/L</w:t>
                  </w:r>
                </w:p>
              </w:tc>
              <w:tc>
                <w:tcPr>
                  <w:tcW w:w="2460" w:type="dxa"/>
                  <w:tcBorders>
                    <w:tl2br w:val="nil"/>
                    <w:tr2bl w:val="nil"/>
                  </w:tcBorders>
                  <w:noWrap w:val="0"/>
                  <w:vAlign w:val="center"/>
                </w:tcPr>
                <w:p w14:paraId="5CB6F8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c>
                <w:tcPr>
                  <w:tcW w:w="2460" w:type="dxa"/>
                  <w:vMerge w:val="continue"/>
                  <w:tcBorders>
                    <w:tl2br w:val="nil"/>
                    <w:tr2bl w:val="nil"/>
                  </w:tcBorders>
                  <w:noWrap w:val="0"/>
                  <w:vAlign w:val="center"/>
                </w:tcPr>
                <w:p w14:paraId="5DCC5A1F">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122A89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13567C5D">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8</w:t>
                  </w:r>
                </w:p>
              </w:tc>
              <w:tc>
                <w:tcPr>
                  <w:tcW w:w="2272" w:type="dxa"/>
                  <w:tcBorders>
                    <w:tl2br w:val="nil"/>
                    <w:tr2bl w:val="nil"/>
                  </w:tcBorders>
                  <w:noWrap w:val="0"/>
                  <w:vAlign w:val="center"/>
                </w:tcPr>
                <w:p w14:paraId="6EE3E3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总铬，mg/L</w:t>
                  </w:r>
                </w:p>
              </w:tc>
              <w:tc>
                <w:tcPr>
                  <w:tcW w:w="2460" w:type="dxa"/>
                  <w:tcBorders>
                    <w:tl2br w:val="nil"/>
                    <w:tr2bl w:val="nil"/>
                  </w:tcBorders>
                  <w:noWrap w:val="0"/>
                  <w:vAlign w:val="center"/>
                </w:tcPr>
                <w:p w14:paraId="0EE6E7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1.5</w:t>
                  </w:r>
                </w:p>
              </w:tc>
              <w:tc>
                <w:tcPr>
                  <w:tcW w:w="2460" w:type="dxa"/>
                  <w:vMerge w:val="continue"/>
                  <w:tcBorders>
                    <w:tl2br w:val="nil"/>
                    <w:tr2bl w:val="nil"/>
                  </w:tcBorders>
                  <w:noWrap w:val="0"/>
                  <w:vAlign w:val="center"/>
                </w:tcPr>
                <w:p w14:paraId="4578CACD">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rPr>
                  </w:pPr>
                </w:p>
              </w:tc>
            </w:tr>
            <w:tr w14:paraId="212439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251F164D">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9</w:t>
                  </w:r>
                </w:p>
              </w:tc>
              <w:tc>
                <w:tcPr>
                  <w:tcW w:w="2272" w:type="dxa"/>
                  <w:tcBorders>
                    <w:tl2br w:val="nil"/>
                    <w:tr2bl w:val="nil"/>
                  </w:tcBorders>
                  <w:noWrap w:val="0"/>
                  <w:vAlign w:val="center"/>
                </w:tcPr>
                <w:p w14:paraId="2AF54F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总锰，mg/L</w:t>
                  </w:r>
                </w:p>
              </w:tc>
              <w:tc>
                <w:tcPr>
                  <w:tcW w:w="2460" w:type="dxa"/>
                  <w:tcBorders>
                    <w:tl2br w:val="nil"/>
                    <w:tr2bl w:val="nil"/>
                  </w:tcBorders>
                  <w:noWrap w:val="0"/>
                  <w:vAlign w:val="center"/>
                </w:tcPr>
                <w:p w14:paraId="46C630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2.0</w:t>
                  </w:r>
                </w:p>
              </w:tc>
              <w:tc>
                <w:tcPr>
                  <w:tcW w:w="2460" w:type="dxa"/>
                  <w:vMerge w:val="continue"/>
                  <w:tcBorders>
                    <w:tl2br w:val="nil"/>
                    <w:tr2bl w:val="nil"/>
                  </w:tcBorders>
                  <w:noWrap w:val="0"/>
                  <w:vAlign w:val="center"/>
                </w:tcPr>
                <w:p w14:paraId="09D9DE84">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24661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50379C5F">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10</w:t>
                  </w:r>
                </w:p>
              </w:tc>
              <w:tc>
                <w:tcPr>
                  <w:tcW w:w="2272" w:type="dxa"/>
                  <w:tcBorders>
                    <w:tl2br w:val="nil"/>
                    <w:tr2bl w:val="nil"/>
                  </w:tcBorders>
                  <w:noWrap w:val="0"/>
                  <w:vAlign w:val="center"/>
                </w:tcPr>
                <w:p w14:paraId="71F9A3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总银，mg/L</w:t>
                  </w:r>
                </w:p>
              </w:tc>
              <w:tc>
                <w:tcPr>
                  <w:tcW w:w="2460" w:type="dxa"/>
                  <w:tcBorders>
                    <w:tl2br w:val="nil"/>
                    <w:tr2bl w:val="nil"/>
                  </w:tcBorders>
                  <w:noWrap w:val="0"/>
                  <w:vAlign w:val="center"/>
                </w:tcPr>
                <w:p w14:paraId="6C4677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0.5</w:t>
                  </w:r>
                </w:p>
              </w:tc>
              <w:tc>
                <w:tcPr>
                  <w:tcW w:w="2460" w:type="dxa"/>
                  <w:vMerge w:val="continue"/>
                  <w:tcBorders>
                    <w:tl2br w:val="nil"/>
                    <w:tr2bl w:val="nil"/>
                  </w:tcBorders>
                  <w:noWrap w:val="0"/>
                  <w:vAlign w:val="center"/>
                </w:tcPr>
                <w:p w14:paraId="14086C51">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rPr>
                  </w:pPr>
                </w:p>
              </w:tc>
            </w:tr>
            <w:tr w14:paraId="704425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776A35D9">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11</w:t>
                  </w:r>
                </w:p>
              </w:tc>
              <w:tc>
                <w:tcPr>
                  <w:tcW w:w="2272" w:type="dxa"/>
                  <w:tcBorders>
                    <w:tl2br w:val="nil"/>
                    <w:tr2bl w:val="nil"/>
                  </w:tcBorders>
                  <w:noWrap w:val="0"/>
                  <w:vAlign w:val="center"/>
                </w:tcPr>
                <w:p w14:paraId="619E41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总铍，mg/L</w:t>
                  </w:r>
                </w:p>
              </w:tc>
              <w:tc>
                <w:tcPr>
                  <w:tcW w:w="2460" w:type="dxa"/>
                  <w:tcBorders>
                    <w:tl2br w:val="nil"/>
                    <w:tr2bl w:val="nil"/>
                  </w:tcBorders>
                  <w:noWrap w:val="0"/>
                  <w:vAlign w:val="center"/>
                </w:tcPr>
                <w:p w14:paraId="2EA2EF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0.005</w:t>
                  </w:r>
                </w:p>
              </w:tc>
              <w:tc>
                <w:tcPr>
                  <w:tcW w:w="2460" w:type="dxa"/>
                  <w:vMerge w:val="continue"/>
                  <w:tcBorders>
                    <w:tl2br w:val="nil"/>
                    <w:tr2bl w:val="nil"/>
                  </w:tcBorders>
                  <w:noWrap w:val="0"/>
                  <w:vAlign w:val="center"/>
                </w:tcPr>
                <w:p w14:paraId="6066E688">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2F1D0C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386D31E9">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12</w:t>
                  </w:r>
                </w:p>
              </w:tc>
              <w:tc>
                <w:tcPr>
                  <w:tcW w:w="2272" w:type="dxa"/>
                  <w:tcBorders>
                    <w:tl2br w:val="nil"/>
                    <w:tr2bl w:val="nil"/>
                  </w:tcBorders>
                  <w:noWrap w:val="0"/>
                  <w:vAlign w:val="center"/>
                </w:tcPr>
                <w:p w14:paraId="363103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总铊，mg/L</w:t>
                  </w:r>
                </w:p>
              </w:tc>
              <w:tc>
                <w:tcPr>
                  <w:tcW w:w="2460" w:type="dxa"/>
                  <w:tcBorders>
                    <w:tl2br w:val="nil"/>
                    <w:tr2bl w:val="nil"/>
                  </w:tcBorders>
                  <w:noWrap w:val="0"/>
                  <w:vAlign w:val="center"/>
                </w:tcPr>
                <w:p w14:paraId="186470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0.005</w:t>
                  </w:r>
                </w:p>
              </w:tc>
              <w:tc>
                <w:tcPr>
                  <w:tcW w:w="2460" w:type="dxa"/>
                  <w:vMerge w:val="continue"/>
                  <w:tcBorders>
                    <w:tl2br w:val="nil"/>
                    <w:tr2bl w:val="nil"/>
                  </w:tcBorders>
                  <w:noWrap w:val="0"/>
                  <w:vAlign w:val="center"/>
                </w:tcPr>
                <w:p w14:paraId="02338F4B">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5A1F4B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3CA49766">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13</w:t>
                  </w:r>
                </w:p>
              </w:tc>
              <w:tc>
                <w:tcPr>
                  <w:tcW w:w="2272" w:type="dxa"/>
                  <w:tcBorders>
                    <w:tl2br w:val="nil"/>
                    <w:tr2bl w:val="nil"/>
                  </w:tcBorders>
                  <w:noWrap w:val="0"/>
                  <w:vAlign w:val="center"/>
                </w:tcPr>
                <w:p w14:paraId="7F1719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总汞，mg/L</w:t>
                  </w:r>
                </w:p>
              </w:tc>
              <w:tc>
                <w:tcPr>
                  <w:tcW w:w="2460" w:type="dxa"/>
                  <w:tcBorders>
                    <w:tl2br w:val="nil"/>
                    <w:tr2bl w:val="nil"/>
                  </w:tcBorders>
                  <w:noWrap w:val="0"/>
                  <w:vAlign w:val="center"/>
                </w:tcPr>
                <w:p w14:paraId="319011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0.05</w:t>
                  </w:r>
                </w:p>
              </w:tc>
              <w:tc>
                <w:tcPr>
                  <w:tcW w:w="2460" w:type="dxa"/>
                  <w:vMerge w:val="continue"/>
                  <w:tcBorders>
                    <w:tl2br w:val="nil"/>
                    <w:tr2bl w:val="nil"/>
                  </w:tcBorders>
                  <w:noWrap w:val="0"/>
                  <w:vAlign w:val="center"/>
                </w:tcPr>
                <w:p w14:paraId="6F767272">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rPr>
                  </w:pPr>
                </w:p>
              </w:tc>
            </w:tr>
            <w:tr w14:paraId="0F283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7EA9BC83">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14</w:t>
                  </w:r>
                </w:p>
              </w:tc>
              <w:tc>
                <w:tcPr>
                  <w:tcW w:w="2272" w:type="dxa"/>
                  <w:tcBorders>
                    <w:tl2br w:val="nil"/>
                    <w:tr2bl w:val="nil"/>
                  </w:tcBorders>
                  <w:noWrap w:val="0"/>
                  <w:vAlign w:val="center"/>
                </w:tcPr>
                <w:p w14:paraId="0C43BB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氟化物，mg/L</w:t>
                  </w:r>
                </w:p>
              </w:tc>
              <w:tc>
                <w:tcPr>
                  <w:tcW w:w="2460" w:type="dxa"/>
                  <w:tcBorders>
                    <w:tl2br w:val="nil"/>
                    <w:tr2bl w:val="nil"/>
                  </w:tcBorders>
                  <w:noWrap w:val="0"/>
                  <w:vAlign w:val="center"/>
                </w:tcPr>
                <w:p w14:paraId="476D93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c>
                <w:tcPr>
                  <w:tcW w:w="2460" w:type="dxa"/>
                  <w:vMerge w:val="continue"/>
                  <w:tcBorders>
                    <w:tl2br w:val="nil"/>
                    <w:tr2bl w:val="nil"/>
                  </w:tcBorders>
                  <w:noWrap w:val="0"/>
                  <w:vAlign w:val="center"/>
                </w:tcPr>
                <w:p w14:paraId="24C38F8A">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188252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16495531">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15</w:t>
                  </w:r>
                </w:p>
              </w:tc>
              <w:tc>
                <w:tcPr>
                  <w:tcW w:w="2272" w:type="dxa"/>
                  <w:tcBorders>
                    <w:tl2br w:val="nil"/>
                    <w:tr2bl w:val="nil"/>
                  </w:tcBorders>
                  <w:noWrap w:val="0"/>
                  <w:vAlign w:val="center"/>
                </w:tcPr>
                <w:p w14:paraId="705DAA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硫化物，mg/L</w:t>
                  </w:r>
                </w:p>
              </w:tc>
              <w:tc>
                <w:tcPr>
                  <w:tcW w:w="2460" w:type="dxa"/>
                  <w:tcBorders>
                    <w:tl2br w:val="nil"/>
                    <w:tr2bl w:val="nil"/>
                  </w:tcBorders>
                  <w:noWrap w:val="0"/>
                  <w:vAlign w:val="center"/>
                </w:tcPr>
                <w:p w14:paraId="6235C2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c>
                <w:tcPr>
                  <w:tcW w:w="2460" w:type="dxa"/>
                  <w:vMerge w:val="continue"/>
                  <w:tcBorders>
                    <w:tl2br w:val="nil"/>
                    <w:tr2bl w:val="nil"/>
                  </w:tcBorders>
                  <w:noWrap w:val="0"/>
                  <w:vAlign w:val="center"/>
                </w:tcPr>
                <w:p w14:paraId="57788BA5">
                  <w:pPr>
                    <w:pStyle w:val="78"/>
                    <w:keepNext w:val="0"/>
                    <w:keepLines w:val="0"/>
                    <w:suppressLineNumbers w:val="0"/>
                    <w:bidi w:val="0"/>
                    <w:spacing w:beforeAutospacing="0" w:afterAutospacing="0"/>
                    <w:ind w:left="0" w:right="0"/>
                    <w:rPr>
                      <w:rFonts w:hint="default" w:ascii="Times New Roman" w:hAnsi="Times New Roman" w:eastAsia="宋体" w:cs="Times New Roman"/>
                      <w:color w:val="FF0000"/>
                      <w:highlight w:val="none"/>
                      <w:lang w:val="en-US" w:eastAsia="zh-CN"/>
                    </w:rPr>
                  </w:pPr>
                </w:p>
              </w:tc>
            </w:tr>
            <w:tr w14:paraId="395E5A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8" w:type="dxa"/>
                  <w:tcBorders>
                    <w:tl2br w:val="nil"/>
                    <w:tr2bl w:val="nil"/>
                  </w:tcBorders>
                  <w:noWrap w:val="0"/>
                  <w:vAlign w:val="center"/>
                </w:tcPr>
                <w:p w14:paraId="788524A4">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16</w:t>
                  </w:r>
                </w:p>
              </w:tc>
              <w:tc>
                <w:tcPr>
                  <w:tcW w:w="2272" w:type="dxa"/>
                  <w:tcBorders>
                    <w:tl2br w:val="nil"/>
                    <w:tr2bl w:val="nil"/>
                  </w:tcBorders>
                  <w:noWrap w:val="0"/>
                  <w:vAlign w:val="center"/>
                </w:tcPr>
                <w:p w14:paraId="5BD847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总氰化物，mg/L</w:t>
                  </w:r>
                </w:p>
              </w:tc>
              <w:tc>
                <w:tcPr>
                  <w:tcW w:w="2460" w:type="dxa"/>
                  <w:tcBorders>
                    <w:tl2br w:val="nil"/>
                    <w:tr2bl w:val="nil"/>
                  </w:tcBorders>
                  <w:noWrap w:val="0"/>
                  <w:vAlign w:val="center"/>
                </w:tcPr>
                <w:p w14:paraId="493E04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0.5</w:t>
                  </w:r>
                </w:p>
              </w:tc>
              <w:tc>
                <w:tcPr>
                  <w:tcW w:w="2460" w:type="dxa"/>
                  <w:vMerge w:val="continue"/>
                  <w:tcBorders>
                    <w:tl2br w:val="nil"/>
                    <w:tr2bl w:val="nil"/>
                  </w:tcBorders>
                  <w:noWrap w:val="0"/>
                  <w:vAlign w:val="center"/>
                </w:tcPr>
                <w:p w14:paraId="26CBF285">
                  <w:pPr>
                    <w:pStyle w:val="78"/>
                    <w:keepNext w:val="0"/>
                    <w:keepLines w:val="0"/>
                    <w:suppressLineNumbers w:val="0"/>
                    <w:bidi w:val="0"/>
                    <w:spacing w:beforeAutospacing="0" w:afterAutospacing="0"/>
                    <w:ind w:left="0" w:right="0"/>
                    <w:rPr>
                      <w:rFonts w:hint="default" w:ascii="Times New Roman" w:hAnsi="Times New Roman" w:cs="Times New Roman"/>
                      <w:color w:val="FF0000"/>
                      <w:highlight w:val="none"/>
                    </w:rPr>
                  </w:pPr>
                </w:p>
              </w:tc>
            </w:tr>
          </w:tbl>
          <w:p w14:paraId="4C15F0B3">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水泥基再生材料环境安全性能指标及限量值一览表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524"/>
              <w:gridCol w:w="3571"/>
            </w:tblGrid>
            <w:tr w14:paraId="474DFE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4FCDDC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eastAsia" w:cs="Times New Roman"/>
                      <w:b/>
                      <w:bCs/>
                      <w:color w:val="FF0000"/>
                      <w:highlight w:val="none"/>
                      <w:lang w:val="en-US" w:eastAsia="zh-CN"/>
                    </w:rPr>
                    <w:t>序号</w:t>
                  </w:r>
                </w:p>
              </w:tc>
              <w:tc>
                <w:tcPr>
                  <w:tcW w:w="3524" w:type="dxa"/>
                  <w:tcBorders>
                    <w:tl2br w:val="nil"/>
                    <w:tr2bl w:val="nil"/>
                  </w:tcBorders>
                  <w:noWrap w:val="0"/>
                  <w:vAlign w:val="center"/>
                </w:tcPr>
                <w:p w14:paraId="0523D7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eastAsia="zh-CN"/>
                    </w:rPr>
                  </w:pPr>
                  <w:r>
                    <w:rPr>
                      <w:rFonts w:hint="default" w:ascii="Times New Roman" w:hAnsi="Times New Roman" w:cs="Times New Roman"/>
                      <w:b/>
                      <w:bCs/>
                      <w:color w:val="FF0000"/>
                      <w:highlight w:val="none"/>
                      <w:lang w:val="en-US" w:eastAsia="zh-CN"/>
                    </w:rPr>
                    <w:t>项目</w:t>
                  </w:r>
                </w:p>
              </w:tc>
              <w:tc>
                <w:tcPr>
                  <w:tcW w:w="3571" w:type="dxa"/>
                  <w:tcBorders>
                    <w:tl2br w:val="nil"/>
                    <w:tr2bl w:val="nil"/>
                  </w:tcBorders>
                  <w:noWrap w:val="0"/>
                  <w:vAlign w:val="center"/>
                </w:tcPr>
                <w:p w14:paraId="7F9B17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eastAsia="zh-CN"/>
                    </w:rPr>
                  </w:pPr>
                  <w:r>
                    <w:rPr>
                      <w:rFonts w:hint="default" w:ascii="Times New Roman" w:hAnsi="Times New Roman" w:cs="Times New Roman"/>
                      <w:b/>
                      <w:bCs/>
                      <w:color w:val="FF0000"/>
                      <w:highlight w:val="none"/>
                      <w:lang w:val="en-US" w:eastAsia="zh-CN"/>
                    </w:rPr>
                    <w:t>限值</w:t>
                  </w:r>
                </w:p>
              </w:tc>
            </w:tr>
            <w:tr w14:paraId="5F1341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06864F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w:t>
                  </w:r>
                </w:p>
              </w:tc>
              <w:tc>
                <w:tcPr>
                  <w:tcW w:w="3524" w:type="dxa"/>
                  <w:tcBorders>
                    <w:tl2br w:val="nil"/>
                    <w:tr2bl w:val="nil"/>
                  </w:tcBorders>
                  <w:noWrap w:val="0"/>
                  <w:vAlign w:val="center"/>
                </w:tcPr>
                <w:p w14:paraId="759BE3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游离甲醛，mg/m</w:t>
                  </w:r>
                  <w:r>
                    <w:rPr>
                      <w:rFonts w:hint="default" w:ascii="Times New Roman" w:hAnsi="Times New Roman" w:cs="Times New Roman"/>
                      <w:color w:val="FF0000"/>
                      <w:highlight w:val="none"/>
                      <w:vertAlign w:val="superscript"/>
                      <w:lang w:val="en-US" w:eastAsia="zh-CN"/>
                    </w:rPr>
                    <w:t>3</w:t>
                  </w:r>
                </w:p>
              </w:tc>
              <w:tc>
                <w:tcPr>
                  <w:tcW w:w="3571" w:type="dxa"/>
                  <w:tcBorders>
                    <w:tl2br w:val="nil"/>
                    <w:tr2bl w:val="nil"/>
                  </w:tcBorders>
                  <w:noWrap w:val="0"/>
                  <w:vAlign w:val="center"/>
                </w:tcPr>
                <w:p w14:paraId="470CB5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0.08</w:t>
                  </w:r>
                </w:p>
              </w:tc>
            </w:tr>
            <w:tr w14:paraId="4AB777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79056F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2</w:t>
                  </w:r>
                </w:p>
              </w:tc>
              <w:tc>
                <w:tcPr>
                  <w:tcW w:w="3524" w:type="dxa"/>
                  <w:tcBorders>
                    <w:tl2br w:val="nil"/>
                    <w:tr2bl w:val="nil"/>
                  </w:tcBorders>
                  <w:noWrap w:val="0"/>
                  <w:vAlign w:val="center"/>
                </w:tcPr>
                <w:p w14:paraId="76A484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苯</w:t>
                  </w:r>
                  <w:r>
                    <w:rPr>
                      <w:rFonts w:hint="default" w:ascii="Times New Roman" w:hAnsi="Times New Roman" w:eastAsia="宋体" w:cs="Times New Roman"/>
                      <w:color w:val="FF0000"/>
                      <w:highlight w:val="none"/>
                      <w:lang w:val="en-US" w:eastAsia="zh-CN"/>
                    </w:rPr>
                    <w:t>，mg/m</w:t>
                  </w:r>
                  <w:r>
                    <w:rPr>
                      <w:rFonts w:hint="default" w:ascii="Times New Roman" w:hAnsi="Times New Roman" w:eastAsia="宋体" w:cs="Times New Roman"/>
                      <w:color w:val="FF0000"/>
                      <w:highlight w:val="none"/>
                      <w:vertAlign w:val="superscript"/>
                      <w:lang w:val="en-US" w:eastAsia="zh-CN"/>
                    </w:rPr>
                    <w:t>3</w:t>
                  </w:r>
                </w:p>
              </w:tc>
              <w:tc>
                <w:tcPr>
                  <w:tcW w:w="3571" w:type="dxa"/>
                  <w:tcBorders>
                    <w:tl2br w:val="nil"/>
                    <w:tr2bl w:val="nil"/>
                  </w:tcBorders>
                  <w:noWrap w:val="0"/>
                  <w:vAlign w:val="center"/>
                </w:tcPr>
                <w:p w14:paraId="7B162B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w:t>
                  </w:r>
                  <w:r>
                    <w:rPr>
                      <w:rFonts w:hint="default" w:ascii="Times New Roman" w:hAnsi="Times New Roman" w:eastAsia="宋体" w:cs="Times New Roman"/>
                      <w:color w:val="FF0000"/>
                      <w:highlight w:val="none"/>
                      <w:lang w:val="en-US" w:eastAsia="zh-CN"/>
                    </w:rPr>
                    <w:t>0.0</w:t>
                  </w:r>
                  <w:r>
                    <w:rPr>
                      <w:rFonts w:hint="default" w:ascii="Times New Roman" w:hAnsi="Times New Roman" w:cs="Times New Roman"/>
                      <w:color w:val="FF0000"/>
                      <w:highlight w:val="none"/>
                      <w:lang w:val="en-US" w:eastAsia="zh-CN"/>
                    </w:rPr>
                    <w:t>3</w:t>
                  </w:r>
                </w:p>
              </w:tc>
            </w:tr>
            <w:tr w14:paraId="7179A2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5B70AA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3</w:t>
                  </w:r>
                </w:p>
              </w:tc>
              <w:tc>
                <w:tcPr>
                  <w:tcW w:w="3524" w:type="dxa"/>
                  <w:tcBorders>
                    <w:tl2br w:val="nil"/>
                    <w:tr2bl w:val="nil"/>
                  </w:tcBorders>
                  <w:noWrap w:val="0"/>
                  <w:vAlign w:val="center"/>
                </w:tcPr>
                <w:p w14:paraId="77C52C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氨</w:t>
                  </w:r>
                  <w:r>
                    <w:rPr>
                      <w:rFonts w:hint="default" w:ascii="Times New Roman" w:hAnsi="Times New Roman" w:eastAsia="宋体" w:cs="Times New Roman"/>
                      <w:color w:val="FF0000"/>
                      <w:highlight w:val="none"/>
                      <w:lang w:val="en-US" w:eastAsia="zh-CN"/>
                    </w:rPr>
                    <w:t>，mg/m</w:t>
                  </w:r>
                  <w:r>
                    <w:rPr>
                      <w:rFonts w:hint="default" w:ascii="Times New Roman" w:hAnsi="Times New Roman" w:eastAsia="宋体" w:cs="Times New Roman"/>
                      <w:color w:val="FF0000"/>
                      <w:highlight w:val="none"/>
                      <w:vertAlign w:val="superscript"/>
                      <w:lang w:val="en-US" w:eastAsia="zh-CN"/>
                    </w:rPr>
                    <w:t>3</w:t>
                  </w:r>
                </w:p>
              </w:tc>
              <w:tc>
                <w:tcPr>
                  <w:tcW w:w="3571" w:type="dxa"/>
                  <w:tcBorders>
                    <w:tl2br w:val="nil"/>
                    <w:tr2bl w:val="nil"/>
                  </w:tcBorders>
                  <w:noWrap w:val="0"/>
                  <w:vAlign w:val="center"/>
                </w:tcPr>
                <w:p w14:paraId="4A3859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w:t>
                  </w:r>
                  <w:r>
                    <w:rPr>
                      <w:rFonts w:hint="default" w:ascii="Times New Roman" w:hAnsi="Times New Roman" w:eastAsia="宋体" w:cs="Times New Roman"/>
                      <w:color w:val="FF0000"/>
                      <w:highlight w:val="none"/>
                      <w:lang w:val="en-US" w:eastAsia="zh-CN"/>
                    </w:rPr>
                    <w:t>0.0</w:t>
                  </w:r>
                  <w:r>
                    <w:rPr>
                      <w:rFonts w:hint="default" w:ascii="Times New Roman" w:hAnsi="Times New Roman" w:cs="Times New Roman"/>
                      <w:color w:val="FF0000"/>
                      <w:highlight w:val="none"/>
                      <w:lang w:val="en-US" w:eastAsia="zh-CN"/>
                    </w:rPr>
                    <w:t>2</w:t>
                  </w:r>
                </w:p>
              </w:tc>
            </w:tr>
            <w:tr w14:paraId="2955A4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14FC45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4</w:t>
                  </w:r>
                </w:p>
              </w:tc>
              <w:tc>
                <w:tcPr>
                  <w:tcW w:w="3524" w:type="dxa"/>
                  <w:tcBorders>
                    <w:tl2br w:val="nil"/>
                    <w:tr2bl w:val="nil"/>
                  </w:tcBorders>
                  <w:noWrap w:val="0"/>
                  <w:vAlign w:val="center"/>
                </w:tcPr>
                <w:p w14:paraId="1A4A6B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总挥发性有机化合物(TVOC)，</w:t>
                  </w:r>
                  <w:r>
                    <w:rPr>
                      <w:rFonts w:hint="default" w:ascii="Times New Roman" w:hAnsi="Times New Roman" w:eastAsia="宋体" w:cs="Times New Roman"/>
                      <w:color w:val="FF0000"/>
                      <w:highlight w:val="none"/>
                      <w:lang w:val="en-US" w:eastAsia="zh-CN"/>
                    </w:rPr>
                    <w:t>mg/m</w:t>
                  </w:r>
                  <w:r>
                    <w:rPr>
                      <w:rFonts w:hint="default" w:ascii="Times New Roman" w:hAnsi="Times New Roman" w:eastAsia="宋体" w:cs="Times New Roman"/>
                      <w:color w:val="FF0000"/>
                      <w:highlight w:val="none"/>
                      <w:vertAlign w:val="superscript"/>
                      <w:lang w:val="en-US" w:eastAsia="zh-CN"/>
                    </w:rPr>
                    <w:t>3</w:t>
                  </w:r>
                </w:p>
              </w:tc>
              <w:tc>
                <w:tcPr>
                  <w:tcW w:w="3571" w:type="dxa"/>
                  <w:tcBorders>
                    <w:tl2br w:val="nil"/>
                    <w:tr2bl w:val="nil"/>
                  </w:tcBorders>
                  <w:noWrap w:val="0"/>
                  <w:vAlign w:val="center"/>
                </w:tcPr>
                <w:p w14:paraId="69062C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0.4</w:t>
                  </w:r>
                </w:p>
              </w:tc>
            </w:tr>
            <w:tr w14:paraId="409950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274B18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5</w:t>
                  </w:r>
                </w:p>
              </w:tc>
              <w:tc>
                <w:tcPr>
                  <w:tcW w:w="3524" w:type="dxa"/>
                  <w:tcBorders>
                    <w:tl2br w:val="nil"/>
                    <w:tr2bl w:val="nil"/>
                  </w:tcBorders>
                  <w:noWrap w:val="0"/>
                  <w:vAlign w:val="center"/>
                </w:tcPr>
                <w:p w14:paraId="628ACF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氰化物(以CN计)，mg/L</w:t>
                  </w:r>
                </w:p>
              </w:tc>
              <w:tc>
                <w:tcPr>
                  <w:tcW w:w="3571" w:type="dxa"/>
                  <w:tcBorders>
                    <w:tl2br w:val="nil"/>
                    <w:tr2bl w:val="nil"/>
                  </w:tcBorders>
                  <w:noWrap w:val="0"/>
                  <w:vAlign w:val="center"/>
                </w:tcPr>
                <w:p w14:paraId="08E39D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r>
            <w:tr w14:paraId="60E2CF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7394D7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6</w:t>
                  </w:r>
                </w:p>
              </w:tc>
              <w:tc>
                <w:tcPr>
                  <w:tcW w:w="3524" w:type="dxa"/>
                  <w:tcBorders>
                    <w:tl2br w:val="nil"/>
                    <w:tr2bl w:val="nil"/>
                  </w:tcBorders>
                  <w:noWrap w:val="0"/>
                  <w:vAlign w:val="center"/>
                </w:tcPr>
                <w:p w14:paraId="5B205E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氟化物(不含氟化钙)，mg/L</w:t>
                  </w:r>
                </w:p>
              </w:tc>
              <w:tc>
                <w:tcPr>
                  <w:tcW w:w="3571" w:type="dxa"/>
                  <w:tcBorders>
                    <w:tl2br w:val="nil"/>
                    <w:tr2bl w:val="nil"/>
                  </w:tcBorders>
                  <w:noWrap w:val="0"/>
                  <w:vAlign w:val="center"/>
                </w:tcPr>
                <w:p w14:paraId="17BF71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100</w:t>
                  </w:r>
                </w:p>
              </w:tc>
            </w:tr>
            <w:tr w14:paraId="6F95FD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5DE4CD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7</w:t>
                  </w:r>
                </w:p>
              </w:tc>
              <w:tc>
                <w:tcPr>
                  <w:tcW w:w="3524" w:type="dxa"/>
                  <w:tcBorders>
                    <w:tl2br w:val="nil"/>
                    <w:tr2bl w:val="nil"/>
                  </w:tcBorders>
                  <w:noWrap w:val="0"/>
                  <w:vAlign w:val="center"/>
                </w:tcPr>
                <w:p w14:paraId="155D86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硒(总硒)，mg/L</w:t>
                  </w:r>
                </w:p>
              </w:tc>
              <w:tc>
                <w:tcPr>
                  <w:tcW w:w="3571" w:type="dxa"/>
                  <w:tcBorders>
                    <w:tl2br w:val="nil"/>
                    <w:tr2bl w:val="nil"/>
                  </w:tcBorders>
                  <w:noWrap w:val="0"/>
                  <w:vAlign w:val="center"/>
                </w:tcPr>
                <w:p w14:paraId="4460E4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1.0</w:t>
                  </w:r>
                </w:p>
              </w:tc>
            </w:tr>
            <w:tr w14:paraId="1E713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1C69DB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8</w:t>
                  </w:r>
                </w:p>
              </w:tc>
              <w:tc>
                <w:tcPr>
                  <w:tcW w:w="3524" w:type="dxa"/>
                  <w:tcBorders>
                    <w:tl2br w:val="nil"/>
                    <w:tr2bl w:val="nil"/>
                  </w:tcBorders>
                  <w:noWrap w:val="0"/>
                  <w:vAlign w:val="center"/>
                </w:tcPr>
                <w:p w14:paraId="52E6D1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汞(总汞)，mg/L</w:t>
                  </w:r>
                </w:p>
              </w:tc>
              <w:tc>
                <w:tcPr>
                  <w:tcW w:w="3571" w:type="dxa"/>
                  <w:tcBorders>
                    <w:tl2br w:val="nil"/>
                    <w:tr2bl w:val="nil"/>
                  </w:tcBorders>
                  <w:noWrap w:val="0"/>
                  <w:vAlign w:val="center"/>
                </w:tcPr>
                <w:p w14:paraId="170FA2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0.02</w:t>
                  </w:r>
                </w:p>
              </w:tc>
            </w:tr>
            <w:tr w14:paraId="34C96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15564D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9</w:t>
                  </w:r>
                </w:p>
              </w:tc>
              <w:tc>
                <w:tcPr>
                  <w:tcW w:w="3524" w:type="dxa"/>
                  <w:tcBorders>
                    <w:tl2br w:val="nil"/>
                    <w:tr2bl w:val="nil"/>
                  </w:tcBorders>
                  <w:noWrap w:val="0"/>
                  <w:vAlign w:val="center"/>
                </w:tcPr>
                <w:p w14:paraId="169182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铅(总铅)，mg/L</w:t>
                  </w:r>
                </w:p>
              </w:tc>
              <w:tc>
                <w:tcPr>
                  <w:tcW w:w="3571" w:type="dxa"/>
                  <w:tcBorders>
                    <w:tl2br w:val="nil"/>
                    <w:tr2bl w:val="nil"/>
                  </w:tcBorders>
                  <w:noWrap w:val="0"/>
                  <w:vAlign w:val="center"/>
                </w:tcPr>
                <w:p w14:paraId="544AE3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2.0</w:t>
                  </w:r>
                </w:p>
              </w:tc>
            </w:tr>
            <w:tr w14:paraId="6A2E34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188BF0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10</w:t>
                  </w:r>
                </w:p>
              </w:tc>
              <w:tc>
                <w:tcPr>
                  <w:tcW w:w="3524" w:type="dxa"/>
                  <w:tcBorders>
                    <w:tl2br w:val="nil"/>
                    <w:tr2bl w:val="nil"/>
                  </w:tcBorders>
                  <w:noWrap w:val="0"/>
                  <w:vAlign w:val="center"/>
                </w:tcPr>
                <w:p w14:paraId="246CA6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砷(总砷)，mg/L</w:t>
                  </w:r>
                </w:p>
              </w:tc>
              <w:tc>
                <w:tcPr>
                  <w:tcW w:w="3571" w:type="dxa"/>
                  <w:tcBorders>
                    <w:tl2br w:val="nil"/>
                    <w:tr2bl w:val="nil"/>
                  </w:tcBorders>
                  <w:noWrap w:val="0"/>
                  <w:vAlign w:val="center"/>
                </w:tcPr>
                <w:p w14:paraId="668006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0.6</w:t>
                  </w:r>
                </w:p>
              </w:tc>
            </w:tr>
            <w:tr w14:paraId="007D3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2A513C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11</w:t>
                  </w:r>
                </w:p>
              </w:tc>
              <w:tc>
                <w:tcPr>
                  <w:tcW w:w="3524" w:type="dxa"/>
                  <w:tcBorders>
                    <w:tl2br w:val="nil"/>
                    <w:tr2bl w:val="nil"/>
                  </w:tcBorders>
                  <w:noWrap w:val="0"/>
                  <w:vAlign w:val="center"/>
                </w:tcPr>
                <w:p w14:paraId="322F18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镉(总镉)，mg/L</w:t>
                  </w:r>
                </w:p>
              </w:tc>
              <w:tc>
                <w:tcPr>
                  <w:tcW w:w="3571" w:type="dxa"/>
                  <w:tcBorders>
                    <w:tl2br w:val="nil"/>
                    <w:tr2bl w:val="nil"/>
                  </w:tcBorders>
                  <w:noWrap w:val="0"/>
                  <w:vAlign w:val="center"/>
                </w:tcPr>
                <w:p w14:paraId="5C1F22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0.1</w:t>
                  </w:r>
                </w:p>
              </w:tc>
            </w:tr>
            <w:tr w14:paraId="77D378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077821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12</w:t>
                  </w:r>
                </w:p>
              </w:tc>
              <w:tc>
                <w:tcPr>
                  <w:tcW w:w="3524" w:type="dxa"/>
                  <w:tcBorders>
                    <w:tl2br w:val="nil"/>
                    <w:tr2bl w:val="nil"/>
                  </w:tcBorders>
                  <w:noWrap w:val="0"/>
                  <w:vAlign w:val="center"/>
                </w:tcPr>
                <w:p w14:paraId="7D6545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铬(总铬)，mg/L</w:t>
                  </w:r>
                </w:p>
              </w:tc>
              <w:tc>
                <w:tcPr>
                  <w:tcW w:w="3571" w:type="dxa"/>
                  <w:tcBorders>
                    <w:tl2br w:val="nil"/>
                    <w:tr2bl w:val="nil"/>
                  </w:tcBorders>
                  <w:noWrap w:val="0"/>
                  <w:vAlign w:val="center"/>
                </w:tcPr>
                <w:p w14:paraId="64B29B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1.5</w:t>
                  </w:r>
                </w:p>
              </w:tc>
            </w:tr>
            <w:tr w14:paraId="1C1DD0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85" w:type="dxa"/>
                  <w:tcBorders>
                    <w:tl2br w:val="nil"/>
                    <w:tr2bl w:val="nil"/>
                  </w:tcBorders>
                  <w:noWrap w:val="0"/>
                  <w:vAlign w:val="center"/>
                </w:tcPr>
                <w:p w14:paraId="10A5C3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13</w:t>
                  </w:r>
                </w:p>
              </w:tc>
              <w:tc>
                <w:tcPr>
                  <w:tcW w:w="3524" w:type="dxa"/>
                  <w:tcBorders>
                    <w:tl2br w:val="nil"/>
                    <w:tr2bl w:val="nil"/>
                  </w:tcBorders>
                  <w:noWrap w:val="0"/>
                  <w:vAlign w:val="center"/>
                </w:tcPr>
                <w:p w14:paraId="212630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内照射指数、外照射指数</w:t>
                  </w:r>
                </w:p>
              </w:tc>
              <w:tc>
                <w:tcPr>
                  <w:tcW w:w="3571" w:type="dxa"/>
                  <w:tcBorders>
                    <w:tl2br w:val="nil"/>
                    <w:tr2bl w:val="nil"/>
                  </w:tcBorders>
                  <w:noWrap w:val="0"/>
                  <w:vAlign w:val="center"/>
                </w:tcPr>
                <w:p w14:paraId="732154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rPr>
                  </w:pPr>
                  <w:r>
                    <w:rPr>
                      <w:rFonts w:hint="default" w:ascii="Times New Roman" w:hAnsi="Times New Roman" w:cs="Times New Roman"/>
                      <w:color w:val="FF0000"/>
                      <w:highlight w:val="none"/>
                      <w:lang w:val="en-US" w:eastAsia="zh-CN"/>
                    </w:rPr>
                    <w:t>均</w:t>
                  </w:r>
                  <w:r>
                    <w:rPr>
                      <w:rFonts w:hint="default" w:ascii="Times New Roman" w:hAnsi="Times New Roman" w:cs="Times New Roman"/>
                      <w:color w:val="FF0000"/>
                      <w:highlight w:val="none"/>
                    </w:rPr>
                    <w:t>≤</w:t>
                  </w:r>
                  <w:r>
                    <w:rPr>
                      <w:rFonts w:hint="default" w:ascii="Times New Roman" w:hAnsi="Times New Roman" w:cs="Times New Roman"/>
                      <w:color w:val="FF0000"/>
                      <w:highlight w:val="none"/>
                      <w:lang w:val="en-US" w:eastAsia="zh-CN"/>
                    </w:rPr>
                    <w:t>0.1</w:t>
                  </w:r>
                </w:p>
              </w:tc>
            </w:tr>
          </w:tbl>
          <w:p w14:paraId="5F3A575B">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b/>
                <w:bCs w:val="0"/>
                <w:color w:val="FF0000"/>
                <w:highlight w:val="none"/>
                <w:lang w:val="en-US" w:eastAsia="zh-CN"/>
              </w:rPr>
            </w:pPr>
            <w:r>
              <w:rPr>
                <w:rFonts w:hint="default" w:ascii="Times New Roman" w:hAnsi="Times New Roman" w:cs="Times New Roman"/>
                <w:b/>
                <w:bCs w:val="0"/>
                <w:color w:val="FF0000"/>
                <w:highlight w:val="none"/>
                <w:lang w:val="en-US" w:eastAsia="zh-CN"/>
              </w:rPr>
              <w:t>4</w:t>
            </w:r>
            <w:r>
              <w:rPr>
                <w:rFonts w:hint="default" w:ascii="Times New Roman" w:hAnsi="Times New Roman" w:cs="Times New Roman"/>
                <w:b/>
                <w:bCs w:val="0"/>
                <w:color w:val="FF0000"/>
                <w:highlight w:val="none"/>
                <w:lang w:val="en-US" w:eastAsia="en-US"/>
              </w:rPr>
              <w:t>.</w:t>
            </w:r>
            <w:r>
              <w:rPr>
                <w:rFonts w:hint="default" w:ascii="Times New Roman" w:hAnsi="Times New Roman" w:cs="Times New Roman"/>
                <w:b/>
                <w:bCs w:val="0"/>
                <w:color w:val="FF0000"/>
                <w:highlight w:val="none"/>
                <w:lang w:val="en-US" w:eastAsia="zh-CN"/>
              </w:rPr>
              <w:t>3、</w:t>
            </w:r>
            <w:r>
              <w:rPr>
                <w:rFonts w:hint="default" w:ascii="Times New Roman" w:hAnsi="Times New Roman" w:cs="Times New Roman"/>
                <w:b/>
                <w:bCs w:val="0"/>
                <w:color w:val="FF0000"/>
                <w:highlight w:val="none"/>
                <w:lang w:val="en-US" w:eastAsia="en-US"/>
              </w:rPr>
              <w:t>产品</w:t>
            </w:r>
            <w:r>
              <w:rPr>
                <w:rFonts w:hint="default" w:ascii="Times New Roman" w:hAnsi="Times New Roman" w:cs="Times New Roman"/>
                <w:b/>
                <w:bCs w:val="0"/>
                <w:color w:val="FF0000"/>
                <w:highlight w:val="none"/>
                <w:lang w:val="en-US" w:eastAsia="zh-CN"/>
              </w:rPr>
              <w:t>质量</w:t>
            </w:r>
            <w:r>
              <w:rPr>
                <w:rFonts w:hint="eastAsia" w:cs="Times New Roman"/>
                <w:b/>
                <w:bCs w:val="0"/>
                <w:color w:val="FF0000"/>
                <w:highlight w:val="none"/>
                <w:lang w:val="en-US" w:eastAsia="zh-CN"/>
              </w:rPr>
              <w:t>达标</w:t>
            </w:r>
            <w:r>
              <w:rPr>
                <w:rFonts w:hint="default" w:ascii="Times New Roman" w:hAnsi="Times New Roman" w:cs="Times New Roman"/>
                <w:b/>
                <w:bCs w:val="0"/>
                <w:color w:val="FF0000"/>
                <w:highlight w:val="none"/>
                <w:lang w:val="en-US" w:eastAsia="zh-CN"/>
              </w:rPr>
              <w:t>性分析</w:t>
            </w:r>
          </w:p>
          <w:p w14:paraId="3258150D">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FF0000"/>
                <w:kern w:val="0"/>
                <w:sz w:val="24"/>
                <w:szCs w:val="24"/>
                <w:highlight w:val="none"/>
                <w:lang w:val="en-US" w:eastAsia="zh-CN" w:bidi="ar"/>
              </w:rPr>
            </w:pPr>
            <w:r>
              <w:rPr>
                <w:rFonts w:hint="default" w:ascii="Times New Roman" w:hAnsi="Times New Roman" w:eastAsia="宋体" w:cs="Times New Roman"/>
                <w:color w:val="FF0000"/>
                <w:kern w:val="0"/>
                <w:sz w:val="24"/>
                <w:szCs w:val="24"/>
                <w:highlight w:val="none"/>
                <w:lang w:val="en-US" w:eastAsia="zh-CN" w:bidi="ar"/>
              </w:rPr>
              <w:t>为控制产品质量，特别是产品中污染物指标可达性，本项目从以下几个方面进行严格控制：</w:t>
            </w:r>
          </w:p>
          <w:p w14:paraId="1A0E3BAD">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FF0000"/>
                <w:kern w:val="0"/>
                <w:sz w:val="24"/>
                <w:szCs w:val="24"/>
                <w:highlight w:val="none"/>
                <w:lang w:val="en-US" w:eastAsia="zh-CN" w:bidi="ar"/>
              </w:rPr>
            </w:pPr>
            <w:r>
              <w:rPr>
                <w:rFonts w:hint="default" w:ascii="Times New Roman" w:hAnsi="Times New Roman" w:eastAsia="宋体" w:cs="Times New Roman"/>
                <w:color w:val="FF0000"/>
                <w:kern w:val="0"/>
                <w:sz w:val="24"/>
                <w:szCs w:val="24"/>
                <w:highlight w:val="none"/>
                <w:lang w:val="en-US" w:eastAsia="zh-CN" w:bidi="ar"/>
              </w:rPr>
              <w:t>①从源头控制。项目要求</w:t>
            </w:r>
            <w:r>
              <w:rPr>
                <w:rFonts w:hint="eastAsia" w:cs="Times New Roman"/>
                <w:color w:val="FF0000"/>
                <w:kern w:val="0"/>
                <w:sz w:val="24"/>
                <w:szCs w:val="24"/>
                <w:highlight w:val="none"/>
                <w:lang w:val="en-US" w:eastAsia="zh-CN" w:bidi="ar"/>
              </w:rPr>
              <w:t>锂渣</w:t>
            </w:r>
            <w:r>
              <w:rPr>
                <w:rFonts w:hint="default" w:ascii="Times New Roman" w:hAnsi="Times New Roman" w:eastAsia="宋体" w:cs="Times New Roman"/>
                <w:color w:val="FF0000"/>
                <w:kern w:val="0"/>
                <w:sz w:val="24"/>
                <w:szCs w:val="24"/>
                <w:highlight w:val="none"/>
                <w:lang w:val="en-US" w:eastAsia="zh-CN" w:bidi="ar"/>
              </w:rPr>
              <w:t>鉴定为一般固废，且</w:t>
            </w:r>
            <w:r>
              <w:rPr>
                <w:rFonts w:hint="eastAsia" w:cs="Times New Roman"/>
                <w:color w:val="FF0000"/>
                <w:kern w:val="0"/>
                <w:sz w:val="24"/>
                <w:szCs w:val="24"/>
                <w:highlight w:val="none"/>
                <w:lang w:val="en-US" w:eastAsia="zh-CN" w:bidi="ar"/>
              </w:rPr>
              <w:t>锂渣</w:t>
            </w:r>
            <w:r>
              <w:rPr>
                <w:rFonts w:hint="default" w:ascii="Times New Roman" w:hAnsi="Times New Roman" w:eastAsia="宋体" w:cs="Times New Roman"/>
                <w:color w:val="FF0000"/>
                <w:kern w:val="0"/>
                <w:sz w:val="24"/>
                <w:szCs w:val="24"/>
                <w:highlight w:val="none"/>
                <w:lang w:val="en-US" w:eastAsia="zh-CN" w:bidi="ar"/>
              </w:rPr>
              <w:t>中浸出液污染物浓度需满足《公路路基工程利用锂渣技术规范（试行）》（DB36/T1968-2024）表1改性</w:t>
            </w:r>
            <w:r>
              <w:rPr>
                <w:rFonts w:hint="eastAsia" w:cs="Times New Roman"/>
                <w:color w:val="FF0000"/>
                <w:kern w:val="0"/>
                <w:sz w:val="24"/>
                <w:szCs w:val="24"/>
                <w:highlight w:val="none"/>
                <w:lang w:val="en-US" w:eastAsia="zh-CN" w:bidi="ar"/>
              </w:rPr>
              <w:t>锂渣</w:t>
            </w:r>
            <w:r>
              <w:rPr>
                <w:rFonts w:hint="default" w:ascii="Times New Roman" w:hAnsi="Times New Roman" w:eastAsia="宋体" w:cs="Times New Roman"/>
                <w:color w:val="FF0000"/>
                <w:kern w:val="0"/>
                <w:sz w:val="24"/>
                <w:szCs w:val="24"/>
                <w:highlight w:val="none"/>
                <w:lang w:val="en-US" w:eastAsia="zh-CN" w:bidi="ar"/>
              </w:rPr>
              <w:t>浸出液污染物浓度限值要求，否则不得使用于该项目</w:t>
            </w:r>
            <w:r>
              <w:rPr>
                <w:rStyle w:val="81"/>
                <w:rFonts w:hint="eastAsia"/>
                <w:color w:val="FF0000"/>
                <w:highlight w:val="none"/>
                <w:lang w:val="en-US" w:eastAsia="zh-CN"/>
              </w:rPr>
              <w:t>。</w:t>
            </w:r>
          </w:p>
          <w:p w14:paraId="1B2EA526">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rPr>
            </w:pPr>
            <w:r>
              <w:rPr>
                <w:rFonts w:hint="default" w:ascii="Times New Roman" w:hAnsi="Times New Roman" w:eastAsia="宋体" w:cs="Times New Roman"/>
                <w:color w:val="FF0000"/>
                <w:kern w:val="0"/>
                <w:sz w:val="24"/>
                <w:szCs w:val="24"/>
                <w:highlight w:val="none"/>
                <w:lang w:val="en-US" w:eastAsia="zh-CN" w:bidi="ar"/>
              </w:rPr>
              <w:t>②过程控制。</w:t>
            </w:r>
            <w:r>
              <w:rPr>
                <w:rFonts w:hint="eastAsia" w:cs="Times New Roman"/>
                <w:color w:val="FF0000"/>
                <w:highlight w:val="none"/>
                <w:lang w:val="en-US" w:eastAsia="zh-CN"/>
              </w:rPr>
              <w:t>锂渣</w:t>
            </w:r>
            <w:r>
              <w:rPr>
                <w:rFonts w:hint="default" w:ascii="Times New Roman" w:hAnsi="Times New Roman" w:cs="Times New Roman"/>
                <w:color w:val="FF0000"/>
                <w:highlight w:val="none"/>
                <w:lang w:val="en-US" w:eastAsia="zh-CN"/>
              </w:rPr>
              <w:t>充当砂子添加至产品中，</w:t>
            </w:r>
            <w:r>
              <w:rPr>
                <w:rFonts w:hint="default" w:ascii="Times New Roman" w:hAnsi="Times New Roman" w:eastAsia="宋体" w:cs="Times New Roman"/>
                <w:color w:val="FF0000"/>
                <w:kern w:val="0"/>
                <w:sz w:val="24"/>
                <w:szCs w:val="24"/>
                <w:highlight w:val="none"/>
                <w:lang w:val="en-US" w:eastAsia="zh-CN" w:bidi="ar"/>
              </w:rPr>
              <w:t>产品在生产过程中，一方面通过螯合剂与原料中的重金属形成稳定的螯合物，另一方面使用水泥通过水化反应形成凝胶包裹重金属，通过以上方式可大大降低污染物的浸出率</w:t>
            </w:r>
            <w:r>
              <w:rPr>
                <w:rFonts w:hint="default" w:ascii="Times New Roman" w:hAnsi="Times New Roman" w:cs="Times New Roman"/>
                <w:color w:val="FF0000"/>
                <w:kern w:val="0"/>
                <w:sz w:val="24"/>
                <w:szCs w:val="24"/>
                <w:highlight w:val="none"/>
                <w:lang w:val="en-US" w:eastAsia="zh-CN" w:bidi="ar"/>
              </w:rPr>
              <w:t>，同时使用抑碱剂</w:t>
            </w:r>
            <w:r>
              <w:rPr>
                <w:rFonts w:hint="default" w:ascii="Times New Roman" w:hAnsi="Times New Roman" w:cs="Times New Roman"/>
                <w:color w:val="FF0000"/>
                <w:highlight w:val="none"/>
                <w:lang w:val="en-US" w:eastAsia="zh-CN"/>
              </w:rPr>
              <w:t>通过酸性组分（如磷酸根、硅酸根）或活性阴离子与碱性物质（如Na⁺、K⁺、OH⁻）发生中和反应、离子交换或形成稳定络合物，从而降低体系pH值或抑制碱-硅酸反应（ASR），并在在材料中形成致密保护层，阻断碱性离子迁移。</w:t>
            </w:r>
          </w:p>
          <w:p w14:paraId="7151189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FF0000"/>
                <w:kern w:val="0"/>
                <w:sz w:val="24"/>
                <w:szCs w:val="24"/>
                <w:highlight w:val="none"/>
                <w:lang w:val="en-US" w:eastAsia="zh-CN" w:bidi="ar"/>
              </w:rPr>
            </w:pPr>
            <w:r>
              <w:rPr>
                <w:rFonts w:hint="default" w:ascii="Times New Roman" w:hAnsi="Times New Roman" w:eastAsia="宋体" w:cs="Times New Roman"/>
                <w:color w:val="FF0000"/>
                <w:kern w:val="0"/>
                <w:sz w:val="24"/>
                <w:szCs w:val="24"/>
                <w:highlight w:val="none"/>
                <w:lang w:val="en-US" w:eastAsia="zh-CN" w:bidi="ar"/>
              </w:rPr>
              <w:t>③产品出厂检测。产品在出厂时需对物理性能和污染物指标进行检测，物理性能必须满足《混凝土用复合掺合料》（JG/T486-2015）中普通型Ⅱ级、《建设用砂》(GB/T14684)、《混凝土路面砖》（GB/T 28635-2012）</w:t>
            </w:r>
            <w:r>
              <w:rPr>
                <w:rFonts w:hint="eastAsia" w:cs="Times New Roman"/>
                <w:color w:val="FF0000"/>
                <w:kern w:val="0"/>
                <w:sz w:val="24"/>
                <w:szCs w:val="24"/>
                <w:highlight w:val="none"/>
                <w:lang w:val="en-US" w:eastAsia="zh-CN" w:bidi="ar"/>
              </w:rPr>
              <w:t>、</w:t>
            </w:r>
            <w:r>
              <w:rPr>
                <w:rFonts w:hint="default" w:ascii="Times New Roman" w:hAnsi="Times New Roman" w:eastAsia="宋体" w:cs="Times New Roman"/>
                <w:color w:val="FF0000"/>
                <w:kern w:val="0"/>
                <w:sz w:val="24"/>
                <w:szCs w:val="24"/>
                <w:highlight w:val="none"/>
                <w:lang w:val="en-US" w:eastAsia="zh-CN" w:bidi="ar"/>
              </w:rPr>
              <w:t>《混凝土普通砖和装饰砖》（NY/T671-2003），产品中各污染物必须满足《水泥窑协同处置固体废物技术规范》（GB/T30760-2024）限值要求。</w:t>
            </w:r>
          </w:p>
          <w:p w14:paraId="5DCF8B44">
            <w:pPr>
              <w:pStyle w:val="76"/>
              <w:keepNext w:val="0"/>
              <w:keepLines w:val="0"/>
              <w:suppressLineNumbers w:val="0"/>
              <w:bidi w:val="0"/>
              <w:spacing w:before="0" w:beforeAutospacing="0" w:after="0" w:afterAutospacing="0"/>
              <w:ind w:left="0" w:right="0"/>
              <w:rPr>
                <w:rFonts w:hint="eastAsia"/>
                <w:color w:val="FF0000"/>
                <w:lang w:val="en-US" w:eastAsia="zh-CN"/>
              </w:rPr>
            </w:pPr>
            <w:r>
              <w:rPr>
                <w:rFonts w:hint="eastAsia"/>
                <w:color w:val="FF0000"/>
                <w:highlight w:val="none"/>
                <w:lang w:val="en-US" w:eastAsia="zh-CN"/>
              </w:rPr>
              <w:t>④由于本项目原料来源为水洗后的锂渣，其锂渣成分与</w:t>
            </w:r>
            <w:r>
              <w:rPr>
                <w:rFonts w:hint="default"/>
                <w:color w:val="FF0000"/>
                <w:lang w:val="en-US" w:eastAsia="zh-CN"/>
              </w:rPr>
              <w:t>宜春科丰新材料有限公司年处理40万吨锂云母精制卤水项目的浸出渣经过水洗提锂后的锂渣</w:t>
            </w:r>
            <w:r>
              <w:rPr>
                <w:rFonts w:hint="eastAsia"/>
                <w:color w:val="FF0000"/>
                <w:lang w:val="en-US" w:eastAsia="zh-CN"/>
              </w:rPr>
              <w:t>类似</w:t>
            </w:r>
            <w:r>
              <w:rPr>
                <w:rFonts w:hint="default"/>
                <w:color w:val="FF0000"/>
                <w:lang w:val="en-US" w:eastAsia="zh-CN"/>
              </w:rPr>
              <w:t>，</w:t>
            </w:r>
            <w:r>
              <w:rPr>
                <w:rFonts w:hint="eastAsia"/>
                <w:color w:val="FF0000"/>
                <w:highlight w:val="none"/>
                <w:lang w:val="en-US" w:eastAsia="zh-CN"/>
              </w:rPr>
              <w:t>原料均为锂云母，生产工艺一致；</w:t>
            </w:r>
            <w:r>
              <w:rPr>
                <w:rFonts w:hint="eastAsia"/>
                <w:color w:val="FF0000"/>
                <w:lang w:val="en-US" w:eastAsia="zh-CN"/>
              </w:rPr>
              <w:t>因此本项目产品中试浸出毒性检测结果参考《宜春市青天环保建材有限公司年处理100万吨锂冶炼剩余物综合利用项目环评报告表》，具体结果如下表所示，由下表可知，中试产品检测的浸出毒性可达到标准。</w:t>
            </w:r>
          </w:p>
          <w:p w14:paraId="40150130">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青天环保建材中试产品中浸出液技术指标一览表</w:t>
            </w:r>
          </w:p>
          <w:tbl>
            <w:tblPr>
              <w:tblStyle w:val="25"/>
              <w:tblW w:w="80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2272"/>
              <w:gridCol w:w="2460"/>
              <w:gridCol w:w="2460"/>
            </w:tblGrid>
            <w:tr w14:paraId="40B46D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88" w:type="dxa"/>
                  <w:tcBorders>
                    <w:tl2br w:val="nil"/>
                    <w:tr2bl w:val="nil"/>
                  </w:tcBorders>
                  <w:vAlign w:val="center"/>
                </w:tcPr>
                <w:p w14:paraId="14D094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FF0000"/>
                      <w:highlight w:val="none"/>
                      <w:lang w:val="en-US" w:eastAsia="zh-CN"/>
                    </w:rPr>
                  </w:pPr>
                  <w:r>
                    <w:rPr>
                      <w:rFonts w:hint="default"/>
                      <w:b/>
                      <w:bCs/>
                      <w:color w:val="FF0000"/>
                      <w:highlight w:val="none"/>
                      <w:lang w:val="en-US" w:eastAsia="zh-CN"/>
                    </w:rPr>
                    <w:t>项次</w:t>
                  </w:r>
                </w:p>
              </w:tc>
              <w:tc>
                <w:tcPr>
                  <w:tcW w:w="2272" w:type="dxa"/>
                  <w:tcBorders>
                    <w:tl2br w:val="nil"/>
                    <w:tr2bl w:val="nil"/>
                  </w:tcBorders>
                  <w:vAlign w:val="center"/>
                </w:tcPr>
                <w:p w14:paraId="64CDF0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FF0000"/>
                      <w:highlight w:val="none"/>
                      <w:lang w:eastAsia="zh-CN"/>
                    </w:rPr>
                  </w:pPr>
                  <w:r>
                    <w:rPr>
                      <w:rFonts w:hint="default"/>
                      <w:b/>
                      <w:bCs/>
                      <w:color w:val="FF0000"/>
                      <w:highlight w:val="none"/>
                      <w:lang w:val="en-US" w:eastAsia="zh-CN"/>
                    </w:rPr>
                    <w:t>项目</w:t>
                  </w:r>
                </w:p>
              </w:tc>
              <w:tc>
                <w:tcPr>
                  <w:tcW w:w="2460" w:type="dxa"/>
                  <w:tcBorders>
                    <w:tl2br w:val="nil"/>
                    <w:tr2bl w:val="nil"/>
                  </w:tcBorders>
                  <w:vAlign w:val="center"/>
                </w:tcPr>
                <w:p w14:paraId="515B01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FF0000"/>
                      <w:highlight w:val="none"/>
                      <w:lang w:eastAsia="zh-CN"/>
                    </w:rPr>
                  </w:pPr>
                  <w:r>
                    <w:rPr>
                      <w:rFonts w:hint="default"/>
                      <w:b/>
                      <w:bCs/>
                      <w:color w:val="FF0000"/>
                      <w:highlight w:val="none"/>
                      <w:lang w:val="en-US" w:eastAsia="zh-CN"/>
                    </w:rPr>
                    <w:t>限值</w:t>
                  </w:r>
                </w:p>
              </w:tc>
              <w:tc>
                <w:tcPr>
                  <w:tcW w:w="2460" w:type="dxa"/>
                  <w:tcBorders>
                    <w:tl2br w:val="nil"/>
                    <w:tr2bl w:val="nil"/>
                  </w:tcBorders>
                  <w:vAlign w:val="center"/>
                </w:tcPr>
                <w:p w14:paraId="46314F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FF0000"/>
                      <w:highlight w:val="none"/>
                      <w:lang w:val="en-US" w:eastAsia="zh-CN"/>
                    </w:rPr>
                  </w:pPr>
                  <w:r>
                    <w:rPr>
                      <w:rFonts w:hint="eastAsia"/>
                      <w:b/>
                      <w:bCs/>
                      <w:color w:val="FF0000"/>
                      <w:highlight w:val="none"/>
                      <w:lang w:val="en-US" w:eastAsia="zh-CN"/>
                    </w:rPr>
                    <w:t>中试产品</w:t>
                  </w:r>
                  <w:r>
                    <w:rPr>
                      <w:rFonts w:hint="default"/>
                      <w:b/>
                      <w:bCs/>
                      <w:color w:val="FF0000"/>
                      <w:highlight w:val="none"/>
                      <w:lang w:val="en-US" w:eastAsia="zh-CN"/>
                    </w:rPr>
                    <w:t>浸出液</w:t>
                  </w:r>
                </w:p>
              </w:tc>
            </w:tr>
            <w:tr w14:paraId="012BC6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15E2CD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w:t>
                  </w:r>
                </w:p>
              </w:tc>
              <w:tc>
                <w:tcPr>
                  <w:tcW w:w="2272" w:type="dxa"/>
                  <w:tcBorders>
                    <w:tl2br w:val="nil"/>
                    <w:tr2bl w:val="nil"/>
                  </w:tcBorders>
                  <w:vAlign w:val="center"/>
                </w:tcPr>
                <w:p w14:paraId="0EE8DA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水溶性盐</w:t>
                  </w:r>
                </w:p>
              </w:tc>
              <w:tc>
                <w:tcPr>
                  <w:tcW w:w="2460" w:type="dxa"/>
                  <w:tcBorders>
                    <w:tl2br w:val="nil"/>
                    <w:tr2bl w:val="nil"/>
                  </w:tcBorders>
                  <w:vAlign w:val="center"/>
                </w:tcPr>
                <w:p w14:paraId="20B259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&lt;5%</w:t>
                  </w:r>
                </w:p>
              </w:tc>
              <w:tc>
                <w:tcPr>
                  <w:tcW w:w="2460" w:type="dxa"/>
                  <w:tcBorders>
                    <w:tl2br w:val="nil"/>
                    <w:tr2bl w:val="nil"/>
                  </w:tcBorders>
                  <w:vAlign w:val="center"/>
                </w:tcPr>
                <w:p w14:paraId="0374D8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w:t>
                  </w:r>
                </w:p>
              </w:tc>
            </w:tr>
            <w:tr w14:paraId="05798B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0032C4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2</w:t>
                  </w:r>
                </w:p>
              </w:tc>
              <w:tc>
                <w:tcPr>
                  <w:tcW w:w="2272" w:type="dxa"/>
                  <w:tcBorders>
                    <w:tl2br w:val="nil"/>
                    <w:tr2bl w:val="nil"/>
                  </w:tcBorders>
                  <w:vAlign w:val="center"/>
                </w:tcPr>
                <w:p w14:paraId="644A1D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pH</w:t>
                  </w:r>
                </w:p>
              </w:tc>
              <w:tc>
                <w:tcPr>
                  <w:tcW w:w="2460" w:type="dxa"/>
                  <w:tcBorders>
                    <w:tl2br w:val="nil"/>
                    <w:tr2bl w:val="nil"/>
                  </w:tcBorders>
                  <w:vAlign w:val="center"/>
                </w:tcPr>
                <w:p w14:paraId="6394B8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6~9</w:t>
                  </w:r>
                </w:p>
              </w:tc>
              <w:tc>
                <w:tcPr>
                  <w:tcW w:w="2460" w:type="dxa"/>
                  <w:tcBorders>
                    <w:tl2br w:val="nil"/>
                    <w:tr2bl w:val="nil"/>
                  </w:tcBorders>
                  <w:vAlign w:val="center"/>
                </w:tcPr>
                <w:p w14:paraId="3CFC3C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7.15</w:t>
                  </w:r>
                </w:p>
              </w:tc>
            </w:tr>
            <w:tr w14:paraId="624BAE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16E182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3</w:t>
                  </w:r>
                </w:p>
              </w:tc>
              <w:tc>
                <w:tcPr>
                  <w:tcW w:w="2272" w:type="dxa"/>
                  <w:tcBorders>
                    <w:tl2br w:val="nil"/>
                    <w:tr2bl w:val="nil"/>
                  </w:tcBorders>
                  <w:vAlign w:val="center"/>
                </w:tcPr>
                <w:p w14:paraId="2ED9FC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总镍，mg/L</w:t>
                  </w:r>
                </w:p>
              </w:tc>
              <w:tc>
                <w:tcPr>
                  <w:tcW w:w="2460" w:type="dxa"/>
                  <w:tcBorders>
                    <w:tl2br w:val="nil"/>
                    <w:tr2bl w:val="nil"/>
                  </w:tcBorders>
                  <w:vAlign w:val="center"/>
                </w:tcPr>
                <w:p w14:paraId="4E0E23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w:t>
                  </w:r>
                  <w:r>
                    <w:rPr>
                      <w:rFonts w:hint="default"/>
                      <w:color w:val="FF0000"/>
                      <w:highlight w:val="none"/>
                      <w:lang w:val="en-US" w:eastAsia="zh-CN"/>
                    </w:rPr>
                    <w:t>1.0</w:t>
                  </w:r>
                </w:p>
              </w:tc>
              <w:tc>
                <w:tcPr>
                  <w:tcW w:w="2460" w:type="dxa"/>
                  <w:tcBorders>
                    <w:tl2br w:val="nil"/>
                    <w:tr2bl w:val="nil"/>
                  </w:tcBorders>
                  <w:vAlign w:val="center"/>
                </w:tcPr>
                <w:p w14:paraId="2C6626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0.0019</w:t>
                  </w:r>
                </w:p>
              </w:tc>
            </w:tr>
            <w:tr w14:paraId="24902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060F18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4</w:t>
                  </w:r>
                </w:p>
              </w:tc>
              <w:tc>
                <w:tcPr>
                  <w:tcW w:w="2272" w:type="dxa"/>
                  <w:tcBorders>
                    <w:tl2br w:val="nil"/>
                    <w:tr2bl w:val="nil"/>
                  </w:tcBorders>
                  <w:vAlign w:val="center"/>
                </w:tcPr>
                <w:p w14:paraId="7579DC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lang w:val="en-US" w:eastAsia="zh-CN"/>
                    </w:rPr>
                    <w:t>总铜，mg/L</w:t>
                  </w:r>
                </w:p>
              </w:tc>
              <w:tc>
                <w:tcPr>
                  <w:tcW w:w="2460" w:type="dxa"/>
                  <w:tcBorders>
                    <w:tl2br w:val="nil"/>
                    <w:tr2bl w:val="nil"/>
                  </w:tcBorders>
                  <w:vAlign w:val="center"/>
                </w:tcPr>
                <w:p w14:paraId="161ED2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0.5</w:t>
                  </w:r>
                </w:p>
              </w:tc>
              <w:tc>
                <w:tcPr>
                  <w:tcW w:w="2460" w:type="dxa"/>
                  <w:tcBorders>
                    <w:tl2br w:val="nil"/>
                    <w:tr2bl w:val="nil"/>
                  </w:tcBorders>
                  <w:vAlign w:val="center"/>
                </w:tcPr>
                <w:p w14:paraId="65694F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0.00825</w:t>
                  </w:r>
                </w:p>
              </w:tc>
            </w:tr>
            <w:tr w14:paraId="7F7C45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024CF1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5</w:t>
                  </w:r>
                </w:p>
              </w:tc>
              <w:tc>
                <w:tcPr>
                  <w:tcW w:w="2272" w:type="dxa"/>
                  <w:tcBorders>
                    <w:tl2br w:val="nil"/>
                    <w:tr2bl w:val="nil"/>
                  </w:tcBorders>
                  <w:vAlign w:val="center"/>
                </w:tcPr>
                <w:p w14:paraId="16A32D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总锌，mg/L</w:t>
                  </w:r>
                </w:p>
              </w:tc>
              <w:tc>
                <w:tcPr>
                  <w:tcW w:w="2460" w:type="dxa"/>
                  <w:tcBorders>
                    <w:tl2br w:val="nil"/>
                    <w:tr2bl w:val="nil"/>
                  </w:tcBorders>
                  <w:vAlign w:val="center"/>
                </w:tcPr>
                <w:p w14:paraId="060DC9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2.0</w:t>
                  </w:r>
                </w:p>
              </w:tc>
              <w:tc>
                <w:tcPr>
                  <w:tcW w:w="2460" w:type="dxa"/>
                  <w:tcBorders>
                    <w:tl2br w:val="nil"/>
                    <w:tr2bl w:val="nil"/>
                  </w:tcBorders>
                  <w:vAlign w:val="center"/>
                </w:tcPr>
                <w:p w14:paraId="03E883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0.0233</w:t>
                  </w:r>
                </w:p>
              </w:tc>
            </w:tr>
            <w:tr w14:paraId="5F70BA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6C9F20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6</w:t>
                  </w:r>
                </w:p>
              </w:tc>
              <w:tc>
                <w:tcPr>
                  <w:tcW w:w="2272" w:type="dxa"/>
                  <w:tcBorders>
                    <w:tl2br w:val="nil"/>
                    <w:tr2bl w:val="nil"/>
                  </w:tcBorders>
                  <w:vAlign w:val="center"/>
                </w:tcPr>
                <w:p w14:paraId="373323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总镉，mg/L</w:t>
                  </w:r>
                </w:p>
              </w:tc>
              <w:tc>
                <w:tcPr>
                  <w:tcW w:w="2460" w:type="dxa"/>
                  <w:tcBorders>
                    <w:tl2br w:val="nil"/>
                    <w:tr2bl w:val="nil"/>
                  </w:tcBorders>
                  <w:vAlign w:val="center"/>
                </w:tcPr>
                <w:p w14:paraId="40E122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0.1</w:t>
                  </w:r>
                </w:p>
              </w:tc>
              <w:tc>
                <w:tcPr>
                  <w:tcW w:w="2460" w:type="dxa"/>
                  <w:tcBorders>
                    <w:tl2br w:val="nil"/>
                    <w:tr2bl w:val="nil"/>
                  </w:tcBorders>
                  <w:vAlign w:val="center"/>
                </w:tcPr>
                <w:p w14:paraId="339D23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ND</w:t>
                  </w:r>
                </w:p>
              </w:tc>
            </w:tr>
            <w:tr w14:paraId="20405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27A768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7</w:t>
                  </w:r>
                </w:p>
              </w:tc>
              <w:tc>
                <w:tcPr>
                  <w:tcW w:w="2272" w:type="dxa"/>
                  <w:tcBorders>
                    <w:tl2br w:val="nil"/>
                    <w:tr2bl w:val="nil"/>
                  </w:tcBorders>
                  <w:vAlign w:val="center"/>
                </w:tcPr>
                <w:p w14:paraId="389E4D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总铅，mg/L</w:t>
                  </w:r>
                </w:p>
              </w:tc>
              <w:tc>
                <w:tcPr>
                  <w:tcW w:w="2460" w:type="dxa"/>
                  <w:tcBorders>
                    <w:tl2br w:val="nil"/>
                    <w:tr2bl w:val="nil"/>
                  </w:tcBorders>
                  <w:vAlign w:val="center"/>
                </w:tcPr>
                <w:p w14:paraId="0E837A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1.0</w:t>
                  </w:r>
                </w:p>
              </w:tc>
              <w:tc>
                <w:tcPr>
                  <w:tcW w:w="2460" w:type="dxa"/>
                  <w:tcBorders>
                    <w:tl2br w:val="nil"/>
                    <w:tr2bl w:val="nil"/>
                  </w:tcBorders>
                  <w:vAlign w:val="center"/>
                </w:tcPr>
                <w:p w14:paraId="27CBA3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ND</w:t>
                  </w:r>
                </w:p>
              </w:tc>
            </w:tr>
            <w:tr w14:paraId="723C27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7445C3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8</w:t>
                  </w:r>
                </w:p>
              </w:tc>
              <w:tc>
                <w:tcPr>
                  <w:tcW w:w="2272" w:type="dxa"/>
                  <w:tcBorders>
                    <w:tl2br w:val="nil"/>
                    <w:tr2bl w:val="nil"/>
                  </w:tcBorders>
                  <w:vAlign w:val="center"/>
                </w:tcPr>
                <w:p w14:paraId="6B89EE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总铬，mg/L</w:t>
                  </w:r>
                </w:p>
              </w:tc>
              <w:tc>
                <w:tcPr>
                  <w:tcW w:w="2460" w:type="dxa"/>
                  <w:tcBorders>
                    <w:tl2br w:val="nil"/>
                    <w:tr2bl w:val="nil"/>
                  </w:tcBorders>
                  <w:vAlign w:val="center"/>
                </w:tcPr>
                <w:p w14:paraId="30A4B1F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1.5</w:t>
                  </w:r>
                </w:p>
              </w:tc>
              <w:tc>
                <w:tcPr>
                  <w:tcW w:w="2460" w:type="dxa"/>
                  <w:tcBorders>
                    <w:tl2br w:val="nil"/>
                    <w:tr2bl w:val="nil"/>
                  </w:tcBorders>
                  <w:vAlign w:val="center"/>
                </w:tcPr>
                <w:p w14:paraId="0191B2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val="en-US" w:eastAsia="zh-CN"/>
                    </w:rPr>
                    <w:t>0.0155</w:t>
                  </w:r>
                </w:p>
              </w:tc>
            </w:tr>
            <w:tr w14:paraId="367A44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235353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9</w:t>
                  </w:r>
                </w:p>
              </w:tc>
              <w:tc>
                <w:tcPr>
                  <w:tcW w:w="2272" w:type="dxa"/>
                  <w:tcBorders>
                    <w:tl2br w:val="nil"/>
                    <w:tr2bl w:val="nil"/>
                  </w:tcBorders>
                  <w:vAlign w:val="center"/>
                </w:tcPr>
                <w:p w14:paraId="4D3798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总锰，mg/L</w:t>
                  </w:r>
                </w:p>
              </w:tc>
              <w:tc>
                <w:tcPr>
                  <w:tcW w:w="2460" w:type="dxa"/>
                  <w:tcBorders>
                    <w:tl2br w:val="nil"/>
                    <w:tr2bl w:val="nil"/>
                  </w:tcBorders>
                  <w:vAlign w:val="center"/>
                </w:tcPr>
                <w:p w14:paraId="41D65A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2.0</w:t>
                  </w:r>
                </w:p>
              </w:tc>
              <w:tc>
                <w:tcPr>
                  <w:tcW w:w="2460" w:type="dxa"/>
                  <w:tcBorders>
                    <w:tl2br w:val="nil"/>
                    <w:tr2bl w:val="nil"/>
                  </w:tcBorders>
                  <w:vAlign w:val="center"/>
                </w:tcPr>
                <w:p w14:paraId="43750B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val="en-US" w:eastAsia="zh-CN"/>
                    </w:rPr>
                  </w:pPr>
                  <w:r>
                    <w:rPr>
                      <w:rFonts w:hint="eastAsia"/>
                      <w:color w:val="FF0000"/>
                      <w:highlight w:val="none"/>
                      <w:lang w:val="en-US" w:eastAsia="zh-CN"/>
                    </w:rPr>
                    <w:t>/</w:t>
                  </w:r>
                </w:p>
              </w:tc>
            </w:tr>
            <w:tr w14:paraId="51FDD9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741887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10</w:t>
                  </w:r>
                </w:p>
              </w:tc>
              <w:tc>
                <w:tcPr>
                  <w:tcW w:w="2272" w:type="dxa"/>
                  <w:tcBorders>
                    <w:tl2br w:val="nil"/>
                    <w:tr2bl w:val="nil"/>
                  </w:tcBorders>
                  <w:vAlign w:val="center"/>
                </w:tcPr>
                <w:p w14:paraId="1ADE94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总银，mg/L</w:t>
                  </w:r>
                </w:p>
              </w:tc>
              <w:tc>
                <w:tcPr>
                  <w:tcW w:w="2460" w:type="dxa"/>
                  <w:tcBorders>
                    <w:tl2br w:val="nil"/>
                    <w:tr2bl w:val="nil"/>
                  </w:tcBorders>
                  <w:vAlign w:val="center"/>
                </w:tcPr>
                <w:p w14:paraId="3167B8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0.5</w:t>
                  </w:r>
                </w:p>
              </w:tc>
              <w:tc>
                <w:tcPr>
                  <w:tcW w:w="2460" w:type="dxa"/>
                  <w:tcBorders>
                    <w:tl2br w:val="nil"/>
                    <w:tr2bl w:val="nil"/>
                  </w:tcBorders>
                  <w:vAlign w:val="center"/>
                </w:tcPr>
                <w:p w14:paraId="0151D93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val="en-US" w:eastAsia="zh-CN"/>
                    </w:rPr>
                    <w:t>ND</w:t>
                  </w:r>
                </w:p>
              </w:tc>
            </w:tr>
            <w:tr w14:paraId="2BE739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4A49BB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11</w:t>
                  </w:r>
                </w:p>
              </w:tc>
              <w:tc>
                <w:tcPr>
                  <w:tcW w:w="2272" w:type="dxa"/>
                  <w:tcBorders>
                    <w:tl2br w:val="nil"/>
                    <w:tr2bl w:val="nil"/>
                  </w:tcBorders>
                  <w:vAlign w:val="center"/>
                </w:tcPr>
                <w:p w14:paraId="73163F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总铍，mg/L</w:t>
                  </w:r>
                </w:p>
              </w:tc>
              <w:tc>
                <w:tcPr>
                  <w:tcW w:w="2460" w:type="dxa"/>
                  <w:tcBorders>
                    <w:tl2br w:val="nil"/>
                    <w:tr2bl w:val="nil"/>
                  </w:tcBorders>
                  <w:vAlign w:val="center"/>
                </w:tcPr>
                <w:p w14:paraId="4B05C9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0.005</w:t>
                  </w:r>
                </w:p>
              </w:tc>
              <w:tc>
                <w:tcPr>
                  <w:tcW w:w="2460" w:type="dxa"/>
                  <w:tcBorders>
                    <w:tl2br w:val="nil"/>
                    <w:tr2bl w:val="nil"/>
                  </w:tcBorders>
                  <w:vAlign w:val="center"/>
                </w:tcPr>
                <w:p w14:paraId="0E5550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0.0042</w:t>
                  </w:r>
                </w:p>
              </w:tc>
            </w:tr>
            <w:tr w14:paraId="422D7A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644036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12</w:t>
                  </w:r>
                </w:p>
              </w:tc>
              <w:tc>
                <w:tcPr>
                  <w:tcW w:w="2272" w:type="dxa"/>
                  <w:tcBorders>
                    <w:tl2br w:val="nil"/>
                    <w:tr2bl w:val="nil"/>
                  </w:tcBorders>
                  <w:vAlign w:val="center"/>
                </w:tcPr>
                <w:p w14:paraId="472F84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总铊，mg/L</w:t>
                  </w:r>
                </w:p>
              </w:tc>
              <w:tc>
                <w:tcPr>
                  <w:tcW w:w="2460" w:type="dxa"/>
                  <w:tcBorders>
                    <w:tl2br w:val="nil"/>
                    <w:tr2bl w:val="nil"/>
                  </w:tcBorders>
                  <w:vAlign w:val="center"/>
                </w:tcPr>
                <w:p w14:paraId="104050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0.005</w:t>
                  </w:r>
                </w:p>
              </w:tc>
              <w:tc>
                <w:tcPr>
                  <w:tcW w:w="2460" w:type="dxa"/>
                  <w:tcBorders>
                    <w:tl2br w:val="nil"/>
                    <w:tr2bl w:val="nil"/>
                  </w:tcBorders>
                  <w:vAlign w:val="center"/>
                </w:tcPr>
                <w:p w14:paraId="65B2B5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0.0046</w:t>
                  </w:r>
                </w:p>
              </w:tc>
            </w:tr>
            <w:tr w14:paraId="42EFC7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38831B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13</w:t>
                  </w:r>
                </w:p>
              </w:tc>
              <w:tc>
                <w:tcPr>
                  <w:tcW w:w="2272" w:type="dxa"/>
                  <w:tcBorders>
                    <w:tl2br w:val="nil"/>
                    <w:tr2bl w:val="nil"/>
                  </w:tcBorders>
                  <w:vAlign w:val="center"/>
                </w:tcPr>
                <w:p w14:paraId="381196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总汞，mg/L</w:t>
                  </w:r>
                </w:p>
              </w:tc>
              <w:tc>
                <w:tcPr>
                  <w:tcW w:w="2460" w:type="dxa"/>
                  <w:tcBorders>
                    <w:tl2br w:val="nil"/>
                    <w:tr2bl w:val="nil"/>
                  </w:tcBorders>
                  <w:vAlign w:val="center"/>
                </w:tcPr>
                <w:p w14:paraId="63D5CB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0.05</w:t>
                  </w:r>
                </w:p>
              </w:tc>
              <w:tc>
                <w:tcPr>
                  <w:tcW w:w="2460" w:type="dxa"/>
                  <w:tcBorders>
                    <w:tl2br w:val="nil"/>
                    <w:tr2bl w:val="nil"/>
                  </w:tcBorders>
                  <w:vAlign w:val="center"/>
                </w:tcPr>
                <w:p w14:paraId="6C6FE7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val="en-US" w:eastAsia="zh-CN"/>
                    </w:rPr>
                    <w:t>ND</w:t>
                  </w:r>
                </w:p>
              </w:tc>
            </w:tr>
            <w:tr w14:paraId="1C2447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7B2BB1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14</w:t>
                  </w:r>
                </w:p>
              </w:tc>
              <w:tc>
                <w:tcPr>
                  <w:tcW w:w="2272" w:type="dxa"/>
                  <w:tcBorders>
                    <w:tl2br w:val="nil"/>
                    <w:tr2bl w:val="nil"/>
                  </w:tcBorders>
                  <w:vAlign w:val="center"/>
                </w:tcPr>
                <w:p w14:paraId="3C175C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氟化物，mg/L</w:t>
                  </w:r>
                </w:p>
              </w:tc>
              <w:tc>
                <w:tcPr>
                  <w:tcW w:w="2460" w:type="dxa"/>
                  <w:tcBorders>
                    <w:tl2br w:val="nil"/>
                    <w:tr2bl w:val="nil"/>
                  </w:tcBorders>
                  <w:vAlign w:val="center"/>
                </w:tcPr>
                <w:p w14:paraId="72E7A6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10</w:t>
                  </w:r>
                </w:p>
              </w:tc>
              <w:tc>
                <w:tcPr>
                  <w:tcW w:w="2460" w:type="dxa"/>
                  <w:tcBorders>
                    <w:tl2br w:val="nil"/>
                    <w:tr2bl w:val="nil"/>
                  </w:tcBorders>
                  <w:vAlign w:val="center"/>
                </w:tcPr>
                <w:p w14:paraId="14BADB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8.54</w:t>
                  </w:r>
                </w:p>
              </w:tc>
            </w:tr>
            <w:tr w14:paraId="5E84F7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0E4002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15</w:t>
                  </w:r>
                </w:p>
              </w:tc>
              <w:tc>
                <w:tcPr>
                  <w:tcW w:w="2272" w:type="dxa"/>
                  <w:tcBorders>
                    <w:tl2br w:val="nil"/>
                    <w:tr2bl w:val="nil"/>
                  </w:tcBorders>
                  <w:vAlign w:val="center"/>
                </w:tcPr>
                <w:p w14:paraId="2C509B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硫化物，mg/L</w:t>
                  </w:r>
                </w:p>
              </w:tc>
              <w:tc>
                <w:tcPr>
                  <w:tcW w:w="2460" w:type="dxa"/>
                  <w:tcBorders>
                    <w:tl2br w:val="nil"/>
                    <w:tr2bl w:val="nil"/>
                  </w:tcBorders>
                  <w:vAlign w:val="center"/>
                </w:tcPr>
                <w:p w14:paraId="7FD249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1.0</w:t>
                  </w:r>
                </w:p>
              </w:tc>
              <w:tc>
                <w:tcPr>
                  <w:tcW w:w="2460" w:type="dxa"/>
                  <w:tcBorders>
                    <w:tl2br w:val="nil"/>
                    <w:tr2bl w:val="nil"/>
                  </w:tcBorders>
                  <w:vAlign w:val="center"/>
                </w:tcPr>
                <w:p w14:paraId="0BFAD2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val="en-US" w:eastAsia="zh-CN"/>
                    </w:rPr>
                  </w:pPr>
                  <w:r>
                    <w:rPr>
                      <w:rFonts w:hint="eastAsia"/>
                      <w:color w:val="FF0000"/>
                      <w:highlight w:val="none"/>
                      <w:lang w:val="en-US" w:eastAsia="zh-CN"/>
                    </w:rPr>
                    <w:t>/</w:t>
                  </w:r>
                </w:p>
              </w:tc>
            </w:tr>
            <w:tr w14:paraId="47D558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88" w:type="dxa"/>
                  <w:tcBorders>
                    <w:tl2br w:val="nil"/>
                    <w:tr2bl w:val="nil"/>
                  </w:tcBorders>
                  <w:vAlign w:val="center"/>
                </w:tcPr>
                <w:p w14:paraId="295E93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16</w:t>
                  </w:r>
                </w:p>
              </w:tc>
              <w:tc>
                <w:tcPr>
                  <w:tcW w:w="2272" w:type="dxa"/>
                  <w:tcBorders>
                    <w:tl2br w:val="nil"/>
                    <w:tr2bl w:val="nil"/>
                  </w:tcBorders>
                  <w:vAlign w:val="center"/>
                </w:tcPr>
                <w:p w14:paraId="7ECEF3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lang w:val="en-US" w:eastAsia="zh-CN"/>
                    </w:rPr>
                    <w:t>总氰化物，mg/L</w:t>
                  </w:r>
                </w:p>
              </w:tc>
              <w:tc>
                <w:tcPr>
                  <w:tcW w:w="2460" w:type="dxa"/>
                  <w:tcBorders>
                    <w:tl2br w:val="nil"/>
                    <w:tr2bl w:val="nil"/>
                  </w:tcBorders>
                  <w:vAlign w:val="center"/>
                </w:tcPr>
                <w:p w14:paraId="359EBC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default"/>
                      <w:color w:val="FF0000"/>
                      <w:highlight w:val="none"/>
                    </w:rPr>
                    <w:t>≤</w:t>
                  </w:r>
                  <w:r>
                    <w:rPr>
                      <w:rFonts w:hint="default"/>
                      <w:color w:val="FF0000"/>
                      <w:highlight w:val="none"/>
                      <w:lang w:val="en-US" w:eastAsia="zh-CN"/>
                    </w:rPr>
                    <w:t>0.5</w:t>
                  </w:r>
                </w:p>
              </w:tc>
              <w:tc>
                <w:tcPr>
                  <w:tcW w:w="2460" w:type="dxa"/>
                  <w:tcBorders>
                    <w:tl2br w:val="nil"/>
                    <w:tr2bl w:val="nil"/>
                  </w:tcBorders>
                  <w:vAlign w:val="center"/>
                </w:tcPr>
                <w:p w14:paraId="2F1F0A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val="en-US" w:eastAsia="zh-CN"/>
                    </w:rPr>
                    <w:t>ND</w:t>
                  </w:r>
                </w:p>
              </w:tc>
            </w:tr>
            <w:tr w14:paraId="6A77EE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80" w:type="dxa"/>
                  <w:gridSpan w:val="4"/>
                  <w:tcBorders>
                    <w:tl2br w:val="nil"/>
                    <w:tr2bl w:val="nil"/>
                  </w:tcBorders>
                  <w:vAlign w:val="center"/>
                </w:tcPr>
                <w:p w14:paraId="4027E9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注：/表示此次中试产品浸出毒性未检测该指标，但环评要求产品均满足产品技术指标。</w:t>
                  </w:r>
                </w:p>
              </w:tc>
            </w:tr>
          </w:tbl>
          <w:p w14:paraId="50C18F60">
            <w:pPr>
              <w:pStyle w:val="76"/>
              <w:keepNext w:val="0"/>
              <w:keepLines w:val="0"/>
              <w:suppressLineNumbers w:val="0"/>
              <w:bidi w:val="0"/>
              <w:spacing w:before="0" w:beforeAutospacing="0" w:after="0" w:afterAutospacing="0"/>
              <w:ind w:left="0" w:right="0"/>
              <w:rPr>
                <w:rFonts w:hint="eastAsia"/>
                <w:b/>
                <w:bCs w:val="0"/>
                <w:color w:val="FF0000"/>
                <w:lang w:val="en-US" w:eastAsia="zh-CN"/>
              </w:rPr>
            </w:pPr>
            <w:r>
              <w:rPr>
                <w:rFonts w:hint="eastAsia"/>
                <w:b/>
                <w:bCs w:val="0"/>
                <w:color w:val="FF0000"/>
                <w:lang w:val="en-US" w:eastAsia="zh-CN"/>
              </w:rPr>
              <w:t>4.4、产品的消纳可行性</w:t>
            </w:r>
          </w:p>
          <w:p w14:paraId="4CE02A34">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FF0000"/>
                <w:kern w:val="0"/>
                <w:sz w:val="24"/>
                <w:szCs w:val="24"/>
                <w:highlight w:val="none"/>
                <w:lang w:val="en-US" w:eastAsia="zh-CN" w:bidi="ar"/>
              </w:rPr>
            </w:pPr>
            <w:r>
              <w:rPr>
                <w:rFonts w:hint="eastAsia"/>
                <w:color w:val="FF0000"/>
                <w:lang w:val="en-US" w:eastAsia="zh-CN"/>
              </w:rPr>
              <w:t>本项目产品目前主要外售于高安市蜀信建筑工程有限公司，根据签订的采购协议消纳具有可行性，后续根据经营和销售情况，销售给更多周边企业。</w:t>
            </w:r>
          </w:p>
          <w:p w14:paraId="1BC1089D">
            <w:pPr>
              <w:pStyle w:val="76"/>
              <w:keepNext w:val="0"/>
              <w:keepLines w:val="0"/>
              <w:suppressLineNumbers w:val="0"/>
              <w:bidi w:val="0"/>
              <w:spacing w:before="0" w:beforeAutospacing="0" w:after="0" w:afterAutospacing="0"/>
              <w:ind w:left="0" w:right="0"/>
              <w:rPr>
                <w:rFonts w:hint="default"/>
                <w:b/>
                <w:bCs w:val="0"/>
                <w:color w:val="auto"/>
                <w:highlight w:val="none"/>
                <w:lang w:val="en-US" w:eastAsia="zh-CN"/>
              </w:rPr>
            </w:pPr>
            <w:r>
              <w:rPr>
                <w:rFonts w:hint="eastAsia"/>
                <w:b/>
                <w:bCs w:val="0"/>
                <w:color w:val="auto"/>
                <w:highlight w:val="none"/>
                <w:lang w:val="en-US" w:eastAsia="zh-CN"/>
              </w:rPr>
              <w:t>4.5、产品的出厂要求</w:t>
            </w:r>
          </w:p>
          <w:p w14:paraId="51E5198F">
            <w:pPr>
              <w:keepNext w:val="0"/>
              <w:keepLines w:val="0"/>
              <w:widowControl/>
              <w:suppressLineNumbers w:val="0"/>
              <w:spacing w:before="0" w:beforeAutospacing="0" w:after="0" w:afterAutospacing="0"/>
              <w:ind w:left="0" w:right="0"/>
              <w:jc w:val="left"/>
              <w:rPr>
                <w:rFonts w:hint="eastAsia"/>
                <w:color w:val="auto"/>
                <w:highlight w:val="none"/>
                <w:lang w:val="en-US" w:eastAsia="zh-CN"/>
              </w:rPr>
            </w:pPr>
            <w:r>
              <w:rPr>
                <w:rFonts w:hint="eastAsia"/>
                <w:color w:val="auto"/>
                <w:highlight w:val="none"/>
                <w:lang w:val="en-US" w:eastAsia="zh-CN"/>
              </w:rPr>
              <w:t>（1）本环评要求建设单位检测产品，其各污染物、浸出毒性均满足本环评4.2提出的质量要求后方可出售产品，同一工艺，同一批次原辅料委外检测一次，若工艺、原辅料发生改变均需重新检测再外售；</w:t>
            </w:r>
          </w:p>
          <w:p w14:paraId="709E0A0B">
            <w:pPr>
              <w:keepNext w:val="0"/>
              <w:keepLines w:val="0"/>
              <w:widowControl/>
              <w:suppressLineNumbers w:val="0"/>
              <w:spacing w:before="0" w:beforeAutospacing="0" w:after="0" w:afterAutospacing="0"/>
              <w:ind w:left="0" w:right="0"/>
              <w:jc w:val="left"/>
              <w:rPr>
                <w:rFonts w:hint="eastAsia"/>
                <w:color w:val="auto"/>
                <w:highlight w:val="none"/>
                <w:lang w:val="en-US" w:eastAsia="zh-CN"/>
              </w:rPr>
            </w:pPr>
            <w:r>
              <w:rPr>
                <w:rFonts w:hint="eastAsia"/>
                <w:color w:val="auto"/>
                <w:highlight w:val="none"/>
                <w:lang w:val="en-US" w:eastAsia="zh-CN"/>
              </w:rPr>
              <w:t>（2）定期送检产品，若不满足标准不可出售；</w:t>
            </w:r>
          </w:p>
          <w:p w14:paraId="145D894A">
            <w:pPr>
              <w:keepNext w:val="0"/>
              <w:keepLines w:val="0"/>
              <w:widowControl/>
              <w:suppressLineNumbers w:val="0"/>
              <w:spacing w:before="0" w:beforeAutospacing="0" w:after="0" w:afterAutospacing="0"/>
              <w:ind w:left="0" w:right="0"/>
              <w:jc w:val="left"/>
              <w:rPr>
                <w:rFonts w:hint="default"/>
                <w:color w:val="auto"/>
                <w:highlight w:val="none"/>
                <w:lang w:val="en-US" w:eastAsia="zh-CN"/>
              </w:rPr>
            </w:pPr>
            <w:r>
              <w:rPr>
                <w:rFonts w:hint="eastAsia"/>
                <w:color w:val="auto"/>
                <w:highlight w:val="none"/>
                <w:lang w:val="en-US" w:eastAsia="zh-CN"/>
              </w:rPr>
              <w:t>（3）本环评要求建设单位对产品进行危废属性鉴定，鉴定不属于危废方可外售；</w:t>
            </w:r>
          </w:p>
          <w:p w14:paraId="479F8740">
            <w:pPr>
              <w:keepNext w:val="0"/>
              <w:keepLines w:val="0"/>
              <w:widowControl/>
              <w:suppressLineNumbers w:val="0"/>
              <w:spacing w:before="0" w:beforeAutospacing="0" w:after="0" w:afterAutospacing="0"/>
              <w:ind w:left="0" w:right="0"/>
              <w:jc w:val="left"/>
              <w:rPr>
                <w:rFonts w:hint="default" w:ascii="Times New Roman" w:hAnsi="Times New Roman" w:eastAsia="宋体" w:cs="Times New Roman"/>
                <w:color w:val="auto"/>
                <w:kern w:val="0"/>
                <w:sz w:val="24"/>
                <w:szCs w:val="24"/>
                <w:highlight w:val="none"/>
                <w:lang w:val="en-US" w:eastAsia="zh-CN" w:bidi="ar"/>
              </w:rPr>
            </w:pPr>
            <w:r>
              <w:rPr>
                <w:rFonts w:hint="eastAsia"/>
                <w:color w:val="auto"/>
                <w:highlight w:val="none"/>
                <w:lang w:val="en-US" w:eastAsia="zh-CN"/>
              </w:rPr>
              <w:t>（4）要求建设单位建立详细的产品出售台账，台账应涵盖产品产量、出售时间、单位、数量等信息，实现产品可追溯、可查询。台账应每日更新，及时、全面、准确地记录数据，不得随意涂改、损毁、更换。</w:t>
            </w:r>
          </w:p>
          <w:p w14:paraId="219ADE4E">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rPr>
            </w:pPr>
            <w:r>
              <w:rPr>
                <w:rFonts w:hint="default" w:ascii="Times New Roman" w:hAnsi="Times New Roman" w:cs="Times New Roman"/>
                <w:b/>
                <w:bCs w:val="0"/>
                <w:color w:val="auto"/>
                <w:highlight w:val="none"/>
                <w:lang w:val="en-US" w:eastAsia="zh-CN"/>
              </w:rPr>
              <w:t>5</w:t>
            </w:r>
            <w:r>
              <w:rPr>
                <w:rFonts w:hint="default" w:ascii="Times New Roman" w:hAnsi="Times New Roman" w:cs="Times New Roman"/>
                <w:b/>
                <w:bCs w:val="0"/>
                <w:color w:val="auto"/>
                <w:highlight w:val="none"/>
              </w:rPr>
              <w:t>、项目主要生产设备</w:t>
            </w:r>
          </w:p>
          <w:p w14:paraId="5A8B52B2">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eastAsia" w:cs="Times New Roman"/>
                <w:color w:val="auto"/>
                <w:highlight w:val="none"/>
                <w:lang w:eastAsia="zh-CN"/>
              </w:rPr>
              <w:t>本</w:t>
            </w:r>
            <w:r>
              <w:rPr>
                <w:rFonts w:hint="default" w:ascii="Times New Roman" w:hAnsi="Times New Roman" w:cs="Times New Roman"/>
                <w:color w:val="auto"/>
                <w:highlight w:val="none"/>
              </w:rPr>
              <w:t>项目生产设备详见</w:t>
            </w:r>
            <w:r>
              <w:rPr>
                <w:rFonts w:hint="default" w:ascii="Times New Roman" w:hAnsi="Times New Roman" w:cs="Times New Roman"/>
                <w:color w:val="auto"/>
                <w:highlight w:val="none"/>
                <w:lang w:val="en-US" w:eastAsia="zh-CN"/>
              </w:rPr>
              <w:t>下</w:t>
            </w:r>
            <w:r>
              <w:rPr>
                <w:rFonts w:hint="default" w:ascii="Times New Roman" w:hAnsi="Times New Roman" w:cs="Times New Roman"/>
                <w:color w:val="auto"/>
                <w:highlight w:val="none"/>
              </w:rPr>
              <w:t>表。</w:t>
            </w:r>
          </w:p>
          <w:p w14:paraId="0E30DBEC">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本</w:t>
            </w:r>
            <w:r>
              <w:rPr>
                <w:rFonts w:hint="default" w:ascii="Times New Roman" w:hAnsi="Times New Roman" w:eastAsia="宋体" w:cs="Times New Roman"/>
                <w:color w:val="auto"/>
                <w:sz w:val="21"/>
                <w:szCs w:val="21"/>
                <w:highlight w:val="none"/>
                <w:lang w:val="en-US" w:eastAsia="zh-CN"/>
              </w:rPr>
              <w:t>项目主要生产设备一览表</w:t>
            </w:r>
          </w:p>
          <w:tbl>
            <w:tblPr>
              <w:tblStyle w:val="96"/>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625"/>
              <w:gridCol w:w="1174"/>
              <w:gridCol w:w="1112"/>
              <w:gridCol w:w="1366"/>
              <w:gridCol w:w="1085"/>
              <w:gridCol w:w="1111"/>
              <w:gridCol w:w="1607"/>
            </w:tblGrid>
            <w:tr w14:paraId="3E2AB02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38" w:hRule="atLeast"/>
                <w:jc w:val="center"/>
              </w:trPr>
              <w:tc>
                <w:tcPr>
                  <w:tcW w:w="625" w:type="dxa"/>
                  <w:tcBorders>
                    <w:tl2br w:val="nil"/>
                    <w:tr2bl w:val="nil"/>
                  </w:tcBorders>
                  <w:noWrap w:val="0"/>
                  <w:vAlign w:val="center"/>
                </w:tcPr>
                <w:p w14:paraId="11C352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1174" w:type="dxa"/>
                  <w:tcBorders>
                    <w:tl2br w:val="nil"/>
                    <w:tr2bl w:val="nil"/>
                  </w:tcBorders>
                  <w:noWrap w:val="0"/>
                  <w:vAlign w:val="center"/>
                </w:tcPr>
                <w:p w14:paraId="037CA2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产品</w:t>
                  </w:r>
                </w:p>
              </w:tc>
              <w:tc>
                <w:tcPr>
                  <w:tcW w:w="1112" w:type="dxa"/>
                  <w:tcBorders>
                    <w:tl2br w:val="nil"/>
                    <w:tr2bl w:val="nil"/>
                  </w:tcBorders>
                  <w:noWrap w:val="0"/>
                  <w:vAlign w:val="center"/>
                </w:tcPr>
                <w:p w14:paraId="12892B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设备名称</w:t>
                  </w:r>
                </w:p>
              </w:tc>
              <w:tc>
                <w:tcPr>
                  <w:tcW w:w="1366" w:type="dxa"/>
                  <w:tcBorders>
                    <w:tl2br w:val="nil"/>
                    <w:tr2bl w:val="nil"/>
                  </w:tcBorders>
                  <w:noWrap w:val="0"/>
                  <w:vAlign w:val="center"/>
                </w:tcPr>
                <w:p w14:paraId="6C82431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设备型号</w:t>
                  </w:r>
                </w:p>
              </w:tc>
              <w:tc>
                <w:tcPr>
                  <w:tcW w:w="1085" w:type="dxa"/>
                  <w:tcBorders>
                    <w:tl2br w:val="nil"/>
                    <w:tr2bl w:val="nil"/>
                  </w:tcBorders>
                  <w:noWrap w:val="0"/>
                  <w:vAlign w:val="center"/>
                </w:tcPr>
                <w:p w14:paraId="4668132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数量（台）</w:t>
                  </w:r>
                </w:p>
              </w:tc>
              <w:tc>
                <w:tcPr>
                  <w:tcW w:w="1111" w:type="dxa"/>
                  <w:tcBorders>
                    <w:tl2br w:val="nil"/>
                    <w:tr2bl w:val="nil"/>
                  </w:tcBorders>
                  <w:noWrap w:val="0"/>
                  <w:vAlign w:val="center"/>
                </w:tcPr>
                <w:p w14:paraId="522B7B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使用工序</w:t>
                  </w:r>
                </w:p>
              </w:tc>
              <w:tc>
                <w:tcPr>
                  <w:tcW w:w="1607" w:type="dxa"/>
                  <w:tcBorders>
                    <w:tl2br w:val="nil"/>
                    <w:tr2bl w:val="nil"/>
                  </w:tcBorders>
                  <w:noWrap w:val="0"/>
                  <w:vAlign w:val="center"/>
                </w:tcPr>
                <w:p w14:paraId="179117E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备注</w:t>
                  </w:r>
                </w:p>
              </w:tc>
            </w:tr>
            <w:tr w14:paraId="1F4148E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24610EA7">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restart"/>
                  <w:tcBorders>
                    <w:tl2br w:val="nil"/>
                    <w:tr2bl w:val="nil"/>
                  </w:tcBorders>
                  <w:noWrap w:val="0"/>
                  <w:vAlign w:val="center"/>
                </w:tcPr>
                <w:p w14:paraId="1B2C54D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环保免烧砖</w:t>
                  </w:r>
                </w:p>
              </w:tc>
              <w:tc>
                <w:tcPr>
                  <w:tcW w:w="1112" w:type="dxa"/>
                  <w:tcBorders>
                    <w:tl2br w:val="nil"/>
                    <w:tr2bl w:val="nil"/>
                  </w:tcBorders>
                  <w:noWrap w:val="0"/>
                  <w:vAlign w:val="center"/>
                </w:tcPr>
                <w:p w14:paraId="4346DBA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静压机</w:t>
                  </w:r>
                </w:p>
              </w:tc>
              <w:tc>
                <w:tcPr>
                  <w:tcW w:w="1366" w:type="dxa"/>
                  <w:tcBorders>
                    <w:tl2br w:val="nil"/>
                    <w:tr2bl w:val="nil"/>
                  </w:tcBorders>
                  <w:noWrap w:val="0"/>
                  <w:vAlign w:val="center"/>
                </w:tcPr>
                <w:p w14:paraId="17BF90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800吨</w:t>
                  </w:r>
                </w:p>
              </w:tc>
              <w:tc>
                <w:tcPr>
                  <w:tcW w:w="1085" w:type="dxa"/>
                  <w:tcBorders>
                    <w:tl2br w:val="nil"/>
                    <w:tr2bl w:val="nil"/>
                  </w:tcBorders>
                  <w:noWrap w:val="0"/>
                  <w:vAlign w:val="center"/>
                </w:tcPr>
                <w:p w14:paraId="0FDD353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2</w:t>
                  </w:r>
                </w:p>
              </w:tc>
              <w:tc>
                <w:tcPr>
                  <w:tcW w:w="1111" w:type="dxa"/>
                  <w:tcBorders>
                    <w:tl2br w:val="nil"/>
                    <w:tr2bl w:val="nil"/>
                  </w:tcBorders>
                  <w:noWrap w:val="0"/>
                  <w:vAlign w:val="center"/>
                </w:tcPr>
                <w:p w14:paraId="0796641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静压</w:t>
                  </w:r>
                </w:p>
              </w:tc>
              <w:tc>
                <w:tcPr>
                  <w:tcW w:w="1607" w:type="dxa"/>
                  <w:tcBorders>
                    <w:tl2br w:val="nil"/>
                    <w:tr2bl w:val="nil"/>
                  </w:tcBorders>
                  <w:noWrap w:val="0"/>
                  <w:vAlign w:val="center"/>
                </w:tcPr>
                <w:p w14:paraId="4765FC0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64D2B51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411C689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347E275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31CE2A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破碎机</w:t>
                  </w:r>
                </w:p>
              </w:tc>
              <w:tc>
                <w:tcPr>
                  <w:tcW w:w="1366" w:type="dxa"/>
                  <w:tcBorders>
                    <w:tl2br w:val="nil"/>
                    <w:tr2bl w:val="nil"/>
                  </w:tcBorders>
                  <w:noWrap w:val="0"/>
                  <w:vAlign w:val="center"/>
                </w:tcPr>
                <w:p w14:paraId="1D1128B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1000x1000</w:t>
                  </w:r>
                </w:p>
              </w:tc>
              <w:tc>
                <w:tcPr>
                  <w:tcW w:w="1085" w:type="dxa"/>
                  <w:tcBorders>
                    <w:tl2br w:val="nil"/>
                    <w:tr2bl w:val="nil"/>
                  </w:tcBorders>
                  <w:noWrap w:val="0"/>
                  <w:vAlign w:val="center"/>
                </w:tcPr>
                <w:p w14:paraId="7398EE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2A825C6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破碎</w:t>
                  </w:r>
                </w:p>
              </w:tc>
              <w:tc>
                <w:tcPr>
                  <w:tcW w:w="1607" w:type="dxa"/>
                  <w:tcBorders>
                    <w:tl2br w:val="nil"/>
                    <w:tr2bl w:val="nil"/>
                  </w:tcBorders>
                  <w:noWrap w:val="0"/>
                  <w:vAlign w:val="center"/>
                </w:tcPr>
                <w:p w14:paraId="58AD11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0072D0EC">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12C13C3C">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29682C2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4F84A80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码坯机</w:t>
                  </w:r>
                </w:p>
              </w:tc>
              <w:tc>
                <w:tcPr>
                  <w:tcW w:w="1366" w:type="dxa"/>
                  <w:tcBorders>
                    <w:tl2br w:val="nil"/>
                    <w:tr2bl w:val="nil"/>
                  </w:tcBorders>
                  <w:noWrap w:val="0"/>
                  <w:vAlign w:val="center"/>
                </w:tcPr>
                <w:p w14:paraId="009A53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1000型</w:t>
                  </w:r>
                </w:p>
              </w:tc>
              <w:tc>
                <w:tcPr>
                  <w:tcW w:w="1085" w:type="dxa"/>
                  <w:tcBorders>
                    <w:tl2br w:val="nil"/>
                    <w:tr2bl w:val="nil"/>
                  </w:tcBorders>
                  <w:noWrap w:val="0"/>
                  <w:vAlign w:val="center"/>
                </w:tcPr>
                <w:p w14:paraId="16EBF2A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161236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码坯</w:t>
                  </w:r>
                </w:p>
              </w:tc>
              <w:tc>
                <w:tcPr>
                  <w:tcW w:w="1607" w:type="dxa"/>
                  <w:tcBorders>
                    <w:tl2br w:val="nil"/>
                    <w:tr2bl w:val="nil"/>
                  </w:tcBorders>
                  <w:noWrap w:val="0"/>
                  <w:vAlign w:val="center"/>
                </w:tcPr>
                <w:p w14:paraId="1CE0D7D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5E2D9665">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122194A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5FC2768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493C094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搅拌机</w:t>
                  </w:r>
                </w:p>
              </w:tc>
              <w:tc>
                <w:tcPr>
                  <w:tcW w:w="1366" w:type="dxa"/>
                  <w:tcBorders>
                    <w:tl2br w:val="nil"/>
                    <w:tr2bl w:val="nil"/>
                  </w:tcBorders>
                  <w:noWrap w:val="0"/>
                  <w:vAlign w:val="center"/>
                </w:tcPr>
                <w:p w14:paraId="003F46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2000型</w:t>
                  </w:r>
                </w:p>
              </w:tc>
              <w:tc>
                <w:tcPr>
                  <w:tcW w:w="1085" w:type="dxa"/>
                  <w:tcBorders>
                    <w:tl2br w:val="nil"/>
                    <w:tr2bl w:val="nil"/>
                  </w:tcBorders>
                  <w:noWrap w:val="0"/>
                  <w:vAlign w:val="center"/>
                </w:tcPr>
                <w:p w14:paraId="2895F49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758A5D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搅拌</w:t>
                  </w:r>
                </w:p>
              </w:tc>
              <w:tc>
                <w:tcPr>
                  <w:tcW w:w="1607" w:type="dxa"/>
                  <w:tcBorders>
                    <w:tl2br w:val="nil"/>
                    <w:tr2bl w:val="nil"/>
                  </w:tcBorders>
                  <w:noWrap w:val="0"/>
                  <w:vAlign w:val="center"/>
                </w:tcPr>
                <w:p w14:paraId="3E2B893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268D7A5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725A2BD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78D6E29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6B1942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配料机</w:t>
                  </w:r>
                </w:p>
              </w:tc>
              <w:tc>
                <w:tcPr>
                  <w:tcW w:w="1366" w:type="dxa"/>
                  <w:tcBorders>
                    <w:tl2br w:val="nil"/>
                    <w:tr2bl w:val="nil"/>
                  </w:tcBorders>
                  <w:noWrap w:val="0"/>
                  <w:vAlign w:val="center"/>
                </w:tcPr>
                <w:p w14:paraId="799523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2000/4仓</w:t>
                  </w:r>
                </w:p>
              </w:tc>
              <w:tc>
                <w:tcPr>
                  <w:tcW w:w="1085" w:type="dxa"/>
                  <w:tcBorders>
                    <w:tl2br w:val="nil"/>
                    <w:tr2bl w:val="nil"/>
                  </w:tcBorders>
                  <w:noWrap w:val="0"/>
                  <w:vAlign w:val="center"/>
                </w:tcPr>
                <w:p w14:paraId="1ACF5B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713E40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配料</w:t>
                  </w:r>
                </w:p>
              </w:tc>
              <w:tc>
                <w:tcPr>
                  <w:tcW w:w="1607" w:type="dxa"/>
                  <w:tcBorders>
                    <w:tl2br w:val="nil"/>
                    <w:tr2bl w:val="nil"/>
                  </w:tcBorders>
                  <w:noWrap w:val="0"/>
                  <w:vAlign w:val="center"/>
                </w:tcPr>
                <w:p w14:paraId="6B6949D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26BA1B0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644C359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608C15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66DDE59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给料机</w:t>
                  </w:r>
                </w:p>
              </w:tc>
              <w:tc>
                <w:tcPr>
                  <w:tcW w:w="1366" w:type="dxa"/>
                  <w:tcBorders>
                    <w:tl2br w:val="nil"/>
                    <w:tr2bl w:val="nil"/>
                  </w:tcBorders>
                  <w:noWrap w:val="0"/>
                  <w:vAlign w:val="center"/>
                </w:tcPr>
                <w:p w14:paraId="48E3BAF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800x4000</w:t>
                  </w:r>
                </w:p>
              </w:tc>
              <w:tc>
                <w:tcPr>
                  <w:tcW w:w="1085" w:type="dxa"/>
                  <w:tcBorders>
                    <w:tl2br w:val="nil"/>
                    <w:tr2bl w:val="nil"/>
                  </w:tcBorders>
                  <w:noWrap w:val="0"/>
                  <w:vAlign w:val="center"/>
                </w:tcPr>
                <w:p w14:paraId="438F36B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4D7AF14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给料</w:t>
                  </w:r>
                </w:p>
              </w:tc>
              <w:tc>
                <w:tcPr>
                  <w:tcW w:w="1607" w:type="dxa"/>
                  <w:tcBorders>
                    <w:tl2br w:val="nil"/>
                    <w:tr2bl w:val="nil"/>
                  </w:tcBorders>
                  <w:noWrap w:val="0"/>
                  <w:vAlign w:val="center"/>
                </w:tcPr>
                <w:p w14:paraId="0063C3A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2A30D502">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1FF9691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6E09D70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307BB13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打包机</w:t>
                  </w:r>
                </w:p>
              </w:tc>
              <w:tc>
                <w:tcPr>
                  <w:tcW w:w="1366" w:type="dxa"/>
                  <w:tcBorders>
                    <w:tl2br w:val="nil"/>
                    <w:tr2bl w:val="nil"/>
                  </w:tcBorders>
                  <w:noWrap w:val="0"/>
                  <w:vAlign w:val="center"/>
                </w:tcPr>
                <w:p w14:paraId="7F904AD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800x1000</w:t>
                  </w:r>
                </w:p>
              </w:tc>
              <w:tc>
                <w:tcPr>
                  <w:tcW w:w="1085" w:type="dxa"/>
                  <w:tcBorders>
                    <w:tl2br w:val="nil"/>
                    <w:tr2bl w:val="nil"/>
                  </w:tcBorders>
                  <w:noWrap w:val="0"/>
                  <w:vAlign w:val="center"/>
                </w:tcPr>
                <w:p w14:paraId="0B9ED1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01AC75C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打包</w:t>
                  </w:r>
                </w:p>
              </w:tc>
              <w:tc>
                <w:tcPr>
                  <w:tcW w:w="1607" w:type="dxa"/>
                  <w:tcBorders>
                    <w:tl2br w:val="nil"/>
                    <w:tr2bl w:val="nil"/>
                  </w:tcBorders>
                  <w:noWrap w:val="0"/>
                  <w:vAlign w:val="center"/>
                </w:tcPr>
                <w:p w14:paraId="4B482D2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704974B4">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43A5C5C5">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7B3D8E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792E4A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水泥筒仓</w:t>
                  </w:r>
                </w:p>
              </w:tc>
              <w:tc>
                <w:tcPr>
                  <w:tcW w:w="1366" w:type="dxa"/>
                  <w:tcBorders>
                    <w:tl2br w:val="nil"/>
                    <w:tr2bl w:val="nil"/>
                  </w:tcBorders>
                  <w:noWrap w:val="0"/>
                  <w:vAlign w:val="center"/>
                </w:tcPr>
                <w:p w14:paraId="447F531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r>
                    <w:rPr>
                      <w:rFonts w:hint="eastAsia"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，H6m</w:t>
                  </w:r>
                </w:p>
              </w:tc>
              <w:tc>
                <w:tcPr>
                  <w:tcW w:w="1085" w:type="dxa"/>
                  <w:tcBorders>
                    <w:tl2br w:val="nil"/>
                    <w:tr2bl w:val="nil"/>
                  </w:tcBorders>
                  <w:noWrap w:val="0"/>
                  <w:vAlign w:val="center"/>
                </w:tcPr>
                <w:p w14:paraId="417627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2B68E4B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原料贮存</w:t>
                  </w:r>
                </w:p>
              </w:tc>
              <w:tc>
                <w:tcPr>
                  <w:tcW w:w="1607" w:type="dxa"/>
                  <w:tcBorders>
                    <w:tl2br w:val="nil"/>
                    <w:tr2bl w:val="nil"/>
                  </w:tcBorders>
                  <w:noWrap w:val="0"/>
                  <w:vAlign w:val="center"/>
                </w:tcPr>
                <w:p w14:paraId="3F1CBC1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680BCFAF">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2DF694EE">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5886D24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4B77ED5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石粉筒仓</w:t>
                  </w:r>
                </w:p>
              </w:tc>
              <w:tc>
                <w:tcPr>
                  <w:tcW w:w="1366" w:type="dxa"/>
                  <w:tcBorders>
                    <w:tl2br w:val="nil"/>
                    <w:tr2bl w:val="nil"/>
                  </w:tcBorders>
                  <w:noWrap w:val="0"/>
                  <w:vAlign w:val="center"/>
                </w:tcPr>
                <w:p w14:paraId="2FCAB0D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，H10m</w:t>
                  </w:r>
                </w:p>
              </w:tc>
              <w:tc>
                <w:tcPr>
                  <w:tcW w:w="1085" w:type="dxa"/>
                  <w:tcBorders>
                    <w:tl2br w:val="nil"/>
                    <w:tr2bl w:val="nil"/>
                  </w:tcBorders>
                  <w:noWrap w:val="0"/>
                  <w:vAlign w:val="center"/>
                </w:tcPr>
                <w:p w14:paraId="286AE96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3F863F6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原料贮存</w:t>
                  </w:r>
                </w:p>
              </w:tc>
              <w:tc>
                <w:tcPr>
                  <w:tcW w:w="1607" w:type="dxa"/>
                  <w:tcBorders>
                    <w:tl2br w:val="nil"/>
                    <w:tr2bl w:val="nil"/>
                  </w:tcBorders>
                  <w:noWrap w:val="0"/>
                  <w:vAlign w:val="center"/>
                </w:tcPr>
                <w:p w14:paraId="142099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2570412B">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6BB85F63">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0C92EB9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0EA52C1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eastAsia="zh-CN"/>
                    </w:rPr>
                    <w:t>粉煤灰</w:t>
                  </w:r>
                  <w:r>
                    <w:rPr>
                      <w:rFonts w:hint="default" w:ascii="Times New Roman" w:hAnsi="Times New Roman" w:eastAsia="宋体" w:cs="Times New Roman"/>
                      <w:color w:val="auto"/>
                      <w:sz w:val="21"/>
                      <w:szCs w:val="21"/>
                      <w:highlight w:val="none"/>
                    </w:rPr>
                    <w:t>筒仓</w:t>
                  </w:r>
                </w:p>
              </w:tc>
              <w:tc>
                <w:tcPr>
                  <w:tcW w:w="1366" w:type="dxa"/>
                  <w:tcBorders>
                    <w:tl2br w:val="nil"/>
                    <w:tr2bl w:val="nil"/>
                  </w:tcBorders>
                  <w:noWrap w:val="0"/>
                  <w:vAlign w:val="center"/>
                </w:tcPr>
                <w:p w14:paraId="79112EB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800</w:t>
                  </w:r>
                  <w:r>
                    <w:rPr>
                      <w:rFonts w:hint="default" w:ascii="Times New Roman" w:hAnsi="Times New Roman" w:eastAsia="宋体" w:cs="Times New Roman"/>
                      <w:color w:val="auto"/>
                      <w:sz w:val="21"/>
                      <w:szCs w:val="21"/>
                      <w:highlight w:val="none"/>
                    </w:rPr>
                    <w:t>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，H4m</w:t>
                  </w:r>
                </w:p>
              </w:tc>
              <w:tc>
                <w:tcPr>
                  <w:tcW w:w="1085" w:type="dxa"/>
                  <w:tcBorders>
                    <w:tl2br w:val="nil"/>
                    <w:tr2bl w:val="nil"/>
                  </w:tcBorders>
                  <w:noWrap w:val="0"/>
                  <w:vAlign w:val="center"/>
                </w:tcPr>
                <w:p w14:paraId="2F761E2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3FBF755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原料贮存</w:t>
                  </w:r>
                </w:p>
              </w:tc>
              <w:tc>
                <w:tcPr>
                  <w:tcW w:w="1607" w:type="dxa"/>
                  <w:tcBorders>
                    <w:tl2br w:val="nil"/>
                    <w:tr2bl w:val="nil"/>
                  </w:tcBorders>
                  <w:noWrap w:val="0"/>
                  <w:vAlign w:val="center"/>
                </w:tcPr>
                <w:p w14:paraId="570D6C8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3B82AB9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3CA8CA64">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continue"/>
                  <w:tcBorders>
                    <w:tl2br w:val="nil"/>
                    <w:tr2bl w:val="nil"/>
                  </w:tcBorders>
                  <w:noWrap w:val="0"/>
                  <w:vAlign w:val="center"/>
                </w:tcPr>
                <w:p w14:paraId="3B207EC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p>
              </w:tc>
              <w:tc>
                <w:tcPr>
                  <w:tcW w:w="1112" w:type="dxa"/>
                  <w:tcBorders>
                    <w:tl2br w:val="nil"/>
                    <w:tr2bl w:val="nil"/>
                  </w:tcBorders>
                  <w:noWrap w:val="0"/>
                  <w:vAlign w:val="center"/>
                </w:tcPr>
                <w:p w14:paraId="16AE20E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模具</w:t>
                  </w:r>
                </w:p>
              </w:tc>
              <w:tc>
                <w:tcPr>
                  <w:tcW w:w="1366" w:type="dxa"/>
                  <w:tcBorders>
                    <w:tl2br w:val="nil"/>
                    <w:tr2bl w:val="nil"/>
                  </w:tcBorders>
                  <w:noWrap w:val="0"/>
                  <w:vAlign w:val="center"/>
                </w:tcPr>
                <w:p w14:paraId="37D7DC8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1085" w:type="dxa"/>
                  <w:tcBorders>
                    <w:tl2br w:val="nil"/>
                    <w:tr2bl w:val="nil"/>
                  </w:tcBorders>
                  <w:noWrap w:val="0"/>
                  <w:vAlign w:val="center"/>
                </w:tcPr>
                <w:p w14:paraId="11D76CD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50个</w:t>
                  </w:r>
                </w:p>
              </w:tc>
              <w:tc>
                <w:tcPr>
                  <w:tcW w:w="1111" w:type="dxa"/>
                  <w:tcBorders>
                    <w:tl2br w:val="nil"/>
                    <w:tr2bl w:val="nil"/>
                  </w:tcBorders>
                  <w:noWrap w:val="0"/>
                  <w:vAlign w:val="center"/>
                </w:tcPr>
                <w:p w14:paraId="34855D3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成型</w:t>
                  </w:r>
                </w:p>
              </w:tc>
              <w:tc>
                <w:tcPr>
                  <w:tcW w:w="1607" w:type="dxa"/>
                  <w:tcBorders>
                    <w:tl2br w:val="nil"/>
                    <w:tr2bl w:val="nil"/>
                  </w:tcBorders>
                  <w:noWrap w:val="0"/>
                  <w:vAlign w:val="center"/>
                </w:tcPr>
                <w:p w14:paraId="25E38D1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4FFD405A">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6" w:hRule="atLeast"/>
                <w:jc w:val="center"/>
              </w:trPr>
              <w:tc>
                <w:tcPr>
                  <w:tcW w:w="625" w:type="dxa"/>
                  <w:tcBorders>
                    <w:tl2br w:val="nil"/>
                    <w:tr2bl w:val="nil"/>
                  </w:tcBorders>
                  <w:noWrap w:val="0"/>
                  <w:vAlign w:val="center"/>
                </w:tcPr>
                <w:p w14:paraId="687BD0AD">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eastAsia="宋体" w:cs="Times New Roman"/>
                      <w:color w:val="auto"/>
                      <w:sz w:val="21"/>
                      <w:szCs w:val="21"/>
                      <w:highlight w:val="none"/>
                    </w:rPr>
                  </w:pPr>
                </w:p>
              </w:tc>
              <w:tc>
                <w:tcPr>
                  <w:tcW w:w="1174" w:type="dxa"/>
                  <w:vMerge w:val="restart"/>
                  <w:tcBorders>
                    <w:tl2br w:val="nil"/>
                    <w:tr2bl w:val="nil"/>
                  </w:tcBorders>
                  <w:noWrap w:val="0"/>
                  <w:vAlign w:val="center"/>
                </w:tcPr>
                <w:p w14:paraId="1198890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掺和料</w:t>
                  </w:r>
                </w:p>
              </w:tc>
              <w:tc>
                <w:tcPr>
                  <w:tcW w:w="1112" w:type="dxa"/>
                  <w:tcBorders>
                    <w:tl2br w:val="nil"/>
                    <w:tr2bl w:val="nil"/>
                  </w:tcBorders>
                  <w:noWrap w:val="0"/>
                  <w:vAlign w:val="center"/>
                </w:tcPr>
                <w:p w14:paraId="26CEC15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配料机</w:t>
                  </w:r>
                </w:p>
              </w:tc>
              <w:tc>
                <w:tcPr>
                  <w:tcW w:w="1366" w:type="dxa"/>
                  <w:tcBorders>
                    <w:tl2br w:val="nil"/>
                    <w:tr2bl w:val="nil"/>
                  </w:tcBorders>
                  <w:noWrap w:val="0"/>
                  <w:vAlign w:val="center"/>
                </w:tcPr>
                <w:p w14:paraId="431DC5B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1600/4仓</w:t>
                  </w:r>
                </w:p>
              </w:tc>
              <w:tc>
                <w:tcPr>
                  <w:tcW w:w="1085" w:type="dxa"/>
                  <w:tcBorders>
                    <w:tl2br w:val="nil"/>
                    <w:tr2bl w:val="nil"/>
                  </w:tcBorders>
                  <w:noWrap w:val="0"/>
                  <w:vAlign w:val="center"/>
                </w:tcPr>
                <w:p w14:paraId="20BB8C9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333F0B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配料</w:t>
                  </w:r>
                </w:p>
              </w:tc>
              <w:tc>
                <w:tcPr>
                  <w:tcW w:w="1607" w:type="dxa"/>
                  <w:tcBorders>
                    <w:tl2br w:val="nil"/>
                    <w:tr2bl w:val="nil"/>
                  </w:tcBorders>
                  <w:noWrap w:val="0"/>
                  <w:vAlign w:val="center"/>
                </w:tcPr>
                <w:p w14:paraId="7BEC4F7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1B5EF55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98" w:hRule="atLeast"/>
                <w:jc w:val="center"/>
              </w:trPr>
              <w:tc>
                <w:tcPr>
                  <w:tcW w:w="625" w:type="dxa"/>
                  <w:tcBorders>
                    <w:tl2br w:val="nil"/>
                    <w:tr2bl w:val="nil"/>
                  </w:tcBorders>
                  <w:noWrap w:val="0"/>
                  <w:vAlign w:val="center"/>
                </w:tcPr>
                <w:p w14:paraId="48C9B8A8">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微软雅黑"/>
                      <w:color w:val="auto"/>
                      <w:sz w:val="21"/>
                      <w:szCs w:val="21"/>
                      <w:highlight w:val="none"/>
                      <w:lang w:val="en-US" w:eastAsia="zh-CN"/>
                    </w:rPr>
                  </w:pPr>
                </w:p>
              </w:tc>
              <w:tc>
                <w:tcPr>
                  <w:tcW w:w="1174" w:type="dxa"/>
                  <w:vMerge w:val="continue"/>
                  <w:tcBorders>
                    <w:tl2br w:val="nil"/>
                    <w:tr2bl w:val="nil"/>
                  </w:tcBorders>
                  <w:noWrap w:val="0"/>
                  <w:vAlign w:val="center"/>
                </w:tcPr>
                <w:p w14:paraId="36583C1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112" w:type="dxa"/>
                  <w:tcBorders>
                    <w:tl2br w:val="nil"/>
                    <w:tr2bl w:val="nil"/>
                  </w:tcBorders>
                  <w:noWrap w:val="0"/>
                  <w:vAlign w:val="center"/>
                </w:tcPr>
                <w:p w14:paraId="6717AB5E">
                  <w:pPr>
                    <w:pStyle w:val="9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pacing w:val="7"/>
                      <w:sz w:val="21"/>
                      <w:szCs w:val="21"/>
                      <w:highlight w:val="none"/>
                    </w:rPr>
                    <w:t>搅拌机</w:t>
                  </w:r>
                </w:p>
              </w:tc>
              <w:tc>
                <w:tcPr>
                  <w:tcW w:w="1366" w:type="dxa"/>
                  <w:tcBorders>
                    <w:tl2br w:val="nil"/>
                    <w:tr2bl w:val="nil"/>
                  </w:tcBorders>
                  <w:noWrap w:val="0"/>
                  <w:vAlign w:val="center"/>
                </w:tcPr>
                <w:p w14:paraId="55560E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w:t>
                  </w:r>
                </w:p>
              </w:tc>
              <w:tc>
                <w:tcPr>
                  <w:tcW w:w="1085" w:type="dxa"/>
                  <w:tcBorders>
                    <w:tl2br w:val="nil"/>
                    <w:tr2bl w:val="nil"/>
                  </w:tcBorders>
                  <w:noWrap w:val="0"/>
                  <w:vAlign w:val="center"/>
                </w:tcPr>
                <w:p w14:paraId="05F92A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2FB0196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lang w:eastAsia="zh-CN"/>
                    </w:rPr>
                    <w:t>搅拌</w:t>
                  </w:r>
                </w:p>
              </w:tc>
              <w:tc>
                <w:tcPr>
                  <w:tcW w:w="1607" w:type="dxa"/>
                  <w:tcBorders>
                    <w:tl2br w:val="nil"/>
                    <w:tr2bl w:val="nil"/>
                  </w:tcBorders>
                  <w:noWrap w:val="0"/>
                  <w:vAlign w:val="center"/>
                </w:tcPr>
                <w:p w14:paraId="7D17EA2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0C7034A7">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17" w:hRule="atLeast"/>
                <w:jc w:val="center"/>
              </w:trPr>
              <w:tc>
                <w:tcPr>
                  <w:tcW w:w="625" w:type="dxa"/>
                  <w:tcBorders>
                    <w:tl2br w:val="nil"/>
                    <w:tr2bl w:val="nil"/>
                  </w:tcBorders>
                  <w:noWrap w:val="0"/>
                  <w:vAlign w:val="center"/>
                </w:tcPr>
                <w:p w14:paraId="70DD87E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微软雅黑"/>
                      <w:color w:val="auto"/>
                      <w:sz w:val="21"/>
                      <w:szCs w:val="21"/>
                      <w:highlight w:val="none"/>
                      <w:lang w:val="en-US" w:eastAsia="zh-CN"/>
                    </w:rPr>
                  </w:pPr>
                </w:p>
              </w:tc>
              <w:tc>
                <w:tcPr>
                  <w:tcW w:w="1174" w:type="dxa"/>
                  <w:vMerge w:val="restart"/>
                  <w:tcBorders>
                    <w:tl2br w:val="nil"/>
                    <w:tr2bl w:val="nil"/>
                  </w:tcBorders>
                  <w:noWrap w:val="0"/>
                  <w:vAlign w:val="center"/>
                </w:tcPr>
                <w:p w14:paraId="2FF2BB8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微软雅黑"/>
                      <w:color w:val="auto"/>
                      <w:sz w:val="21"/>
                      <w:szCs w:val="21"/>
                      <w:highlight w:val="none"/>
                      <w:lang w:eastAsia="zh-CN"/>
                    </w:rPr>
                  </w:pPr>
                  <w:r>
                    <w:rPr>
                      <w:rFonts w:hint="eastAsia"/>
                      <w:color w:val="auto"/>
                      <w:sz w:val="21"/>
                      <w:szCs w:val="21"/>
                      <w:highlight w:val="none"/>
                      <w:lang w:eastAsia="zh-CN"/>
                    </w:rPr>
                    <w:t>公辅设备</w:t>
                  </w:r>
                </w:p>
              </w:tc>
              <w:tc>
                <w:tcPr>
                  <w:tcW w:w="1112" w:type="dxa"/>
                  <w:tcBorders>
                    <w:tl2br w:val="nil"/>
                    <w:tr2bl w:val="nil"/>
                  </w:tcBorders>
                  <w:noWrap w:val="0"/>
                  <w:vAlign w:val="center"/>
                </w:tcPr>
                <w:p w14:paraId="7A80944B">
                  <w:pPr>
                    <w:pStyle w:val="9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pacing w:val="7"/>
                      <w:sz w:val="21"/>
                      <w:szCs w:val="21"/>
                      <w:highlight w:val="none"/>
                    </w:rPr>
                    <w:t>输送带</w:t>
                  </w:r>
                </w:p>
              </w:tc>
              <w:tc>
                <w:tcPr>
                  <w:tcW w:w="1366" w:type="dxa"/>
                  <w:tcBorders>
                    <w:tl2br w:val="nil"/>
                    <w:tr2bl w:val="nil"/>
                  </w:tcBorders>
                  <w:noWrap w:val="0"/>
                  <w:vAlign w:val="center"/>
                </w:tcPr>
                <w:p w14:paraId="4B6BECE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w:t>
                  </w:r>
                </w:p>
              </w:tc>
              <w:tc>
                <w:tcPr>
                  <w:tcW w:w="1085" w:type="dxa"/>
                  <w:tcBorders>
                    <w:tl2br w:val="nil"/>
                    <w:tr2bl w:val="nil"/>
                  </w:tcBorders>
                  <w:noWrap w:val="0"/>
                  <w:vAlign w:val="center"/>
                </w:tcPr>
                <w:p w14:paraId="2C48E52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微软雅黑"/>
                      <w:color w:val="auto"/>
                      <w:sz w:val="21"/>
                      <w:szCs w:val="21"/>
                      <w:highlight w:val="none"/>
                      <w:lang w:eastAsia="zh-CN"/>
                    </w:rPr>
                  </w:pPr>
                  <w:r>
                    <w:rPr>
                      <w:rFonts w:hint="eastAsia" w:ascii="Times New Roman" w:hAnsi="Times New Roman" w:eastAsia="宋体" w:cs="Times New Roman"/>
                      <w:color w:val="auto"/>
                      <w:sz w:val="21"/>
                      <w:szCs w:val="21"/>
                      <w:highlight w:val="none"/>
                      <w:lang w:val="en-US" w:eastAsia="zh-CN"/>
                    </w:rPr>
                    <w:t>4条</w:t>
                  </w:r>
                </w:p>
              </w:tc>
              <w:tc>
                <w:tcPr>
                  <w:tcW w:w="1111" w:type="dxa"/>
                  <w:tcBorders>
                    <w:tl2br w:val="nil"/>
                    <w:tr2bl w:val="nil"/>
                  </w:tcBorders>
                  <w:noWrap w:val="0"/>
                  <w:vAlign w:val="center"/>
                </w:tcPr>
                <w:p w14:paraId="2F5D3BA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lang w:eastAsia="zh-CN"/>
                    </w:rPr>
                    <w:t>物料输送</w:t>
                  </w:r>
                </w:p>
              </w:tc>
              <w:tc>
                <w:tcPr>
                  <w:tcW w:w="1607" w:type="dxa"/>
                  <w:tcBorders>
                    <w:tl2br w:val="nil"/>
                    <w:tr2bl w:val="nil"/>
                  </w:tcBorders>
                  <w:noWrap w:val="0"/>
                  <w:vAlign w:val="center"/>
                </w:tcPr>
                <w:p w14:paraId="7CB6BAC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55CBFCF3">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0" w:hRule="atLeast"/>
                <w:jc w:val="center"/>
              </w:trPr>
              <w:tc>
                <w:tcPr>
                  <w:tcW w:w="625" w:type="dxa"/>
                  <w:tcBorders>
                    <w:tl2br w:val="nil"/>
                    <w:tr2bl w:val="nil"/>
                  </w:tcBorders>
                  <w:noWrap w:val="0"/>
                  <w:vAlign w:val="center"/>
                </w:tcPr>
                <w:p w14:paraId="43CFC8CF">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微软雅黑"/>
                      <w:color w:val="auto"/>
                      <w:sz w:val="21"/>
                      <w:szCs w:val="21"/>
                      <w:highlight w:val="none"/>
                      <w:lang w:val="en-US" w:eastAsia="zh-CN"/>
                    </w:rPr>
                  </w:pPr>
                </w:p>
              </w:tc>
              <w:tc>
                <w:tcPr>
                  <w:tcW w:w="1174" w:type="dxa"/>
                  <w:vMerge w:val="continue"/>
                  <w:tcBorders>
                    <w:tl2br w:val="nil"/>
                    <w:tr2bl w:val="nil"/>
                  </w:tcBorders>
                  <w:noWrap w:val="0"/>
                  <w:vAlign w:val="center"/>
                </w:tcPr>
                <w:p w14:paraId="3969F89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112" w:type="dxa"/>
                  <w:tcBorders>
                    <w:tl2br w:val="nil"/>
                    <w:tr2bl w:val="nil"/>
                  </w:tcBorders>
                  <w:noWrap w:val="0"/>
                  <w:vAlign w:val="center"/>
                </w:tcPr>
                <w:p w14:paraId="4A5014FC">
                  <w:pPr>
                    <w:pStyle w:val="9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pacing w:val="3"/>
                      <w:sz w:val="21"/>
                      <w:szCs w:val="21"/>
                      <w:highlight w:val="none"/>
                    </w:rPr>
                    <w:t>叉车</w:t>
                  </w:r>
                </w:p>
              </w:tc>
              <w:tc>
                <w:tcPr>
                  <w:tcW w:w="1366" w:type="dxa"/>
                  <w:tcBorders>
                    <w:tl2br w:val="nil"/>
                    <w:tr2bl w:val="nil"/>
                  </w:tcBorders>
                  <w:noWrap w:val="0"/>
                  <w:vAlign w:val="center"/>
                </w:tcPr>
                <w:p w14:paraId="7C9DA65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w:t>
                  </w:r>
                </w:p>
              </w:tc>
              <w:tc>
                <w:tcPr>
                  <w:tcW w:w="1085" w:type="dxa"/>
                  <w:tcBorders>
                    <w:tl2br w:val="nil"/>
                    <w:tr2bl w:val="nil"/>
                  </w:tcBorders>
                  <w:noWrap w:val="0"/>
                  <w:vAlign w:val="center"/>
                </w:tcPr>
                <w:p w14:paraId="0057144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74FBF6F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eastAsia="宋体"/>
                      <w:color w:val="auto"/>
                      <w:sz w:val="21"/>
                      <w:szCs w:val="21"/>
                      <w:highlight w:val="none"/>
                      <w:lang w:eastAsia="zh-CN"/>
                    </w:rPr>
                  </w:pPr>
                  <w:r>
                    <w:rPr>
                      <w:rFonts w:hint="eastAsia"/>
                      <w:color w:val="auto"/>
                      <w:sz w:val="21"/>
                      <w:szCs w:val="21"/>
                      <w:highlight w:val="none"/>
                      <w:lang w:eastAsia="zh-CN"/>
                    </w:rPr>
                    <w:t>投料</w:t>
                  </w:r>
                </w:p>
              </w:tc>
              <w:tc>
                <w:tcPr>
                  <w:tcW w:w="1607" w:type="dxa"/>
                  <w:tcBorders>
                    <w:tl2br w:val="nil"/>
                    <w:tr2bl w:val="nil"/>
                  </w:tcBorders>
                  <w:noWrap w:val="0"/>
                  <w:vAlign w:val="center"/>
                </w:tcPr>
                <w:p w14:paraId="3567CAA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外购</w:t>
                  </w:r>
                </w:p>
              </w:tc>
            </w:tr>
            <w:tr w14:paraId="288DA50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305" w:hRule="atLeast"/>
                <w:jc w:val="center"/>
              </w:trPr>
              <w:tc>
                <w:tcPr>
                  <w:tcW w:w="625" w:type="dxa"/>
                  <w:tcBorders>
                    <w:tl2br w:val="nil"/>
                    <w:tr2bl w:val="nil"/>
                  </w:tcBorders>
                  <w:noWrap w:val="0"/>
                  <w:vAlign w:val="center"/>
                </w:tcPr>
                <w:p w14:paraId="3D8CB1F0">
                  <w:pPr>
                    <w:keepNext w:val="0"/>
                    <w:keepLines w:val="0"/>
                    <w:pageBreakBefore w:val="0"/>
                    <w:widowControl w:val="0"/>
                    <w:numPr>
                      <w:ilvl w:val="0"/>
                      <w:numId w:val="11"/>
                    </w:numPr>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eastAsia="微软雅黑"/>
                      <w:color w:val="auto"/>
                      <w:sz w:val="21"/>
                      <w:szCs w:val="21"/>
                      <w:highlight w:val="none"/>
                      <w:lang w:val="en-US" w:eastAsia="zh-CN"/>
                    </w:rPr>
                  </w:pPr>
                </w:p>
              </w:tc>
              <w:tc>
                <w:tcPr>
                  <w:tcW w:w="1174" w:type="dxa"/>
                  <w:vMerge w:val="continue"/>
                  <w:tcBorders>
                    <w:tl2br w:val="nil"/>
                    <w:tr2bl w:val="nil"/>
                  </w:tcBorders>
                  <w:noWrap w:val="0"/>
                  <w:vAlign w:val="center"/>
                </w:tcPr>
                <w:p w14:paraId="47175BB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p>
              </w:tc>
              <w:tc>
                <w:tcPr>
                  <w:tcW w:w="1112" w:type="dxa"/>
                  <w:tcBorders>
                    <w:tl2br w:val="nil"/>
                    <w:tr2bl w:val="nil"/>
                  </w:tcBorders>
                  <w:noWrap w:val="0"/>
                  <w:vAlign w:val="center"/>
                </w:tcPr>
                <w:p w14:paraId="4E09CACA">
                  <w:pPr>
                    <w:pStyle w:val="97"/>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pacing w:val="4"/>
                      <w:sz w:val="21"/>
                      <w:szCs w:val="21"/>
                      <w:highlight w:val="none"/>
                    </w:rPr>
                    <w:t>铲车</w:t>
                  </w:r>
                </w:p>
              </w:tc>
              <w:tc>
                <w:tcPr>
                  <w:tcW w:w="1366" w:type="dxa"/>
                  <w:tcBorders>
                    <w:tl2br w:val="nil"/>
                    <w:tr2bl w:val="nil"/>
                  </w:tcBorders>
                  <w:noWrap w:val="0"/>
                  <w:vAlign w:val="center"/>
                </w:tcPr>
                <w:p w14:paraId="7C4EA53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w:t>
                  </w:r>
                </w:p>
              </w:tc>
              <w:tc>
                <w:tcPr>
                  <w:tcW w:w="1085" w:type="dxa"/>
                  <w:tcBorders>
                    <w:tl2br w:val="nil"/>
                    <w:tr2bl w:val="nil"/>
                  </w:tcBorders>
                  <w:noWrap w:val="0"/>
                  <w:vAlign w:val="center"/>
                </w:tcPr>
                <w:p w14:paraId="5900F2D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1</w:t>
                  </w:r>
                </w:p>
              </w:tc>
              <w:tc>
                <w:tcPr>
                  <w:tcW w:w="1111" w:type="dxa"/>
                  <w:tcBorders>
                    <w:tl2br w:val="nil"/>
                    <w:tr2bl w:val="nil"/>
                  </w:tcBorders>
                  <w:noWrap w:val="0"/>
                  <w:vAlign w:val="center"/>
                </w:tcPr>
                <w:p w14:paraId="31384DB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eastAsia"/>
                      <w:color w:val="auto"/>
                      <w:sz w:val="21"/>
                      <w:szCs w:val="21"/>
                      <w:highlight w:val="none"/>
                      <w:lang w:eastAsia="zh-CN"/>
                    </w:rPr>
                    <w:t>投料</w:t>
                  </w:r>
                </w:p>
              </w:tc>
              <w:tc>
                <w:tcPr>
                  <w:tcW w:w="1607" w:type="dxa"/>
                  <w:tcBorders>
                    <w:tl2br w:val="nil"/>
                    <w:tr2bl w:val="nil"/>
                  </w:tcBorders>
                  <w:noWrap w:val="0"/>
                  <w:vAlign w:val="center"/>
                </w:tcPr>
                <w:p w14:paraId="172480F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color w:val="auto"/>
                      <w:sz w:val="21"/>
                      <w:szCs w:val="21"/>
                      <w:highlight w:val="none"/>
                    </w:rPr>
                  </w:pPr>
                  <w:r>
                    <w:rPr>
                      <w:rFonts w:hint="default" w:ascii="Times New Roman" w:hAnsi="Times New Roman" w:eastAsia="宋体" w:cs="Times New Roman"/>
                      <w:color w:val="auto"/>
                      <w:sz w:val="21"/>
                      <w:szCs w:val="21"/>
                      <w:highlight w:val="none"/>
                    </w:rPr>
                    <w:t>外购</w:t>
                  </w:r>
                </w:p>
              </w:tc>
            </w:tr>
          </w:tbl>
          <w:p w14:paraId="1395EEE6">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项目主要设备产能匹配性分析见下表。</w:t>
            </w:r>
          </w:p>
          <w:p w14:paraId="23D29A9D">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设备性能匹配表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6"/>
              <w:gridCol w:w="875"/>
              <w:gridCol w:w="950"/>
              <w:gridCol w:w="825"/>
              <w:gridCol w:w="787"/>
              <w:gridCol w:w="863"/>
              <w:gridCol w:w="1012"/>
              <w:gridCol w:w="1222"/>
              <w:gridCol w:w="580"/>
            </w:tblGrid>
            <w:tr w14:paraId="596C41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6" w:type="dxa"/>
                  <w:tcBorders>
                    <w:tl2br w:val="nil"/>
                    <w:tr2bl w:val="nil"/>
                  </w:tcBorders>
                  <w:vAlign w:val="center"/>
                </w:tcPr>
                <w:p w14:paraId="37CA95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eastAsia" w:cs="Times New Roman"/>
                      <w:b/>
                      <w:bCs/>
                      <w:color w:val="FF0000"/>
                      <w:highlight w:val="none"/>
                      <w:lang w:val="zh-CN"/>
                    </w:rPr>
                    <w:t>生产线</w:t>
                  </w:r>
                </w:p>
              </w:tc>
              <w:tc>
                <w:tcPr>
                  <w:tcW w:w="875" w:type="dxa"/>
                  <w:tcBorders>
                    <w:tl2br w:val="nil"/>
                    <w:tr2bl w:val="nil"/>
                  </w:tcBorders>
                  <w:vAlign w:val="center"/>
                </w:tcPr>
                <w:p w14:paraId="2CA996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s="Times New Roman"/>
                      <w:b/>
                      <w:bCs/>
                      <w:color w:val="FF0000"/>
                      <w:highlight w:val="none"/>
                      <w:lang w:val="zh-CN"/>
                    </w:rPr>
                  </w:pPr>
                  <w:r>
                    <w:rPr>
                      <w:rFonts w:hint="eastAsia" w:cs="Times New Roman"/>
                      <w:b/>
                      <w:bCs/>
                      <w:color w:val="FF0000"/>
                      <w:highlight w:val="none"/>
                      <w:lang w:val="zh-CN"/>
                    </w:rPr>
                    <w:t>工序</w:t>
                  </w:r>
                </w:p>
              </w:tc>
              <w:tc>
                <w:tcPr>
                  <w:tcW w:w="950" w:type="dxa"/>
                  <w:tcBorders>
                    <w:tl2br w:val="nil"/>
                    <w:tr2bl w:val="nil"/>
                  </w:tcBorders>
                  <w:vAlign w:val="center"/>
                </w:tcPr>
                <w:p w14:paraId="169088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eastAsia" w:cs="Times New Roman"/>
                      <w:b/>
                      <w:bCs/>
                      <w:color w:val="FF0000"/>
                      <w:highlight w:val="none"/>
                      <w:lang w:val="zh-CN"/>
                    </w:rPr>
                    <w:t>设备</w:t>
                  </w:r>
                </w:p>
              </w:tc>
              <w:tc>
                <w:tcPr>
                  <w:tcW w:w="825" w:type="dxa"/>
                  <w:tcBorders>
                    <w:tl2br w:val="nil"/>
                    <w:tr2bl w:val="nil"/>
                  </w:tcBorders>
                  <w:vAlign w:val="center"/>
                </w:tcPr>
                <w:p w14:paraId="41C740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设备生产能力</w:t>
                  </w:r>
                </w:p>
              </w:tc>
              <w:tc>
                <w:tcPr>
                  <w:tcW w:w="787" w:type="dxa"/>
                  <w:tcBorders>
                    <w:tl2br w:val="nil"/>
                    <w:tr2bl w:val="nil"/>
                  </w:tcBorders>
                  <w:vAlign w:val="center"/>
                </w:tcPr>
                <w:p w14:paraId="140F1F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设备数量（台）</w:t>
                  </w:r>
                </w:p>
              </w:tc>
              <w:tc>
                <w:tcPr>
                  <w:tcW w:w="863" w:type="dxa"/>
                  <w:tcBorders>
                    <w:tl2br w:val="nil"/>
                    <w:tr2bl w:val="nil"/>
                  </w:tcBorders>
                  <w:vAlign w:val="center"/>
                </w:tcPr>
                <w:p w14:paraId="234479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年工作时间（h）</w:t>
                  </w:r>
                </w:p>
              </w:tc>
              <w:tc>
                <w:tcPr>
                  <w:tcW w:w="1012" w:type="dxa"/>
                  <w:tcBorders>
                    <w:tl2br w:val="nil"/>
                    <w:tr2bl w:val="nil"/>
                  </w:tcBorders>
                  <w:vAlign w:val="center"/>
                </w:tcPr>
                <w:p w14:paraId="14E6D5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最高产能（万t/a）</w:t>
                  </w:r>
                </w:p>
              </w:tc>
              <w:tc>
                <w:tcPr>
                  <w:tcW w:w="1222" w:type="dxa"/>
                  <w:tcBorders>
                    <w:tl2br w:val="nil"/>
                    <w:tr2bl w:val="nil"/>
                  </w:tcBorders>
                  <w:vAlign w:val="center"/>
                </w:tcPr>
                <w:p w14:paraId="76874D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本项目设计产能（万t/a）</w:t>
                  </w:r>
                </w:p>
              </w:tc>
              <w:tc>
                <w:tcPr>
                  <w:tcW w:w="580" w:type="dxa"/>
                  <w:tcBorders>
                    <w:tl2br w:val="nil"/>
                    <w:tr2bl w:val="nil"/>
                  </w:tcBorders>
                  <w:vAlign w:val="center"/>
                </w:tcPr>
                <w:p w14:paraId="3FBBC1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是否</w:t>
                  </w:r>
                </w:p>
                <w:p w14:paraId="20F7B1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FF0000"/>
                      <w:highlight w:val="none"/>
                      <w:lang w:val="zh-CN"/>
                    </w:rPr>
                  </w:pPr>
                  <w:r>
                    <w:rPr>
                      <w:rFonts w:hint="default" w:ascii="Times New Roman" w:hAnsi="Times New Roman" w:cs="Times New Roman"/>
                      <w:b/>
                      <w:bCs/>
                      <w:color w:val="FF0000"/>
                      <w:highlight w:val="none"/>
                      <w:lang w:val="zh-CN"/>
                    </w:rPr>
                    <w:t>匹配</w:t>
                  </w:r>
                </w:p>
              </w:tc>
            </w:tr>
            <w:tr w14:paraId="3709DF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6" w:type="dxa"/>
                  <w:tcBorders>
                    <w:tl2br w:val="nil"/>
                    <w:tr2bl w:val="nil"/>
                  </w:tcBorders>
                  <w:vAlign w:val="center"/>
                </w:tcPr>
                <w:p w14:paraId="0F578A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Times New Roman"/>
                      <w:color w:val="FF0000"/>
                      <w:highlight w:val="none"/>
                      <w:lang w:val="en-US" w:eastAsia="zh-CN"/>
                    </w:rPr>
                  </w:pPr>
                  <w:r>
                    <w:rPr>
                      <w:rFonts w:hint="eastAsia" w:cs="Times New Roman"/>
                      <w:color w:val="FF0000"/>
                      <w:highlight w:val="none"/>
                      <w:lang w:val="en-US" w:eastAsia="zh-CN"/>
                    </w:rPr>
                    <w:t>掺和料</w:t>
                  </w:r>
                </w:p>
              </w:tc>
              <w:tc>
                <w:tcPr>
                  <w:tcW w:w="875" w:type="dxa"/>
                  <w:tcBorders>
                    <w:tl2br w:val="nil"/>
                    <w:tr2bl w:val="nil"/>
                  </w:tcBorders>
                  <w:vAlign w:val="center"/>
                </w:tcPr>
                <w:p w14:paraId="6AAADD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Times New Roman"/>
                      <w:color w:val="FF0000"/>
                      <w:highlight w:val="none"/>
                      <w:lang w:val="en-US" w:eastAsia="zh-CN"/>
                    </w:rPr>
                  </w:pPr>
                  <w:r>
                    <w:rPr>
                      <w:rFonts w:hint="eastAsia" w:cs="Times New Roman"/>
                      <w:color w:val="FF0000"/>
                      <w:highlight w:val="none"/>
                      <w:lang w:val="en-US" w:eastAsia="zh-CN"/>
                    </w:rPr>
                    <w:t>搅拌</w:t>
                  </w:r>
                </w:p>
              </w:tc>
              <w:tc>
                <w:tcPr>
                  <w:tcW w:w="950" w:type="dxa"/>
                  <w:tcBorders>
                    <w:tl2br w:val="nil"/>
                    <w:tr2bl w:val="nil"/>
                  </w:tcBorders>
                  <w:vAlign w:val="center"/>
                </w:tcPr>
                <w:p w14:paraId="3A9658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zh-CN"/>
                    </w:rPr>
                  </w:pPr>
                  <w:r>
                    <w:rPr>
                      <w:rFonts w:hint="default" w:ascii="Times New Roman" w:hAnsi="Times New Roman" w:cs="Times New Roman"/>
                      <w:color w:val="FF0000"/>
                      <w:highlight w:val="none"/>
                      <w:lang w:val="zh-CN"/>
                    </w:rPr>
                    <w:t>搅拌机</w:t>
                  </w:r>
                </w:p>
              </w:tc>
              <w:tc>
                <w:tcPr>
                  <w:tcW w:w="825" w:type="dxa"/>
                  <w:tcBorders>
                    <w:tl2br w:val="nil"/>
                    <w:tr2bl w:val="nil"/>
                  </w:tcBorders>
                  <w:shd w:val="clear" w:color="auto" w:fill="auto"/>
                  <w:vAlign w:val="center"/>
                </w:tcPr>
                <w:p w14:paraId="7180FE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60</w:t>
                  </w:r>
                  <w:r>
                    <w:rPr>
                      <w:rFonts w:hint="default" w:ascii="Times New Roman" w:hAnsi="Times New Roman" w:cs="Times New Roman"/>
                      <w:color w:val="FF0000"/>
                      <w:highlight w:val="none"/>
                      <w:lang w:val="zh-CN"/>
                    </w:rPr>
                    <w:t>t/h</w:t>
                  </w:r>
                </w:p>
              </w:tc>
              <w:tc>
                <w:tcPr>
                  <w:tcW w:w="787" w:type="dxa"/>
                  <w:tcBorders>
                    <w:tl2br w:val="nil"/>
                    <w:tr2bl w:val="nil"/>
                  </w:tcBorders>
                  <w:shd w:val="clear" w:color="auto" w:fill="auto"/>
                  <w:vAlign w:val="center"/>
                </w:tcPr>
                <w:p w14:paraId="663774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1</w:t>
                  </w:r>
                </w:p>
              </w:tc>
              <w:tc>
                <w:tcPr>
                  <w:tcW w:w="863" w:type="dxa"/>
                  <w:tcBorders>
                    <w:tl2br w:val="nil"/>
                    <w:tr2bl w:val="nil"/>
                  </w:tcBorders>
                  <w:shd w:val="clear" w:color="auto" w:fill="auto"/>
                  <w:vAlign w:val="center"/>
                </w:tcPr>
                <w:p w14:paraId="7299B6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7200</w:t>
                  </w:r>
                </w:p>
              </w:tc>
              <w:tc>
                <w:tcPr>
                  <w:tcW w:w="1012" w:type="dxa"/>
                  <w:tcBorders>
                    <w:tl2br w:val="nil"/>
                    <w:tr2bl w:val="nil"/>
                  </w:tcBorders>
                  <w:vAlign w:val="center"/>
                </w:tcPr>
                <w:p w14:paraId="27ADF4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43.2</w:t>
                  </w:r>
                </w:p>
              </w:tc>
              <w:tc>
                <w:tcPr>
                  <w:tcW w:w="1222" w:type="dxa"/>
                  <w:tcBorders>
                    <w:tl2br w:val="nil"/>
                    <w:tr2bl w:val="nil"/>
                  </w:tcBorders>
                  <w:vAlign w:val="center"/>
                </w:tcPr>
                <w:p w14:paraId="31AFD17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40</w:t>
                  </w:r>
                </w:p>
              </w:tc>
              <w:tc>
                <w:tcPr>
                  <w:tcW w:w="580" w:type="dxa"/>
                  <w:tcBorders>
                    <w:tl2br w:val="nil"/>
                    <w:tr2bl w:val="nil"/>
                  </w:tcBorders>
                  <w:vAlign w:val="center"/>
                </w:tcPr>
                <w:p w14:paraId="352A79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val="0"/>
                      <w:bCs w:val="0"/>
                      <w:color w:val="FF0000"/>
                      <w:highlight w:val="none"/>
                      <w:lang w:val="zh-CN"/>
                    </w:rPr>
                  </w:pPr>
                  <w:r>
                    <w:rPr>
                      <w:rFonts w:hint="default" w:ascii="Times New Roman" w:hAnsi="Times New Roman" w:cs="Times New Roman"/>
                      <w:b w:val="0"/>
                      <w:bCs w:val="0"/>
                      <w:color w:val="FF0000"/>
                      <w:highlight w:val="none"/>
                      <w:lang w:val="zh-CN"/>
                    </w:rPr>
                    <w:t>匹配</w:t>
                  </w:r>
                </w:p>
              </w:tc>
            </w:tr>
            <w:tr w14:paraId="66618B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6" w:type="dxa"/>
                  <w:vMerge w:val="restart"/>
                  <w:tcBorders>
                    <w:tl2br w:val="nil"/>
                    <w:tr2bl w:val="nil"/>
                  </w:tcBorders>
                  <w:vAlign w:val="center"/>
                </w:tcPr>
                <w:p w14:paraId="1915FE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eastAsia="宋体" w:cs="Times New Roman"/>
                      <w:color w:val="FF0000"/>
                      <w:highlight w:val="none"/>
                      <w:lang w:val="en-US" w:eastAsia="zh-CN"/>
                    </w:rPr>
                    <w:t>环保砖</w:t>
                  </w:r>
                </w:p>
              </w:tc>
              <w:tc>
                <w:tcPr>
                  <w:tcW w:w="875" w:type="dxa"/>
                  <w:tcBorders>
                    <w:tl2br w:val="nil"/>
                    <w:tr2bl w:val="nil"/>
                  </w:tcBorders>
                  <w:vAlign w:val="center"/>
                </w:tcPr>
                <w:p w14:paraId="1396A7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FF0000"/>
                      <w:highlight w:val="none"/>
                      <w:lang w:val="en-US" w:eastAsia="zh-CN"/>
                    </w:rPr>
                  </w:pPr>
                  <w:r>
                    <w:rPr>
                      <w:rFonts w:hint="eastAsia" w:ascii="Times New Roman" w:hAnsi="Times New Roman" w:cs="Times New Roman"/>
                      <w:color w:val="FF0000"/>
                      <w:highlight w:val="none"/>
                      <w:lang w:val="en-US" w:eastAsia="zh-CN"/>
                    </w:rPr>
                    <w:t>搅拌</w:t>
                  </w:r>
                </w:p>
              </w:tc>
              <w:tc>
                <w:tcPr>
                  <w:tcW w:w="950" w:type="dxa"/>
                  <w:tcBorders>
                    <w:tl2br w:val="nil"/>
                    <w:tr2bl w:val="nil"/>
                  </w:tcBorders>
                  <w:vAlign w:val="center"/>
                </w:tcPr>
                <w:p w14:paraId="11113D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zh-CN"/>
                    </w:rPr>
                  </w:pPr>
                  <w:r>
                    <w:rPr>
                      <w:rFonts w:hint="default" w:ascii="Times New Roman" w:hAnsi="Times New Roman" w:cs="Times New Roman"/>
                      <w:color w:val="FF0000"/>
                      <w:highlight w:val="none"/>
                      <w:lang w:val="zh-CN"/>
                    </w:rPr>
                    <w:t>搅拌机</w:t>
                  </w:r>
                </w:p>
              </w:tc>
              <w:tc>
                <w:tcPr>
                  <w:tcW w:w="825" w:type="dxa"/>
                  <w:tcBorders>
                    <w:tl2br w:val="nil"/>
                    <w:tr2bl w:val="nil"/>
                  </w:tcBorders>
                  <w:shd w:val="clear" w:color="auto" w:fill="auto"/>
                  <w:vAlign w:val="center"/>
                </w:tcPr>
                <w:p w14:paraId="5FD1A3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8</w:t>
                  </w:r>
                  <w:r>
                    <w:rPr>
                      <w:rFonts w:hint="default" w:ascii="Times New Roman" w:hAnsi="Times New Roman" w:cs="Times New Roman"/>
                      <w:color w:val="FF0000"/>
                      <w:highlight w:val="none"/>
                      <w:lang w:val="en-US" w:eastAsia="zh-CN"/>
                    </w:rPr>
                    <w:t>0</w:t>
                  </w:r>
                  <w:r>
                    <w:rPr>
                      <w:rFonts w:hint="default" w:ascii="Times New Roman" w:hAnsi="Times New Roman" w:cs="Times New Roman"/>
                      <w:color w:val="FF0000"/>
                      <w:highlight w:val="none"/>
                      <w:lang w:val="zh-CN"/>
                    </w:rPr>
                    <w:t>t/h</w:t>
                  </w:r>
                </w:p>
              </w:tc>
              <w:tc>
                <w:tcPr>
                  <w:tcW w:w="787" w:type="dxa"/>
                  <w:tcBorders>
                    <w:tl2br w:val="nil"/>
                    <w:tr2bl w:val="nil"/>
                  </w:tcBorders>
                  <w:shd w:val="clear" w:color="auto" w:fill="auto"/>
                  <w:vAlign w:val="center"/>
                </w:tcPr>
                <w:p w14:paraId="750F94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1</w:t>
                  </w:r>
                </w:p>
              </w:tc>
              <w:tc>
                <w:tcPr>
                  <w:tcW w:w="863" w:type="dxa"/>
                  <w:tcBorders>
                    <w:tl2br w:val="nil"/>
                    <w:tr2bl w:val="nil"/>
                  </w:tcBorders>
                  <w:shd w:val="clear" w:color="auto" w:fill="auto"/>
                  <w:vAlign w:val="center"/>
                </w:tcPr>
                <w:p w14:paraId="59FC33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7200</w:t>
                  </w:r>
                </w:p>
              </w:tc>
              <w:tc>
                <w:tcPr>
                  <w:tcW w:w="1012" w:type="dxa"/>
                  <w:tcBorders>
                    <w:tl2br w:val="nil"/>
                    <w:tr2bl w:val="nil"/>
                  </w:tcBorders>
                  <w:shd w:val="clear" w:color="auto" w:fill="auto"/>
                  <w:vAlign w:val="center"/>
                </w:tcPr>
                <w:p w14:paraId="571564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57.6</w:t>
                  </w:r>
                </w:p>
              </w:tc>
              <w:tc>
                <w:tcPr>
                  <w:tcW w:w="1222" w:type="dxa"/>
                  <w:tcBorders>
                    <w:tl2br w:val="nil"/>
                    <w:tr2bl w:val="nil"/>
                  </w:tcBorders>
                  <w:vAlign w:val="center"/>
                </w:tcPr>
                <w:p w14:paraId="48D1B1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50</w:t>
                  </w:r>
                </w:p>
              </w:tc>
              <w:tc>
                <w:tcPr>
                  <w:tcW w:w="580" w:type="dxa"/>
                  <w:tcBorders>
                    <w:tl2br w:val="nil"/>
                    <w:tr2bl w:val="nil"/>
                  </w:tcBorders>
                  <w:vAlign w:val="center"/>
                </w:tcPr>
                <w:p w14:paraId="37C822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val="0"/>
                      <w:bCs w:val="0"/>
                      <w:color w:val="FF0000"/>
                      <w:highlight w:val="none"/>
                      <w:lang w:val="zh-CN"/>
                    </w:rPr>
                  </w:pPr>
                  <w:r>
                    <w:rPr>
                      <w:rFonts w:hint="default" w:ascii="Times New Roman" w:hAnsi="Times New Roman" w:cs="Times New Roman"/>
                      <w:b w:val="0"/>
                      <w:bCs w:val="0"/>
                      <w:color w:val="FF0000"/>
                      <w:highlight w:val="none"/>
                      <w:lang w:val="zh-CN"/>
                    </w:rPr>
                    <w:t>匹配</w:t>
                  </w:r>
                </w:p>
              </w:tc>
            </w:tr>
            <w:tr w14:paraId="147471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6" w:type="dxa"/>
                  <w:vMerge w:val="continue"/>
                  <w:tcBorders>
                    <w:tl2br w:val="nil"/>
                    <w:tr2bl w:val="nil"/>
                  </w:tcBorders>
                  <w:vAlign w:val="center"/>
                </w:tcPr>
                <w:p w14:paraId="0EF85D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p>
              </w:tc>
              <w:tc>
                <w:tcPr>
                  <w:tcW w:w="875" w:type="dxa"/>
                  <w:tcBorders>
                    <w:tl2br w:val="nil"/>
                    <w:tr2bl w:val="nil"/>
                  </w:tcBorders>
                  <w:vAlign w:val="center"/>
                </w:tcPr>
                <w:p w14:paraId="3D59CA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ascii="Times New Roman" w:hAnsi="Times New Roman" w:eastAsia="宋体" w:cs="Times New Roman"/>
                      <w:color w:val="FF0000"/>
                      <w:highlight w:val="none"/>
                      <w:lang w:eastAsia="zh-CN"/>
                    </w:rPr>
                  </w:pPr>
                  <w:r>
                    <w:rPr>
                      <w:rFonts w:hint="eastAsia" w:cs="Times New Roman"/>
                      <w:color w:val="FF0000"/>
                      <w:highlight w:val="none"/>
                      <w:lang w:eastAsia="zh-CN"/>
                    </w:rPr>
                    <w:t>破碎</w:t>
                  </w:r>
                </w:p>
              </w:tc>
              <w:tc>
                <w:tcPr>
                  <w:tcW w:w="950" w:type="dxa"/>
                  <w:tcBorders>
                    <w:tl2br w:val="nil"/>
                    <w:tr2bl w:val="nil"/>
                  </w:tcBorders>
                  <w:shd w:val="clear" w:color="auto" w:fill="auto"/>
                  <w:vAlign w:val="center"/>
                </w:tcPr>
                <w:p w14:paraId="00D1BC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zh-CN" w:eastAsia="zh-CN" w:bidi="ar-SA"/>
                    </w:rPr>
                  </w:pPr>
                  <w:r>
                    <w:rPr>
                      <w:rFonts w:hint="default" w:ascii="Times New Roman" w:hAnsi="Times New Roman" w:cs="Times New Roman"/>
                      <w:color w:val="FF0000"/>
                      <w:highlight w:val="none"/>
                    </w:rPr>
                    <w:t>破碎机</w:t>
                  </w:r>
                </w:p>
              </w:tc>
              <w:tc>
                <w:tcPr>
                  <w:tcW w:w="825" w:type="dxa"/>
                  <w:tcBorders>
                    <w:tl2br w:val="nil"/>
                    <w:tr2bl w:val="nil"/>
                  </w:tcBorders>
                  <w:shd w:val="clear" w:color="auto" w:fill="auto"/>
                  <w:vAlign w:val="center"/>
                </w:tcPr>
                <w:p w14:paraId="2EA5CE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40</w:t>
                  </w:r>
                  <w:r>
                    <w:rPr>
                      <w:rFonts w:hint="default" w:ascii="Times New Roman" w:hAnsi="Times New Roman" w:cs="Times New Roman"/>
                      <w:color w:val="FF0000"/>
                      <w:highlight w:val="none"/>
                      <w:lang w:val="zh-CN"/>
                    </w:rPr>
                    <w:t>t/h</w:t>
                  </w:r>
                </w:p>
              </w:tc>
              <w:tc>
                <w:tcPr>
                  <w:tcW w:w="787" w:type="dxa"/>
                  <w:tcBorders>
                    <w:tl2br w:val="nil"/>
                    <w:tr2bl w:val="nil"/>
                  </w:tcBorders>
                  <w:shd w:val="clear" w:color="auto" w:fill="auto"/>
                  <w:vAlign w:val="center"/>
                </w:tcPr>
                <w:p w14:paraId="122959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1</w:t>
                  </w:r>
                </w:p>
              </w:tc>
              <w:tc>
                <w:tcPr>
                  <w:tcW w:w="863" w:type="dxa"/>
                  <w:tcBorders>
                    <w:tl2br w:val="nil"/>
                    <w:tr2bl w:val="nil"/>
                  </w:tcBorders>
                  <w:shd w:val="clear" w:color="auto" w:fill="auto"/>
                  <w:vAlign w:val="center"/>
                </w:tcPr>
                <w:p w14:paraId="50928A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7200</w:t>
                  </w:r>
                </w:p>
              </w:tc>
              <w:tc>
                <w:tcPr>
                  <w:tcW w:w="1012" w:type="dxa"/>
                  <w:tcBorders>
                    <w:tl2br w:val="nil"/>
                    <w:tr2bl w:val="nil"/>
                  </w:tcBorders>
                  <w:shd w:val="clear" w:color="auto" w:fill="auto"/>
                  <w:vAlign w:val="center"/>
                </w:tcPr>
                <w:p w14:paraId="43F588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28.8</w:t>
                  </w:r>
                </w:p>
              </w:tc>
              <w:tc>
                <w:tcPr>
                  <w:tcW w:w="1222" w:type="dxa"/>
                  <w:tcBorders>
                    <w:tl2br w:val="nil"/>
                    <w:tr2bl w:val="nil"/>
                  </w:tcBorders>
                  <w:shd w:val="clear" w:color="auto" w:fill="auto"/>
                  <w:vAlign w:val="center"/>
                </w:tcPr>
                <w:p w14:paraId="2E1117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25.9</w:t>
                  </w:r>
                </w:p>
              </w:tc>
              <w:tc>
                <w:tcPr>
                  <w:tcW w:w="580" w:type="dxa"/>
                  <w:tcBorders>
                    <w:tl2br w:val="nil"/>
                    <w:tr2bl w:val="nil"/>
                  </w:tcBorders>
                  <w:shd w:val="clear" w:color="auto" w:fill="auto"/>
                  <w:vAlign w:val="center"/>
                </w:tcPr>
                <w:p w14:paraId="163A0B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b w:val="0"/>
                      <w:bCs w:val="0"/>
                      <w:color w:val="FF0000"/>
                      <w:kern w:val="2"/>
                      <w:sz w:val="21"/>
                      <w:szCs w:val="21"/>
                      <w:highlight w:val="none"/>
                      <w:lang w:val="zh-CN" w:eastAsia="zh-CN" w:bidi="ar-SA"/>
                    </w:rPr>
                  </w:pPr>
                  <w:r>
                    <w:rPr>
                      <w:rFonts w:hint="default" w:ascii="Times New Roman" w:hAnsi="Times New Roman" w:cs="Times New Roman"/>
                      <w:b w:val="0"/>
                      <w:bCs w:val="0"/>
                      <w:color w:val="FF0000"/>
                      <w:highlight w:val="none"/>
                      <w:lang w:val="zh-CN"/>
                    </w:rPr>
                    <w:t>匹配</w:t>
                  </w:r>
                </w:p>
              </w:tc>
            </w:tr>
            <w:tr w14:paraId="112C3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66" w:type="dxa"/>
                  <w:vMerge w:val="continue"/>
                  <w:tcBorders>
                    <w:tl2br w:val="nil"/>
                    <w:tr2bl w:val="nil"/>
                  </w:tcBorders>
                  <w:vAlign w:val="center"/>
                </w:tcPr>
                <w:p w14:paraId="64F13A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p>
              </w:tc>
              <w:tc>
                <w:tcPr>
                  <w:tcW w:w="875" w:type="dxa"/>
                  <w:tcBorders>
                    <w:tl2br w:val="nil"/>
                    <w:tr2bl w:val="nil"/>
                  </w:tcBorders>
                  <w:vAlign w:val="center"/>
                </w:tcPr>
                <w:p w14:paraId="1E65A0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ascii="Times New Roman" w:hAnsi="Times New Roman" w:eastAsia="宋体" w:cs="Times New Roman"/>
                      <w:color w:val="FF0000"/>
                      <w:highlight w:val="none"/>
                      <w:lang w:eastAsia="zh-CN"/>
                    </w:rPr>
                  </w:pPr>
                  <w:r>
                    <w:rPr>
                      <w:rFonts w:hint="eastAsia" w:cs="Times New Roman"/>
                      <w:color w:val="FF0000"/>
                      <w:highlight w:val="none"/>
                      <w:lang w:eastAsia="zh-CN"/>
                    </w:rPr>
                    <w:t>静压</w:t>
                  </w:r>
                </w:p>
              </w:tc>
              <w:tc>
                <w:tcPr>
                  <w:tcW w:w="950" w:type="dxa"/>
                  <w:tcBorders>
                    <w:tl2br w:val="nil"/>
                    <w:tr2bl w:val="nil"/>
                  </w:tcBorders>
                  <w:vAlign w:val="center"/>
                </w:tcPr>
                <w:p w14:paraId="6B4E63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zh-CN"/>
                    </w:rPr>
                  </w:pPr>
                  <w:r>
                    <w:rPr>
                      <w:rFonts w:hint="eastAsia" w:cs="Times New Roman"/>
                      <w:color w:val="FF0000"/>
                      <w:highlight w:val="none"/>
                      <w:lang w:val="zh-CN"/>
                    </w:rPr>
                    <w:t>静压机</w:t>
                  </w:r>
                </w:p>
              </w:tc>
              <w:tc>
                <w:tcPr>
                  <w:tcW w:w="825" w:type="dxa"/>
                  <w:tcBorders>
                    <w:tl2br w:val="nil"/>
                    <w:tr2bl w:val="nil"/>
                  </w:tcBorders>
                  <w:shd w:val="clear" w:color="auto" w:fill="auto"/>
                  <w:vAlign w:val="center"/>
                </w:tcPr>
                <w:p w14:paraId="7FFD8B6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40t/h</w:t>
                  </w:r>
                </w:p>
              </w:tc>
              <w:tc>
                <w:tcPr>
                  <w:tcW w:w="787" w:type="dxa"/>
                  <w:tcBorders>
                    <w:tl2br w:val="nil"/>
                    <w:tr2bl w:val="nil"/>
                  </w:tcBorders>
                  <w:shd w:val="clear" w:color="auto" w:fill="auto"/>
                  <w:vAlign w:val="center"/>
                </w:tcPr>
                <w:p w14:paraId="3CDDE5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2</w:t>
                  </w:r>
                </w:p>
              </w:tc>
              <w:tc>
                <w:tcPr>
                  <w:tcW w:w="863" w:type="dxa"/>
                  <w:tcBorders>
                    <w:tl2br w:val="nil"/>
                    <w:tr2bl w:val="nil"/>
                  </w:tcBorders>
                  <w:shd w:val="clear" w:color="auto" w:fill="auto"/>
                  <w:vAlign w:val="center"/>
                </w:tcPr>
                <w:p w14:paraId="68B60E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7200</w:t>
                  </w:r>
                </w:p>
              </w:tc>
              <w:tc>
                <w:tcPr>
                  <w:tcW w:w="1012" w:type="dxa"/>
                  <w:tcBorders>
                    <w:tl2br w:val="nil"/>
                    <w:tr2bl w:val="nil"/>
                  </w:tcBorders>
                  <w:shd w:val="clear" w:color="auto" w:fill="auto"/>
                  <w:vAlign w:val="center"/>
                </w:tcPr>
                <w:p w14:paraId="514E56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57.6</w:t>
                  </w:r>
                </w:p>
              </w:tc>
              <w:tc>
                <w:tcPr>
                  <w:tcW w:w="1222" w:type="dxa"/>
                  <w:tcBorders>
                    <w:tl2br w:val="nil"/>
                    <w:tr2bl w:val="nil"/>
                  </w:tcBorders>
                  <w:shd w:val="clear" w:color="auto" w:fill="auto"/>
                  <w:vAlign w:val="center"/>
                </w:tcPr>
                <w:p w14:paraId="5C8AEB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50</w:t>
                  </w:r>
                </w:p>
              </w:tc>
              <w:tc>
                <w:tcPr>
                  <w:tcW w:w="580" w:type="dxa"/>
                  <w:tcBorders>
                    <w:tl2br w:val="nil"/>
                    <w:tr2bl w:val="nil"/>
                  </w:tcBorders>
                  <w:shd w:val="clear" w:color="auto" w:fill="auto"/>
                  <w:vAlign w:val="center"/>
                </w:tcPr>
                <w:p w14:paraId="49217F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val="0"/>
                      <w:bCs w:val="0"/>
                      <w:color w:val="FF0000"/>
                      <w:highlight w:val="none"/>
                      <w:lang w:val="zh-CN" w:eastAsia="zh-CN"/>
                    </w:rPr>
                  </w:pPr>
                  <w:r>
                    <w:rPr>
                      <w:rFonts w:hint="default" w:ascii="Times New Roman" w:hAnsi="Times New Roman" w:cs="Times New Roman"/>
                      <w:b w:val="0"/>
                      <w:bCs w:val="0"/>
                      <w:color w:val="FF0000"/>
                      <w:highlight w:val="none"/>
                      <w:lang w:val="zh-CN"/>
                    </w:rPr>
                    <w:t>匹配</w:t>
                  </w:r>
                </w:p>
              </w:tc>
            </w:tr>
          </w:tbl>
          <w:p w14:paraId="323E60A3">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 项目扩建前后设备主要工艺及生产设施名称、设施参数表</w:t>
            </w:r>
          </w:p>
          <w:tbl>
            <w:tblPr>
              <w:tblStyle w:val="25"/>
              <w:tblW w:w="5000" w:type="pct"/>
              <w:jc w:val="center"/>
              <w:tblBorders>
                <w:top w:val="single" w:color="auto" w:sz="2" w:space="0"/>
                <w:left w:val="none" w:color="auto" w:sz="0" w:space="0"/>
                <w:bottom w:val="single" w:color="auto" w:sz="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174"/>
              <w:gridCol w:w="1842"/>
              <w:gridCol w:w="2225"/>
              <w:gridCol w:w="1000"/>
              <w:gridCol w:w="1037"/>
              <w:gridCol w:w="802"/>
            </w:tblGrid>
            <w:tr w14:paraId="6564D9B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vMerge w:val="restart"/>
                  <w:noWrap w:val="0"/>
                  <w:vAlign w:val="center"/>
                </w:tcPr>
                <w:p w14:paraId="761E026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rPr>
                  </w:pPr>
                  <w:r>
                    <w:rPr>
                      <w:rFonts w:hint="default"/>
                      <w:color w:val="auto"/>
                      <w:sz w:val="21"/>
                      <w:szCs w:val="21"/>
                      <w:highlight w:val="none"/>
                    </w:rPr>
                    <w:t>主要生产单元</w:t>
                  </w:r>
                </w:p>
              </w:tc>
              <w:tc>
                <w:tcPr>
                  <w:tcW w:w="1139" w:type="pct"/>
                  <w:vMerge w:val="restart"/>
                  <w:noWrap w:val="0"/>
                  <w:vAlign w:val="center"/>
                </w:tcPr>
                <w:p w14:paraId="112BC10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rPr>
                  </w:pPr>
                  <w:r>
                    <w:rPr>
                      <w:rFonts w:hint="default"/>
                      <w:color w:val="auto"/>
                      <w:sz w:val="21"/>
                      <w:szCs w:val="21"/>
                      <w:highlight w:val="none"/>
                    </w:rPr>
                    <w:t>生产设施</w:t>
                  </w:r>
                </w:p>
              </w:tc>
              <w:tc>
                <w:tcPr>
                  <w:tcW w:w="1376" w:type="pct"/>
                  <w:vMerge w:val="restart"/>
                  <w:noWrap w:val="0"/>
                  <w:vAlign w:val="center"/>
                </w:tcPr>
                <w:p w14:paraId="6493468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eastAsia="宋体"/>
                      <w:color w:val="auto"/>
                      <w:sz w:val="21"/>
                      <w:szCs w:val="21"/>
                      <w:highlight w:val="none"/>
                      <w:lang w:eastAsia="zh-CN"/>
                    </w:rPr>
                  </w:pPr>
                  <w:r>
                    <w:rPr>
                      <w:rFonts w:hint="eastAsia"/>
                      <w:color w:val="auto"/>
                      <w:sz w:val="21"/>
                      <w:szCs w:val="21"/>
                      <w:highlight w:val="none"/>
                      <w:lang w:eastAsia="zh-CN"/>
                    </w:rPr>
                    <w:t>型号</w:t>
                  </w:r>
                </w:p>
              </w:tc>
              <w:tc>
                <w:tcPr>
                  <w:tcW w:w="1260" w:type="pct"/>
                  <w:gridSpan w:val="2"/>
                  <w:noWrap w:val="0"/>
                  <w:vAlign w:val="center"/>
                </w:tcPr>
                <w:p w14:paraId="095B33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rPr>
                  </w:pPr>
                  <w:r>
                    <w:rPr>
                      <w:rFonts w:hint="default"/>
                      <w:color w:val="auto"/>
                      <w:sz w:val="21"/>
                      <w:szCs w:val="21"/>
                      <w:highlight w:val="none"/>
                    </w:rPr>
                    <w:t>数量（台/套）</w:t>
                  </w:r>
                </w:p>
              </w:tc>
              <w:tc>
                <w:tcPr>
                  <w:tcW w:w="496" w:type="pct"/>
                  <w:vMerge w:val="restart"/>
                  <w:noWrap w:val="0"/>
                  <w:vAlign w:val="center"/>
                </w:tcPr>
                <w:p w14:paraId="4FEB052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rPr>
                  </w:pPr>
                  <w:r>
                    <w:rPr>
                      <w:rFonts w:hint="eastAsia"/>
                      <w:color w:val="auto"/>
                      <w:sz w:val="21"/>
                      <w:szCs w:val="21"/>
                      <w:highlight w:val="none"/>
                    </w:rPr>
                    <w:t>变化量</w:t>
                  </w:r>
                </w:p>
              </w:tc>
            </w:tr>
            <w:tr w14:paraId="623DA6EC">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vMerge w:val="continue"/>
                  <w:noWrap w:val="0"/>
                  <w:vAlign w:val="center"/>
                </w:tcPr>
                <w:p w14:paraId="5D7DD91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rPr>
                  </w:pPr>
                </w:p>
              </w:tc>
              <w:tc>
                <w:tcPr>
                  <w:tcW w:w="1139" w:type="pct"/>
                  <w:vMerge w:val="continue"/>
                  <w:noWrap w:val="0"/>
                  <w:vAlign w:val="center"/>
                </w:tcPr>
                <w:p w14:paraId="6DF8DC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rPr>
                  </w:pPr>
                </w:p>
              </w:tc>
              <w:tc>
                <w:tcPr>
                  <w:tcW w:w="1376" w:type="pct"/>
                  <w:vMerge w:val="continue"/>
                  <w:noWrap w:val="0"/>
                  <w:vAlign w:val="center"/>
                </w:tcPr>
                <w:p w14:paraId="03ED5A7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rPr>
                  </w:pPr>
                </w:p>
              </w:tc>
              <w:tc>
                <w:tcPr>
                  <w:tcW w:w="618" w:type="pct"/>
                  <w:noWrap w:val="0"/>
                  <w:vAlign w:val="center"/>
                </w:tcPr>
                <w:p w14:paraId="70F9714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rPr>
                  </w:pPr>
                  <w:r>
                    <w:rPr>
                      <w:rFonts w:hint="eastAsia"/>
                      <w:color w:val="auto"/>
                      <w:sz w:val="21"/>
                      <w:szCs w:val="21"/>
                      <w:highlight w:val="none"/>
                    </w:rPr>
                    <w:t>扩建前</w:t>
                  </w:r>
                </w:p>
              </w:tc>
              <w:tc>
                <w:tcPr>
                  <w:tcW w:w="641" w:type="pct"/>
                  <w:noWrap w:val="0"/>
                  <w:vAlign w:val="center"/>
                </w:tcPr>
                <w:p w14:paraId="6FEE8BE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color w:val="auto"/>
                      <w:sz w:val="21"/>
                      <w:szCs w:val="21"/>
                      <w:highlight w:val="none"/>
                    </w:rPr>
                  </w:pPr>
                  <w:r>
                    <w:rPr>
                      <w:rFonts w:hint="eastAsia"/>
                      <w:color w:val="auto"/>
                      <w:sz w:val="21"/>
                      <w:szCs w:val="21"/>
                      <w:highlight w:val="none"/>
                    </w:rPr>
                    <w:t>扩建后</w:t>
                  </w:r>
                </w:p>
              </w:tc>
              <w:tc>
                <w:tcPr>
                  <w:tcW w:w="496" w:type="pct"/>
                  <w:vMerge w:val="continue"/>
                  <w:noWrap w:val="0"/>
                  <w:vAlign w:val="center"/>
                </w:tcPr>
                <w:p w14:paraId="5174C5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default"/>
                      <w:color w:val="auto"/>
                      <w:sz w:val="21"/>
                      <w:szCs w:val="21"/>
                      <w:highlight w:val="none"/>
                    </w:rPr>
                  </w:pPr>
                </w:p>
              </w:tc>
            </w:tr>
            <w:tr w14:paraId="356A739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3ACCE62A">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37" w:name="_Toc1338"/>
                  <w:r>
                    <w:rPr>
                      <w:rFonts w:hint="default"/>
                      <w:color w:val="auto"/>
                      <w:highlight w:val="none"/>
                    </w:rPr>
                    <w:t>喂料</w:t>
                  </w:r>
                  <w:bookmarkEnd w:id="37"/>
                </w:p>
              </w:tc>
              <w:tc>
                <w:tcPr>
                  <w:tcW w:w="1139" w:type="pct"/>
                  <w:noWrap w:val="0"/>
                  <w:vAlign w:val="center"/>
                </w:tcPr>
                <w:p w14:paraId="4DEEE877">
                  <w:pPr>
                    <w:pStyle w:val="114"/>
                    <w:keepNext w:val="0"/>
                    <w:keepLines w:val="0"/>
                    <w:suppressLineNumbers w:val="0"/>
                    <w:spacing w:before="0" w:beforeAutospacing="0" w:after="0" w:afterAutospacing="0"/>
                    <w:ind w:left="0" w:right="0" w:firstLine="0" w:firstLineChars="0"/>
                    <w:rPr>
                      <w:rFonts w:hint="eastAsia" w:eastAsia="宋体"/>
                      <w:color w:val="auto"/>
                      <w:kern w:val="2"/>
                      <w:sz w:val="21"/>
                      <w:szCs w:val="21"/>
                      <w:highlight w:val="none"/>
                      <w:lang w:val="en-US" w:eastAsia="zh-CN" w:bidi="ar-SA"/>
                    </w:rPr>
                  </w:pPr>
                  <w:bookmarkStart w:id="38" w:name="_Toc4825"/>
                  <w:r>
                    <w:rPr>
                      <w:rFonts w:hint="default"/>
                      <w:color w:val="auto"/>
                      <w:highlight w:val="none"/>
                    </w:rPr>
                    <w:t>喂料机</w:t>
                  </w:r>
                  <w:bookmarkEnd w:id="38"/>
                </w:p>
              </w:tc>
              <w:tc>
                <w:tcPr>
                  <w:tcW w:w="1376" w:type="pct"/>
                  <w:noWrap w:val="0"/>
                  <w:vAlign w:val="center"/>
                </w:tcPr>
                <w:p w14:paraId="25D45451">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39" w:name="_Toc19844"/>
                  <w:r>
                    <w:rPr>
                      <w:rFonts w:hint="default"/>
                      <w:color w:val="auto"/>
                      <w:highlight w:val="none"/>
                    </w:rPr>
                    <w:t>/</w:t>
                  </w:r>
                  <w:bookmarkEnd w:id="39"/>
                </w:p>
              </w:tc>
              <w:tc>
                <w:tcPr>
                  <w:tcW w:w="618" w:type="pct"/>
                  <w:noWrap w:val="0"/>
                  <w:vAlign w:val="center"/>
                </w:tcPr>
                <w:p w14:paraId="68911A66">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40" w:name="_Toc8859"/>
                  <w:r>
                    <w:rPr>
                      <w:rFonts w:hint="default"/>
                      <w:color w:val="auto"/>
                      <w:highlight w:val="none"/>
                    </w:rPr>
                    <w:t>1</w:t>
                  </w:r>
                  <w:bookmarkEnd w:id="40"/>
                </w:p>
              </w:tc>
              <w:tc>
                <w:tcPr>
                  <w:tcW w:w="641" w:type="pct"/>
                  <w:noWrap w:val="0"/>
                  <w:vAlign w:val="center"/>
                </w:tcPr>
                <w:p w14:paraId="08AEFBE4">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41" w:name="_Toc17665"/>
                  <w:r>
                    <w:rPr>
                      <w:rFonts w:hint="default"/>
                      <w:color w:val="auto"/>
                      <w:highlight w:val="none"/>
                    </w:rPr>
                    <w:t>1</w:t>
                  </w:r>
                  <w:bookmarkEnd w:id="41"/>
                </w:p>
              </w:tc>
              <w:tc>
                <w:tcPr>
                  <w:tcW w:w="496" w:type="pct"/>
                  <w:noWrap w:val="0"/>
                  <w:vAlign w:val="center"/>
                </w:tcPr>
                <w:p w14:paraId="6E18C7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297513A">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582C6AAD">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42" w:name="_Toc9729"/>
                  <w:r>
                    <w:rPr>
                      <w:rFonts w:hint="default"/>
                      <w:color w:val="auto"/>
                      <w:highlight w:val="none"/>
                    </w:rPr>
                    <w:t>粉碎</w:t>
                  </w:r>
                  <w:bookmarkEnd w:id="42"/>
                </w:p>
              </w:tc>
              <w:tc>
                <w:tcPr>
                  <w:tcW w:w="1139" w:type="pct"/>
                  <w:noWrap w:val="0"/>
                  <w:vAlign w:val="center"/>
                </w:tcPr>
                <w:p w14:paraId="7D0751BB">
                  <w:pPr>
                    <w:pStyle w:val="114"/>
                    <w:keepNext w:val="0"/>
                    <w:keepLines w:val="0"/>
                    <w:suppressLineNumbers w:val="0"/>
                    <w:spacing w:before="0" w:beforeAutospacing="0" w:after="0" w:afterAutospacing="0"/>
                    <w:ind w:left="0" w:right="0" w:firstLine="0" w:firstLineChars="0"/>
                    <w:rPr>
                      <w:rFonts w:hint="eastAsia" w:eastAsia="宋体"/>
                      <w:color w:val="auto"/>
                      <w:kern w:val="2"/>
                      <w:sz w:val="21"/>
                      <w:szCs w:val="21"/>
                      <w:highlight w:val="none"/>
                      <w:lang w:val="en-US" w:eastAsia="zh-CN" w:bidi="ar-SA"/>
                    </w:rPr>
                  </w:pPr>
                  <w:bookmarkStart w:id="43" w:name="_Toc25302"/>
                  <w:r>
                    <w:rPr>
                      <w:rFonts w:hint="default"/>
                      <w:color w:val="auto"/>
                      <w:highlight w:val="none"/>
                    </w:rPr>
                    <w:t>粉碎机</w:t>
                  </w:r>
                  <w:bookmarkEnd w:id="43"/>
                </w:p>
              </w:tc>
              <w:tc>
                <w:tcPr>
                  <w:tcW w:w="1376" w:type="pct"/>
                  <w:noWrap w:val="0"/>
                  <w:vAlign w:val="center"/>
                </w:tcPr>
                <w:p w14:paraId="2AD371F6">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44" w:name="_Toc9093"/>
                  <w:r>
                    <w:rPr>
                      <w:rFonts w:hint="default"/>
                      <w:color w:val="auto"/>
                      <w:highlight w:val="none"/>
                    </w:rPr>
                    <w:t>YE3-3.5L-4</w:t>
                  </w:r>
                  <w:bookmarkEnd w:id="44"/>
                </w:p>
              </w:tc>
              <w:tc>
                <w:tcPr>
                  <w:tcW w:w="618" w:type="pct"/>
                  <w:noWrap w:val="0"/>
                  <w:vAlign w:val="center"/>
                </w:tcPr>
                <w:p w14:paraId="237FF050">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45" w:name="_Toc30686"/>
                  <w:r>
                    <w:rPr>
                      <w:rFonts w:hint="default"/>
                      <w:color w:val="auto"/>
                      <w:highlight w:val="none"/>
                    </w:rPr>
                    <w:t>1</w:t>
                  </w:r>
                  <w:bookmarkEnd w:id="45"/>
                </w:p>
              </w:tc>
              <w:tc>
                <w:tcPr>
                  <w:tcW w:w="641" w:type="pct"/>
                  <w:noWrap w:val="0"/>
                  <w:vAlign w:val="center"/>
                </w:tcPr>
                <w:p w14:paraId="72369F3B">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46" w:name="_Toc980"/>
                  <w:r>
                    <w:rPr>
                      <w:rFonts w:hint="default"/>
                      <w:color w:val="auto"/>
                      <w:highlight w:val="none"/>
                    </w:rPr>
                    <w:t>1</w:t>
                  </w:r>
                  <w:bookmarkEnd w:id="46"/>
                </w:p>
              </w:tc>
              <w:tc>
                <w:tcPr>
                  <w:tcW w:w="496" w:type="pct"/>
                  <w:noWrap w:val="0"/>
                  <w:vAlign w:val="center"/>
                </w:tcPr>
                <w:p w14:paraId="35126C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3C644BA5">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40" w:hRule="atLeast"/>
                <w:jc w:val="center"/>
              </w:trPr>
              <w:tc>
                <w:tcPr>
                  <w:tcW w:w="726" w:type="pct"/>
                  <w:shd w:val="clear" w:color="auto" w:fill="auto"/>
                  <w:noWrap w:val="0"/>
                  <w:vAlign w:val="center"/>
                </w:tcPr>
                <w:p w14:paraId="05F674DF">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47" w:name="_Toc8289"/>
                  <w:r>
                    <w:rPr>
                      <w:rFonts w:hint="default"/>
                      <w:color w:val="auto"/>
                      <w:highlight w:val="none"/>
                    </w:rPr>
                    <w:t>球磨</w:t>
                  </w:r>
                  <w:bookmarkEnd w:id="47"/>
                </w:p>
              </w:tc>
              <w:tc>
                <w:tcPr>
                  <w:tcW w:w="1139" w:type="pct"/>
                  <w:noWrap w:val="0"/>
                  <w:vAlign w:val="center"/>
                </w:tcPr>
                <w:p w14:paraId="26A8884D">
                  <w:pPr>
                    <w:pStyle w:val="114"/>
                    <w:keepNext w:val="0"/>
                    <w:keepLines w:val="0"/>
                    <w:suppressLineNumbers w:val="0"/>
                    <w:spacing w:before="0" w:beforeAutospacing="0" w:after="0" w:afterAutospacing="0"/>
                    <w:ind w:left="0" w:right="0" w:firstLine="0" w:firstLineChars="0"/>
                    <w:rPr>
                      <w:rFonts w:hint="eastAsia" w:eastAsia="宋体"/>
                      <w:color w:val="auto"/>
                      <w:kern w:val="2"/>
                      <w:sz w:val="21"/>
                      <w:szCs w:val="21"/>
                      <w:highlight w:val="none"/>
                      <w:lang w:val="en-US" w:eastAsia="zh-CN" w:bidi="ar-SA"/>
                    </w:rPr>
                  </w:pPr>
                  <w:bookmarkStart w:id="48" w:name="_Toc14106"/>
                  <w:r>
                    <w:rPr>
                      <w:rFonts w:hint="default"/>
                      <w:color w:val="auto"/>
                      <w:highlight w:val="none"/>
                    </w:rPr>
                    <w:t>球磨机</w:t>
                  </w:r>
                  <w:bookmarkEnd w:id="48"/>
                </w:p>
              </w:tc>
              <w:tc>
                <w:tcPr>
                  <w:tcW w:w="1376" w:type="pct"/>
                  <w:noWrap w:val="0"/>
                  <w:vAlign w:val="center"/>
                </w:tcPr>
                <w:p w14:paraId="43FAC992">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49" w:name="_Toc25788"/>
                  <w:r>
                    <w:rPr>
                      <w:rFonts w:hint="default"/>
                      <w:color w:val="auto"/>
                      <w:highlight w:val="none"/>
                    </w:rPr>
                    <w:t>2700X4500</w:t>
                  </w:r>
                  <w:bookmarkEnd w:id="49"/>
                </w:p>
              </w:tc>
              <w:tc>
                <w:tcPr>
                  <w:tcW w:w="618" w:type="pct"/>
                  <w:noWrap w:val="0"/>
                  <w:vAlign w:val="center"/>
                </w:tcPr>
                <w:p w14:paraId="7E195738">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50" w:name="_Toc8608"/>
                  <w:r>
                    <w:rPr>
                      <w:rFonts w:hint="default"/>
                      <w:color w:val="auto"/>
                      <w:highlight w:val="none"/>
                    </w:rPr>
                    <w:t>2</w:t>
                  </w:r>
                  <w:bookmarkEnd w:id="50"/>
                </w:p>
              </w:tc>
              <w:tc>
                <w:tcPr>
                  <w:tcW w:w="641" w:type="pct"/>
                  <w:noWrap w:val="0"/>
                  <w:vAlign w:val="center"/>
                </w:tcPr>
                <w:p w14:paraId="5487B4C5">
                  <w:pPr>
                    <w:pStyle w:val="114"/>
                    <w:keepNext w:val="0"/>
                    <w:keepLines w:val="0"/>
                    <w:suppressLineNumbers w:val="0"/>
                    <w:spacing w:before="0" w:beforeAutospacing="0" w:after="0" w:afterAutospacing="0"/>
                    <w:ind w:left="0" w:right="0" w:firstLine="0" w:firstLineChars="0"/>
                    <w:jc w:val="center"/>
                    <w:rPr>
                      <w:rFonts w:hint="eastAsia" w:eastAsia="宋体"/>
                      <w:color w:val="auto"/>
                      <w:sz w:val="21"/>
                      <w:szCs w:val="21"/>
                      <w:highlight w:val="none"/>
                      <w:lang w:val="en-US" w:eastAsia="zh-CN"/>
                    </w:rPr>
                  </w:pPr>
                  <w:bookmarkStart w:id="51" w:name="_Toc2059"/>
                  <w:r>
                    <w:rPr>
                      <w:rFonts w:hint="default"/>
                      <w:color w:val="auto"/>
                      <w:highlight w:val="none"/>
                    </w:rPr>
                    <w:t>2</w:t>
                  </w:r>
                  <w:bookmarkEnd w:id="51"/>
                </w:p>
              </w:tc>
              <w:tc>
                <w:tcPr>
                  <w:tcW w:w="496" w:type="pct"/>
                  <w:noWrap w:val="0"/>
                  <w:vAlign w:val="center"/>
                </w:tcPr>
                <w:p w14:paraId="24166E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1EE8780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0E275026">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52" w:name="_Toc29242"/>
                  <w:r>
                    <w:rPr>
                      <w:rFonts w:hint="default"/>
                      <w:color w:val="auto"/>
                      <w:highlight w:val="none"/>
                    </w:rPr>
                    <w:t>制浆</w:t>
                  </w:r>
                  <w:bookmarkEnd w:id="52"/>
                </w:p>
              </w:tc>
              <w:tc>
                <w:tcPr>
                  <w:tcW w:w="1139" w:type="pct"/>
                  <w:noWrap w:val="0"/>
                  <w:vAlign w:val="center"/>
                </w:tcPr>
                <w:p w14:paraId="30CCB394">
                  <w:pPr>
                    <w:pStyle w:val="114"/>
                    <w:keepNext w:val="0"/>
                    <w:keepLines w:val="0"/>
                    <w:suppressLineNumbers w:val="0"/>
                    <w:spacing w:before="0" w:beforeAutospacing="0" w:after="0" w:afterAutospacing="0"/>
                    <w:ind w:left="0" w:right="0" w:firstLine="0" w:firstLineChars="0"/>
                    <w:rPr>
                      <w:rFonts w:hint="eastAsia" w:eastAsia="宋体"/>
                      <w:color w:val="auto"/>
                      <w:kern w:val="2"/>
                      <w:sz w:val="21"/>
                      <w:szCs w:val="21"/>
                      <w:highlight w:val="none"/>
                      <w:lang w:val="en-US" w:eastAsia="zh-CN" w:bidi="ar-SA"/>
                    </w:rPr>
                  </w:pPr>
                  <w:bookmarkStart w:id="53" w:name="_Toc15692"/>
                  <w:r>
                    <w:rPr>
                      <w:rFonts w:hint="default"/>
                      <w:color w:val="auto"/>
                      <w:highlight w:val="none"/>
                    </w:rPr>
                    <w:t>搅拌机</w:t>
                  </w:r>
                  <w:bookmarkEnd w:id="53"/>
                </w:p>
              </w:tc>
              <w:tc>
                <w:tcPr>
                  <w:tcW w:w="1376" w:type="pct"/>
                  <w:noWrap w:val="0"/>
                  <w:vAlign w:val="center"/>
                </w:tcPr>
                <w:p w14:paraId="12E7A98D">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54" w:name="_Toc22883"/>
                  <w:r>
                    <w:rPr>
                      <w:rFonts w:hint="default"/>
                      <w:color w:val="auto"/>
                      <w:highlight w:val="none"/>
                    </w:rPr>
                    <w:t>/</w:t>
                  </w:r>
                  <w:bookmarkEnd w:id="54"/>
                </w:p>
              </w:tc>
              <w:tc>
                <w:tcPr>
                  <w:tcW w:w="618" w:type="pct"/>
                  <w:noWrap w:val="0"/>
                  <w:vAlign w:val="center"/>
                </w:tcPr>
                <w:p w14:paraId="7166D715">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55" w:name="_Toc32423"/>
                  <w:r>
                    <w:rPr>
                      <w:rFonts w:hint="default"/>
                      <w:color w:val="auto"/>
                      <w:highlight w:val="none"/>
                    </w:rPr>
                    <w:t>8</w:t>
                  </w:r>
                  <w:bookmarkEnd w:id="55"/>
                </w:p>
              </w:tc>
              <w:tc>
                <w:tcPr>
                  <w:tcW w:w="641" w:type="pct"/>
                  <w:noWrap w:val="0"/>
                  <w:vAlign w:val="center"/>
                </w:tcPr>
                <w:p w14:paraId="5FD0697C">
                  <w:pPr>
                    <w:pStyle w:val="114"/>
                    <w:keepNext w:val="0"/>
                    <w:keepLines w:val="0"/>
                    <w:suppressLineNumbers w:val="0"/>
                    <w:spacing w:before="0" w:beforeAutospacing="0" w:after="0" w:afterAutospacing="0"/>
                    <w:ind w:left="0" w:right="0" w:firstLine="0" w:firstLineChars="0"/>
                    <w:jc w:val="center"/>
                    <w:rPr>
                      <w:rFonts w:hint="eastAsia" w:eastAsia="宋体"/>
                      <w:color w:val="auto"/>
                      <w:sz w:val="21"/>
                      <w:szCs w:val="21"/>
                      <w:highlight w:val="none"/>
                      <w:lang w:val="en-US" w:eastAsia="zh-CN"/>
                    </w:rPr>
                  </w:pPr>
                  <w:bookmarkStart w:id="56" w:name="_Toc3574"/>
                  <w:r>
                    <w:rPr>
                      <w:rFonts w:hint="default"/>
                      <w:color w:val="auto"/>
                      <w:highlight w:val="none"/>
                    </w:rPr>
                    <w:t>8</w:t>
                  </w:r>
                  <w:bookmarkEnd w:id="56"/>
                </w:p>
              </w:tc>
              <w:tc>
                <w:tcPr>
                  <w:tcW w:w="496" w:type="pct"/>
                  <w:noWrap w:val="0"/>
                  <w:vAlign w:val="center"/>
                </w:tcPr>
                <w:p w14:paraId="0861BA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0E3BDE6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shd w:val="clear" w:color="auto" w:fill="auto"/>
                  <w:noWrap w:val="0"/>
                  <w:vAlign w:val="center"/>
                </w:tcPr>
                <w:p w14:paraId="545561DF">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57" w:name="_Toc24488"/>
                  <w:r>
                    <w:rPr>
                      <w:rFonts w:hint="default"/>
                      <w:color w:val="auto"/>
                      <w:highlight w:val="none"/>
                    </w:rPr>
                    <w:t>过滤</w:t>
                  </w:r>
                  <w:bookmarkEnd w:id="57"/>
                </w:p>
              </w:tc>
              <w:tc>
                <w:tcPr>
                  <w:tcW w:w="1139" w:type="pct"/>
                  <w:noWrap w:val="0"/>
                  <w:vAlign w:val="center"/>
                </w:tcPr>
                <w:p w14:paraId="317527DE">
                  <w:pPr>
                    <w:pStyle w:val="114"/>
                    <w:keepNext w:val="0"/>
                    <w:keepLines w:val="0"/>
                    <w:suppressLineNumbers w:val="0"/>
                    <w:spacing w:before="0" w:beforeAutospacing="0" w:after="0" w:afterAutospacing="0"/>
                    <w:ind w:left="0" w:right="0" w:firstLine="0" w:firstLineChars="0"/>
                    <w:rPr>
                      <w:rFonts w:hint="eastAsia" w:eastAsia="宋体"/>
                      <w:color w:val="auto"/>
                      <w:kern w:val="2"/>
                      <w:sz w:val="21"/>
                      <w:szCs w:val="21"/>
                      <w:highlight w:val="none"/>
                      <w:lang w:val="en-US" w:eastAsia="zh-CN" w:bidi="ar-SA"/>
                    </w:rPr>
                  </w:pPr>
                  <w:bookmarkStart w:id="58" w:name="_Toc13536"/>
                  <w:r>
                    <w:rPr>
                      <w:rFonts w:hint="default"/>
                      <w:color w:val="auto"/>
                      <w:highlight w:val="none"/>
                    </w:rPr>
                    <w:t>过滤机</w:t>
                  </w:r>
                  <w:bookmarkEnd w:id="58"/>
                </w:p>
              </w:tc>
              <w:tc>
                <w:tcPr>
                  <w:tcW w:w="1376" w:type="pct"/>
                  <w:noWrap w:val="0"/>
                  <w:vAlign w:val="center"/>
                </w:tcPr>
                <w:p w14:paraId="5D3820BC">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59" w:name="_Toc15037"/>
                  <w:r>
                    <w:rPr>
                      <w:rFonts w:hint="default"/>
                      <w:color w:val="auto"/>
                      <w:highlight w:val="none"/>
                    </w:rPr>
                    <w:t>2BEC50</w:t>
                  </w:r>
                  <w:bookmarkEnd w:id="59"/>
                </w:p>
              </w:tc>
              <w:tc>
                <w:tcPr>
                  <w:tcW w:w="618" w:type="pct"/>
                  <w:noWrap w:val="0"/>
                  <w:vAlign w:val="center"/>
                </w:tcPr>
                <w:p w14:paraId="515F0817">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60" w:name="_Toc11079"/>
                  <w:r>
                    <w:rPr>
                      <w:rFonts w:hint="default"/>
                      <w:color w:val="auto"/>
                      <w:highlight w:val="none"/>
                    </w:rPr>
                    <w:t>4</w:t>
                  </w:r>
                  <w:bookmarkEnd w:id="60"/>
                </w:p>
              </w:tc>
              <w:tc>
                <w:tcPr>
                  <w:tcW w:w="641" w:type="pct"/>
                  <w:noWrap w:val="0"/>
                  <w:vAlign w:val="center"/>
                </w:tcPr>
                <w:p w14:paraId="5F924155">
                  <w:pPr>
                    <w:pStyle w:val="114"/>
                    <w:keepNext w:val="0"/>
                    <w:keepLines w:val="0"/>
                    <w:suppressLineNumbers w:val="0"/>
                    <w:spacing w:before="0" w:beforeAutospacing="0" w:after="0" w:afterAutospacing="0"/>
                    <w:ind w:left="0" w:right="0" w:firstLine="0" w:firstLineChars="0"/>
                    <w:jc w:val="center"/>
                    <w:rPr>
                      <w:rFonts w:hint="eastAsia" w:eastAsia="宋体"/>
                      <w:color w:val="auto"/>
                      <w:sz w:val="21"/>
                      <w:szCs w:val="21"/>
                      <w:highlight w:val="none"/>
                      <w:lang w:val="en-US" w:eastAsia="zh-CN"/>
                    </w:rPr>
                  </w:pPr>
                  <w:bookmarkStart w:id="61" w:name="_Toc23351"/>
                  <w:r>
                    <w:rPr>
                      <w:rFonts w:hint="default"/>
                      <w:color w:val="auto"/>
                      <w:highlight w:val="none"/>
                    </w:rPr>
                    <w:t>4</w:t>
                  </w:r>
                  <w:bookmarkEnd w:id="61"/>
                </w:p>
              </w:tc>
              <w:tc>
                <w:tcPr>
                  <w:tcW w:w="496" w:type="pct"/>
                  <w:noWrap w:val="0"/>
                  <w:vAlign w:val="center"/>
                </w:tcPr>
                <w:p w14:paraId="70D022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sz w:val="21"/>
                      <w:szCs w:val="21"/>
                      <w:highlight w:val="none"/>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r>
            <w:tr w14:paraId="4CD47BC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shd w:val="clear" w:color="auto" w:fill="auto"/>
                  <w:noWrap w:val="0"/>
                  <w:vAlign w:val="center"/>
                </w:tcPr>
                <w:p w14:paraId="300E4B6F">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62" w:name="_Toc28402"/>
                  <w:r>
                    <w:rPr>
                      <w:rFonts w:hint="default"/>
                      <w:color w:val="auto"/>
                      <w:highlight w:val="none"/>
                    </w:rPr>
                    <w:t>压滤</w:t>
                  </w:r>
                  <w:bookmarkEnd w:id="62"/>
                </w:p>
              </w:tc>
              <w:tc>
                <w:tcPr>
                  <w:tcW w:w="1139" w:type="pct"/>
                  <w:noWrap w:val="0"/>
                  <w:vAlign w:val="center"/>
                </w:tcPr>
                <w:p w14:paraId="607FC073">
                  <w:pPr>
                    <w:pStyle w:val="114"/>
                    <w:keepNext w:val="0"/>
                    <w:keepLines w:val="0"/>
                    <w:suppressLineNumbers w:val="0"/>
                    <w:spacing w:before="0" w:beforeAutospacing="0" w:after="0" w:afterAutospacing="0"/>
                    <w:ind w:left="0" w:right="0" w:firstLine="0" w:firstLineChars="0"/>
                    <w:rPr>
                      <w:rFonts w:hint="eastAsia"/>
                      <w:color w:val="auto"/>
                      <w:kern w:val="2"/>
                      <w:sz w:val="21"/>
                      <w:szCs w:val="21"/>
                      <w:highlight w:val="none"/>
                      <w:lang w:val="en-US" w:eastAsia="zh-CN" w:bidi="ar-SA"/>
                    </w:rPr>
                  </w:pPr>
                  <w:bookmarkStart w:id="63" w:name="_Toc4238"/>
                  <w:r>
                    <w:rPr>
                      <w:rFonts w:hint="default"/>
                      <w:color w:val="auto"/>
                      <w:highlight w:val="none"/>
                    </w:rPr>
                    <w:t>压滤机</w:t>
                  </w:r>
                  <w:bookmarkEnd w:id="63"/>
                </w:p>
              </w:tc>
              <w:tc>
                <w:tcPr>
                  <w:tcW w:w="1376" w:type="pct"/>
                  <w:noWrap w:val="0"/>
                  <w:vAlign w:val="center"/>
                </w:tcPr>
                <w:p w14:paraId="543E7FCF">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rPr>
                  </w:pPr>
                  <w:bookmarkStart w:id="64" w:name="_Toc32511"/>
                  <w:r>
                    <w:rPr>
                      <w:rFonts w:hint="default"/>
                      <w:color w:val="auto"/>
                      <w:highlight w:val="none"/>
                    </w:rPr>
                    <w:t>XMZF150/1250-30L1</w:t>
                  </w:r>
                  <w:bookmarkEnd w:id="64"/>
                </w:p>
              </w:tc>
              <w:tc>
                <w:tcPr>
                  <w:tcW w:w="618" w:type="pct"/>
                  <w:noWrap w:val="0"/>
                  <w:vAlign w:val="center"/>
                </w:tcPr>
                <w:p w14:paraId="1D8AEDD7">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65" w:name="_Toc15568"/>
                  <w:r>
                    <w:rPr>
                      <w:rFonts w:hint="default"/>
                      <w:color w:val="auto"/>
                      <w:highlight w:val="none"/>
                    </w:rPr>
                    <w:t>3</w:t>
                  </w:r>
                  <w:bookmarkEnd w:id="65"/>
                </w:p>
              </w:tc>
              <w:tc>
                <w:tcPr>
                  <w:tcW w:w="641" w:type="pct"/>
                  <w:noWrap w:val="0"/>
                  <w:vAlign w:val="center"/>
                </w:tcPr>
                <w:p w14:paraId="511DC3F7">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66" w:name="_Toc7969"/>
                  <w:r>
                    <w:rPr>
                      <w:rFonts w:hint="default"/>
                      <w:color w:val="auto"/>
                      <w:highlight w:val="none"/>
                    </w:rPr>
                    <w:t>3</w:t>
                  </w:r>
                  <w:bookmarkEnd w:id="66"/>
                </w:p>
              </w:tc>
              <w:tc>
                <w:tcPr>
                  <w:tcW w:w="496" w:type="pct"/>
                  <w:noWrap w:val="0"/>
                  <w:vAlign w:val="center"/>
                </w:tcPr>
                <w:p w14:paraId="11F3F8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r>
            <w:tr w14:paraId="3C0FFE4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shd w:val="clear" w:color="auto" w:fill="auto"/>
                  <w:noWrap w:val="0"/>
                  <w:vAlign w:val="center"/>
                </w:tcPr>
                <w:p w14:paraId="535B3430">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67" w:name="_Toc16211"/>
                  <w:r>
                    <w:rPr>
                      <w:rFonts w:hint="default"/>
                      <w:color w:val="auto"/>
                      <w:highlight w:val="none"/>
                    </w:rPr>
                    <w:t>烘干</w:t>
                  </w:r>
                  <w:bookmarkEnd w:id="67"/>
                </w:p>
              </w:tc>
              <w:tc>
                <w:tcPr>
                  <w:tcW w:w="1139" w:type="pct"/>
                  <w:noWrap w:val="0"/>
                  <w:vAlign w:val="center"/>
                </w:tcPr>
                <w:p w14:paraId="5F37AA27">
                  <w:pPr>
                    <w:pStyle w:val="114"/>
                    <w:keepNext w:val="0"/>
                    <w:keepLines w:val="0"/>
                    <w:suppressLineNumbers w:val="0"/>
                    <w:spacing w:before="0" w:beforeAutospacing="0" w:after="0" w:afterAutospacing="0"/>
                    <w:ind w:left="0" w:right="0" w:firstLine="0" w:firstLineChars="0"/>
                    <w:rPr>
                      <w:rFonts w:hint="eastAsia"/>
                      <w:color w:val="auto"/>
                      <w:kern w:val="2"/>
                      <w:sz w:val="21"/>
                      <w:szCs w:val="21"/>
                      <w:highlight w:val="none"/>
                      <w:lang w:val="en-US" w:eastAsia="zh-CN" w:bidi="ar-SA"/>
                    </w:rPr>
                  </w:pPr>
                  <w:bookmarkStart w:id="68" w:name="_Toc31231"/>
                  <w:r>
                    <w:rPr>
                      <w:rFonts w:hint="default"/>
                      <w:color w:val="auto"/>
                      <w:highlight w:val="none"/>
                    </w:rPr>
                    <w:t>烘干炉</w:t>
                  </w:r>
                  <w:bookmarkEnd w:id="68"/>
                </w:p>
              </w:tc>
              <w:tc>
                <w:tcPr>
                  <w:tcW w:w="1376" w:type="pct"/>
                  <w:noWrap w:val="0"/>
                  <w:vAlign w:val="center"/>
                </w:tcPr>
                <w:p w14:paraId="5E1B66BE">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rPr>
                  </w:pPr>
                  <w:bookmarkStart w:id="69" w:name="_Toc26146"/>
                  <w:r>
                    <w:rPr>
                      <w:rFonts w:hint="default"/>
                      <w:color w:val="auto"/>
                      <w:highlight w:val="none"/>
                    </w:rPr>
                    <w:t>140万大卡</w:t>
                  </w:r>
                  <w:bookmarkEnd w:id="69"/>
                </w:p>
              </w:tc>
              <w:tc>
                <w:tcPr>
                  <w:tcW w:w="618" w:type="pct"/>
                  <w:noWrap w:val="0"/>
                  <w:vAlign w:val="center"/>
                </w:tcPr>
                <w:p w14:paraId="1E190289">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70" w:name="_Toc17267"/>
                  <w:r>
                    <w:rPr>
                      <w:rFonts w:hint="default"/>
                      <w:color w:val="auto"/>
                      <w:highlight w:val="none"/>
                    </w:rPr>
                    <w:t>1</w:t>
                  </w:r>
                  <w:bookmarkEnd w:id="70"/>
                </w:p>
              </w:tc>
              <w:tc>
                <w:tcPr>
                  <w:tcW w:w="641" w:type="pct"/>
                  <w:noWrap w:val="0"/>
                  <w:vAlign w:val="center"/>
                </w:tcPr>
                <w:p w14:paraId="57D92413">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71" w:name="_Toc9158"/>
                  <w:r>
                    <w:rPr>
                      <w:rFonts w:hint="default"/>
                      <w:color w:val="auto"/>
                      <w:highlight w:val="none"/>
                    </w:rPr>
                    <w:t>1</w:t>
                  </w:r>
                  <w:bookmarkEnd w:id="71"/>
                </w:p>
              </w:tc>
              <w:tc>
                <w:tcPr>
                  <w:tcW w:w="496" w:type="pct"/>
                  <w:noWrap w:val="0"/>
                  <w:vAlign w:val="center"/>
                </w:tcPr>
                <w:p w14:paraId="466E59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r>
            <w:tr w14:paraId="4973640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shd w:val="clear" w:color="auto" w:fill="auto"/>
                  <w:noWrap w:val="0"/>
                  <w:vAlign w:val="center"/>
                </w:tcPr>
                <w:p w14:paraId="6F30EDCA">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heme="minorBidi"/>
                      <w:b w:val="0"/>
                      <w:color w:val="auto"/>
                      <w:kern w:val="2"/>
                      <w:sz w:val="21"/>
                      <w:szCs w:val="24"/>
                      <w:highlight w:val="none"/>
                      <w:lang w:val="en-US" w:eastAsia="zh-CN" w:bidi="ar-SA"/>
                    </w:rPr>
                  </w:pPr>
                  <w:bookmarkStart w:id="72" w:name="_Toc16811"/>
                  <w:r>
                    <w:rPr>
                      <w:rFonts w:hint="default"/>
                      <w:color w:val="auto"/>
                      <w:highlight w:val="none"/>
                    </w:rPr>
                    <w:t>输送</w:t>
                  </w:r>
                  <w:bookmarkEnd w:id="72"/>
                </w:p>
              </w:tc>
              <w:tc>
                <w:tcPr>
                  <w:tcW w:w="1139" w:type="pct"/>
                  <w:noWrap w:val="0"/>
                  <w:vAlign w:val="center"/>
                </w:tcPr>
                <w:p w14:paraId="40983661">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kern w:val="2"/>
                      <w:sz w:val="21"/>
                      <w:szCs w:val="21"/>
                      <w:highlight w:val="none"/>
                      <w:lang w:val="en-US" w:eastAsia="zh-CN" w:bidi="ar-SA"/>
                    </w:rPr>
                  </w:pPr>
                  <w:bookmarkStart w:id="73" w:name="_Toc29779"/>
                  <w:r>
                    <w:rPr>
                      <w:rFonts w:hint="default"/>
                      <w:color w:val="auto"/>
                      <w:highlight w:val="none"/>
                    </w:rPr>
                    <w:t>皮带输送</w:t>
                  </w:r>
                  <w:bookmarkEnd w:id="73"/>
                </w:p>
              </w:tc>
              <w:tc>
                <w:tcPr>
                  <w:tcW w:w="1376" w:type="pct"/>
                  <w:noWrap w:val="0"/>
                  <w:vAlign w:val="center"/>
                </w:tcPr>
                <w:p w14:paraId="36883C3B">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auto"/>
                      <w:kern w:val="0"/>
                      <w:sz w:val="21"/>
                      <w:szCs w:val="21"/>
                      <w:highlight w:val="none"/>
                      <w:u w:val="none"/>
                      <w:lang w:val="en-US" w:eastAsia="zh-CN" w:bidi="ar"/>
                    </w:rPr>
                  </w:pPr>
                  <w:bookmarkStart w:id="74" w:name="_Toc7300"/>
                  <w:r>
                    <w:rPr>
                      <w:rFonts w:hint="default"/>
                      <w:color w:val="auto"/>
                      <w:highlight w:val="none"/>
                    </w:rPr>
                    <w:t>/</w:t>
                  </w:r>
                  <w:bookmarkEnd w:id="74"/>
                </w:p>
              </w:tc>
              <w:tc>
                <w:tcPr>
                  <w:tcW w:w="618" w:type="pct"/>
                  <w:noWrap w:val="0"/>
                  <w:vAlign w:val="center"/>
                </w:tcPr>
                <w:p w14:paraId="47A06FA1">
                  <w:pPr>
                    <w:pStyle w:val="114"/>
                    <w:keepNext w:val="0"/>
                    <w:keepLines w:val="0"/>
                    <w:suppressLineNumbers w:val="0"/>
                    <w:spacing w:before="0" w:beforeAutospacing="0" w:after="0" w:afterAutospacing="0"/>
                    <w:ind w:left="0" w:right="0" w:firstLine="0" w:firstLineChars="0"/>
                    <w:jc w:val="center"/>
                    <w:rPr>
                      <w:rFonts w:hint="eastAsia"/>
                      <w:color w:val="auto"/>
                      <w:kern w:val="2"/>
                      <w:sz w:val="21"/>
                      <w:szCs w:val="21"/>
                      <w:highlight w:val="none"/>
                      <w:lang w:val="en-US" w:eastAsia="zh-CN" w:bidi="ar-SA"/>
                    </w:rPr>
                  </w:pPr>
                  <w:bookmarkStart w:id="75" w:name="_Toc29667"/>
                  <w:r>
                    <w:rPr>
                      <w:rFonts w:hint="default"/>
                      <w:color w:val="auto"/>
                      <w:highlight w:val="none"/>
                    </w:rPr>
                    <w:t>1</w:t>
                  </w:r>
                  <w:bookmarkEnd w:id="75"/>
                </w:p>
              </w:tc>
              <w:tc>
                <w:tcPr>
                  <w:tcW w:w="641" w:type="pct"/>
                  <w:noWrap w:val="0"/>
                  <w:vAlign w:val="center"/>
                </w:tcPr>
                <w:p w14:paraId="3774F181">
                  <w:pPr>
                    <w:pStyle w:val="114"/>
                    <w:keepNext w:val="0"/>
                    <w:keepLines w:val="0"/>
                    <w:suppressLineNumbers w:val="0"/>
                    <w:spacing w:before="0" w:beforeAutospacing="0" w:after="0" w:afterAutospacing="0"/>
                    <w:ind w:left="0" w:right="0" w:firstLine="0" w:firstLineChars="0"/>
                    <w:jc w:val="center"/>
                    <w:rPr>
                      <w:rFonts w:hint="eastAsia"/>
                      <w:color w:val="auto"/>
                      <w:kern w:val="2"/>
                      <w:sz w:val="21"/>
                      <w:szCs w:val="21"/>
                      <w:highlight w:val="none"/>
                      <w:lang w:val="en-US" w:eastAsia="zh-CN" w:bidi="ar-SA"/>
                    </w:rPr>
                  </w:pPr>
                  <w:bookmarkStart w:id="76" w:name="_Toc3227"/>
                  <w:r>
                    <w:rPr>
                      <w:rFonts w:hint="default"/>
                      <w:color w:val="auto"/>
                      <w:highlight w:val="none"/>
                    </w:rPr>
                    <w:t>1</w:t>
                  </w:r>
                  <w:bookmarkEnd w:id="76"/>
                </w:p>
              </w:tc>
              <w:tc>
                <w:tcPr>
                  <w:tcW w:w="496" w:type="pct"/>
                  <w:noWrap w:val="0"/>
                  <w:vAlign w:val="center"/>
                </w:tcPr>
                <w:p w14:paraId="0C9466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r>
            <w:tr w14:paraId="6F27C4C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noWrap w:val="0"/>
                  <w:vAlign w:val="center"/>
                </w:tcPr>
                <w:p w14:paraId="5B3EE4B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辅助</w:t>
                  </w:r>
                </w:p>
              </w:tc>
              <w:tc>
                <w:tcPr>
                  <w:tcW w:w="1139" w:type="pct"/>
                  <w:noWrap w:val="0"/>
                  <w:vAlign w:val="center"/>
                </w:tcPr>
                <w:p w14:paraId="7787DFA6">
                  <w:pPr>
                    <w:pStyle w:val="114"/>
                    <w:keepNext w:val="0"/>
                    <w:keepLines w:val="0"/>
                    <w:suppressLineNumbers w:val="0"/>
                    <w:spacing w:before="0" w:beforeAutospacing="0" w:after="0" w:afterAutospacing="0"/>
                    <w:ind w:left="0" w:right="0" w:firstLine="0" w:firstLineChars="0"/>
                    <w:rPr>
                      <w:rFonts w:hint="eastAsia"/>
                      <w:color w:val="auto"/>
                      <w:kern w:val="2"/>
                      <w:sz w:val="21"/>
                      <w:szCs w:val="21"/>
                      <w:highlight w:val="none"/>
                      <w:lang w:val="en-US" w:eastAsia="zh-CN" w:bidi="ar-SA"/>
                    </w:rPr>
                  </w:pPr>
                  <w:bookmarkStart w:id="77" w:name="_Toc31207"/>
                  <w:r>
                    <w:rPr>
                      <w:rFonts w:hint="default"/>
                      <w:color w:val="auto"/>
                      <w:highlight w:val="none"/>
                    </w:rPr>
                    <w:t>空压机</w:t>
                  </w:r>
                  <w:bookmarkEnd w:id="77"/>
                </w:p>
              </w:tc>
              <w:tc>
                <w:tcPr>
                  <w:tcW w:w="1376" w:type="pct"/>
                  <w:noWrap w:val="0"/>
                  <w:vAlign w:val="center"/>
                </w:tcPr>
                <w:p w14:paraId="1FF6615F">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lang w:eastAsia="zh-CN"/>
                    </w:rPr>
                  </w:pPr>
                  <w:bookmarkStart w:id="78" w:name="_Toc4057"/>
                  <w:r>
                    <w:rPr>
                      <w:rFonts w:hint="default"/>
                      <w:color w:val="auto"/>
                      <w:highlight w:val="none"/>
                    </w:rPr>
                    <w:t>/</w:t>
                  </w:r>
                  <w:bookmarkEnd w:id="78"/>
                </w:p>
              </w:tc>
              <w:tc>
                <w:tcPr>
                  <w:tcW w:w="618" w:type="pct"/>
                  <w:noWrap w:val="0"/>
                  <w:vAlign w:val="center"/>
                </w:tcPr>
                <w:p w14:paraId="68C254CA">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79" w:name="_Toc26608"/>
                  <w:r>
                    <w:rPr>
                      <w:rFonts w:hint="default"/>
                      <w:color w:val="auto"/>
                      <w:highlight w:val="none"/>
                    </w:rPr>
                    <w:t>1</w:t>
                  </w:r>
                  <w:bookmarkEnd w:id="79"/>
                </w:p>
              </w:tc>
              <w:tc>
                <w:tcPr>
                  <w:tcW w:w="641" w:type="pct"/>
                  <w:noWrap w:val="0"/>
                  <w:vAlign w:val="center"/>
                </w:tcPr>
                <w:p w14:paraId="34CE4B3F">
                  <w:pPr>
                    <w:pStyle w:val="114"/>
                    <w:keepNext w:val="0"/>
                    <w:keepLines w:val="0"/>
                    <w:suppressLineNumbers w:val="0"/>
                    <w:spacing w:before="0" w:beforeAutospacing="0" w:after="0" w:afterAutospacing="0"/>
                    <w:ind w:left="0" w:right="0" w:firstLine="0" w:firstLineChars="0"/>
                    <w:jc w:val="center"/>
                    <w:rPr>
                      <w:rFonts w:hint="eastAsia" w:eastAsia="宋体"/>
                      <w:color w:val="auto"/>
                      <w:kern w:val="2"/>
                      <w:sz w:val="21"/>
                      <w:szCs w:val="21"/>
                      <w:highlight w:val="none"/>
                      <w:lang w:val="en-US" w:eastAsia="zh-CN" w:bidi="ar-SA"/>
                    </w:rPr>
                  </w:pPr>
                  <w:bookmarkStart w:id="80" w:name="_Toc14227"/>
                  <w:r>
                    <w:rPr>
                      <w:rFonts w:hint="default"/>
                      <w:color w:val="auto"/>
                      <w:highlight w:val="none"/>
                    </w:rPr>
                    <w:t>1</w:t>
                  </w:r>
                  <w:bookmarkEnd w:id="80"/>
                </w:p>
              </w:tc>
              <w:tc>
                <w:tcPr>
                  <w:tcW w:w="496" w:type="pct"/>
                  <w:noWrap w:val="0"/>
                  <w:vAlign w:val="center"/>
                </w:tcPr>
                <w:p w14:paraId="43698B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14:paraId="2D147413">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379EF0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静压</w:t>
                  </w:r>
                </w:p>
              </w:tc>
              <w:tc>
                <w:tcPr>
                  <w:tcW w:w="1139" w:type="pct"/>
                  <w:noWrap w:val="0"/>
                  <w:vAlign w:val="center"/>
                </w:tcPr>
                <w:p w14:paraId="452AD9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静压机</w:t>
                  </w:r>
                </w:p>
              </w:tc>
              <w:tc>
                <w:tcPr>
                  <w:tcW w:w="1376" w:type="pct"/>
                  <w:noWrap w:val="0"/>
                  <w:vAlign w:val="center"/>
                </w:tcPr>
                <w:p w14:paraId="345BC9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800吨</w:t>
                  </w:r>
                </w:p>
              </w:tc>
              <w:tc>
                <w:tcPr>
                  <w:tcW w:w="618" w:type="pct"/>
                  <w:noWrap w:val="0"/>
                  <w:vAlign w:val="center"/>
                </w:tcPr>
                <w:p w14:paraId="3F38DB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140742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2</w:t>
                  </w:r>
                </w:p>
              </w:tc>
              <w:tc>
                <w:tcPr>
                  <w:tcW w:w="496" w:type="pct"/>
                  <w:noWrap w:val="0"/>
                  <w:vAlign w:val="center"/>
                </w:tcPr>
                <w:p w14:paraId="7289EC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+2</w:t>
                  </w:r>
                </w:p>
              </w:tc>
            </w:tr>
            <w:tr w14:paraId="53453D5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trHeight w:val="283" w:hRule="atLeast"/>
                <w:jc w:val="center"/>
              </w:trPr>
              <w:tc>
                <w:tcPr>
                  <w:tcW w:w="726" w:type="pct"/>
                  <w:shd w:val="clear" w:color="auto" w:fill="auto"/>
                  <w:noWrap w:val="0"/>
                  <w:vAlign w:val="center"/>
                </w:tcPr>
                <w:p w14:paraId="636395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破碎</w:t>
                  </w:r>
                </w:p>
              </w:tc>
              <w:tc>
                <w:tcPr>
                  <w:tcW w:w="1139" w:type="pct"/>
                  <w:noWrap w:val="0"/>
                  <w:vAlign w:val="center"/>
                </w:tcPr>
                <w:p w14:paraId="4ABE0F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破碎机</w:t>
                  </w:r>
                </w:p>
              </w:tc>
              <w:tc>
                <w:tcPr>
                  <w:tcW w:w="1376" w:type="pct"/>
                  <w:noWrap w:val="0"/>
                  <w:vAlign w:val="center"/>
                </w:tcPr>
                <w:p w14:paraId="4E14D5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1000x1000</w:t>
                  </w:r>
                </w:p>
              </w:tc>
              <w:tc>
                <w:tcPr>
                  <w:tcW w:w="618" w:type="pct"/>
                  <w:noWrap w:val="0"/>
                  <w:vAlign w:val="center"/>
                </w:tcPr>
                <w:p w14:paraId="76E418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29896F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1B3129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68CC344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6CEE1D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码坯</w:t>
                  </w:r>
                </w:p>
              </w:tc>
              <w:tc>
                <w:tcPr>
                  <w:tcW w:w="1139" w:type="pct"/>
                  <w:noWrap w:val="0"/>
                  <w:vAlign w:val="center"/>
                </w:tcPr>
                <w:p w14:paraId="02E4F3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码坯机</w:t>
                  </w:r>
                </w:p>
              </w:tc>
              <w:tc>
                <w:tcPr>
                  <w:tcW w:w="1376" w:type="pct"/>
                  <w:noWrap w:val="0"/>
                  <w:vAlign w:val="center"/>
                </w:tcPr>
                <w:p w14:paraId="7418E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1000型</w:t>
                  </w:r>
                </w:p>
              </w:tc>
              <w:tc>
                <w:tcPr>
                  <w:tcW w:w="618" w:type="pct"/>
                  <w:noWrap w:val="0"/>
                  <w:vAlign w:val="center"/>
                </w:tcPr>
                <w:p w14:paraId="58CF71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1E6E4C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5B8E72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70C8F5D4">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23D5BA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搅拌</w:t>
                  </w:r>
                </w:p>
              </w:tc>
              <w:tc>
                <w:tcPr>
                  <w:tcW w:w="1139" w:type="pct"/>
                  <w:noWrap w:val="0"/>
                  <w:vAlign w:val="center"/>
                </w:tcPr>
                <w:p w14:paraId="4DF23F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搅拌机</w:t>
                  </w:r>
                </w:p>
              </w:tc>
              <w:tc>
                <w:tcPr>
                  <w:tcW w:w="1376" w:type="pct"/>
                  <w:noWrap w:val="0"/>
                  <w:vAlign w:val="center"/>
                </w:tcPr>
                <w:p w14:paraId="0DF115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2000型</w:t>
                  </w:r>
                </w:p>
              </w:tc>
              <w:tc>
                <w:tcPr>
                  <w:tcW w:w="618" w:type="pct"/>
                  <w:noWrap w:val="0"/>
                  <w:vAlign w:val="center"/>
                </w:tcPr>
                <w:p w14:paraId="04D1D3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021EB0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2756F5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3D7EBF2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131953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配料</w:t>
                  </w:r>
                </w:p>
              </w:tc>
              <w:tc>
                <w:tcPr>
                  <w:tcW w:w="1139" w:type="pct"/>
                  <w:noWrap w:val="0"/>
                  <w:vAlign w:val="center"/>
                </w:tcPr>
                <w:p w14:paraId="259EC6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配料机</w:t>
                  </w:r>
                </w:p>
              </w:tc>
              <w:tc>
                <w:tcPr>
                  <w:tcW w:w="1376" w:type="pct"/>
                  <w:noWrap w:val="0"/>
                  <w:vAlign w:val="center"/>
                </w:tcPr>
                <w:p w14:paraId="296D33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2000/4仓</w:t>
                  </w:r>
                </w:p>
              </w:tc>
              <w:tc>
                <w:tcPr>
                  <w:tcW w:w="618" w:type="pct"/>
                  <w:noWrap w:val="0"/>
                  <w:vAlign w:val="center"/>
                </w:tcPr>
                <w:p w14:paraId="53260F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4C7B90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5EC6DC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330E21F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trHeight w:val="283" w:hRule="atLeast"/>
                <w:jc w:val="center"/>
              </w:trPr>
              <w:tc>
                <w:tcPr>
                  <w:tcW w:w="726" w:type="pct"/>
                  <w:shd w:val="clear" w:color="auto" w:fill="auto"/>
                  <w:noWrap w:val="0"/>
                  <w:vAlign w:val="center"/>
                </w:tcPr>
                <w:p w14:paraId="6ACC2D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给料</w:t>
                  </w:r>
                </w:p>
              </w:tc>
              <w:tc>
                <w:tcPr>
                  <w:tcW w:w="1139" w:type="pct"/>
                  <w:noWrap w:val="0"/>
                  <w:vAlign w:val="center"/>
                </w:tcPr>
                <w:p w14:paraId="4DEC1A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给料机</w:t>
                  </w:r>
                </w:p>
              </w:tc>
              <w:tc>
                <w:tcPr>
                  <w:tcW w:w="1376" w:type="pct"/>
                  <w:noWrap w:val="0"/>
                  <w:vAlign w:val="center"/>
                </w:tcPr>
                <w:p w14:paraId="2628A2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800x4000</w:t>
                  </w:r>
                </w:p>
              </w:tc>
              <w:tc>
                <w:tcPr>
                  <w:tcW w:w="618" w:type="pct"/>
                  <w:noWrap w:val="0"/>
                  <w:vAlign w:val="center"/>
                </w:tcPr>
                <w:p w14:paraId="495CB9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39A446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1194B8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64F8836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1E9B1C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打包</w:t>
                  </w:r>
                </w:p>
              </w:tc>
              <w:tc>
                <w:tcPr>
                  <w:tcW w:w="1139" w:type="pct"/>
                  <w:noWrap w:val="0"/>
                  <w:vAlign w:val="center"/>
                </w:tcPr>
                <w:p w14:paraId="463148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打包机</w:t>
                  </w:r>
                </w:p>
              </w:tc>
              <w:tc>
                <w:tcPr>
                  <w:tcW w:w="1376" w:type="pct"/>
                  <w:noWrap w:val="0"/>
                  <w:vAlign w:val="center"/>
                </w:tcPr>
                <w:p w14:paraId="09C20C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800x1000</w:t>
                  </w:r>
                </w:p>
              </w:tc>
              <w:tc>
                <w:tcPr>
                  <w:tcW w:w="618" w:type="pct"/>
                  <w:noWrap w:val="0"/>
                  <w:vAlign w:val="center"/>
                </w:tcPr>
                <w:p w14:paraId="51AD90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4141AD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409ED5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192DA699">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7FF31A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原料贮存</w:t>
                  </w:r>
                </w:p>
              </w:tc>
              <w:tc>
                <w:tcPr>
                  <w:tcW w:w="1139" w:type="pct"/>
                  <w:noWrap w:val="0"/>
                  <w:vAlign w:val="center"/>
                </w:tcPr>
                <w:p w14:paraId="307672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水泥筒仓</w:t>
                  </w:r>
                </w:p>
              </w:tc>
              <w:tc>
                <w:tcPr>
                  <w:tcW w:w="1376" w:type="pct"/>
                  <w:noWrap w:val="0"/>
                  <w:vAlign w:val="center"/>
                </w:tcPr>
                <w:p w14:paraId="177377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50m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，H6m</w:t>
                  </w:r>
                </w:p>
              </w:tc>
              <w:tc>
                <w:tcPr>
                  <w:tcW w:w="618" w:type="pct"/>
                  <w:noWrap w:val="0"/>
                  <w:vAlign w:val="center"/>
                </w:tcPr>
                <w:p w14:paraId="6D9A73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2C6787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1DD831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7B6865D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726" w:type="pct"/>
                  <w:shd w:val="clear" w:color="auto" w:fill="auto"/>
                  <w:noWrap w:val="0"/>
                  <w:vAlign w:val="center"/>
                </w:tcPr>
                <w:p w14:paraId="4E6380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原料贮存</w:t>
                  </w:r>
                </w:p>
              </w:tc>
              <w:tc>
                <w:tcPr>
                  <w:tcW w:w="1139" w:type="pct"/>
                  <w:noWrap w:val="0"/>
                  <w:vAlign w:val="center"/>
                </w:tcPr>
                <w:p w14:paraId="2162C4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石粉筒仓</w:t>
                  </w:r>
                </w:p>
              </w:tc>
              <w:tc>
                <w:tcPr>
                  <w:tcW w:w="1376" w:type="pct"/>
                  <w:noWrap w:val="0"/>
                  <w:vAlign w:val="center"/>
                </w:tcPr>
                <w:p w14:paraId="20B5DE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100m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，H10m</w:t>
                  </w:r>
                </w:p>
              </w:tc>
              <w:tc>
                <w:tcPr>
                  <w:tcW w:w="618" w:type="pct"/>
                  <w:noWrap w:val="0"/>
                  <w:vAlign w:val="center"/>
                </w:tcPr>
                <w:p w14:paraId="2D6E52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1E3556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4123CB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4BEC284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trHeight w:val="283" w:hRule="atLeast"/>
                <w:jc w:val="center"/>
              </w:trPr>
              <w:tc>
                <w:tcPr>
                  <w:tcW w:w="726" w:type="pct"/>
                  <w:shd w:val="clear" w:color="auto" w:fill="auto"/>
                  <w:noWrap w:val="0"/>
                  <w:vAlign w:val="center"/>
                </w:tcPr>
                <w:p w14:paraId="1F1742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原料贮存</w:t>
                  </w:r>
                </w:p>
              </w:tc>
              <w:tc>
                <w:tcPr>
                  <w:tcW w:w="1139" w:type="pct"/>
                  <w:noWrap w:val="0"/>
                  <w:vAlign w:val="center"/>
                </w:tcPr>
                <w:p w14:paraId="02F686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硅粉筒仓</w:t>
                  </w:r>
                </w:p>
              </w:tc>
              <w:tc>
                <w:tcPr>
                  <w:tcW w:w="1376" w:type="pct"/>
                  <w:noWrap w:val="0"/>
                  <w:vAlign w:val="center"/>
                </w:tcPr>
                <w:p w14:paraId="3A5A12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ascii="Times New Roman" w:hAnsi="Times New Roman" w:eastAsia="宋体" w:cs="Times New Roman"/>
                      <w:color w:val="auto"/>
                      <w:sz w:val="21"/>
                      <w:szCs w:val="21"/>
                      <w:highlight w:val="none"/>
                    </w:rPr>
                    <w:t>20m</w:t>
                  </w:r>
                  <w:r>
                    <w:rPr>
                      <w:rFonts w:hint="default" w:ascii="Times New Roman" w:hAnsi="Times New Roman" w:eastAsia="宋体" w:cs="Times New Roman"/>
                      <w:color w:val="auto"/>
                      <w:sz w:val="21"/>
                      <w:szCs w:val="21"/>
                      <w:highlight w:val="none"/>
                      <w:vertAlign w:val="superscript"/>
                    </w:rPr>
                    <w:t>3</w:t>
                  </w:r>
                  <w:r>
                    <w:rPr>
                      <w:rFonts w:hint="default" w:ascii="Times New Roman" w:hAnsi="Times New Roman" w:eastAsia="宋体" w:cs="Times New Roman"/>
                      <w:color w:val="auto"/>
                      <w:sz w:val="21"/>
                      <w:szCs w:val="21"/>
                      <w:highlight w:val="none"/>
                    </w:rPr>
                    <w:t>，H4m</w:t>
                  </w:r>
                </w:p>
              </w:tc>
              <w:tc>
                <w:tcPr>
                  <w:tcW w:w="618" w:type="pct"/>
                  <w:noWrap w:val="0"/>
                  <w:vAlign w:val="center"/>
                </w:tcPr>
                <w:p w14:paraId="31E727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043773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020D87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3922B696">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66C6B7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成型</w:t>
                  </w:r>
                </w:p>
              </w:tc>
              <w:tc>
                <w:tcPr>
                  <w:tcW w:w="1139" w:type="pct"/>
                  <w:noWrap w:val="0"/>
                  <w:vAlign w:val="center"/>
                </w:tcPr>
                <w:p w14:paraId="646129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模具</w:t>
                  </w:r>
                </w:p>
              </w:tc>
              <w:tc>
                <w:tcPr>
                  <w:tcW w:w="1376" w:type="pct"/>
                  <w:noWrap w:val="0"/>
                  <w:vAlign w:val="center"/>
                </w:tcPr>
                <w:p w14:paraId="51B2FE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2E2326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sz w:val="21"/>
                      <w:szCs w:val="21"/>
                      <w:highlight w:val="none"/>
                      <w:lang w:val="en-US" w:eastAsia="zh-CN"/>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6DD55B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50个</w:t>
                  </w:r>
                </w:p>
              </w:tc>
              <w:tc>
                <w:tcPr>
                  <w:tcW w:w="496" w:type="pct"/>
                  <w:noWrap w:val="0"/>
                  <w:vAlign w:val="center"/>
                </w:tcPr>
                <w:p w14:paraId="5FE254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50个</w:t>
                  </w:r>
                </w:p>
              </w:tc>
            </w:tr>
            <w:tr w14:paraId="68457C1B">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79D696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配料</w:t>
                  </w:r>
                </w:p>
              </w:tc>
              <w:tc>
                <w:tcPr>
                  <w:tcW w:w="1139" w:type="pct"/>
                  <w:noWrap w:val="0"/>
                  <w:vAlign w:val="center"/>
                </w:tcPr>
                <w:p w14:paraId="2B4D0A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配料机</w:t>
                  </w:r>
                </w:p>
              </w:tc>
              <w:tc>
                <w:tcPr>
                  <w:tcW w:w="1376" w:type="pct"/>
                  <w:noWrap w:val="0"/>
                  <w:vAlign w:val="center"/>
                </w:tcPr>
                <w:p w14:paraId="63EBFE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1600/4仓</w:t>
                  </w:r>
                </w:p>
              </w:tc>
              <w:tc>
                <w:tcPr>
                  <w:tcW w:w="618" w:type="pct"/>
                  <w:noWrap w:val="0"/>
                  <w:vAlign w:val="center"/>
                </w:tcPr>
                <w:p w14:paraId="6EC5FD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521DF0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602818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1B852D52">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3D6AFA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搅拌</w:t>
                  </w:r>
                </w:p>
              </w:tc>
              <w:tc>
                <w:tcPr>
                  <w:tcW w:w="1139" w:type="pct"/>
                  <w:noWrap w:val="0"/>
                  <w:vAlign w:val="center"/>
                </w:tcPr>
                <w:p w14:paraId="3A6F536A">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cs="Times New Roman"/>
                      <w:color w:val="auto"/>
                      <w:spacing w:val="7"/>
                      <w:sz w:val="21"/>
                      <w:szCs w:val="21"/>
                      <w:highlight w:val="none"/>
                    </w:rPr>
                    <w:t>搅拌机</w:t>
                  </w:r>
                </w:p>
              </w:tc>
              <w:tc>
                <w:tcPr>
                  <w:tcW w:w="1376" w:type="pct"/>
                  <w:noWrap w:val="0"/>
                  <w:vAlign w:val="center"/>
                </w:tcPr>
                <w:p w14:paraId="729332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14D697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63BB23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02B314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1A7871E7">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PrEx>
              <w:trPr>
                <w:trHeight w:val="283" w:hRule="atLeast"/>
                <w:jc w:val="center"/>
              </w:trPr>
              <w:tc>
                <w:tcPr>
                  <w:tcW w:w="726" w:type="pct"/>
                  <w:shd w:val="clear" w:color="auto" w:fill="auto"/>
                  <w:noWrap w:val="0"/>
                  <w:vAlign w:val="center"/>
                </w:tcPr>
                <w:p w14:paraId="424525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打包</w:t>
                  </w:r>
                </w:p>
              </w:tc>
              <w:tc>
                <w:tcPr>
                  <w:tcW w:w="1139" w:type="pct"/>
                  <w:noWrap w:val="0"/>
                  <w:vAlign w:val="center"/>
                </w:tcPr>
                <w:p w14:paraId="1E44B3CC">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cs="Times New Roman"/>
                      <w:color w:val="auto"/>
                      <w:spacing w:val="5"/>
                      <w:sz w:val="21"/>
                      <w:szCs w:val="21"/>
                      <w:highlight w:val="none"/>
                    </w:rPr>
                    <w:t>打包机</w:t>
                  </w:r>
                </w:p>
              </w:tc>
              <w:tc>
                <w:tcPr>
                  <w:tcW w:w="1376" w:type="pct"/>
                  <w:noWrap w:val="0"/>
                  <w:vAlign w:val="center"/>
                </w:tcPr>
                <w:p w14:paraId="567068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1589CE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27C5C7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476712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4E80E00F">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103A1C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物料输送</w:t>
                  </w:r>
                </w:p>
              </w:tc>
              <w:tc>
                <w:tcPr>
                  <w:tcW w:w="1139" w:type="pct"/>
                  <w:noWrap w:val="0"/>
                  <w:vAlign w:val="center"/>
                </w:tcPr>
                <w:p w14:paraId="5C8CEE1D">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cs="Times New Roman"/>
                      <w:color w:val="auto"/>
                      <w:spacing w:val="7"/>
                      <w:sz w:val="21"/>
                      <w:szCs w:val="21"/>
                      <w:highlight w:val="none"/>
                    </w:rPr>
                    <w:t>输送带</w:t>
                  </w:r>
                </w:p>
              </w:tc>
              <w:tc>
                <w:tcPr>
                  <w:tcW w:w="1376" w:type="pct"/>
                  <w:noWrap w:val="0"/>
                  <w:vAlign w:val="center"/>
                </w:tcPr>
                <w:p w14:paraId="6B8F05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322B4B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eastAsia="宋体"/>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565D21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微软雅黑" w:cstheme="minorBidi"/>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4条</w:t>
                  </w:r>
                </w:p>
              </w:tc>
              <w:tc>
                <w:tcPr>
                  <w:tcW w:w="496" w:type="pct"/>
                  <w:noWrap w:val="0"/>
                  <w:vAlign w:val="center"/>
                </w:tcPr>
                <w:p w14:paraId="114C3E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+4条</w:t>
                  </w:r>
                </w:p>
              </w:tc>
            </w:tr>
            <w:tr w14:paraId="5459C45D">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33733C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投料</w:t>
                  </w:r>
                </w:p>
              </w:tc>
              <w:tc>
                <w:tcPr>
                  <w:tcW w:w="1139" w:type="pct"/>
                  <w:noWrap w:val="0"/>
                  <w:vAlign w:val="center"/>
                </w:tcPr>
                <w:p w14:paraId="2D4655F2">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cs="Times New Roman"/>
                      <w:color w:val="auto"/>
                      <w:spacing w:val="3"/>
                      <w:sz w:val="21"/>
                      <w:szCs w:val="21"/>
                      <w:highlight w:val="none"/>
                    </w:rPr>
                    <w:t>叉车</w:t>
                  </w:r>
                </w:p>
              </w:tc>
              <w:tc>
                <w:tcPr>
                  <w:tcW w:w="1376" w:type="pct"/>
                  <w:noWrap w:val="0"/>
                  <w:vAlign w:val="center"/>
                </w:tcPr>
                <w:p w14:paraId="417A043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59E04E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159EFB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462E34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r w14:paraId="7F5F25B8">
              <w:tblPrEx>
                <w:tblBorders>
                  <w:top w:val="single" w:color="auto" w:sz="2" w:space="0"/>
                  <w:left w:val="none" w:color="auto" w:sz="0" w:space="0"/>
                  <w:bottom w:val="single" w:color="auto" w:sz="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83" w:hRule="atLeast"/>
                <w:jc w:val="center"/>
              </w:trPr>
              <w:tc>
                <w:tcPr>
                  <w:tcW w:w="726" w:type="pct"/>
                  <w:shd w:val="clear" w:color="auto" w:fill="auto"/>
                  <w:noWrap w:val="0"/>
                  <w:vAlign w:val="center"/>
                </w:tcPr>
                <w:p w14:paraId="5C0C68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投料</w:t>
                  </w:r>
                </w:p>
              </w:tc>
              <w:tc>
                <w:tcPr>
                  <w:tcW w:w="1139" w:type="pct"/>
                  <w:noWrap w:val="0"/>
                  <w:vAlign w:val="center"/>
                </w:tcPr>
                <w:p w14:paraId="3CC235D4">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eastAsia"/>
                      <w:color w:val="auto"/>
                      <w:kern w:val="2"/>
                      <w:sz w:val="21"/>
                      <w:szCs w:val="21"/>
                      <w:highlight w:val="none"/>
                      <w:lang w:val="en-US" w:eastAsia="zh-CN" w:bidi="ar-SA"/>
                    </w:rPr>
                  </w:pPr>
                  <w:r>
                    <w:rPr>
                      <w:rFonts w:hint="default" w:ascii="Times New Roman" w:hAnsi="Times New Roman" w:cs="Times New Roman"/>
                      <w:color w:val="auto"/>
                      <w:spacing w:val="4"/>
                      <w:sz w:val="21"/>
                      <w:szCs w:val="21"/>
                      <w:highlight w:val="none"/>
                    </w:rPr>
                    <w:t>铲车</w:t>
                  </w:r>
                </w:p>
              </w:tc>
              <w:tc>
                <w:tcPr>
                  <w:tcW w:w="1376" w:type="pct"/>
                  <w:noWrap w:val="0"/>
                  <w:vAlign w:val="center"/>
                </w:tcPr>
                <w:p w14:paraId="39B660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ascii="Times New Roman" w:hAnsi="Times New Roman" w:eastAsia="宋体" w:cs="Times New Roman"/>
                      <w:color w:val="auto"/>
                      <w:sz w:val="21"/>
                      <w:szCs w:val="21"/>
                      <w:highlight w:val="none"/>
                    </w:rPr>
                    <w:t>/</w:t>
                  </w:r>
                </w:p>
              </w:tc>
              <w:tc>
                <w:tcPr>
                  <w:tcW w:w="618" w:type="pct"/>
                  <w:noWrap w:val="0"/>
                  <w:vAlign w:val="center"/>
                </w:tcPr>
                <w:p w14:paraId="7E9B43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kern w:val="2"/>
                      <w:sz w:val="21"/>
                      <w:szCs w:val="21"/>
                      <w:highlight w:val="none"/>
                      <w:lang w:val="en-US" w:eastAsia="zh-CN" w:bidi="ar-SA"/>
                    </w:rPr>
                  </w:pPr>
                  <w:r>
                    <w:rPr>
                      <w:rFonts w:hint="eastAsia" w:ascii="Times New Roman" w:hAnsi="Times New Roman" w:eastAsia="宋体" w:cs="Times New Roman"/>
                      <w:i w:val="0"/>
                      <w:iCs w:val="0"/>
                      <w:color w:val="auto"/>
                      <w:kern w:val="0"/>
                      <w:sz w:val="21"/>
                      <w:szCs w:val="21"/>
                      <w:highlight w:val="none"/>
                      <w:u w:val="none"/>
                      <w:lang w:val="en-US" w:eastAsia="zh-CN" w:bidi="ar"/>
                    </w:rPr>
                    <w:t>0</w:t>
                  </w:r>
                </w:p>
              </w:tc>
              <w:tc>
                <w:tcPr>
                  <w:tcW w:w="641" w:type="pct"/>
                  <w:shd w:val="clear" w:color="auto" w:fill="auto"/>
                  <w:noWrap w:val="0"/>
                  <w:vAlign w:val="center"/>
                </w:tcPr>
                <w:p w14:paraId="0F4B6D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w:t>
                  </w:r>
                </w:p>
              </w:tc>
              <w:tc>
                <w:tcPr>
                  <w:tcW w:w="496" w:type="pct"/>
                  <w:noWrap w:val="0"/>
                  <w:vAlign w:val="center"/>
                </w:tcPr>
                <w:p w14:paraId="452389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1</w:t>
                  </w:r>
                </w:p>
              </w:tc>
            </w:tr>
          </w:tbl>
          <w:p w14:paraId="6DBA266B">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rPr>
            </w:pPr>
            <w:r>
              <w:rPr>
                <w:rFonts w:hint="default" w:ascii="Times New Roman" w:hAnsi="Times New Roman" w:cs="Times New Roman"/>
                <w:b/>
                <w:bCs w:val="0"/>
                <w:color w:val="auto"/>
                <w:highlight w:val="none"/>
                <w:lang w:val="en-US" w:eastAsia="zh-CN"/>
              </w:rPr>
              <w:t>6</w:t>
            </w:r>
            <w:r>
              <w:rPr>
                <w:rFonts w:hint="default" w:ascii="Times New Roman" w:hAnsi="Times New Roman" w:cs="Times New Roman"/>
                <w:b/>
                <w:bCs w:val="0"/>
                <w:color w:val="auto"/>
                <w:highlight w:val="none"/>
              </w:rPr>
              <w:t>、主要原辅料及能源</w:t>
            </w:r>
          </w:p>
          <w:p w14:paraId="665CF136">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本项目使用的原料主要为</w:t>
            </w:r>
            <w:r>
              <w:rPr>
                <w:rFonts w:hint="default" w:ascii="Times New Roman" w:hAnsi="Times New Roman" w:cs="Times New Roman"/>
                <w:color w:val="auto"/>
                <w:highlight w:val="none"/>
                <w:lang w:val="en-US" w:eastAsia="zh-CN"/>
              </w:rPr>
              <w:t>鉴定为</w:t>
            </w:r>
            <w:r>
              <w:rPr>
                <w:rFonts w:hint="default" w:ascii="Times New Roman" w:hAnsi="Times New Roman" w:cs="Times New Roman"/>
                <w:color w:val="auto"/>
                <w:highlight w:val="none"/>
              </w:rPr>
              <w:t>一般工业固体废物</w:t>
            </w:r>
            <w:r>
              <w:rPr>
                <w:rFonts w:hint="default" w:ascii="Times New Roman" w:hAnsi="Times New Roman" w:cs="Times New Roman"/>
                <w:color w:val="auto"/>
                <w:highlight w:val="none"/>
                <w:lang w:val="en-US" w:eastAsia="zh-CN"/>
              </w:rPr>
              <w:t>的</w:t>
            </w:r>
            <w:r>
              <w:rPr>
                <w:rFonts w:hint="default" w:ascii="Times New Roman" w:hAnsi="Times New Roman" w:cs="Times New Roman"/>
                <w:color w:val="auto"/>
                <w:highlight w:val="none"/>
              </w:rPr>
              <w:t>锂渣</w:t>
            </w:r>
            <w:r>
              <w:rPr>
                <w:rFonts w:hint="default" w:ascii="Times New Roman" w:hAnsi="Times New Roman" w:cs="Times New Roman"/>
                <w:color w:val="auto"/>
                <w:highlight w:val="none"/>
                <w:lang w:val="en-US" w:eastAsia="zh-CN"/>
              </w:rPr>
              <w:t>和粉煤灰</w:t>
            </w:r>
            <w:r>
              <w:rPr>
                <w:rFonts w:hint="eastAsia" w:cs="Times New Roman"/>
                <w:color w:val="auto"/>
                <w:highlight w:val="none"/>
                <w:lang w:val="en-US" w:eastAsia="zh-CN"/>
              </w:rPr>
              <w:t>、</w:t>
            </w:r>
            <w:r>
              <w:rPr>
                <w:rFonts w:hint="default" w:ascii="Times New Roman" w:hAnsi="Times New Roman" w:cs="Times New Roman"/>
                <w:color w:val="auto"/>
                <w:highlight w:val="none"/>
              </w:rPr>
              <w:t>水泥</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碎石</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螯合剂、</w:t>
            </w:r>
            <w:r>
              <w:rPr>
                <w:rFonts w:hint="default" w:ascii="Times New Roman" w:hAnsi="Times New Roman" w:cs="Times New Roman"/>
                <w:color w:val="auto"/>
                <w:highlight w:val="none"/>
                <w:lang w:eastAsia="zh-CN"/>
              </w:rPr>
              <w:t>抑碱剂、</w:t>
            </w:r>
            <w:r>
              <w:rPr>
                <w:rFonts w:hint="default" w:ascii="Times New Roman" w:hAnsi="Times New Roman" w:cs="Times New Roman"/>
                <w:color w:val="auto"/>
                <w:highlight w:val="none"/>
                <w:lang w:val="en-US" w:eastAsia="zh-CN"/>
              </w:rPr>
              <w:t>固化剂</w:t>
            </w:r>
            <w:r>
              <w:rPr>
                <w:rFonts w:hint="default" w:ascii="Times New Roman" w:hAnsi="Times New Roman" w:cs="Times New Roman"/>
                <w:color w:val="auto"/>
                <w:highlight w:val="none"/>
              </w:rPr>
              <w:t>等，不使用污泥，不涉及危险废物使用</w:t>
            </w:r>
            <w:r>
              <w:rPr>
                <w:rFonts w:hint="default" w:ascii="Times New Roman" w:hAnsi="Times New Roman" w:cs="Times New Roman"/>
                <w:color w:val="auto"/>
                <w:highlight w:val="none"/>
                <w:lang w:eastAsia="zh-CN"/>
              </w:rPr>
              <w:t>，本项目</w:t>
            </w:r>
            <w:r>
              <w:rPr>
                <w:rFonts w:hint="eastAsia" w:cs="Times New Roman"/>
                <w:color w:val="auto"/>
                <w:highlight w:val="none"/>
                <w:lang w:eastAsia="zh-CN"/>
              </w:rPr>
              <w:t>锂渣</w:t>
            </w:r>
            <w:r>
              <w:rPr>
                <w:rFonts w:hint="default" w:ascii="Times New Roman" w:hAnsi="Times New Roman" w:cs="Times New Roman"/>
                <w:color w:val="auto"/>
                <w:highlight w:val="none"/>
                <w:lang w:eastAsia="zh-CN"/>
              </w:rPr>
              <w:t>来源上游锂电企业宜丰国轩锂业有限公司鉴定为一般固废的浸出渣，</w:t>
            </w:r>
            <w:r>
              <w:rPr>
                <w:rFonts w:hint="default" w:ascii="Times New Roman" w:hAnsi="Times New Roman" w:cs="Times New Roman"/>
                <w:color w:val="auto"/>
                <w:highlight w:val="none"/>
                <w:lang w:val="en-US" w:eastAsia="zh-CN"/>
              </w:rPr>
              <w:t>粉煤灰主要来源于项目附近的燃煤电厂。</w:t>
            </w:r>
            <w:r>
              <w:rPr>
                <w:rFonts w:hint="default" w:ascii="Times New Roman" w:hAnsi="Times New Roman" w:cs="Times New Roman"/>
                <w:color w:val="auto"/>
                <w:highlight w:val="none"/>
              </w:rPr>
              <w:t>主要原辅材料用量见</w:t>
            </w:r>
            <w:r>
              <w:rPr>
                <w:rFonts w:hint="default" w:ascii="Times New Roman" w:hAnsi="Times New Roman" w:cs="Times New Roman"/>
                <w:color w:val="auto"/>
                <w:highlight w:val="none"/>
                <w:lang w:val="en-US" w:eastAsia="zh-CN"/>
              </w:rPr>
              <w:t>下</w:t>
            </w:r>
            <w:r>
              <w:rPr>
                <w:rFonts w:hint="default" w:ascii="Times New Roman" w:hAnsi="Times New Roman" w:cs="Times New Roman"/>
                <w:color w:val="auto"/>
                <w:highlight w:val="none"/>
              </w:rPr>
              <w:t>表。</w:t>
            </w:r>
          </w:p>
          <w:p w14:paraId="4CD1B7A7">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本项目</w:t>
            </w:r>
            <w:r>
              <w:rPr>
                <w:rFonts w:hint="default" w:ascii="Times New Roman" w:hAnsi="Times New Roman" w:eastAsia="宋体" w:cs="Times New Roman"/>
                <w:color w:val="auto"/>
                <w:sz w:val="21"/>
                <w:szCs w:val="21"/>
                <w:highlight w:val="none"/>
                <w:lang w:val="en-US" w:eastAsia="zh-CN"/>
              </w:rPr>
              <w:t>主要原辅材料一览表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51" w:type="dxa"/>
                <w:bottom w:w="0" w:type="dxa"/>
                <w:right w:w="51" w:type="dxa"/>
              </w:tblCellMar>
            </w:tblPr>
            <w:tblGrid>
              <w:gridCol w:w="665"/>
              <w:gridCol w:w="913"/>
              <w:gridCol w:w="772"/>
              <w:gridCol w:w="891"/>
              <w:gridCol w:w="840"/>
              <w:gridCol w:w="708"/>
              <w:gridCol w:w="1096"/>
              <w:gridCol w:w="2195"/>
            </w:tblGrid>
            <w:tr w14:paraId="3845F00D">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tcBorders>
                    <w:tl2br w:val="nil"/>
                    <w:tr2bl w:val="nil"/>
                  </w:tcBorders>
                  <w:noWrap w:val="0"/>
                  <w:vAlign w:val="center"/>
                </w:tcPr>
                <w:p w14:paraId="2E7ED6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产品</w:t>
                  </w:r>
                </w:p>
              </w:tc>
              <w:tc>
                <w:tcPr>
                  <w:tcW w:w="913" w:type="dxa"/>
                  <w:tcBorders>
                    <w:tl2br w:val="nil"/>
                    <w:tr2bl w:val="nil"/>
                  </w:tcBorders>
                  <w:noWrap w:val="0"/>
                  <w:vAlign w:val="center"/>
                </w:tcPr>
                <w:p w14:paraId="57B173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原料名称</w:t>
                  </w:r>
                </w:p>
              </w:tc>
              <w:tc>
                <w:tcPr>
                  <w:tcW w:w="772" w:type="dxa"/>
                  <w:tcBorders>
                    <w:tl2br w:val="nil"/>
                    <w:tr2bl w:val="nil"/>
                  </w:tcBorders>
                  <w:noWrap w:val="0"/>
                  <w:vAlign w:val="center"/>
                </w:tcPr>
                <w:p w14:paraId="449B38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形态</w:t>
                  </w:r>
                </w:p>
              </w:tc>
              <w:tc>
                <w:tcPr>
                  <w:tcW w:w="891" w:type="dxa"/>
                  <w:tcBorders>
                    <w:tl2br w:val="nil"/>
                    <w:tr2bl w:val="nil"/>
                  </w:tcBorders>
                  <w:noWrap w:val="0"/>
                  <w:vAlign w:val="center"/>
                </w:tcPr>
                <w:p w14:paraId="42CF00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lang w:eastAsia="zh-CN"/>
                    </w:rPr>
                  </w:pPr>
                  <w:r>
                    <w:rPr>
                      <w:rFonts w:hint="default" w:ascii="Times New Roman" w:hAnsi="Times New Roman" w:cs="Times New Roman"/>
                      <w:b/>
                      <w:bCs/>
                      <w:color w:val="auto"/>
                      <w:highlight w:val="none"/>
                      <w:lang w:val="en-US" w:eastAsia="zh-CN"/>
                    </w:rPr>
                    <w:t>年</w:t>
                  </w:r>
                  <w:r>
                    <w:rPr>
                      <w:rFonts w:hint="default" w:ascii="Times New Roman" w:hAnsi="Times New Roman" w:cs="Times New Roman"/>
                      <w:b/>
                      <w:bCs/>
                      <w:color w:val="auto"/>
                      <w:highlight w:val="none"/>
                    </w:rPr>
                    <w:t>使用量t</w:t>
                  </w:r>
                </w:p>
              </w:tc>
              <w:tc>
                <w:tcPr>
                  <w:tcW w:w="840" w:type="dxa"/>
                  <w:tcBorders>
                    <w:tl2br w:val="nil"/>
                    <w:tr2bl w:val="nil"/>
                  </w:tcBorders>
                  <w:noWrap w:val="0"/>
                  <w:vAlign w:val="center"/>
                </w:tcPr>
                <w:p w14:paraId="5F6FC5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最大储存量t</w:t>
                  </w:r>
                </w:p>
              </w:tc>
              <w:tc>
                <w:tcPr>
                  <w:tcW w:w="708" w:type="dxa"/>
                  <w:tcBorders>
                    <w:tl2br w:val="nil"/>
                    <w:tr2bl w:val="nil"/>
                  </w:tcBorders>
                  <w:noWrap w:val="0"/>
                  <w:vAlign w:val="center"/>
                </w:tcPr>
                <w:p w14:paraId="35A5A3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包装规格</w:t>
                  </w:r>
                </w:p>
              </w:tc>
              <w:tc>
                <w:tcPr>
                  <w:tcW w:w="1096" w:type="dxa"/>
                  <w:tcBorders>
                    <w:tl2br w:val="nil"/>
                    <w:tr2bl w:val="nil"/>
                  </w:tcBorders>
                  <w:noWrap w:val="0"/>
                  <w:vAlign w:val="center"/>
                </w:tcPr>
                <w:p w14:paraId="35180D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储存位置</w:t>
                  </w:r>
                </w:p>
              </w:tc>
              <w:tc>
                <w:tcPr>
                  <w:tcW w:w="2195" w:type="dxa"/>
                  <w:tcBorders>
                    <w:tl2br w:val="nil"/>
                    <w:tr2bl w:val="nil"/>
                  </w:tcBorders>
                  <w:noWrap w:val="0"/>
                  <w:vAlign w:val="center"/>
                </w:tcPr>
                <w:p w14:paraId="08B69C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原料标准</w:t>
                  </w:r>
                </w:p>
              </w:tc>
            </w:tr>
            <w:tr w14:paraId="1F9BE911">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restart"/>
                  <w:tcBorders>
                    <w:tl2br w:val="nil"/>
                    <w:tr2bl w:val="nil"/>
                  </w:tcBorders>
                  <w:shd w:val="clear" w:color="auto" w:fill="auto"/>
                  <w:noWrap w:val="0"/>
                  <w:vAlign w:val="center"/>
                </w:tcPr>
                <w:p w14:paraId="6F1D76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掺合料</w:t>
                  </w:r>
                </w:p>
              </w:tc>
              <w:tc>
                <w:tcPr>
                  <w:tcW w:w="913" w:type="dxa"/>
                  <w:tcBorders>
                    <w:tl2br w:val="nil"/>
                    <w:tr2bl w:val="nil"/>
                  </w:tcBorders>
                  <w:shd w:val="clear" w:color="auto" w:fill="auto"/>
                  <w:noWrap w:val="0"/>
                  <w:vAlign w:val="center"/>
                </w:tcPr>
                <w:p w14:paraId="0539BD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锂渣</w:t>
                  </w:r>
                </w:p>
              </w:tc>
              <w:tc>
                <w:tcPr>
                  <w:tcW w:w="772" w:type="dxa"/>
                  <w:tcBorders>
                    <w:tl2br w:val="nil"/>
                    <w:tr2bl w:val="nil"/>
                  </w:tcBorders>
                  <w:shd w:val="clear" w:color="auto" w:fill="auto"/>
                  <w:noWrap w:val="0"/>
                  <w:vAlign w:val="center"/>
                </w:tcPr>
                <w:p w14:paraId="467BC9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固态</w:t>
                  </w:r>
                </w:p>
              </w:tc>
              <w:tc>
                <w:tcPr>
                  <w:tcW w:w="891" w:type="dxa"/>
                  <w:tcBorders>
                    <w:tl2br w:val="nil"/>
                    <w:tr2bl w:val="nil"/>
                  </w:tcBorders>
                  <w:shd w:val="clear" w:color="auto" w:fill="auto"/>
                  <w:noWrap w:val="0"/>
                  <w:vAlign w:val="center"/>
                </w:tcPr>
                <w:p w14:paraId="186008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17.1</w:t>
                  </w:r>
                  <w:r>
                    <w:rPr>
                      <w:rFonts w:hint="default" w:ascii="Times New Roman" w:hAnsi="Times New Roman" w:cs="Times New Roman"/>
                      <w:color w:val="FF0000"/>
                      <w:highlight w:val="none"/>
                      <w:lang w:val="en-US" w:eastAsia="zh-CN"/>
                    </w:rPr>
                    <w:t>万</w:t>
                  </w:r>
                </w:p>
              </w:tc>
              <w:tc>
                <w:tcPr>
                  <w:tcW w:w="840" w:type="dxa"/>
                  <w:tcBorders>
                    <w:tl2br w:val="nil"/>
                    <w:tr2bl w:val="nil"/>
                  </w:tcBorders>
                  <w:shd w:val="clear" w:color="auto" w:fill="auto"/>
                  <w:noWrap w:val="0"/>
                  <w:vAlign w:val="center"/>
                </w:tcPr>
                <w:p w14:paraId="7ED67A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8600</w:t>
                  </w:r>
                </w:p>
              </w:tc>
              <w:tc>
                <w:tcPr>
                  <w:tcW w:w="708" w:type="dxa"/>
                  <w:tcBorders>
                    <w:tl2br w:val="nil"/>
                    <w:tr2bl w:val="nil"/>
                  </w:tcBorders>
                  <w:shd w:val="clear" w:color="auto" w:fill="auto"/>
                  <w:noWrap w:val="0"/>
                  <w:vAlign w:val="center"/>
                </w:tcPr>
                <w:p w14:paraId="7DABEB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散装</w:t>
                  </w:r>
                </w:p>
              </w:tc>
              <w:tc>
                <w:tcPr>
                  <w:tcW w:w="1096" w:type="dxa"/>
                  <w:tcBorders>
                    <w:tl2br w:val="nil"/>
                    <w:tr2bl w:val="nil"/>
                  </w:tcBorders>
                  <w:shd w:val="clear" w:color="auto" w:fill="auto"/>
                  <w:noWrap w:val="0"/>
                  <w:vAlign w:val="center"/>
                </w:tcPr>
                <w:p w14:paraId="5229E6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锂渣仓库</w:t>
                  </w:r>
                </w:p>
              </w:tc>
              <w:tc>
                <w:tcPr>
                  <w:tcW w:w="2195" w:type="dxa"/>
                  <w:tcBorders>
                    <w:tl2br w:val="nil"/>
                    <w:tr2bl w:val="nil"/>
                  </w:tcBorders>
                  <w:shd w:val="clear" w:color="auto" w:fill="auto"/>
                  <w:noWrap w:val="0"/>
                  <w:vAlign w:val="center"/>
                </w:tcPr>
                <w:p w14:paraId="0CD8A2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《用于水泥和混凝土中的锂渣粉》（YB/T4230-2010）</w:t>
                  </w:r>
                </w:p>
              </w:tc>
            </w:tr>
            <w:tr w14:paraId="1C0304E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90" w:hRule="atLeast"/>
                <w:jc w:val="center"/>
              </w:trPr>
              <w:tc>
                <w:tcPr>
                  <w:tcW w:w="665" w:type="dxa"/>
                  <w:vMerge w:val="continue"/>
                  <w:tcBorders>
                    <w:tl2br w:val="nil"/>
                    <w:tr2bl w:val="nil"/>
                  </w:tcBorders>
                  <w:shd w:val="clear" w:color="auto" w:fill="auto"/>
                  <w:noWrap w:val="0"/>
                  <w:vAlign w:val="center"/>
                </w:tcPr>
                <w:p w14:paraId="557684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32BCB0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粉煤灰</w:t>
                  </w:r>
                </w:p>
              </w:tc>
              <w:tc>
                <w:tcPr>
                  <w:tcW w:w="772" w:type="dxa"/>
                  <w:tcBorders>
                    <w:tl2br w:val="nil"/>
                    <w:tr2bl w:val="nil"/>
                  </w:tcBorders>
                  <w:shd w:val="clear" w:color="auto" w:fill="auto"/>
                  <w:noWrap w:val="0"/>
                  <w:vAlign w:val="center"/>
                </w:tcPr>
                <w:p w14:paraId="385B9F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固态</w:t>
                  </w:r>
                </w:p>
              </w:tc>
              <w:tc>
                <w:tcPr>
                  <w:tcW w:w="891" w:type="dxa"/>
                  <w:tcBorders>
                    <w:tl2br w:val="nil"/>
                    <w:tr2bl w:val="nil"/>
                  </w:tcBorders>
                  <w:shd w:val="clear" w:color="auto" w:fill="auto"/>
                  <w:noWrap w:val="0"/>
                  <w:vAlign w:val="center"/>
                </w:tcPr>
                <w:p w14:paraId="177ADC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6</w:t>
                  </w:r>
                  <w:r>
                    <w:rPr>
                      <w:rFonts w:hint="default" w:ascii="Times New Roman" w:hAnsi="Times New Roman" w:cs="Times New Roman"/>
                      <w:color w:val="auto"/>
                      <w:highlight w:val="none"/>
                      <w:lang w:val="en-US" w:eastAsia="zh-CN"/>
                    </w:rPr>
                    <w:t>万</w:t>
                  </w:r>
                </w:p>
              </w:tc>
              <w:tc>
                <w:tcPr>
                  <w:tcW w:w="840" w:type="dxa"/>
                  <w:tcBorders>
                    <w:tl2br w:val="nil"/>
                    <w:tr2bl w:val="nil"/>
                  </w:tcBorders>
                  <w:shd w:val="clear" w:color="auto" w:fill="auto"/>
                  <w:noWrap w:val="0"/>
                  <w:vAlign w:val="center"/>
                </w:tcPr>
                <w:p w14:paraId="001A9C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1400</w:t>
                  </w:r>
                </w:p>
              </w:tc>
              <w:tc>
                <w:tcPr>
                  <w:tcW w:w="708" w:type="dxa"/>
                  <w:tcBorders>
                    <w:tl2br w:val="nil"/>
                    <w:tr2bl w:val="nil"/>
                  </w:tcBorders>
                  <w:shd w:val="clear" w:color="auto" w:fill="auto"/>
                  <w:noWrap w:val="0"/>
                  <w:vAlign w:val="center"/>
                </w:tcPr>
                <w:p w14:paraId="391E07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散装</w:t>
                  </w:r>
                </w:p>
              </w:tc>
              <w:tc>
                <w:tcPr>
                  <w:tcW w:w="1096" w:type="dxa"/>
                  <w:tcBorders>
                    <w:tl2br w:val="nil"/>
                    <w:tr2bl w:val="nil"/>
                  </w:tcBorders>
                  <w:shd w:val="clear" w:color="auto" w:fill="auto"/>
                  <w:noWrap w:val="0"/>
                  <w:vAlign w:val="center"/>
                </w:tcPr>
                <w:p w14:paraId="1D8A1C2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筒仓</w:t>
                  </w:r>
                </w:p>
              </w:tc>
              <w:tc>
                <w:tcPr>
                  <w:tcW w:w="2195" w:type="dxa"/>
                  <w:tcBorders>
                    <w:tl2br w:val="nil"/>
                    <w:tr2bl w:val="nil"/>
                  </w:tcBorders>
                  <w:shd w:val="clear" w:color="auto" w:fill="auto"/>
                  <w:noWrap w:val="0"/>
                  <w:vAlign w:val="center"/>
                </w:tcPr>
                <w:p w14:paraId="6C992F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《用于水泥和混凝土中的粉煤灰》（GB/T1596-2017）</w:t>
                  </w:r>
                </w:p>
              </w:tc>
            </w:tr>
            <w:tr w14:paraId="78AF96C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PrEx>
              <w:trPr>
                <w:trHeight w:val="0" w:hRule="atLeast"/>
                <w:jc w:val="center"/>
              </w:trPr>
              <w:tc>
                <w:tcPr>
                  <w:tcW w:w="665" w:type="dxa"/>
                  <w:vMerge w:val="continue"/>
                  <w:tcBorders>
                    <w:tl2br w:val="nil"/>
                    <w:tr2bl w:val="nil"/>
                  </w:tcBorders>
                  <w:shd w:val="clear" w:color="auto" w:fill="auto"/>
                  <w:noWrap w:val="0"/>
                  <w:vAlign w:val="center"/>
                </w:tcPr>
                <w:p w14:paraId="68E029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700EEA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石膏粉</w:t>
                  </w:r>
                </w:p>
              </w:tc>
              <w:tc>
                <w:tcPr>
                  <w:tcW w:w="772" w:type="dxa"/>
                  <w:tcBorders>
                    <w:tl2br w:val="nil"/>
                    <w:tr2bl w:val="nil"/>
                  </w:tcBorders>
                  <w:shd w:val="clear" w:color="auto" w:fill="auto"/>
                  <w:noWrap w:val="0"/>
                  <w:vAlign w:val="center"/>
                </w:tcPr>
                <w:p w14:paraId="4FB493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固态</w:t>
                  </w:r>
                </w:p>
              </w:tc>
              <w:tc>
                <w:tcPr>
                  <w:tcW w:w="891" w:type="dxa"/>
                  <w:tcBorders>
                    <w:tl2br w:val="nil"/>
                    <w:tr2bl w:val="nil"/>
                  </w:tcBorders>
                  <w:shd w:val="clear" w:color="auto" w:fill="auto"/>
                  <w:noWrap w:val="0"/>
                  <w:vAlign w:val="center"/>
                </w:tcPr>
                <w:p w14:paraId="5FA655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s="Times New Roman"/>
                      <w:color w:val="auto"/>
                      <w:highlight w:val="none"/>
                      <w:lang w:val="en-US" w:eastAsia="zh-CN"/>
                    </w:rPr>
                  </w:pPr>
                  <w:r>
                    <w:rPr>
                      <w:rFonts w:hint="eastAsia" w:cs="Times New Roman"/>
                      <w:color w:val="auto"/>
                      <w:highlight w:val="none"/>
                      <w:lang w:val="en-US" w:eastAsia="zh-CN"/>
                    </w:rPr>
                    <w:t>4万</w:t>
                  </w:r>
                </w:p>
              </w:tc>
              <w:tc>
                <w:tcPr>
                  <w:tcW w:w="840" w:type="dxa"/>
                  <w:tcBorders>
                    <w:tl2br w:val="nil"/>
                    <w:tr2bl w:val="nil"/>
                  </w:tcBorders>
                  <w:shd w:val="clear" w:color="auto" w:fill="auto"/>
                  <w:noWrap w:val="0"/>
                  <w:vAlign w:val="center"/>
                </w:tcPr>
                <w:p w14:paraId="6E66C8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850</w:t>
                  </w:r>
                </w:p>
              </w:tc>
              <w:tc>
                <w:tcPr>
                  <w:tcW w:w="708" w:type="dxa"/>
                  <w:tcBorders>
                    <w:tl2br w:val="nil"/>
                    <w:tr2bl w:val="nil"/>
                  </w:tcBorders>
                  <w:shd w:val="clear" w:color="auto" w:fill="auto"/>
                  <w:noWrap w:val="0"/>
                  <w:vAlign w:val="center"/>
                </w:tcPr>
                <w:p w14:paraId="2063C1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散装</w:t>
                  </w:r>
                </w:p>
              </w:tc>
              <w:tc>
                <w:tcPr>
                  <w:tcW w:w="1096" w:type="dxa"/>
                  <w:tcBorders>
                    <w:tl2br w:val="nil"/>
                    <w:tr2bl w:val="nil"/>
                  </w:tcBorders>
                  <w:shd w:val="clear" w:color="auto" w:fill="auto"/>
                  <w:noWrap w:val="0"/>
                  <w:vAlign w:val="center"/>
                </w:tcPr>
                <w:p w14:paraId="1E6745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筒仓</w:t>
                  </w:r>
                </w:p>
              </w:tc>
              <w:tc>
                <w:tcPr>
                  <w:tcW w:w="2195" w:type="dxa"/>
                  <w:tcBorders>
                    <w:tl2br w:val="nil"/>
                    <w:tr2bl w:val="nil"/>
                  </w:tcBorders>
                  <w:shd w:val="clear" w:color="auto" w:fill="auto"/>
                  <w:noWrap w:val="0"/>
                  <w:vAlign w:val="center"/>
                </w:tcPr>
                <w:p w14:paraId="25577D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056D095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419BA5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58030C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螯合剂</w:t>
                  </w:r>
                </w:p>
              </w:tc>
              <w:tc>
                <w:tcPr>
                  <w:tcW w:w="772" w:type="dxa"/>
                  <w:tcBorders>
                    <w:tl2br w:val="nil"/>
                    <w:tr2bl w:val="nil"/>
                  </w:tcBorders>
                  <w:shd w:val="clear" w:color="auto" w:fill="auto"/>
                  <w:noWrap w:val="0"/>
                  <w:vAlign w:val="center"/>
                </w:tcPr>
                <w:p w14:paraId="1BC06E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固态</w:t>
                  </w:r>
                </w:p>
              </w:tc>
              <w:tc>
                <w:tcPr>
                  <w:tcW w:w="891" w:type="dxa"/>
                  <w:tcBorders>
                    <w:tl2br w:val="nil"/>
                    <w:tr2bl w:val="nil"/>
                  </w:tcBorders>
                  <w:shd w:val="clear" w:color="auto" w:fill="auto"/>
                  <w:noWrap w:val="0"/>
                  <w:vAlign w:val="center"/>
                </w:tcPr>
                <w:p w14:paraId="474EF6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859.3</w:t>
                  </w:r>
                </w:p>
              </w:tc>
              <w:tc>
                <w:tcPr>
                  <w:tcW w:w="840" w:type="dxa"/>
                  <w:tcBorders>
                    <w:tl2br w:val="nil"/>
                    <w:tr2bl w:val="nil"/>
                  </w:tcBorders>
                  <w:shd w:val="clear" w:color="auto" w:fill="auto"/>
                  <w:noWrap w:val="0"/>
                  <w:vAlign w:val="center"/>
                </w:tcPr>
                <w:p w14:paraId="36375A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w:t>
                  </w:r>
                </w:p>
              </w:tc>
              <w:tc>
                <w:tcPr>
                  <w:tcW w:w="708" w:type="dxa"/>
                  <w:tcBorders>
                    <w:tl2br w:val="nil"/>
                    <w:tr2bl w:val="nil"/>
                  </w:tcBorders>
                  <w:shd w:val="clear" w:color="auto" w:fill="auto"/>
                  <w:noWrap w:val="0"/>
                  <w:vAlign w:val="center"/>
                </w:tcPr>
                <w:p w14:paraId="0666E4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袋装</w:t>
                  </w:r>
                </w:p>
              </w:tc>
              <w:tc>
                <w:tcPr>
                  <w:tcW w:w="1096" w:type="dxa"/>
                  <w:tcBorders>
                    <w:tl2br w:val="nil"/>
                    <w:tr2bl w:val="nil"/>
                  </w:tcBorders>
                  <w:shd w:val="clear" w:color="auto" w:fill="auto"/>
                  <w:noWrap w:val="0"/>
                  <w:vAlign w:val="center"/>
                </w:tcPr>
                <w:p w14:paraId="5F5CE5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原料仓库</w:t>
                  </w:r>
                </w:p>
              </w:tc>
              <w:tc>
                <w:tcPr>
                  <w:tcW w:w="2195" w:type="dxa"/>
                  <w:tcBorders>
                    <w:tl2br w:val="nil"/>
                    <w:tr2bl w:val="nil"/>
                  </w:tcBorders>
                  <w:shd w:val="clear" w:color="auto" w:fill="auto"/>
                  <w:noWrap w:val="0"/>
                  <w:vAlign w:val="center"/>
                </w:tcPr>
                <w:p w14:paraId="5FDBFF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r>
            <w:tr w14:paraId="23D517F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18192C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119C45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抑碱剂</w:t>
                  </w:r>
                </w:p>
              </w:tc>
              <w:tc>
                <w:tcPr>
                  <w:tcW w:w="772" w:type="dxa"/>
                  <w:tcBorders>
                    <w:tl2br w:val="nil"/>
                    <w:tr2bl w:val="nil"/>
                  </w:tcBorders>
                  <w:shd w:val="clear" w:color="auto" w:fill="auto"/>
                  <w:noWrap w:val="0"/>
                  <w:vAlign w:val="center"/>
                </w:tcPr>
                <w:p w14:paraId="6BEAC8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固态</w:t>
                  </w:r>
                </w:p>
              </w:tc>
              <w:tc>
                <w:tcPr>
                  <w:tcW w:w="891" w:type="dxa"/>
                  <w:tcBorders>
                    <w:tl2br w:val="nil"/>
                    <w:tr2bl w:val="nil"/>
                  </w:tcBorders>
                  <w:shd w:val="clear" w:color="auto" w:fill="auto"/>
                  <w:noWrap w:val="0"/>
                  <w:vAlign w:val="center"/>
                </w:tcPr>
                <w:p w14:paraId="75AE9B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0.5</w:t>
                  </w:r>
                  <w:r>
                    <w:rPr>
                      <w:rFonts w:hint="default" w:ascii="Times New Roman" w:hAnsi="Times New Roman" w:cs="Times New Roman"/>
                      <w:color w:val="auto"/>
                      <w:highlight w:val="none"/>
                      <w:lang w:val="en-US" w:eastAsia="zh-CN"/>
                    </w:rPr>
                    <w:t>万</w:t>
                  </w:r>
                </w:p>
              </w:tc>
              <w:tc>
                <w:tcPr>
                  <w:tcW w:w="840" w:type="dxa"/>
                  <w:tcBorders>
                    <w:tl2br w:val="nil"/>
                    <w:tr2bl w:val="nil"/>
                  </w:tcBorders>
                  <w:shd w:val="clear" w:color="auto" w:fill="auto"/>
                  <w:noWrap w:val="0"/>
                  <w:vAlign w:val="center"/>
                </w:tcPr>
                <w:p w14:paraId="230AB6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200</w:t>
                  </w:r>
                </w:p>
              </w:tc>
              <w:tc>
                <w:tcPr>
                  <w:tcW w:w="708" w:type="dxa"/>
                  <w:tcBorders>
                    <w:tl2br w:val="nil"/>
                    <w:tr2bl w:val="nil"/>
                  </w:tcBorders>
                  <w:shd w:val="clear" w:color="auto" w:fill="auto"/>
                  <w:noWrap w:val="0"/>
                  <w:vAlign w:val="center"/>
                </w:tcPr>
                <w:p w14:paraId="17DA2F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袋装</w:t>
                  </w:r>
                </w:p>
              </w:tc>
              <w:tc>
                <w:tcPr>
                  <w:tcW w:w="1096" w:type="dxa"/>
                  <w:tcBorders>
                    <w:tl2br w:val="nil"/>
                    <w:tr2bl w:val="nil"/>
                  </w:tcBorders>
                  <w:shd w:val="clear" w:color="auto" w:fill="auto"/>
                  <w:noWrap w:val="0"/>
                  <w:vAlign w:val="center"/>
                </w:tcPr>
                <w:p w14:paraId="416BAC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原料仓库</w:t>
                  </w:r>
                </w:p>
              </w:tc>
              <w:tc>
                <w:tcPr>
                  <w:tcW w:w="2195" w:type="dxa"/>
                  <w:tcBorders>
                    <w:tl2br w:val="nil"/>
                    <w:tr2bl w:val="nil"/>
                  </w:tcBorders>
                  <w:shd w:val="clear" w:color="auto" w:fill="auto"/>
                  <w:noWrap w:val="0"/>
                  <w:vAlign w:val="center"/>
                </w:tcPr>
                <w:p w14:paraId="6EC5CC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r>
            <w:tr w14:paraId="536CBEA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2B935D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0E5F7B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碎石</w:t>
                  </w:r>
                </w:p>
              </w:tc>
              <w:tc>
                <w:tcPr>
                  <w:tcW w:w="772" w:type="dxa"/>
                  <w:tcBorders>
                    <w:tl2br w:val="nil"/>
                    <w:tr2bl w:val="nil"/>
                  </w:tcBorders>
                  <w:shd w:val="clear" w:color="auto" w:fill="auto"/>
                  <w:noWrap w:val="0"/>
                  <w:vAlign w:val="center"/>
                </w:tcPr>
                <w:p w14:paraId="5A01F0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36D101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13</w:t>
                  </w:r>
                  <w:r>
                    <w:rPr>
                      <w:rFonts w:hint="default" w:ascii="Times New Roman" w:hAnsi="Times New Roman" w:cs="Times New Roman"/>
                      <w:color w:val="auto"/>
                      <w:highlight w:val="none"/>
                      <w:lang w:val="en-US" w:eastAsia="zh-CN"/>
                    </w:rPr>
                    <w:t>万</w:t>
                  </w:r>
                </w:p>
              </w:tc>
              <w:tc>
                <w:tcPr>
                  <w:tcW w:w="840" w:type="dxa"/>
                  <w:tcBorders>
                    <w:tl2br w:val="nil"/>
                    <w:tr2bl w:val="nil"/>
                  </w:tcBorders>
                  <w:shd w:val="clear" w:color="auto" w:fill="auto"/>
                  <w:noWrap w:val="0"/>
                  <w:vAlign w:val="center"/>
                </w:tcPr>
                <w:p w14:paraId="17904B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1800</w:t>
                  </w:r>
                </w:p>
              </w:tc>
              <w:tc>
                <w:tcPr>
                  <w:tcW w:w="708" w:type="dxa"/>
                  <w:tcBorders>
                    <w:tl2br w:val="nil"/>
                    <w:tr2bl w:val="nil"/>
                  </w:tcBorders>
                  <w:noWrap w:val="0"/>
                  <w:vAlign w:val="center"/>
                </w:tcPr>
                <w:p w14:paraId="3390D6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eastAsia="zh-CN"/>
                    </w:rPr>
                  </w:pPr>
                  <w:r>
                    <w:rPr>
                      <w:rFonts w:hint="default" w:ascii="Times New Roman" w:hAnsi="Times New Roman" w:cs="Times New Roman"/>
                      <w:color w:val="FF0000"/>
                      <w:highlight w:val="none"/>
                      <w:lang w:val="en-US" w:eastAsia="zh-CN"/>
                    </w:rPr>
                    <w:t>散</w:t>
                  </w:r>
                  <w:r>
                    <w:rPr>
                      <w:rFonts w:hint="default" w:ascii="Times New Roman" w:hAnsi="Times New Roman" w:cs="Times New Roman"/>
                      <w:color w:val="FF0000"/>
                      <w:highlight w:val="none"/>
                      <w:lang w:eastAsia="zh-CN"/>
                    </w:rPr>
                    <w:t>装</w:t>
                  </w:r>
                </w:p>
              </w:tc>
              <w:tc>
                <w:tcPr>
                  <w:tcW w:w="1096" w:type="dxa"/>
                  <w:tcBorders>
                    <w:tl2br w:val="nil"/>
                    <w:tr2bl w:val="nil"/>
                  </w:tcBorders>
                  <w:shd w:val="clear" w:color="auto" w:fill="auto"/>
                  <w:noWrap w:val="0"/>
                  <w:vAlign w:val="center"/>
                </w:tcPr>
                <w:p w14:paraId="74D8D1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原料</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56E70B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1FEE51D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PrEx>
              <w:trPr>
                <w:trHeight w:val="0" w:hRule="atLeast"/>
                <w:jc w:val="center"/>
              </w:trPr>
              <w:tc>
                <w:tcPr>
                  <w:tcW w:w="665" w:type="dxa"/>
                  <w:vMerge w:val="restart"/>
                  <w:tcBorders>
                    <w:tl2br w:val="nil"/>
                    <w:tr2bl w:val="nil"/>
                  </w:tcBorders>
                  <w:shd w:val="clear" w:color="auto" w:fill="auto"/>
                  <w:noWrap w:val="0"/>
                  <w:vAlign w:val="center"/>
                </w:tcPr>
                <w:p w14:paraId="66F3549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环保砖</w:t>
                  </w:r>
                </w:p>
              </w:tc>
              <w:tc>
                <w:tcPr>
                  <w:tcW w:w="913" w:type="dxa"/>
                  <w:tcBorders>
                    <w:tl2br w:val="nil"/>
                    <w:tr2bl w:val="nil"/>
                  </w:tcBorders>
                  <w:shd w:val="clear" w:color="auto" w:fill="auto"/>
                  <w:noWrap w:val="0"/>
                  <w:vAlign w:val="center"/>
                </w:tcPr>
                <w:p w14:paraId="12C266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锂渣</w:t>
                  </w:r>
                </w:p>
              </w:tc>
              <w:tc>
                <w:tcPr>
                  <w:tcW w:w="772" w:type="dxa"/>
                  <w:tcBorders>
                    <w:tl2br w:val="nil"/>
                    <w:tr2bl w:val="nil"/>
                  </w:tcBorders>
                  <w:shd w:val="clear" w:color="auto" w:fill="auto"/>
                  <w:noWrap w:val="0"/>
                  <w:vAlign w:val="center"/>
                </w:tcPr>
                <w:p w14:paraId="41B8D0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固态</w:t>
                  </w:r>
                </w:p>
              </w:tc>
              <w:tc>
                <w:tcPr>
                  <w:tcW w:w="891" w:type="dxa"/>
                  <w:tcBorders>
                    <w:tl2br w:val="nil"/>
                    <w:tr2bl w:val="nil"/>
                  </w:tcBorders>
                  <w:shd w:val="clear" w:color="auto" w:fill="auto"/>
                  <w:noWrap w:val="0"/>
                  <w:vAlign w:val="center"/>
                </w:tcPr>
                <w:p w14:paraId="630A96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25.9</w:t>
                  </w:r>
                  <w:r>
                    <w:rPr>
                      <w:rFonts w:hint="default" w:ascii="Times New Roman" w:hAnsi="Times New Roman" w:cs="Times New Roman"/>
                      <w:color w:val="FF0000"/>
                      <w:highlight w:val="none"/>
                      <w:lang w:val="en-US" w:eastAsia="zh-CN"/>
                    </w:rPr>
                    <w:t>万</w:t>
                  </w:r>
                </w:p>
              </w:tc>
              <w:tc>
                <w:tcPr>
                  <w:tcW w:w="840" w:type="dxa"/>
                  <w:tcBorders>
                    <w:tl2br w:val="nil"/>
                    <w:tr2bl w:val="nil"/>
                  </w:tcBorders>
                  <w:shd w:val="clear" w:color="auto" w:fill="auto"/>
                  <w:noWrap w:val="0"/>
                  <w:vAlign w:val="center"/>
                </w:tcPr>
                <w:p w14:paraId="37BD0A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eastAsia" w:cs="Times New Roman"/>
                      <w:color w:val="FF0000"/>
                      <w:highlight w:val="none"/>
                      <w:lang w:val="en-US" w:eastAsia="zh-CN"/>
                    </w:rPr>
                    <w:t>8600</w:t>
                  </w:r>
                </w:p>
              </w:tc>
              <w:tc>
                <w:tcPr>
                  <w:tcW w:w="708" w:type="dxa"/>
                  <w:tcBorders>
                    <w:tl2br w:val="nil"/>
                    <w:tr2bl w:val="nil"/>
                  </w:tcBorders>
                  <w:shd w:val="clear" w:color="auto" w:fill="auto"/>
                  <w:noWrap w:val="0"/>
                  <w:vAlign w:val="center"/>
                </w:tcPr>
                <w:p w14:paraId="44DE02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散</w:t>
                  </w:r>
                  <w:r>
                    <w:rPr>
                      <w:rFonts w:hint="default" w:ascii="Times New Roman" w:hAnsi="Times New Roman" w:cs="Times New Roman"/>
                      <w:color w:val="FF0000"/>
                      <w:highlight w:val="none"/>
                      <w:lang w:eastAsia="zh-CN"/>
                    </w:rPr>
                    <w:t>装</w:t>
                  </w:r>
                </w:p>
              </w:tc>
              <w:tc>
                <w:tcPr>
                  <w:tcW w:w="1096" w:type="dxa"/>
                  <w:tcBorders>
                    <w:tl2br w:val="nil"/>
                    <w:tr2bl w:val="nil"/>
                  </w:tcBorders>
                  <w:shd w:val="clear" w:color="auto" w:fill="auto"/>
                  <w:noWrap w:val="0"/>
                  <w:vAlign w:val="center"/>
                </w:tcPr>
                <w:p w14:paraId="1E6EA1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锂渣</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5C2BEF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《用于水泥和混凝土中的锂渣粉》（YB/T4230-2010）</w:t>
                  </w:r>
                </w:p>
              </w:tc>
            </w:tr>
            <w:tr w14:paraId="39F0927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5DF6C4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7C6F52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粉煤灰</w:t>
                  </w:r>
                </w:p>
              </w:tc>
              <w:tc>
                <w:tcPr>
                  <w:tcW w:w="772" w:type="dxa"/>
                  <w:tcBorders>
                    <w:tl2br w:val="nil"/>
                    <w:tr2bl w:val="nil"/>
                  </w:tcBorders>
                  <w:shd w:val="clear" w:color="auto" w:fill="auto"/>
                  <w:noWrap w:val="0"/>
                  <w:vAlign w:val="center"/>
                </w:tcPr>
                <w:p w14:paraId="2B0C94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72979A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7.5</w:t>
                  </w:r>
                  <w:r>
                    <w:rPr>
                      <w:rFonts w:hint="default" w:ascii="Times New Roman" w:hAnsi="Times New Roman" w:cs="Times New Roman"/>
                      <w:color w:val="auto"/>
                      <w:highlight w:val="none"/>
                      <w:lang w:val="en-US" w:eastAsia="zh-CN"/>
                    </w:rPr>
                    <w:t>万</w:t>
                  </w:r>
                </w:p>
              </w:tc>
              <w:tc>
                <w:tcPr>
                  <w:tcW w:w="840" w:type="dxa"/>
                  <w:tcBorders>
                    <w:tl2br w:val="nil"/>
                    <w:tr2bl w:val="nil"/>
                  </w:tcBorders>
                  <w:shd w:val="clear" w:color="auto" w:fill="auto"/>
                  <w:noWrap w:val="0"/>
                  <w:vAlign w:val="center"/>
                </w:tcPr>
                <w:p w14:paraId="2D5AD9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14</w:t>
                  </w:r>
                  <w:r>
                    <w:rPr>
                      <w:rFonts w:hint="default" w:ascii="Times New Roman" w:hAnsi="Times New Roman" w:cs="Times New Roman"/>
                      <w:color w:val="auto"/>
                      <w:highlight w:val="none"/>
                      <w:lang w:val="en-US" w:eastAsia="zh-CN"/>
                    </w:rPr>
                    <w:t>00</w:t>
                  </w:r>
                </w:p>
              </w:tc>
              <w:tc>
                <w:tcPr>
                  <w:tcW w:w="708" w:type="dxa"/>
                  <w:tcBorders>
                    <w:tl2br w:val="nil"/>
                    <w:tr2bl w:val="nil"/>
                  </w:tcBorders>
                  <w:shd w:val="clear" w:color="auto" w:fill="auto"/>
                  <w:noWrap w:val="0"/>
                  <w:vAlign w:val="center"/>
                </w:tcPr>
                <w:p w14:paraId="59909F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散</w:t>
                  </w:r>
                  <w:r>
                    <w:rPr>
                      <w:rFonts w:hint="default" w:ascii="Times New Roman" w:hAnsi="Times New Roman" w:cs="Times New Roman"/>
                      <w:color w:val="FF0000"/>
                      <w:highlight w:val="none"/>
                      <w:lang w:eastAsia="zh-CN"/>
                    </w:rPr>
                    <w:t>装</w:t>
                  </w:r>
                </w:p>
              </w:tc>
              <w:tc>
                <w:tcPr>
                  <w:tcW w:w="1096" w:type="dxa"/>
                  <w:tcBorders>
                    <w:tl2br w:val="nil"/>
                    <w:tr2bl w:val="nil"/>
                  </w:tcBorders>
                  <w:shd w:val="clear" w:color="auto" w:fill="auto"/>
                  <w:noWrap w:val="0"/>
                  <w:vAlign w:val="center"/>
                </w:tcPr>
                <w:p w14:paraId="730B34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筒仓</w:t>
                  </w:r>
                </w:p>
              </w:tc>
              <w:tc>
                <w:tcPr>
                  <w:tcW w:w="2195" w:type="dxa"/>
                  <w:tcBorders>
                    <w:tl2br w:val="nil"/>
                    <w:tr2bl w:val="nil"/>
                  </w:tcBorders>
                  <w:shd w:val="clear" w:color="auto" w:fill="auto"/>
                  <w:noWrap w:val="0"/>
                  <w:vAlign w:val="center"/>
                </w:tcPr>
                <w:p w14:paraId="2A60C3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《用于水泥和混凝土中的粉煤灰》（GB/T1596-2017）</w:t>
                  </w:r>
                </w:p>
              </w:tc>
            </w:tr>
            <w:tr w14:paraId="30E1A510">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0AB84D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44C30A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硅粉</w:t>
                  </w:r>
                </w:p>
              </w:tc>
              <w:tc>
                <w:tcPr>
                  <w:tcW w:w="772" w:type="dxa"/>
                  <w:tcBorders>
                    <w:tl2br w:val="nil"/>
                    <w:tr2bl w:val="nil"/>
                  </w:tcBorders>
                  <w:shd w:val="clear" w:color="auto" w:fill="auto"/>
                  <w:noWrap w:val="0"/>
                  <w:vAlign w:val="center"/>
                </w:tcPr>
                <w:p w14:paraId="1F7836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086D51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2.5万</w:t>
                  </w:r>
                </w:p>
              </w:tc>
              <w:tc>
                <w:tcPr>
                  <w:tcW w:w="840" w:type="dxa"/>
                  <w:tcBorders>
                    <w:tl2br w:val="nil"/>
                    <w:tr2bl w:val="nil"/>
                  </w:tcBorders>
                  <w:shd w:val="clear" w:color="auto" w:fill="auto"/>
                  <w:noWrap w:val="0"/>
                  <w:vAlign w:val="center"/>
                </w:tcPr>
                <w:p w14:paraId="3015B4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jc w:val="center"/>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500</w:t>
                  </w:r>
                </w:p>
              </w:tc>
              <w:tc>
                <w:tcPr>
                  <w:tcW w:w="708" w:type="dxa"/>
                  <w:tcBorders>
                    <w:tl2br w:val="nil"/>
                    <w:tr2bl w:val="nil"/>
                  </w:tcBorders>
                  <w:shd w:val="clear" w:color="auto" w:fill="auto"/>
                  <w:noWrap w:val="0"/>
                  <w:vAlign w:val="center"/>
                </w:tcPr>
                <w:p w14:paraId="65B0C9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eastAsia="zh-CN"/>
                    </w:rPr>
                    <w:t>袋装</w:t>
                  </w:r>
                </w:p>
              </w:tc>
              <w:tc>
                <w:tcPr>
                  <w:tcW w:w="1096" w:type="dxa"/>
                  <w:tcBorders>
                    <w:tl2br w:val="nil"/>
                    <w:tr2bl w:val="nil"/>
                  </w:tcBorders>
                  <w:shd w:val="clear" w:color="auto" w:fill="auto"/>
                  <w:noWrap w:val="0"/>
                  <w:vAlign w:val="center"/>
                </w:tcPr>
                <w:p w14:paraId="2E8349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s="Times New Roman"/>
                      <w:color w:val="auto"/>
                      <w:highlight w:val="none"/>
                      <w:lang w:val="en-US" w:eastAsia="zh-CN"/>
                    </w:rPr>
                  </w:pPr>
                  <w:r>
                    <w:rPr>
                      <w:rFonts w:hint="default" w:ascii="Times New Roman" w:hAnsi="Times New Roman" w:cs="Times New Roman"/>
                      <w:color w:val="auto"/>
                      <w:highlight w:val="none"/>
                      <w:lang w:val="en-US" w:eastAsia="zh-CN"/>
                    </w:rPr>
                    <w:t>原料仓库</w:t>
                  </w:r>
                </w:p>
              </w:tc>
              <w:tc>
                <w:tcPr>
                  <w:tcW w:w="2195" w:type="dxa"/>
                  <w:tcBorders>
                    <w:tl2br w:val="nil"/>
                    <w:tr2bl w:val="nil"/>
                  </w:tcBorders>
                  <w:shd w:val="clear" w:color="auto" w:fill="auto"/>
                  <w:noWrap w:val="0"/>
                  <w:vAlign w:val="center"/>
                </w:tcPr>
                <w:p w14:paraId="34A1BC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s="Times New Roman"/>
                      <w:color w:val="auto"/>
                      <w:highlight w:val="none"/>
                      <w:lang w:val="en-US" w:eastAsia="zh-CN"/>
                    </w:rPr>
                  </w:pPr>
                  <w:r>
                    <w:rPr>
                      <w:rFonts w:hint="eastAsia" w:cs="Times New Roman"/>
                      <w:color w:val="auto"/>
                      <w:highlight w:val="none"/>
                      <w:lang w:val="en-US" w:eastAsia="zh-CN"/>
                    </w:rPr>
                    <w:t>/</w:t>
                  </w:r>
                </w:p>
              </w:tc>
            </w:tr>
            <w:tr w14:paraId="2644AA8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70FCF7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730FC73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氧化铝粉</w:t>
                  </w:r>
                </w:p>
              </w:tc>
              <w:tc>
                <w:tcPr>
                  <w:tcW w:w="772" w:type="dxa"/>
                  <w:tcBorders>
                    <w:tl2br w:val="nil"/>
                    <w:tr2bl w:val="nil"/>
                  </w:tcBorders>
                  <w:shd w:val="clear" w:color="auto" w:fill="auto"/>
                  <w:noWrap w:val="0"/>
                  <w:vAlign w:val="center"/>
                </w:tcPr>
                <w:p w14:paraId="100B3F9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4256B1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2.5万</w:t>
                  </w:r>
                </w:p>
              </w:tc>
              <w:tc>
                <w:tcPr>
                  <w:tcW w:w="840" w:type="dxa"/>
                  <w:tcBorders>
                    <w:tl2br w:val="nil"/>
                    <w:tr2bl w:val="nil"/>
                  </w:tcBorders>
                  <w:shd w:val="clear" w:color="auto" w:fill="auto"/>
                  <w:noWrap w:val="0"/>
                  <w:vAlign w:val="center"/>
                </w:tcPr>
                <w:p w14:paraId="3C1FCF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500</w:t>
                  </w:r>
                </w:p>
              </w:tc>
              <w:tc>
                <w:tcPr>
                  <w:tcW w:w="708" w:type="dxa"/>
                  <w:tcBorders>
                    <w:tl2br w:val="nil"/>
                    <w:tr2bl w:val="nil"/>
                  </w:tcBorders>
                  <w:shd w:val="clear" w:color="auto" w:fill="auto"/>
                  <w:noWrap w:val="0"/>
                  <w:vAlign w:val="center"/>
                </w:tcPr>
                <w:p w14:paraId="0393ED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eastAsia="zh-CN"/>
                    </w:rPr>
                    <w:t>袋装</w:t>
                  </w:r>
                </w:p>
              </w:tc>
              <w:tc>
                <w:tcPr>
                  <w:tcW w:w="1096" w:type="dxa"/>
                  <w:tcBorders>
                    <w:tl2br w:val="nil"/>
                    <w:tr2bl w:val="nil"/>
                  </w:tcBorders>
                  <w:shd w:val="clear" w:color="auto" w:fill="auto"/>
                  <w:noWrap w:val="0"/>
                  <w:vAlign w:val="center"/>
                </w:tcPr>
                <w:p w14:paraId="378E51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s="Times New Roman"/>
                      <w:color w:val="auto"/>
                      <w:highlight w:val="none"/>
                      <w:lang w:val="en-US" w:eastAsia="zh-CN"/>
                    </w:rPr>
                  </w:pPr>
                  <w:r>
                    <w:rPr>
                      <w:rFonts w:hint="default" w:ascii="Times New Roman" w:hAnsi="Times New Roman" w:cs="Times New Roman"/>
                      <w:color w:val="auto"/>
                      <w:highlight w:val="none"/>
                      <w:lang w:val="en-US" w:eastAsia="zh-CN"/>
                    </w:rPr>
                    <w:t>原料仓库</w:t>
                  </w:r>
                </w:p>
              </w:tc>
              <w:tc>
                <w:tcPr>
                  <w:tcW w:w="2195" w:type="dxa"/>
                  <w:tcBorders>
                    <w:tl2br w:val="nil"/>
                    <w:tr2bl w:val="nil"/>
                  </w:tcBorders>
                  <w:shd w:val="clear" w:color="auto" w:fill="auto"/>
                  <w:noWrap w:val="0"/>
                  <w:vAlign w:val="center"/>
                </w:tcPr>
                <w:p w14:paraId="00677A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s="Times New Roman"/>
                      <w:color w:val="auto"/>
                      <w:highlight w:val="none"/>
                      <w:lang w:val="en-US" w:eastAsia="zh-CN"/>
                    </w:rPr>
                  </w:pPr>
                  <w:r>
                    <w:rPr>
                      <w:rFonts w:hint="eastAsia" w:cs="Times New Roman"/>
                      <w:color w:val="auto"/>
                      <w:highlight w:val="none"/>
                      <w:lang w:val="en-US" w:eastAsia="zh-CN"/>
                    </w:rPr>
                    <w:t>/</w:t>
                  </w:r>
                </w:p>
              </w:tc>
            </w:tr>
            <w:tr w14:paraId="7C5DD05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PrEx>
              <w:trPr>
                <w:trHeight w:val="0" w:hRule="atLeast"/>
                <w:jc w:val="center"/>
              </w:trPr>
              <w:tc>
                <w:tcPr>
                  <w:tcW w:w="665" w:type="dxa"/>
                  <w:vMerge w:val="continue"/>
                  <w:tcBorders>
                    <w:tl2br w:val="nil"/>
                    <w:tr2bl w:val="nil"/>
                  </w:tcBorders>
                  <w:shd w:val="clear" w:color="auto" w:fill="auto"/>
                  <w:noWrap w:val="0"/>
                  <w:vAlign w:val="center"/>
                </w:tcPr>
                <w:p w14:paraId="198766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59F94E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水泥</w:t>
                  </w:r>
                </w:p>
              </w:tc>
              <w:tc>
                <w:tcPr>
                  <w:tcW w:w="772" w:type="dxa"/>
                  <w:tcBorders>
                    <w:tl2br w:val="nil"/>
                    <w:tr2bl w:val="nil"/>
                  </w:tcBorders>
                  <w:shd w:val="clear" w:color="auto" w:fill="auto"/>
                  <w:noWrap w:val="0"/>
                  <w:vAlign w:val="center"/>
                </w:tcPr>
                <w:p w14:paraId="0F1D9A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1DC7E7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7.5</w:t>
                  </w:r>
                  <w:r>
                    <w:rPr>
                      <w:rFonts w:hint="default" w:ascii="Times New Roman" w:hAnsi="Times New Roman" w:cs="Times New Roman"/>
                      <w:color w:val="auto"/>
                      <w:highlight w:val="none"/>
                      <w:lang w:val="en-US" w:eastAsia="zh-CN"/>
                    </w:rPr>
                    <w:t>万</w:t>
                  </w:r>
                </w:p>
              </w:tc>
              <w:tc>
                <w:tcPr>
                  <w:tcW w:w="840" w:type="dxa"/>
                  <w:tcBorders>
                    <w:tl2br w:val="nil"/>
                    <w:tr2bl w:val="nil"/>
                  </w:tcBorders>
                  <w:shd w:val="clear" w:color="auto" w:fill="auto"/>
                  <w:noWrap w:val="0"/>
                  <w:vAlign w:val="center"/>
                </w:tcPr>
                <w:p w14:paraId="0A9CC2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w:t>
                  </w:r>
                  <w:r>
                    <w:rPr>
                      <w:rFonts w:hint="default" w:ascii="Times New Roman" w:hAnsi="Times New Roman" w:cs="Times New Roman"/>
                      <w:color w:val="auto"/>
                      <w:highlight w:val="none"/>
                      <w:lang w:val="en-US" w:eastAsia="zh-CN"/>
                    </w:rPr>
                    <w:t>500</w:t>
                  </w:r>
                </w:p>
              </w:tc>
              <w:tc>
                <w:tcPr>
                  <w:tcW w:w="708" w:type="dxa"/>
                  <w:tcBorders>
                    <w:tl2br w:val="nil"/>
                    <w:tr2bl w:val="nil"/>
                  </w:tcBorders>
                  <w:shd w:val="clear" w:color="auto" w:fill="auto"/>
                  <w:noWrap w:val="0"/>
                  <w:vAlign w:val="center"/>
                </w:tcPr>
                <w:p w14:paraId="527914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散</w:t>
                  </w:r>
                  <w:r>
                    <w:rPr>
                      <w:rFonts w:hint="default" w:ascii="Times New Roman" w:hAnsi="Times New Roman" w:cs="Times New Roman"/>
                      <w:color w:val="FF0000"/>
                      <w:highlight w:val="none"/>
                      <w:lang w:eastAsia="zh-CN"/>
                    </w:rPr>
                    <w:t>装</w:t>
                  </w:r>
                </w:p>
              </w:tc>
              <w:tc>
                <w:tcPr>
                  <w:tcW w:w="1096" w:type="dxa"/>
                  <w:tcBorders>
                    <w:tl2br w:val="nil"/>
                    <w:tr2bl w:val="nil"/>
                  </w:tcBorders>
                  <w:shd w:val="clear" w:color="auto" w:fill="auto"/>
                  <w:noWrap w:val="0"/>
                  <w:vAlign w:val="center"/>
                </w:tcPr>
                <w:p w14:paraId="2EFAF5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筒仓</w:t>
                  </w:r>
                </w:p>
              </w:tc>
              <w:tc>
                <w:tcPr>
                  <w:tcW w:w="2195" w:type="dxa"/>
                  <w:tcBorders>
                    <w:tl2br w:val="nil"/>
                    <w:tr2bl w:val="nil"/>
                  </w:tcBorders>
                  <w:shd w:val="clear" w:color="auto" w:fill="auto"/>
                  <w:noWrap w:val="0"/>
                  <w:vAlign w:val="center"/>
                </w:tcPr>
                <w:p w14:paraId="7C7585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5930B08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4BADAF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62DB42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螯合剂</w:t>
                  </w:r>
                </w:p>
              </w:tc>
              <w:tc>
                <w:tcPr>
                  <w:tcW w:w="772" w:type="dxa"/>
                  <w:tcBorders>
                    <w:tl2br w:val="nil"/>
                    <w:tr2bl w:val="nil"/>
                  </w:tcBorders>
                  <w:shd w:val="clear" w:color="auto" w:fill="auto"/>
                  <w:noWrap w:val="0"/>
                  <w:vAlign w:val="center"/>
                </w:tcPr>
                <w:p w14:paraId="0B2B46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固态</w:t>
                  </w:r>
                </w:p>
              </w:tc>
              <w:tc>
                <w:tcPr>
                  <w:tcW w:w="891" w:type="dxa"/>
                  <w:tcBorders>
                    <w:tl2br w:val="nil"/>
                    <w:tr2bl w:val="nil"/>
                  </w:tcBorders>
                  <w:shd w:val="clear" w:color="auto" w:fill="auto"/>
                  <w:noWrap w:val="0"/>
                  <w:vAlign w:val="center"/>
                </w:tcPr>
                <w:p w14:paraId="082326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1301.5</w:t>
                  </w:r>
                </w:p>
              </w:tc>
              <w:tc>
                <w:tcPr>
                  <w:tcW w:w="840" w:type="dxa"/>
                  <w:tcBorders>
                    <w:tl2br w:val="nil"/>
                    <w:tr2bl w:val="nil"/>
                  </w:tcBorders>
                  <w:shd w:val="clear" w:color="auto" w:fill="auto"/>
                  <w:noWrap w:val="0"/>
                  <w:vAlign w:val="center"/>
                </w:tcPr>
                <w:p w14:paraId="11FE63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200</w:t>
                  </w:r>
                </w:p>
              </w:tc>
              <w:tc>
                <w:tcPr>
                  <w:tcW w:w="708" w:type="dxa"/>
                  <w:tcBorders>
                    <w:tl2br w:val="nil"/>
                    <w:tr2bl w:val="nil"/>
                  </w:tcBorders>
                  <w:shd w:val="clear" w:color="auto" w:fill="auto"/>
                  <w:noWrap w:val="0"/>
                  <w:vAlign w:val="center"/>
                </w:tcPr>
                <w:p w14:paraId="0C1E3A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eastAsia="zh-CN"/>
                    </w:rPr>
                    <w:t>袋装</w:t>
                  </w:r>
                </w:p>
              </w:tc>
              <w:tc>
                <w:tcPr>
                  <w:tcW w:w="1096" w:type="dxa"/>
                  <w:tcBorders>
                    <w:tl2br w:val="nil"/>
                    <w:tr2bl w:val="nil"/>
                  </w:tcBorders>
                  <w:shd w:val="clear" w:color="auto" w:fill="auto"/>
                  <w:noWrap w:val="0"/>
                  <w:vAlign w:val="center"/>
                </w:tcPr>
                <w:p w14:paraId="75DBCC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原料</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7B9C4B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w:t>
                  </w:r>
                </w:p>
              </w:tc>
            </w:tr>
            <w:tr w14:paraId="383FC88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12A1E8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102802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固化剂</w:t>
                  </w:r>
                </w:p>
              </w:tc>
              <w:tc>
                <w:tcPr>
                  <w:tcW w:w="772" w:type="dxa"/>
                  <w:tcBorders>
                    <w:tl2br w:val="nil"/>
                    <w:tr2bl w:val="nil"/>
                  </w:tcBorders>
                  <w:shd w:val="clear" w:color="auto" w:fill="auto"/>
                  <w:noWrap w:val="0"/>
                  <w:vAlign w:val="center"/>
                </w:tcPr>
                <w:p w14:paraId="2012E3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固态</w:t>
                  </w:r>
                </w:p>
              </w:tc>
              <w:tc>
                <w:tcPr>
                  <w:tcW w:w="891" w:type="dxa"/>
                  <w:tcBorders>
                    <w:tl2br w:val="nil"/>
                    <w:tr2bl w:val="nil"/>
                  </w:tcBorders>
                  <w:shd w:val="clear" w:color="auto" w:fill="auto"/>
                  <w:noWrap w:val="0"/>
                  <w:vAlign w:val="center"/>
                </w:tcPr>
                <w:p w14:paraId="33DA95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2.5万</w:t>
                  </w:r>
                </w:p>
              </w:tc>
              <w:tc>
                <w:tcPr>
                  <w:tcW w:w="840" w:type="dxa"/>
                  <w:tcBorders>
                    <w:tl2br w:val="nil"/>
                    <w:tr2bl w:val="nil"/>
                  </w:tcBorders>
                  <w:noWrap w:val="0"/>
                  <w:vAlign w:val="center"/>
                </w:tcPr>
                <w:p w14:paraId="34BC35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500</w:t>
                  </w:r>
                </w:p>
              </w:tc>
              <w:tc>
                <w:tcPr>
                  <w:tcW w:w="708" w:type="dxa"/>
                  <w:tcBorders>
                    <w:tl2br w:val="nil"/>
                    <w:tr2bl w:val="nil"/>
                  </w:tcBorders>
                  <w:noWrap w:val="0"/>
                  <w:vAlign w:val="center"/>
                </w:tcPr>
                <w:p w14:paraId="03BF7C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FF0000"/>
                      <w:highlight w:val="none"/>
                      <w:lang w:eastAsia="zh-CN"/>
                    </w:rPr>
                  </w:pPr>
                  <w:r>
                    <w:rPr>
                      <w:rFonts w:hint="default" w:ascii="Times New Roman" w:hAnsi="Times New Roman" w:cs="Times New Roman"/>
                      <w:color w:val="FF0000"/>
                      <w:highlight w:val="none"/>
                      <w:lang w:eastAsia="zh-CN"/>
                    </w:rPr>
                    <w:t>袋装</w:t>
                  </w:r>
                </w:p>
              </w:tc>
              <w:tc>
                <w:tcPr>
                  <w:tcW w:w="1096" w:type="dxa"/>
                  <w:tcBorders>
                    <w:tl2br w:val="nil"/>
                    <w:tr2bl w:val="nil"/>
                  </w:tcBorders>
                  <w:shd w:val="clear" w:color="auto" w:fill="auto"/>
                  <w:noWrap w:val="0"/>
                  <w:vAlign w:val="center"/>
                </w:tcPr>
                <w:p w14:paraId="4ACDB4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原料</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37A3E1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r>
            <w:tr w14:paraId="16A01B9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287" w:hRule="atLeast"/>
                <w:jc w:val="center"/>
              </w:trPr>
              <w:tc>
                <w:tcPr>
                  <w:tcW w:w="665" w:type="dxa"/>
                  <w:vMerge w:val="restart"/>
                  <w:tcBorders>
                    <w:tl2br w:val="nil"/>
                    <w:tr2bl w:val="nil"/>
                  </w:tcBorders>
                  <w:shd w:val="clear" w:color="auto" w:fill="auto"/>
                  <w:noWrap w:val="0"/>
                  <w:vAlign w:val="center"/>
                </w:tcPr>
                <w:p w14:paraId="369DF0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能源</w:t>
                  </w:r>
                </w:p>
              </w:tc>
              <w:tc>
                <w:tcPr>
                  <w:tcW w:w="913" w:type="dxa"/>
                  <w:tcBorders>
                    <w:tl2br w:val="nil"/>
                    <w:tr2bl w:val="nil"/>
                  </w:tcBorders>
                  <w:shd w:val="clear" w:color="auto" w:fill="auto"/>
                  <w:noWrap w:val="0"/>
                  <w:vAlign w:val="center"/>
                </w:tcPr>
                <w:p w14:paraId="5D30AB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机</w:t>
                  </w:r>
                  <w:r>
                    <w:rPr>
                      <w:rFonts w:hint="default" w:ascii="Times New Roman" w:hAnsi="Times New Roman" w:cs="Times New Roman"/>
                      <w:color w:val="FF0000"/>
                      <w:highlight w:val="none"/>
                      <w:lang w:val="en-US" w:eastAsia="zh-CN"/>
                    </w:rPr>
                    <w:t>油</w:t>
                  </w:r>
                </w:p>
              </w:tc>
              <w:tc>
                <w:tcPr>
                  <w:tcW w:w="772" w:type="dxa"/>
                  <w:tcBorders>
                    <w:tl2br w:val="nil"/>
                    <w:tr2bl w:val="nil"/>
                  </w:tcBorders>
                  <w:shd w:val="clear" w:color="auto" w:fill="auto"/>
                  <w:noWrap w:val="0"/>
                  <w:vAlign w:val="center"/>
                </w:tcPr>
                <w:p w14:paraId="1C0EBE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eastAsia="zh-CN"/>
                    </w:rPr>
                    <w:t>液态</w:t>
                  </w:r>
                </w:p>
              </w:tc>
              <w:tc>
                <w:tcPr>
                  <w:tcW w:w="891" w:type="dxa"/>
                  <w:tcBorders>
                    <w:tl2br w:val="nil"/>
                    <w:tr2bl w:val="nil"/>
                  </w:tcBorders>
                  <w:shd w:val="clear" w:color="auto" w:fill="auto"/>
                  <w:noWrap w:val="0"/>
                  <w:vAlign w:val="center"/>
                </w:tcPr>
                <w:p w14:paraId="675F22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0.5</w:t>
                  </w:r>
                </w:p>
              </w:tc>
              <w:tc>
                <w:tcPr>
                  <w:tcW w:w="840" w:type="dxa"/>
                  <w:tcBorders>
                    <w:tl2br w:val="nil"/>
                    <w:tr2bl w:val="nil"/>
                  </w:tcBorders>
                  <w:shd w:val="clear" w:color="auto" w:fill="auto"/>
                  <w:noWrap w:val="0"/>
                  <w:vAlign w:val="center"/>
                </w:tcPr>
                <w:p w14:paraId="5B4E38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0.5</w:t>
                  </w:r>
                </w:p>
              </w:tc>
              <w:tc>
                <w:tcPr>
                  <w:tcW w:w="708" w:type="dxa"/>
                  <w:tcBorders>
                    <w:tl2br w:val="nil"/>
                    <w:tr2bl w:val="nil"/>
                  </w:tcBorders>
                  <w:shd w:val="clear" w:color="auto" w:fill="auto"/>
                  <w:noWrap w:val="0"/>
                  <w:vAlign w:val="center"/>
                </w:tcPr>
                <w:p w14:paraId="07D1BC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eastAsia="zh-CN"/>
                    </w:rPr>
                    <w:t>桶装</w:t>
                  </w:r>
                </w:p>
              </w:tc>
              <w:tc>
                <w:tcPr>
                  <w:tcW w:w="1096" w:type="dxa"/>
                  <w:tcBorders>
                    <w:tl2br w:val="nil"/>
                    <w:tr2bl w:val="nil"/>
                  </w:tcBorders>
                  <w:shd w:val="clear" w:color="auto" w:fill="auto"/>
                  <w:noWrap w:val="0"/>
                  <w:vAlign w:val="center"/>
                </w:tcPr>
                <w:p w14:paraId="75C161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原料</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296920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w:t>
                  </w:r>
                </w:p>
              </w:tc>
            </w:tr>
            <w:tr w14:paraId="3FA460C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PrEx>
              <w:trPr>
                <w:trHeight w:val="0" w:hRule="atLeast"/>
                <w:jc w:val="center"/>
              </w:trPr>
              <w:tc>
                <w:tcPr>
                  <w:tcW w:w="665" w:type="dxa"/>
                  <w:vMerge w:val="continue"/>
                  <w:tcBorders>
                    <w:tl2br w:val="nil"/>
                    <w:tr2bl w:val="nil"/>
                  </w:tcBorders>
                  <w:shd w:val="clear" w:color="auto" w:fill="auto"/>
                  <w:noWrap w:val="0"/>
                  <w:vAlign w:val="center"/>
                </w:tcPr>
                <w:p w14:paraId="616301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39DD16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柴油</w:t>
                  </w:r>
                </w:p>
              </w:tc>
              <w:tc>
                <w:tcPr>
                  <w:tcW w:w="772" w:type="dxa"/>
                  <w:tcBorders>
                    <w:tl2br w:val="nil"/>
                    <w:tr2bl w:val="nil"/>
                  </w:tcBorders>
                  <w:shd w:val="clear" w:color="auto" w:fill="auto"/>
                  <w:noWrap w:val="0"/>
                  <w:vAlign w:val="center"/>
                </w:tcPr>
                <w:p w14:paraId="702263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eastAsia="zh-CN"/>
                    </w:rPr>
                    <w:t>液态</w:t>
                  </w:r>
                </w:p>
              </w:tc>
              <w:tc>
                <w:tcPr>
                  <w:tcW w:w="891" w:type="dxa"/>
                  <w:tcBorders>
                    <w:tl2br w:val="nil"/>
                    <w:tr2bl w:val="nil"/>
                  </w:tcBorders>
                  <w:shd w:val="clear" w:color="auto" w:fill="auto"/>
                  <w:noWrap w:val="0"/>
                  <w:vAlign w:val="center"/>
                </w:tcPr>
                <w:p w14:paraId="677D11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cs="Times New Roman"/>
                      <w:color w:val="FF0000"/>
                      <w:highlight w:val="none"/>
                      <w:lang w:val="en-US" w:eastAsia="zh-CN"/>
                    </w:rPr>
                    <w:t>10</w:t>
                  </w:r>
                </w:p>
              </w:tc>
              <w:tc>
                <w:tcPr>
                  <w:tcW w:w="840" w:type="dxa"/>
                  <w:tcBorders>
                    <w:tl2br w:val="nil"/>
                    <w:tr2bl w:val="nil"/>
                  </w:tcBorders>
                  <w:shd w:val="clear" w:color="auto" w:fill="auto"/>
                  <w:noWrap w:val="0"/>
                  <w:vAlign w:val="center"/>
                </w:tcPr>
                <w:p w14:paraId="0546B4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val="en-US" w:eastAsia="zh-CN"/>
                    </w:rPr>
                    <w:t>1</w:t>
                  </w:r>
                </w:p>
              </w:tc>
              <w:tc>
                <w:tcPr>
                  <w:tcW w:w="708" w:type="dxa"/>
                  <w:tcBorders>
                    <w:tl2br w:val="nil"/>
                    <w:tr2bl w:val="nil"/>
                  </w:tcBorders>
                  <w:shd w:val="clear" w:color="auto" w:fill="auto"/>
                  <w:noWrap w:val="0"/>
                  <w:vAlign w:val="center"/>
                </w:tcPr>
                <w:p w14:paraId="207E71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cs="Times New Roman"/>
                      <w:color w:val="FF0000"/>
                      <w:highlight w:val="none"/>
                      <w:lang w:eastAsia="zh-CN"/>
                    </w:rPr>
                    <w:t>桶装</w:t>
                  </w:r>
                </w:p>
              </w:tc>
              <w:tc>
                <w:tcPr>
                  <w:tcW w:w="1096" w:type="dxa"/>
                  <w:tcBorders>
                    <w:tl2br w:val="nil"/>
                    <w:tr2bl w:val="nil"/>
                  </w:tcBorders>
                  <w:shd w:val="clear" w:color="auto" w:fill="auto"/>
                  <w:noWrap w:val="0"/>
                  <w:vAlign w:val="bottom"/>
                </w:tcPr>
                <w:p w14:paraId="49DF42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原料</w:t>
                  </w:r>
                  <w:r>
                    <w:rPr>
                      <w:rFonts w:hint="default" w:ascii="Times New Roman" w:hAnsi="Times New Roman" w:cs="Times New Roman"/>
                      <w:color w:val="auto"/>
                      <w:highlight w:val="none"/>
                    </w:rPr>
                    <w:t>仓库</w:t>
                  </w:r>
                </w:p>
              </w:tc>
              <w:tc>
                <w:tcPr>
                  <w:tcW w:w="2195" w:type="dxa"/>
                  <w:tcBorders>
                    <w:tl2br w:val="nil"/>
                    <w:tr2bl w:val="nil"/>
                  </w:tcBorders>
                  <w:shd w:val="clear" w:color="auto" w:fill="auto"/>
                  <w:noWrap w:val="0"/>
                  <w:vAlign w:val="center"/>
                </w:tcPr>
                <w:p w14:paraId="257227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w:t>
                  </w:r>
                </w:p>
              </w:tc>
            </w:tr>
            <w:tr w14:paraId="5F6E37F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068CE8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shd w:val="clear" w:color="auto" w:fill="auto"/>
                  <w:noWrap w:val="0"/>
                  <w:vAlign w:val="center"/>
                </w:tcPr>
                <w:p w14:paraId="6FF300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电</w:t>
                  </w:r>
                </w:p>
              </w:tc>
              <w:tc>
                <w:tcPr>
                  <w:tcW w:w="772" w:type="dxa"/>
                  <w:tcBorders>
                    <w:tl2br w:val="nil"/>
                    <w:tr2bl w:val="nil"/>
                  </w:tcBorders>
                  <w:shd w:val="clear" w:color="auto" w:fill="auto"/>
                  <w:noWrap w:val="0"/>
                  <w:vAlign w:val="center"/>
                </w:tcPr>
                <w:p w14:paraId="70F0C0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w:t>
                  </w:r>
                </w:p>
              </w:tc>
              <w:tc>
                <w:tcPr>
                  <w:tcW w:w="891" w:type="dxa"/>
                  <w:tcBorders>
                    <w:tl2br w:val="nil"/>
                    <w:tr2bl w:val="nil"/>
                  </w:tcBorders>
                  <w:shd w:val="clear" w:color="auto" w:fill="auto"/>
                  <w:noWrap w:val="0"/>
                  <w:vAlign w:val="center"/>
                </w:tcPr>
                <w:p w14:paraId="1A5A85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300</w:t>
                  </w:r>
                  <w:r>
                    <w:rPr>
                      <w:rFonts w:hint="default" w:ascii="Times New Roman" w:hAnsi="Times New Roman" w:cs="Times New Roman"/>
                      <w:color w:val="auto"/>
                      <w:highlight w:val="none"/>
                      <w:lang w:val="en-US" w:eastAsia="zh-CN"/>
                    </w:rPr>
                    <w:t>万</w:t>
                  </w:r>
                  <w:r>
                    <w:rPr>
                      <w:rFonts w:hint="default" w:ascii="Times New Roman" w:hAnsi="Times New Roman" w:cs="Times New Roman"/>
                      <w:color w:val="auto"/>
                      <w:highlight w:val="none"/>
                      <w:lang w:eastAsia="zh-CN"/>
                    </w:rPr>
                    <w:t>kW</w:t>
                  </w:r>
                  <w:r>
                    <w:rPr>
                      <w:rFonts w:hint="default" w:ascii="Times New Roman" w:hAnsi="Times New Roman" w:cs="Times New Roman"/>
                      <w:color w:val="auto"/>
                      <w:highlight w:val="none"/>
                    </w:rPr>
                    <w:t>·h</w:t>
                  </w:r>
                </w:p>
              </w:tc>
              <w:tc>
                <w:tcPr>
                  <w:tcW w:w="840" w:type="dxa"/>
                  <w:tcBorders>
                    <w:tl2br w:val="nil"/>
                    <w:tr2bl w:val="nil"/>
                  </w:tcBorders>
                  <w:shd w:val="clear" w:color="auto" w:fill="auto"/>
                  <w:noWrap w:val="0"/>
                  <w:vAlign w:val="center"/>
                </w:tcPr>
                <w:p w14:paraId="551501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w:t>
                  </w:r>
                </w:p>
              </w:tc>
              <w:tc>
                <w:tcPr>
                  <w:tcW w:w="708" w:type="dxa"/>
                  <w:tcBorders>
                    <w:tl2br w:val="nil"/>
                    <w:tr2bl w:val="nil"/>
                  </w:tcBorders>
                  <w:shd w:val="clear" w:color="auto" w:fill="auto"/>
                  <w:noWrap w:val="0"/>
                  <w:vAlign w:val="center"/>
                </w:tcPr>
                <w:p w14:paraId="7C6D70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w:t>
                  </w:r>
                </w:p>
              </w:tc>
              <w:tc>
                <w:tcPr>
                  <w:tcW w:w="1096" w:type="dxa"/>
                  <w:tcBorders>
                    <w:tl2br w:val="nil"/>
                    <w:tr2bl w:val="nil"/>
                  </w:tcBorders>
                  <w:shd w:val="clear" w:color="auto" w:fill="auto"/>
                  <w:noWrap w:val="0"/>
                  <w:vAlign w:val="center"/>
                </w:tcPr>
                <w:p w14:paraId="1A2CC3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w:t>
                  </w:r>
                </w:p>
              </w:tc>
              <w:tc>
                <w:tcPr>
                  <w:tcW w:w="2195" w:type="dxa"/>
                  <w:tcBorders>
                    <w:tl2br w:val="nil"/>
                    <w:tr2bl w:val="nil"/>
                  </w:tcBorders>
                  <w:noWrap w:val="0"/>
                  <w:vAlign w:val="center"/>
                </w:tcPr>
                <w:p w14:paraId="47E15C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p>
              </w:tc>
            </w:tr>
            <w:tr w14:paraId="59D3919A">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665" w:type="dxa"/>
                  <w:vMerge w:val="continue"/>
                  <w:tcBorders>
                    <w:tl2br w:val="nil"/>
                    <w:tr2bl w:val="nil"/>
                  </w:tcBorders>
                  <w:shd w:val="clear" w:color="auto" w:fill="auto"/>
                  <w:noWrap w:val="0"/>
                  <w:vAlign w:val="center"/>
                </w:tcPr>
                <w:p w14:paraId="635EAB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p>
              </w:tc>
              <w:tc>
                <w:tcPr>
                  <w:tcW w:w="913" w:type="dxa"/>
                  <w:tcBorders>
                    <w:tl2br w:val="nil"/>
                    <w:tr2bl w:val="nil"/>
                  </w:tcBorders>
                  <w:noWrap w:val="0"/>
                  <w:vAlign w:val="center"/>
                </w:tcPr>
                <w:p w14:paraId="111AF8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新鲜水</w:t>
                  </w:r>
                </w:p>
              </w:tc>
              <w:tc>
                <w:tcPr>
                  <w:tcW w:w="772" w:type="dxa"/>
                  <w:tcBorders>
                    <w:tl2br w:val="nil"/>
                    <w:tr2bl w:val="nil"/>
                  </w:tcBorders>
                  <w:noWrap w:val="0"/>
                  <w:vAlign w:val="center"/>
                </w:tcPr>
                <w:p w14:paraId="515F1D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eastAsia="zh-CN"/>
                    </w:rPr>
                    <w:t>液态</w:t>
                  </w:r>
                </w:p>
              </w:tc>
              <w:tc>
                <w:tcPr>
                  <w:tcW w:w="891" w:type="dxa"/>
                  <w:tcBorders>
                    <w:tl2br w:val="nil"/>
                    <w:tr2bl w:val="nil"/>
                  </w:tcBorders>
                  <w:shd w:val="clear" w:color="auto" w:fill="auto"/>
                  <w:noWrap w:val="0"/>
                  <w:vAlign w:val="center"/>
                </w:tcPr>
                <w:p w14:paraId="243091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FF0000"/>
                      <w:highlight w:val="none"/>
                      <w:lang w:val="en-US" w:eastAsia="zh-CN"/>
                    </w:rPr>
                    <w:t>13710m</w:t>
                  </w:r>
                  <w:r>
                    <w:rPr>
                      <w:rFonts w:hint="eastAsia" w:cs="Times New Roman"/>
                      <w:color w:val="FF0000"/>
                      <w:highlight w:val="none"/>
                      <w:vertAlign w:val="superscript"/>
                      <w:lang w:val="en-US" w:eastAsia="zh-CN"/>
                    </w:rPr>
                    <w:t>3</w:t>
                  </w:r>
                  <w:r>
                    <w:rPr>
                      <w:rFonts w:hint="eastAsia" w:cs="Times New Roman"/>
                      <w:color w:val="auto"/>
                      <w:highlight w:val="none"/>
                      <w:lang w:val="en-US" w:eastAsia="zh-CN"/>
                    </w:rPr>
                    <w:t>/a</w:t>
                  </w:r>
                </w:p>
              </w:tc>
              <w:tc>
                <w:tcPr>
                  <w:tcW w:w="840" w:type="dxa"/>
                  <w:tcBorders>
                    <w:tl2br w:val="nil"/>
                    <w:tr2bl w:val="nil"/>
                  </w:tcBorders>
                  <w:noWrap w:val="0"/>
                  <w:vAlign w:val="center"/>
                </w:tcPr>
                <w:p w14:paraId="7E7E19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708" w:type="dxa"/>
                  <w:tcBorders>
                    <w:tl2br w:val="nil"/>
                    <w:tr2bl w:val="nil"/>
                  </w:tcBorders>
                  <w:noWrap w:val="0"/>
                  <w:vAlign w:val="center"/>
                </w:tcPr>
                <w:p w14:paraId="01CFC8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1096" w:type="dxa"/>
                  <w:tcBorders>
                    <w:tl2br w:val="nil"/>
                    <w:tr2bl w:val="nil"/>
                  </w:tcBorders>
                  <w:noWrap w:val="0"/>
                  <w:vAlign w:val="center"/>
                </w:tcPr>
                <w:p w14:paraId="27C9C5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w:t>
                  </w:r>
                </w:p>
              </w:tc>
              <w:tc>
                <w:tcPr>
                  <w:tcW w:w="2195" w:type="dxa"/>
                  <w:tcBorders>
                    <w:tl2br w:val="nil"/>
                    <w:tr2bl w:val="nil"/>
                  </w:tcBorders>
                  <w:noWrap w:val="0"/>
                  <w:vAlign w:val="center"/>
                </w:tcPr>
                <w:p w14:paraId="2E05CC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r>
          </w:tbl>
          <w:p w14:paraId="6C2C7296">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项目扩建前后全厂主要原辅材料及资源能源消耗一览表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Layout w:type="fixed"/>
              <w:tblCellMar>
                <w:top w:w="0" w:type="dxa"/>
                <w:left w:w="51" w:type="dxa"/>
                <w:bottom w:w="0" w:type="dxa"/>
                <w:right w:w="51" w:type="dxa"/>
              </w:tblCellMar>
            </w:tblPr>
            <w:tblGrid>
              <w:gridCol w:w="516"/>
              <w:gridCol w:w="1325"/>
              <w:gridCol w:w="1067"/>
              <w:gridCol w:w="902"/>
              <w:gridCol w:w="1040"/>
              <w:gridCol w:w="916"/>
              <w:gridCol w:w="2314"/>
            </w:tblGrid>
            <w:tr w14:paraId="16275C3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269" w:hRule="atLeast"/>
                <w:jc w:val="center"/>
              </w:trPr>
              <w:tc>
                <w:tcPr>
                  <w:tcW w:w="516" w:type="dxa"/>
                  <w:vMerge w:val="restart"/>
                  <w:tcBorders>
                    <w:tl2br w:val="nil"/>
                    <w:tr2bl w:val="nil"/>
                  </w:tcBorders>
                  <w:noWrap w:val="0"/>
                  <w:vAlign w:val="center"/>
                </w:tcPr>
                <w:p w14:paraId="1F6565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eastAsia="宋体" w:cs="Times New Roman"/>
                      <w:b/>
                      <w:bCs/>
                      <w:color w:val="auto"/>
                      <w:highlight w:val="none"/>
                      <w:lang w:eastAsia="zh-CN"/>
                    </w:rPr>
                  </w:pPr>
                  <w:r>
                    <w:rPr>
                      <w:rFonts w:hint="eastAsia" w:ascii="Times New Roman" w:hAnsi="Times New Roman" w:cs="Times New Roman"/>
                      <w:b/>
                      <w:bCs/>
                      <w:color w:val="auto"/>
                      <w:highlight w:val="none"/>
                      <w:lang w:eastAsia="zh-CN"/>
                    </w:rPr>
                    <w:t>序号</w:t>
                  </w:r>
                </w:p>
              </w:tc>
              <w:tc>
                <w:tcPr>
                  <w:tcW w:w="1325" w:type="dxa"/>
                  <w:vMerge w:val="restart"/>
                  <w:tcBorders>
                    <w:tl2br w:val="nil"/>
                    <w:tr2bl w:val="nil"/>
                  </w:tcBorders>
                  <w:noWrap w:val="0"/>
                  <w:vAlign w:val="center"/>
                </w:tcPr>
                <w:p w14:paraId="23FA6B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原料名称</w:t>
                  </w:r>
                </w:p>
              </w:tc>
              <w:tc>
                <w:tcPr>
                  <w:tcW w:w="3009" w:type="dxa"/>
                  <w:gridSpan w:val="3"/>
                  <w:tcBorders>
                    <w:tl2br w:val="nil"/>
                    <w:tr2bl w:val="nil"/>
                  </w:tcBorders>
                  <w:noWrap w:val="0"/>
                  <w:vAlign w:val="center"/>
                </w:tcPr>
                <w:p w14:paraId="0A92E2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年消耗量（t）</w:t>
                  </w:r>
                </w:p>
              </w:tc>
              <w:tc>
                <w:tcPr>
                  <w:tcW w:w="916" w:type="dxa"/>
                  <w:vMerge w:val="restart"/>
                  <w:tcBorders>
                    <w:tl2br w:val="nil"/>
                    <w:tr2bl w:val="nil"/>
                  </w:tcBorders>
                  <w:noWrap w:val="0"/>
                  <w:vAlign w:val="center"/>
                </w:tcPr>
                <w:p w14:paraId="59F1E6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eastAsia="宋体" w:cs="Times New Roman"/>
                      <w:b/>
                      <w:bCs/>
                      <w:color w:val="auto"/>
                      <w:highlight w:val="none"/>
                      <w:lang w:eastAsia="zh-CN"/>
                    </w:rPr>
                  </w:pPr>
                  <w:r>
                    <w:rPr>
                      <w:rFonts w:hint="eastAsia" w:ascii="Times New Roman" w:hAnsi="Times New Roman" w:cs="Times New Roman"/>
                      <w:b/>
                      <w:bCs/>
                      <w:color w:val="auto"/>
                      <w:highlight w:val="none"/>
                      <w:lang w:eastAsia="zh-CN"/>
                    </w:rPr>
                    <w:t>包装规格</w:t>
                  </w:r>
                </w:p>
              </w:tc>
              <w:tc>
                <w:tcPr>
                  <w:tcW w:w="2314" w:type="dxa"/>
                  <w:vMerge w:val="restart"/>
                  <w:tcBorders>
                    <w:tl2br w:val="nil"/>
                    <w:tr2bl w:val="nil"/>
                  </w:tcBorders>
                  <w:noWrap w:val="0"/>
                  <w:vAlign w:val="center"/>
                </w:tcPr>
                <w:p w14:paraId="668097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备注</w:t>
                  </w:r>
                </w:p>
              </w:tc>
            </w:tr>
            <w:tr w14:paraId="25BD106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269" w:hRule="atLeast"/>
                <w:jc w:val="center"/>
              </w:trPr>
              <w:tc>
                <w:tcPr>
                  <w:tcW w:w="516" w:type="dxa"/>
                  <w:vMerge w:val="continue"/>
                  <w:tcBorders>
                    <w:tl2br w:val="nil"/>
                    <w:tr2bl w:val="nil"/>
                  </w:tcBorders>
                  <w:noWrap w:val="0"/>
                  <w:vAlign w:val="center"/>
                </w:tcPr>
                <w:p w14:paraId="7B257E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rPr>
                  </w:pPr>
                </w:p>
              </w:tc>
              <w:tc>
                <w:tcPr>
                  <w:tcW w:w="1325" w:type="dxa"/>
                  <w:vMerge w:val="continue"/>
                  <w:tcBorders>
                    <w:tl2br w:val="nil"/>
                    <w:tr2bl w:val="nil"/>
                  </w:tcBorders>
                  <w:noWrap w:val="0"/>
                  <w:vAlign w:val="center"/>
                </w:tcPr>
                <w:p w14:paraId="120C26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rPr>
                  </w:pPr>
                </w:p>
              </w:tc>
              <w:tc>
                <w:tcPr>
                  <w:tcW w:w="1067" w:type="dxa"/>
                  <w:tcBorders>
                    <w:tl2br w:val="nil"/>
                    <w:tr2bl w:val="nil"/>
                  </w:tcBorders>
                  <w:noWrap w:val="0"/>
                  <w:vAlign w:val="center"/>
                </w:tcPr>
                <w:p w14:paraId="2C62B22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扩建前</w:t>
                  </w:r>
                </w:p>
              </w:tc>
              <w:tc>
                <w:tcPr>
                  <w:tcW w:w="902" w:type="dxa"/>
                  <w:tcBorders>
                    <w:tl2br w:val="nil"/>
                    <w:tr2bl w:val="nil"/>
                  </w:tcBorders>
                  <w:noWrap w:val="0"/>
                  <w:vAlign w:val="center"/>
                </w:tcPr>
                <w:p w14:paraId="0D6194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扩建后</w:t>
                  </w:r>
                </w:p>
              </w:tc>
              <w:tc>
                <w:tcPr>
                  <w:tcW w:w="1040" w:type="dxa"/>
                  <w:tcBorders>
                    <w:tl2br w:val="nil"/>
                    <w:tr2bl w:val="nil"/>
                  </w:tcBorders>
                  <w:noWrap w:val="0"/>
                  <w:vAlign w:val="center"/>
                </w:tcPr>
                <w:p w14:paraId="412B00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变化量</w:t>
                  </w:r>
                </w:p>
              </w:tc>
              <w:tc>
                <w:tcPr>
                  <w:tcW w:w="916" w:type="dxa"/>
                  <w:vMerge w:val="continue"/>
                  <w:tcBorders>
                    <w:tl2br w:val="nil"/>
                    <w:tr2bl w:val="nil"/>
                  </w:tcBorders>
                  <w:noWrap w:val="0"/>
                  <w:vAlign w:val="center"/>
                </w:tcPr>
                <w:p w14:paraId="2609ED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p>
              </w:tc>
              <w:tc>
                <w:tcPr>
                  <w:tcW w:w="2314" w:type="dxa"/>
                  <w:vMerge w:val="continue"/>
                  <w:tcBorders>
                    <w:tl2br w:val="nil"/>
                    <w:tr2bl w:val="nil"/>
                  </w:tcBorders>
                  <w:noWrap w:val="0"/>
                  <w:vAlign w:val="center"/>
                </w:tcPr>
                <w:p w14:paraId="6288C93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ascii="Times New Roman" w:hAnsi="Times New Roman" w:cs="Times New Roman"/>
                      <w:b/>
                      <w:bCs/>
                      <w:color w:val="auto"/>
                      <w:highlight w:val="none"/>
                      <w:lang w:val="en-US" w:eastAsia="zh-CN"/>
                    </w:rPr>
                  </w:pPr>
                </w:p>
              </w:tc>
            </w:tr>
            <w:tr w14:paraId="295B49C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638411D">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247BCB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锂渣</w:t>
                  </w:r>
                </w:p>
              </w:tc>
              <w:tc>
                <w:tcPr>
                  <w:tcW w:w="1067" w:type="dxa"/>
                  <w:tcBorders>
                    <w:tl2br w:val="nil"/>
                    <w:tr2bl w:val="nil"/>
                  </w:tcBorders>
                  <w:shd w:val="clear" w:color="auto" w:fill="auto"/>
                  <w:noWrap w:val="0"/>
                  <w:vAlign w:val="center"/>
                </w:tcPr>
                <w:p w14:paraId="439C67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60万</w:t>
                  </w:r>
                </w:p>
              </w:tc>
              <w:tc>
                <w:tcPr>
                  <w:tcW w:w="902" w:type="dxa"/>
                  <w:tcBorders>
                    <w:tl2br w:val="nil"/>
                    <w:tr2bl w:val="nil"/>
                  </w:tcBorders>
                  <w:shd w:val="clear" w:color="auto" w:fill="auto"/>
                  <w:noWrap w:val="0"/>
                  <w:vAlign w:val="center"/>
                </w:tcPr>
                <w:p w14:paraId="0A245E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60万</w:t>
                  </w:r>
                </w:p>
              </w:tc>
              <w:tc>
                <w:tcPr>
                  <w:tcW w:w="1040" w:type="dxa"/>
                  <w:tcBorders>
                    <w:tl2br w:val="nil"/>
                    <w:tr2bl w:val="nil"/>
                  </w:tcBorders>
                  <w:shd w:val="clear" w:color="auto" w:fill="auto"/>
                  <w:noWrap w:val="0"/>
                  <w:vAlign w:val="center"/>
                </w:tcPr>
                <w:p w14:paraId="3A2BFD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16" w:type="dxa"/>
                  <w:tcBorders>
                    <w:tl2br w:val="nil"/>
                    <w:tr2bl w:val="nil"/>
                  </w:tcBorders>
                  <w:shd w:val="clear" w:color="auto" w:fill="auto"/>
                  <w:noWrap w:val="0"/>
                  <w:vAlign w:val="center"/>
                </w:tcPr>
                <w:p w14:paraId="400463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s="Times New Roman"/>
                      <w:color w:val="auto"/>
                      <w:highlight w:val="none"/>
                      <w:lang w:val="en-US" w:eastAsia="zh-CN"/>
                    </w:rPr>
                  </w:pPr>
                  <w:r>
                    <w:rPr>
                      <w:rFonts w:hint="default"/>
                      <w:color w:val="auto"/>
                      <w:highlight w:val="none"/>
                    </w:rPr>
                    <w:t>散装</w:t>
                  </w:r>
                </w:p>
              </w:tc>
              <w:tc>
                <w:tcPr>
                  <w:tcW w:w="2314" w:type="dxa"/>
                  <w:tcBorders>
                    <w:tl2br w:val="nil"/>
                    <w:tr2bl w:val="nil"/>
                  </w:tcBorders>
                  <w:shd w:val="clear" w:color="auto" w:fill="auto"/>
                  <w:noWrap w:val="0"/>
                  <w:vAlign w:val="center"/>
                </w:tcPr>
                <w:p w14:paraId="7E22F0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olor w:val="auto"/>
                      <w:highlight w:val="none"/>
                      <w:lang w:eastAsia="zh-CN"/>
                    </w:rPr>
                    <w:t>来自</w:t>
                  </w:r>
                  <w:r>
                    <w:rPr>
                      <w:rFonts w:hint="default"/>
                      <w:color w:val="auto"/>
                      <w:highlight w:val="none"/>
                    </w:rPr>
                    <w:t>江西永兴特钢新能源科技有限公司等</w:t>
                  </w:r>
                </w:p>
              </w:tc>
            </w:tr>
            <w:tr w14:paraId="48169428">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9AA4A2A">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0860AA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螯合剂</w:t>
                  </w:r>
                </w:p>
              </w:tc>
              <w:tc>
                <w:tcPr>
                  <w:tcW w:w="1067" w:type="dxa"/>
                  <w:tcBorders>
                    <w:tl2br w:val="nil"/>
                    <w:tr2bl w:val="nil"/>
                  </w:tcBorders>
                  <w:shd w:val="clear" w:color="auto" w:fill="auto"/>
                  <w:noWrap w:val="0"/>
                  <w:vAlign w:val="center"/>
                </w:tcPr>
                <w:p w14:paraId="136B84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1200</w:t>
                  </w:r>
                </w:p>
              </w:tc>
              <w:tc>
                <w:tcPr>
                  <w:tcW w:w="902" w:type="dxa"/>
                  <w:tcBorders>
                    <w:tl2br w:val="nil"/>
                    <w:tr2bl w:val="nil"/>
                  </w:tcBorders>
                  <w:shd w:val="clear" w:color="auto" w:fill="auto"/>
                  <w:noWrap w:val="0"/>
                  <w:vAlign w:val="center"/>
                </w:tcPr>
                <w:p w14:paraId="5122C6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3360.8</w:t>
                  </w:r>
                </w:p>
              </w:tc>
              <w:tc>
                <w:tcPr>
                  <w:tcW w:w="1040" w:type="dxa"/>
                  <w:tcBorders>
                    <w:tl2br w:val="nil"/>
                    <w:tr2bl w:val="nil"/>
                  </w:tcBorders>
                  <w:shd w:val="clear" w:color="auto" w:fill="auto"/>
                  <w:noWrap w:val="0"/>
                  <w:vAlign w:val="center"/>
                </w:tcPr>
                <w:p w14:paraId="36BE97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+2160.8</w:t>
                  </w:r>
                </w:p>
              </w:tc>
              <w:tc>
                <w:tcPr>
                  <w:tcW w:w="916" w:type="dxa"/>
                  <w:tcBorders>
                    <w:tl2br w:val="nil"/>
                    <w:tr2bl w:val="nil"/>
                  </w:tcBorders>
                  <w:shd w:val="clear" w:color="auto" w:fill="auto"/>
                  <w:noWrap w:val="0"/>
                  <w:vAlign w:val="center"/>
                </w:tcPr>
                <w:p w14:paraId="6D72AA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s="Times New Roman"/>
                      <w:color w:val="auto"/>
                      <w:highlight w:val="none"/>
                      <w:lang w:val="en-US" w:eastAsia="zh-CN"/>
                    </w:rPr>
                  </w:pPr>
                  <w:r>
                    <w:rPr>
                      <w:rFonts w:hint="default" w:ascii="Times New Roman" w:hAnsi="Times New Roman" w:cs="Times New Roman"/>
                      <w:color w:val="auto"/>
                      <w:highlight w:val="none"/>
                      <w:lang w:val="en-US" w:eastAsia="zh-CN"/>
                    </w:rPr>
                    <w:t>袋装</w:t>
                  </w:r>
                </w:p>
              </w:tc>
              <w:tc>
                <w:tcPr>
                  <w:tcW w:w="2314" w:type="dxa"/>
                  <w:tcBorders>
                    <w:tl2br w:val="nil"/>
                    <w:tr2bl w:val="nil"/>
                  </w:tcBorders>
                  <w:shd w:val="clear" w:color="auto" w:fill="auto"/>
                  <w:noWrap w:val="0"/>
                  <w:vAlign w:val="center"/>
                </w:tcPr>
                <w:p w14:paraId="57C9BD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外购</w:t>
                  </w:r>
                </w:p>
              </w:tc>
            </w:tr>
            <w:tr w14:paraId="05B4056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24858C07">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6796F1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石灰</w:t>
                  </w:r>
                </w:p>
              </w:tc>
              <w:tc>
                <w:tcPr>
                  <w:tcW w:w="1067" w:type="dxa"/>
                  <w:tcBorders>
                    <w:tl2br w:val="nil"/>
                    <w:tr2bl w:val="nil"/>
                  </w:tcBorders>
                  <w:shd w:val="clear" w:color="auto" w:fill="auto"/>
                  <w:noWrap w:val="0"/>
                  <w:vAlign w:val="center"/>
                </w:tcPr>
                <w:p w14:paraId="3C74B2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2000</w:t>
                  </w:r>
                </w:p>
              </w:tc>
              <w:tc>
                <w:tcPr>
                  <w:tcW w:w="902" w:type="dxa"/>
                  <w:tcBorders>
                    <w:tl2br w:val="nil"/>
                    <w:tr2bl w:val="nil"/>
                  </w:tcBorders>
                  <w:shd w:val="clear" w:color="auto" w:fill="auto"/>
                  <w:noWrap w:val="0"/>
                  <w:vAlign w:val="center"/>
                </w:tcPr>
                <w:p w14:paraId="2A7A59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2000</w:t>
                  </w:r>
                </w:p>
              </w:tc>
              <w:tc>
                <w:tcPr>
                  <w:tcW w:w="1040" w:type="dxa"/>
                  <w:tcBorders>
                    <w:tl2br w:val="nil"/>
                    <w:tr2bl w:val="nil"/>
                  </w:tcBorders>
                  <w:shd w:val="clear" w:color="auto" w:fill="auto"/>
                  <w:noWrap w:val="0"/>
                  <w:vAlign w:val="center"/>
                </w:tcPr>
                <w:p w14:paraId="3C194F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16" w:type="dxa"/>
                  <w:tcBorders>
                    <w:tl2br w:val="nil"/>
                    <w:tr2bl w:val="nil"/>
                  </w:tcBorders>
                  <w:shd w:val="clear" w:color="auto" w:fill="auto"/>
                  <w:noWrap w:val="0"/>
                  <w:vAlign w:val="center"/>
                </w:tcPr>
                <w:p w14:paraId="6CAF291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1" w:name="_Toc4068"/>
                  <w:r>
                    <w:rPr>
                      <w:rFonts w:hint="default"/>
                      <w:color w:val="auto"/>
                      <w:highlight w:val="none"/>
                    </w:rPr>
                    <w:t>袋装</w:t>
                  </w:r>
                  <w:bookmarkEnd w:id="81"/>
                </w:p>
              </w:tc>
              <w:tc>
                <w:tcPr>
                  <w:tcW w:w="2314" w:type="dxa"/>
                  <w:tcBorders>
                    <w:tl2br w:val="nil"/>
                    <w:tr2bl w:val="nil"/>
                  </w:tcBorders>
                  <w:shd w:val="clear" w:color="auto" w:fill="auto"/>
                  <w:noWrap w:val="0"/>
                  <w:vAlign w:val="center"/>
                </w:tcPr>
                <w:p w14:paraId="6F8FD8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5F09349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53700782">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01B220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碳酸钠</w:t>
                  </w:r>
                </w:p>
              </w:tc>
              <w:tc>
                <w:tcPr>
                  <w:tcW w:w="1067" w:type="dxa"/>
                  <w:tcBorders>
                    <w:tl2br w:val="nil"/>
                    <w:tr2bl w:val="nil"/>
                  </w:tcBorders>
                  <w:shd w:val="clear" w:color="auto" w:fill="auto"/>
                  <w:noWrap w:val="0"/>
                  <w:vAlign w:val="center"/>
                </w:tcPr>
                <w:p w14:paraId="2ACA76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2000</w:t>
                  </w:r>
                </w:p>
              </w:tc>
              <w:tc>
                <w:tcPr>
                  <w:tcW w:w="902" w:type="dxa"/>
                  <w:tcBorders>
                    <w:tl2br w:val="nil"/>
                    <w:tr2bl w:val="nil"/>
                  </w:tcBorders>
                  <w:shd w:val="clear" w:color="auto" w:fill="auto"/>
                  <w:noWrap w:val="0"/>
                  <w:vAlign w:val="center"/>
                </w:tcPr>
                <w:p w14:paraId="209700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auto"/>
                      <w:highlight w:val="none"/>
                      <w:lang w:val="en-US" w:eastAsia="zh-CN"/>
                    </w:rPr>
                    <w:t>2000</w:t>
                  </w:r>
                </w:p>
              </w:tc>
              <w:tc>
                <w:tcPr>
                  <w:tcW w:w="1040" w:type="dxa"/>
                  <w:tcBorders>
                    <w:tl2br w:val="nil"/>
                    <w:tr2bl w:val="nil"/>
                  </w:tcBorders>
                  <w:shd w:val="clear" w:color="auto" w:fill="auto"/>
                  <w:noWrap w:val="0"/>
                  <w:vAlign w:val="center"/>
                </w:tcPr>
                <w:p w14:paraId="47A46F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16" w:type="dxa"/>
                  <w:tcBorders>
                    <w:tl2br w:val="nil"/>
                    <w:tr2bl w:val="nil"/>
                  </w:tcBorders>
                  <w:shd w:val="clear" w:color="auto" w:fill="auto"/>
                  <w:noWrap w:val="0"/>
                  <w:vAlign w:val="center"/>
                </w:tcPr>
                <w:p w14:paraId="6CE0E8F6">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2" w:name="_Toc1138"/>
                  <w:r>
                    <w:rPr>
                      <w:rFonts w:hint="default"/>
                      <w:color w:val="auto"/>
                      <w:highlight w:val="none"/>
                    </w:rPr>
                    <w:t>袋装</w:t>
                  </w:r>
                  <w:bookmarkEnd w:id="82"/>
                </w:p>
              </w:tc>
              <w:tc>
                <w:tcPr>
                  <w:tcW w:w="2314" w:type="dxa"/>
                  <w:tcBorders>
                    <w:tl2br w:val="nil"/>
                    <w:tr2bl w:val="nil"/>
                  </w:tcBorders>
                  <w:shd w:val="clear" w:color="auto" w:fill="auto"/>
                  <w:noWrap w:val="0"/>
                  <w:vAlign w:val="center"/>
                </w:tcPr>
                <w:p w14:paraId="7F6DEA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4062855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1A8AFC5C">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377395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双氧水</w:t>
                  </w:r>
                </w:p>
              </w:tc>
              <w:tc>
                <w:tcPr>
                  <w:tcW w:w="1067" w:type="dxa"/>
                  <w:tcBorders>
                    <w:tl2br w:val="nil"/>
                    <w:tr2bl w:val="nil"/>
                  </w:tcBorders>
                  <w:shd w:val="clear" w:color="auto" w:fill="auto"/>
                  <w:noWrap w:val="0"/>
                  <w:vAlign w:val="center"/>
                </w:tcPr>
                <w:p w14:paraId="7E3BD8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0.75</w:t>
                  </w:r>
                </w:p>
              </w:tc>
              <w:tc>
                <w:tcPr>
                  <w:tcW w:w="902" w:type="dxa"/>
                  <w:tcBorders>
                    <w:tl2br w:val="nil"/>
                    <w:tr2bl w:val="nil"/>
                  </w:tcBorders>
                  <w:shd w:val="clear" w:color="auto" w:fill="auto"/>
                  <w:noWrap w:val="0"/>
                  <w:vAlign w:val="center"/>
                </w:tcPr>
                <w:p w14:paraId="3732D1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1.5</w:t>
                  </w:r>
                </w:p>
              </w:tc>
              <w:tc>
                <w:tcPr>
                  <w:tcW w:w="1040" w:type="dxa"/>
                  <w:tcBorders>
                    <w:tl2br w:val="nil"/>
                    <w:tr2bl w:val="nil"/>
                  </w:tcBorders>
                  <w:shd w:val="clear" w:color="auto" w:fill="auto"/>
                  <w:noWrap w:val="0"/>
                  <w:vAlign w:val="center"/>
                </w:tcPr>
                <w:p w14:paraId="7FDFB6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0.75</w:t>
                  </w:r>
                </w:p>
              </w:tc>
              <w:tc>
                <w:tcPr>
                  <w:tcW w:w="916" w:type="dxa"/>
                  <w:tcBorders>
                    <w:tl2br w:val="nil"/>
                    <w:tr2bl w:val="nil"/>
                  </w:tcBorders>
                  <w:shd w:val="clear" w:color="auto" w:fill="auto"/>
                  <w:noWrap w:val="0"/>
                  <w:vAlign w:val="center"/>
                </w:tcPr>
                <w:p w14:paraId="6165250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3" w:name="_Toc29883"/>
                  <w:r>
                    <w:rPr>
                      <w:rFonts w:hint="default"/>
                      <w:color w:val="auto"/>
                      <w:highlight w:val="none"/>
                    </w:rPr>
                    <w:t>桶装</w:t>
                  </w:r>
                  <w:bookmarkEnd w:id="83"/>
                </w:p>
              </w:tc>
              <w:tc>
                <w:tcPr>
                  <w:tcW w:w="2314" w:type="dxa"/>
                  <w:tcBorders>
                    <w:tl2br w:val="nil"/>
                    <w:tr2bl w:val="nil"/>
                  </w:tcBorders>
                  <w:shd w:val="clear" w:color="auto" w:fill="auto"/>
                  <w:noWrap w:val="0"/>
                  <w:vAlign w:val="center"/>
                </w:tcPr>
                <w:p w14:paraId="28F0E3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2DC50FE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41E082FD">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213505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PAM</w:t>
                  </w:r>
                </w:p>
              </w:tc>
              <w:tc>
                <w:tcPr>
                  <w:tcW w:w="1067" w:type="dxa"/>
                  <w:tcBorders>
                    <w:tl2br w:val="nil"/>
                    <w:tr2bl w:val="nil"/>
                  </w:tcBorders>
                  <w:shd w:val="clear" w:color="auto" w:fill="auto"/>
                  <w:noWrap w:val="0"/>
                  <w:vAlign w:val="center"/>
                </w:tcPr>
                <w:p w14:paraId="295445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0.50</w:t>
                  </w:r>
                </w:p>
              </w:tc>
              <w:tc>
                <w:tcPr>
                  <w:tcW w:w="902" w:type="dxa"/>
                  <w:tcBorders>
                    <w:tl2br w:val="nil"/>
                    <w:tr2bl w:val="nil"/>
                  </w:tcBorders>
                  <w:shd w:val="clear" w:color="auto" w:fill="auto"/>
                  <w:noWrap w:val="0"/>
                  <w:vAlign w:val="center"/>
                </w:tcPr>
                <w:p w14:paraId="0DB0A8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1040" w:type="dxa"/>
                  <w:tcBorders>
                    <w:tl2br w:val="nil"/>
                    <w:tr2bl w:val="nil"/>
                  </w:tcBorders>
                  <w:shd w:val="clear" w:color="auto" w:fill="auto"/>
                  <w:noWrap w:val="0"/>
                  <w:vAlign w:val="center"/>
                </w:tcPr>
                <w:p w14:paraId="22A2E1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0.5</w:t>
                  </w:r>
                </w:p>
              </w:tc>
              <w:tc>
                <w:tcPr>
                  <w:tcW w:w="916" w:type="dxa"/>
                  <w:tcBorders>
                    <w:tl2br w:val="nil"/>
                    <w:tr2bl w:val="nil"/>
                  </w:tcBorders>
                  <w:shd w:val="clear" w:color="auto" w:fill="auto"/>
                  <w:noWrap w:val="0"/>
                  <w:vAlign w:val="center"/>
                </w:tcPr>
                <w:p w14:paraId="0C6796B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4" w:name="_Toc9910"/>
                  <w:r>
                    <w:rPr>
                      <w:rFonts w:hint="default"/>
                      <w:color w:val="auto"/>
                      <w:highlight w:val="none"/>
                    </w:rPr>
                    <w:t>袋装</w:t>
                  </w:r>
                  <w:bookmarkEnd w:id="84"/>
                </w:p>
              </w:tc>
              <w:tc>
                <w:tcPr>
                  <w:tcW w:w="2314" w:type="dxa"/>
                  <w:tcBorders>
                    <w:tl2br w:val="nil"/>
                    <w:tr2bl w:val="nil"/>
                  </w:tcBorders>
                  <w:shd w:val="clear" w:color="auto" w:fill="auto"/>
                  <w:noWrap w:val="0"/>
                  <w:vAlign w:val="center"/>
                </w:tcPr>
                <w:p w14:paraId="2340F4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0B1D067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BB2A8A7">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24195A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PAC</w:t>
                  </w:r>
                </w:p>
              </w:tc>
              <w:tc>
                <w:tcPr>
                  <w:tcW w:w="1067" w:type="dxa"/>
                  <w:tcBorders>
                    <w:tl2br w:val="nil"/>
                    <w:tr2bl w:val="nil"/>
                  </w:tcBorders>
                  <w:shd w:val="clear" w:color="auto" w:fill="auto"/>
                  <w:noWrap w:val="0"/>
                  <w:vAlign w:val="center"/>
                </w:tcPr>
                <w:p w14:paraId="634035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0.50</w:t>
                  </w:r>
                </w:p>
              </w:tc>
              <w:tc>
                <w:tcPr>
                  <w:tcW w:w="902" w:type="dxa"/>
                  <w:tcBorders>
                    <w:tl2br w:val="nil"/>
                    <w:tr2bl w:val="nil"/>
                  </w:tcBorders>
                  <w:shd w:val="clear" w:color="auto" w:fill="auto"/>
                  <w:noWrap w:val="0"/>
                  <w:vAlign w:val="center"/>
                </w:tcPr>
                <w:p w14:paraId="28F19A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w:t>
                  </w:r>
                </w:p>
              </w:tc>
              <w:tc>
                <w:tcPr>
                  <w:tcW w:w="1040" w:type="dxa"/>
                  <w:tcBorders>
                    <w:tl2br w:val="nil"/>
                    <w:tr2bl w:val="nil"/>
                  </w:tcBorders>
                  <w:shd w:val="clear" w:color="auto" w:fill="auto"/>
                  <w:noWrap w:val="0"/>
                  <w:vAlign w:val="center"/>
                </w:tcPr>
                <w:p w14:paraId="2B47E0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0.5</w:t>
                  </w:r>
                </w:p>
              </w:tc>
              <w:tc>
                <w:tcPr>
                  <w:tcW w:w="916" w:type="dxa"/>
                  <w:tcBorders>
                    <w:tl2br w:val="nil"/>
                    <w:tr2bl w:val="nil"/>
                  </w:tcBorders>
                  <w:shd w:val="clear" w:color="auto" w:fill="auto"/>
                  <w:noWrap w:val="0"/>
                  <w:vAlign w:val="center"/>
                </w:tcPr>
                <w:p w14:paraId="37629B4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5" w:name="_Toc563"/>
                  <w:r>
                    <w:rPr>
                      <w:rFonts w:hint="default"/>
                      <w:color w:val="auto"/>
                      <w:highlight w:val="none"/>
                    </w:rPr>
                    <w:t>袋装</w:t>
                  </w:r>
                  <w:bookmarkEnd w:id="85"/>
                </w:p>
              </w:tc>
              <w:tc>
                <w:tcPr>
                  <w:tcW w:w="2314" w:type="dxa"/>
                  <w:tcBorders>
                    <w:tl2br w:val="nil"/>
                    <w:tr2bl w:val="nil"/>
                  </w:tcBorders>
                  <w:shd w:val="clear" w:color="auto" w:fill="auto"/>
                  <w:noWrap w:val="0"/>
                  <w:vAlign w:val="center"/>
                </w:tcPr>
                <w:p w14:paraId="6CCB742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12380CC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F331663">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6E2532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石灰（除氟）</w:t>
                  </w:r>
                </w:p>
              </w:tc>
              <w:tc>
                <w:tcPr>
                  <w:tcW w:w="1067" w:type="dxa"/>
                  <w:tcBorders>
                    <w:tl2br w:val="nil"/>
                    <w:tr2bl w:val="nil"/>
                  </w:tcBorders>
                  <w:shd w:val="clear" w:color="auto" w:fill="auto"/>
                  <w:noWrap w:val="0"/>
                  <w:vAlign w:val="center"/>
                </w:tcPr>
                <w:p w14:paraId="5C46F8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10</w:t>
                  </w:r>
                </w:p>
              </w:tc>
              <w:tc>
                <w:tcPr>
                  <w:tcW w:w="902" w:type="dxa"/>
                  <w:tcBorders>
                    <w:tl2br w:val="nil"/>
                    <w:tr2bl w:val="nil"/>
                  </w:tcBorders>
                  <w:shd w:val="clear" w:color="auto" w:fill="auto"/>
                  <w:noWrap w:val="0"/>
                  <w:vAlign w:val="center"/>
                </w:tcPr>
                <w:p w14:paraId="0319D0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20</w:t>
                  </w:r>
                </w:p>
              </w:tc>
              <w:tc>
                <w:tcPr>
                  <w:tcW w:w="1040" w:type="dxa"/>
                  <w:tcBorders>
                    <w:tl2br w:val="nil"/>
                    <w:tr2bl w:val="nil"/>
                  </w:tcBorders>
                  <w:shd w:val="clear" w:color="auto" w:fill="auto"/>
                  <w:noWrap w:val="0"/>
                  <w:vAlign w:val="center"/>
                </w:tcPr>
                <w:p w14:paraId="53BA0A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10</w:t>
                  </w:r>
                </w:p>
              </w:tc>
              <w:tc>
                <w:tcPr>
                  <w:tcW w:w="916" w:type="dxa"/>
                  <w:tcBorders>
                    <w:tl2br w:val="nil"/>
                    <w:tr2bl w:val="nil"/>
                  </w:tcBorders>
                  <w:shd w:val="clear" w:color="auto" w:fill="auto"/>
                  <w:noWrap w:val="0"/>
                  <w:vAlign w:val="center"/>
                </w:tcPr>
                <w:p w14:paraId="360B6D7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6" w:name="_Toc28062"/>
                  <w:r>
                    <w:rPr>
                      <w:rFonts w:hint="default"/>
                      <w:color w:val="auto"/>
                      <w:highlight w:val="none"/>
                    </w:rPr>
                    <w:t>袋装</w:t>
                  </w:r>
                  <w:bookmarkEnd w:id="86"/>
                </w:p>
              </w:tc>
              <w:tc>
                <w:tcPr>
                  <w:tcW w:w="2314" w:type="dxa"/>
                  <w:tcBorders>
                    <w:tl2br w:val="nil"/>
                    <w:tr2bl w:val="nil"/>
                  </w:tcBorders>
                  <w:shd w:val="clear" w:color="auto" w:fill="auto"/>
                  <w:noWrap w:val="0"/>
                  <w:vAlign w:val="center"/>
                </w:tcPr>
                <w:p w14:paraId="5C9639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7979E6F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4BA4F4B8">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1DDA38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高分子络合剂（除铊）</w:t>
                  </w:r>
                </w:p>
              </w:tc>
              <w:tc>
                <w:tcPr>
                  <w:tcW w:w="1067" w:type="dxa"/>
                  <w:tcBorders>
                    <w:tl2br w:val="nil"/>
                    <w:tr2bl w:val="nil"/>
                  </w:tcBorders>
                  <w:shd w:val="clear" w:color="auto" w:fill="auto"/>
                  <w:noWrap w:val="0"/>
                  <w:vAlign w:val="center"/>
                </w:tcPr>
                <w:p w14:paraId="1D8912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5</w:t>
                  </w:r>
                </w:p>
              </w:tc>
              <w:tc>
                <w:tcPr>
                  <w:tcW w:w="902" w:type="dxa"/>
                  <w:tcBorders>
                    <w:tl2br w:val="nil"/>
                    <w:tr2bl w:val="nil"/>
                  </w:tcBorders>
                  <w:shd w:val="clear" w:color="auto" w:fill="auto"/>
                  <w:noWrap w:val="0"/>
                  <w:vAlign w:val="center"/>
                </w:tcPr>
                <w:p w14:paraId="1A63A8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w:t>
                  </w:r>
                </w:p>
              </w:tc>
              <w:tc>
                <w:tcPr>
                  <w:tcW w:w="1040" w:type="dxa"/>
                  <w:tcBorders>
                    <w:tl2br w:val="nil"/>
                    <w:tr2bl w:val="nil"/>
                  </w:tcBorders>
                  <w:shd w:val="clear" w:color="auto" w:fill="auto"/>
                  <w:noWrap w:val="0"/>
                  <w:vAlign w:val="center"/>
                </w:tcPr>
                <w:p w14:paraId="3D7CD5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5</w:t>
                  </w:r>
                </w:p>
              </w:tc>
              <w:tc>
                <w:tcPr>
                  <w:tcW w:w="916" w:type="dxa"/>
                  <w:tcBorders>
                    <w:tl2br w:val="nil"/>
                    <w:tr2bl w:val="nil"/>
                  </w:tcBorders>
                  <w:shd w:val="clear" w:color="auto" w:fill="auto"/>
                  <w:noWrap w:val="0"/>
                  <w:vAlign w:val="center"/>
                </w:tcPr>
                <w:p w14:paraId="63F5148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heme="minorBidi"/>
                      <w:b w:val="0"/>
                      <w:color w:val="auto"/>
                      <w:kern w:val="2"/>
                      <w:sz w:val="21"/>
                      <w:szCs w:val="24"/>
                      <w:highlight w:val="none"/>
                      <w:lang w:val="en-US" w:eastAsia="zh-CN" w:bidi="ar-SA"/>
                    </w:rPr>
                  </w:pPr>
                  <w:bookmarkStart w:id="87" w:name="_Toc31523"/>
                  <w:r>
                    <w:rPr>
                      <w:rFonts w:hint="default"/>
                      <w:color w:val="auto"/>
                      <w:highlight w:val="none"/>
                    </w:rPr>
                    <w:t>桶装</w:t>
                  </w:r>
                  <w:bookmarkEnd w:id="87"/>
                </w:p>
              </w:tc>
              <w:tc>
                <w:tcPr>
                  <w:tcW w:w="2314" w:type="dxa"/>
                  <w:tcBorders>
                    <w:tl2br w:val="nil"/>
                    <w:tr2bl w:val="nil"/>
                  </w:tcBorders>
                  <w:shd w:val="clear" w:color="auto" w:fill="auto"/>
                  <w:noWrap w:val="0"/>
                  <w:vAlign w:val="center"/>
                </w:tcPr>
                <w:p w14:paraId="022800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外购</w:t>
                  </w:r>
                </w:p>
              </w:tc>
            </w:tr>
            <w:tr w14:paraId="3CF7AB40">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53E27DE3">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608ABD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锂渣</w:t>
                  </w:r>
                </w:p>
              </w:tc>
              <w:tc>
                <w:tcPr>
                  <w:tcW w:w="1067" w:type="dxa"/>
                  <w:tcBorders>
                    <w:tl2br w:val="nil"/>
                    <w:tr2bl w:val="nil"/>
                  </w:tcBorders>
                  <w:shd w:val="clear" w:color="auto" w:fill="auto"/>
                  <w:noWrap w:val="0"/>
                  <w:vAlign w:val="center"/>
                </w:tcPr>
                <w:p w14:paraId="75A520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shd w:val="clear" w:color="auto" w:fill="auto"/>
                  <w:noWrap w:val="0"/>
                  <w:vAlign w:val="center"/>
                </w:tcPr>
                <w:p w14:paraId="210924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43万</w:t>
                  </w:r>
                </w:p>
              </w:tc>
              <w:tc>
                <w:tcPr>
                  <w:tcW w:w="1040" w:type="dxa"/>
                  <w:tcBorders>
                    <w:tl2br w:val="nil"/>
                    <w:tr2bl w:val="nil"/>
                  </w:tcBorders>
                  <w:shd w:val="clear" w:color="auto" w:fill="auto"/>
                  <w:noWrap w:val="0"/>
                  <w:vAlign w:val="center"/>
                </w:tcPr>
                <w:p w14:paraId="4B1540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+43万</w:t>
                  </w:r>
                </w:p>
              </w:tc>
              <w:tc>
                <w:tcPr>
                  <w:tcW w:w="916" w:type="dxa"/>
                  <w:tcBorders>
                    <w:tl2br w:val="nil"/>
                    <w:tr2bl w:val="nil"/>
                  </w:tcBorders>
                  <w:shd w:val="clear" w:color="auto" w:fill="auto"/>
                  <w:noWrap w:val="0"/>
                  <w:vAlign w:val="center"/>
                </w:tcPr>
                <w:p w14:paraId="16F702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color w:val="auto"/>
                      <w:highlight w:val="none"/>
                    </w:rPr>
                    <w:t>散装</w:t>
                  </w:r>
                </w:p>
              </w:tc>
              <w:tc>
                <w:tcPr>
                  <w:tcW w:w="2314" w:type="dxa"/>
                  <w:tcBorders>
                    <w:tl2br w:val="nil"/>
                    <w:tr2bl w:val="nil"/>
                  </w:tcBorders>
                  <w:shd w:val="clear" w:color="auto" w:fill="auto"/>
                  <w:noWrap w:val="0"/>
                  <w:vAlign w:val="center"/>
                </w:tcPr>
                <w:p w14:paraId="1DF974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highlight w:val="none"/>
                      <w:lang w:val="en-US" w:eastAsia="zh-CN"/>
                    </w:rPr>
                  </w:pPr>
                  <w:r>
                    <w:rPr>
                      <w:rFonts w:hint="eastAsia"/>
                      <w:color w:val="FF0000"/>
                      <w:highlight w:val="none"/>
                      <w:lang w:eastAsia="zh-CN"/>
                    </w:rPr>
                    <w:t>来自宜丰国轩锂业有限公司等</w:t>
                  </w:r>
                </w:p>
              </w:tc>
            </w:tr>
            <w:tr w14:paraId="0BB20023">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2F61057F">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457C07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粉煤灰</w:t>
                  </w:r>
                </w:p>
              </w:tc>
              <w:tc>
                <w:tcPr>
                  <w:tcW w:w="1067" w:type="dxa"/>
                  <w:tcBorders>
                    <w:tl2br w:val="nil"/>
                    <w:tr2bl w:val="nil"/>
                  </w:tcBorders>
                  <w:shd w:val="clear" w:color="auto" w:fill="auto"/>
                  <w:noWrap w:val="0"/>
                  <w:vAlign w:val="center"/>
                </w:tcPr>
                <w:p w14:paraId="3C8500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shd w:val="clear" w:color="auto" w:fill="auto"/>
                  <w:noWrap w:val="0"/>
                  <w:vAlign w:val="center"/>
                </w:tcPr>
                <w:p w14:paraId="43013E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13.5万</w:t>
                  </w:r>
                </w:p>
              </w:tc>
              <w:tc>
                <w:tcPr>
                  <w:tcW w:w="1040" w:type="dxa"/>
                  <w:tcBorders>
                    <w:tl2br w:val="nil"/>
                    <w:tr2bl w:val="nil"/>
                  </w:tcBorders>
                  <w:shd w:val="clear" w:color="auto" w:fill="auto"/>
                  <w:noWrap w:val="0"/>
                  <w:vAlign w:val="center"/>
                </w:tcPr>
                <w:p w14:paraId="1F80192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+13.5万</w:t>
                  </w:r>
                </w:p>
              </w:tc>
              <w:tc>
                <w:tcPr>
                  <w:tcW w:w="916" w:type="dxa"/>
                  <w:tcBorders>
                    <w:tl2br w:val="nil"/>
                    <w:tr2bl w:val="nil"/>
                  </w:tcBorders>
                  <w:shd w:val="clear" w:color="auto" w:fill="auto"/>
                  <w:noWrap w:val="0"/>
                  <w:vAlign w:val="center"/>
                </w:tcPr>
                <w:p w14:paraId="6A31DB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筒仓</w:t>
                  </w:r>
                </w:p>
              </w:tc>
              <w:tc>
                <w:tcPr>
                  <w:tcW w:w="2314" w:type="dxa"/>
                  <w:tcBorders>
                    <w:tl2br w:val="nil"/>
                    <w:tr2bl w:val="nil"/>
                  </w:tcBorders>
                  <w:shd w:val="clear" w:color="auto" w:fill="auto"/>
                  <w:noWrap w:val="0"/>
                  <w:vAlign w:val="center"/>
                </w:tcPr>
                <w:p w14:paraId="41D8C2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105732F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15C8077F">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2ADDA5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石膏粉</w:t>
                  </w:r>
                </w:p>
              </w:tc>
              <w:tc>
                <w:tcPr>
                  <w:tcW w:w="1067" w:type="dxa"/>
                  <w:tcBorders>
                    <w:tl2br w:val="nil"/>
                    <w:tr2bl w:val="nil"/>
                  </w:tcBorders>
                  <w:shd w:val="clear" w:color="auto" w:fill="auto"/>
                  <w:noWrap w:val="0"/>
                  <w:vAlign w:val="center"/>
                </w:tcPr>
                <w:p w14:paraId="667AFC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shd w:val="clear" w:color="auto" w:fill="auto"/>
                  <w:noWrap w:val="0"/>
                  <w:vAlign w:val="center"/>
                </w:tcPr>
                <w:p w14:paraId="08AA94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4万</w:t>
                  </w:r>
                </w:p>
              </w:tc>
              <w:tc>
                <w:tcPr>
                  <w:tcW w:w="1040" w:type="dxa"/>
                  <w:tcBorders>
                    <w:tl2br w:val="nil"/>
                    <w:tr2bl w:val="nil"/>
                  </w:tcBorders>
                  <w:shd w:val="clear" w:color="auto" w:fill="auto"/>
                  <w:noWrap w:val="0"/>
                  <w:vAlign w:val="center"/>
                </w:tcPr>
                <w:p w14:paraId="356532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+4万</w:t>
                  </w:r>
                </w:p>
              </w:tc>
              <w:tc>
                <w:tcPr>
                  <w:tcW w:w="916" w:type="dxa"/>
                  <w:tcBorders>
                    <w:tl2br w:val="nil"/>
                    <w:tr2bl w:val="nil"/>
                  </w:tcBorders>
                  <w:shd w:val="clear" w:color="auto" w:fill="auto"/>
                  <w:noWrap w:val="0"/>
                  <w:vAlign w:val="center"/>
                </w:tcPr>
                <w:p w14:paraId="60FF24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筒仓</w:t>
                  </w:r>
                </w:p>
              </w:tc>
              <w:tc>
                <w:tcPr>
                  <w:tcW w:w="2314" w:type="dxa"/>
                  <w:tcBorders>
                    <w:tl2br w:val="nil"/>
                    <w:tr2bl w:val="nil"/>
                  </w:tcBorders>
                  <w:shd w:val="clear" w:color="auto" w:fill="auto"/>
                  <w:noWrap w:val="0"/>
                  <w:vAlign w:val="center"/>
                </w:tcPr>
                <w:p w14:paraId="2B2EAB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12C0D00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393A969F">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759521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碎石</w:t>
                  </w:r>
                </w:p>
              </w:tc>
              <w:tc>
                <w:tcPr>
                  <w:tcW w:w="1067" w:type="dxa"/>
                  <w:tcBorders>
                    <w:tl2br w:val="nil"/>
                    <w:tr2bl w:val="nil"/>
                  </w:tcBorders>
                  <w:shd w:val="clear" w:color="auto" w:fill="auto"/>
                  <w:noWrap w:val="0"/>
                  <w:vAlign w:val="center"/>
                </w:tcPr>
                <w:p w14:paraId="11CD63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0</w:t>
                  </w:r>
                </w:p>
              </w:tc>
              <w:tc>
                <w:tcPr>
                  <w:tcW w:w="902" w:type="dxa"/>
                  <w:tcBorders>
                    <w:tl2br w:val="nil"/>
                    <w:tr2bl w:val="nil"/>
                  </w:tcBorders>
                  <w:shd w:val="clear" w:color="auto" w:fill="auto"/>
                  <w:noWrap w:val="0"/>
                  <w:vAlign w:val="center"/>
                </w:tcPr>
                <w:p w14:paraId="103939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13万</w:t>
                  </w:r>
                </w:p>
              </w:tc>
              <w:tc>
                <w:tcPr>
                  <w:tcW w:w="1040" w:type="dxa"/>
                  <w:tcBorders>
                    <w:tl2br w:val="nil"/>
                    <w:tr2bl w:val="nil"/>
                  </w:tcBorders>
                  <w:shd w:val="clear" w:color="auto" w:fill="auto"/>
                  <w:noWrap w:val="0"/>
                  <w:vAlign w:val="center"/>
                </w:tcPr>
                <w:p w14:paraId="4F08112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+13万</w:t>
                  </w:r>
                </w:p>
              </w:tc>
              <w:tc>
                <w:tcPr>
                  <w:tcW w:w="916" w:type="dxa"/>
                  <w:tcBorders>
                    <w:tl2br w:val="nil"/>
                    <w:tr2bl w:val="nil"/>
                  </w:tcBorders>
                  <w:shd w:val="clear" w:color="auto" w:fill="auto"/>
                  <w:noWrap w:val="0"/>
                  <w:vAlign w:val="center"/>
                </w:tcPr>
                <w:p w14:paraId="5E5BA4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rPr>
                    <w:t>散装</w:t>
                  </w:r>
                </w:p>
              </w:tc>
              <w:tc>
                <w:tcPr>
                  <w:tcW w:w="2314" w:type="dxa"/>
                  <w:tcBorders>
                    <w:tl2br w:val="nil"/>
                    <w:tr2bl w:val="nil"/>
                  </w:tcBorders>
                  <w:shd w:val="clear" w:color="auto" w:fill="auto"/>
                  <w:noWrap w:val="0"/>
                  <w:vAlign w:val="center"/>
                </w:tcPr>
                <w:p w14:paraId="34B67D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53353AEE">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1F3CC6B1">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4581AD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水泥</w:t>
                  </w:r>
                </w:p>
              </w:tc>
              <w:tc>
                <w:tcPr>
                  <w:tcW w:w="1067" w:type="dxa"/>
                  <w:tcBorders>
                    <w:tl2br w:val="nil"/>
                    <w:tr2bl w:val="nil"/>
                  </w:tcBorders>
                  <w:shd w:val="clear" w:color="auto" w:fill="auto"/>
                  <w:noWrap w:val="0"/>
                  <w:vAlign w:val="center"/>
                </w:tcPr>
                <w:p w14:paraId="0E8987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c>
                <w:tcPr>
                  <w:tcW w:w="902" w:type="dxa"/>
                  <w:tcBorders>
                    <w:tl2br w:val="nil"/>
                    <w:tr2bl w:val="nil"/>
                  </w:tcBorders>
                  <w:shd w:val="clear" w:color="auto" w:fill="auto"/>
                  <w:noWrap w:val="0"/>
                  <w:vAlign w:val="center"/>
                </w:tcPr>
                <w:p w14:paraId="2D48A8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7.5万</w:t>
                  </w:r>
                </w:p>
              </w:tc>
              <w:tc>
                <w:tcPr>
                  <w:tcW w:w="1040" w:type="dxa"/>
                  <w:tcBorders>
                    <w:tl2br w:val="nil"/>
                    <w:tr2bl w:val="nil"/>
                  </w:tcBorders>
                  <w:shd w:val="clear" w:color="auto" w:fill="auto"/>
                  <w:noWrap w:val="0"/>
                  <w:vAlign w:val="center"/>
                </w:tcPr>
                <w:p w14:paraId="3E3CE1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+7.5万</w:t>
                  </w:r>
                </w:p>
              </w:tc>
              <w:tc>
                <w:tcPr>
                  <w:tcW w:w="916" w:type="dxa"/>
                  <w:tcBorders>
                    <w:tl2br w:val="nil"/>
                    <w:tr2bl w:val="nil"/>
                  </w:tcBorders>
                  <w:shd w:val="clear" w:color="auto" w:fill="auto"/>
                  <w:noWrap w:val="0"/>
                  <w:vAlign w:val="center"/>
                </w:tcPr>
                <w:p w14:paraId="1D7AFE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筒仓</w:t>
                  </w:r>
                </w:p>
              </w:tc>
              <w:tc>
                <w:tcPr>
                  <w:tcW w:w="2314" w:type="dxa"/>
                  <w:tcBorders>
                    <w:tl2br w:val="nil"/>
                    <w:tr2bl w:val="nil"/>
                  </w:tcBorders>
                  <w:shd w:val="clear" w:color="auto" w:fill="auto"/>
                  <w:noWrap w:val="0"/>
                  <w:vAlign w:val="center"/>
                </w:tcPr>
                <w:p w14:paraId="3C948D1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136BFCB6">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10178B8A">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0FB464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硅粉</w:t>
                  </w:r>
                </w:p>
              </w:tc>
              <w:tc>
                <w:tcPr>
                  <w:tcW w:w="1067" w:type="dxa"/>
                  <w:tcBorders>
                    <w:tl2br w:val="nil"/>
                    <w:tr2bl w:val="nil"/>
                  </w:tcBorders>
                  <w:shd w:val="clear" w:color="auto" w:fill="auto"/>
                  <w:noWrap w:val="0"/>
                  <w:vAlign w:val="center"/>
                </w:tcPr>
                <w:p w14:paraId="2798EC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0</w:t>
                  </w:r>
                </w:p>
              </w:tc>
              <w:tc>
                <w:tcPr>
                  <w:tcW w:w="902" w:type="dxa"/>
                  <w:tcBorders>
                    <w:tl2br w:val="nil"/>
                    <w:tr2bl w:val="nil"/>
                  </w:tcBorders>
                  <w:shd w:val="clear" w:color="auto" w:fill="auto"/>
                  <w:noWrap w:val="0"/>
                  <w:vAlign w:val="center"/>
                </w:tcPr>
                <w:p w14:paraId="61757B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2.5万</w:t>
                  </w:r>
                </w:p>
              </w:tc>
              <w:tc>
                <w:tcPr>
                  <w:tcW w:w="1040" w:type="dxa"/>
                  <w:tcBorders>
                    <w:tl2br w:val="nil"/>
                    <w:tr2bl w:val="nil"/>
                  </w:tcBorders>
                  <w:shd w:val="clear" w:color="auto" w:fill="auto"/>
                  <w:noWrap w:val="0"/>
                  <w:vAlign w:val="center"/>
                </w:tcPr>
                <w:p w14:paraId="288243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+2.5万</w:t>
                  </w:r>
                </w:p>
              </w:tc>
              <w:tc>
                <w:tcPr>
                  <w:tcW w:w="916" w:type="dxa"/>
                  <w:tcBorders>
                    <w:tl2br w:val="nil"/>
                    <w:tr2bl w:val="nil"/>
                  </w:tcBorders>
                  <w:shd w:val="clear" w:color="auto" w:fill="auto"/>
                  <w:noWrap w:val="0"/>
                  <w:vAlign w:val="center"/>
                </w:tcPr>
                <w:p w14:paraId="07326D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eastAsia="zh-CN"/>
                    </w:rPr>
                    <w:t>袋装</w:t>
                  </w:r>
                </w:p>
              </w:tc>
              <w:tc>
                <w:tcPr>
                  <w:tcW w:w="2314" w:type="dxa"/>
                  <w:tcBorders>
                    <w:tl2br w:val="nil"/>
                    <w:tr2bl w:val="nil"/>
                  </w:tcBorders>
                  <w:shd w:val="clear" w:color="auto" w:fill="auto"/>
                  <w:noWrap w:val="0"/>
                  <w:vAlign w:val="center"/>
                </w:tcPr>
                <w:p w14:paraId="70D981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627F5267">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2E440B0C">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1ACC10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highlight w:val="none"/>
                      <w:lang w:val="en-US" w:eastAsia="zh-CN"/>
                    </w:rPr>
                    <w:t>氧化铝粉</w:t>
                  </w:r>
                </w:p>
              </w:tc>
              <w:tc>
                <w:tcPr>
                  <w:tcW w:w="1067" w:type="dxa"/>
                  <w:tcBorders>
                    <w:tl2br w:val="nil"/>
                    <w:tr2bl w:val="nil"/>
                  </w:tcBorders>
                  <w:shd w:val="clear" w:color="auto" w:fill="auto"/>
                  <w:noWrap w:val="0"/>
                  <w:vAlign w:val="center"/>
                </w:tcPr>
                <w:p w14:paraId="094DC6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0</w:t>
                  </w:r>
                </w:p>
              </w:tc>
              <w:tc>
                <w:tcPr>
                  <w:tcW w:w="902" w:type="dxa"/>
                  <w:tcBorders>
                    <w:tl2br w:val="nil"/>
                    <w:tr2bl w:val="nil"/>
                  </w:tcBorders>
                  <w:shd w:val="clear" w:color="auto" w:fill="auto"/>
                  <w:noWrap w:val="0"/>
                  <w:vAlign w:val="center"/>
                </w:tcPr>
                <w:p w14:paraId="2690DB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2.5万</w:t>
                  </w:r>
                </w:p>
              </w:tc>
              <w:tc>
                <w:tcPr>
                  <w:tcW w:w="1040" w:type="dxa"/>
                  <w:tcBorders>
                    <w:tl2br w:val="nil"/>
                    <w:tr2bl w:val="nil"/>
                  </w:tcBorders>
                  <w:shd w:val="clear" w:color="auto" w:fill="auto"/>
                  <w:noWrap w:val="0"/>
                  <w:vAlign w:val="center"/>
                </w:tcPr>
                <w:p w14:paraId="0ECCFA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+2.5万</w:t>
                  </w:r>
                </w:p>
              </w:tc>
              <w:tc>
                <w:tcPr>
                  <w:tcW w:w="916" w:type="dxa"/>
                  <w:tcBorders>
                    <w:tl2br w:val="nil"/>
                    <w:tr2bl w:val="nil"/>
                  </w:tcBorders>
                  <w:shd w:val="clear" w:color="auto" w:fill="auto"/>
                  <w:noWrap w:val="0"/>
                  <w:vAlign w:val="center"/>
                </w:tcPr>
                <w:p w14:paraId="5E012C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eastAsia="zh-CN"/>
                    </w:rPr>
                    <w:t>袋装</w:t>
                  </w:r>
                </w:p>
              </w:tc>
              <w:tc>
                <w:tcPr>
                  <w:tcW w:w="2314" w:type="dxa"/>
                  <w:tcBorders>
                    <w:tl2br w:val="nil"/>
                    <w:tr2bl w:val="nil"/>
                  </w:tcBorders>
                  <w:shd w:val="clear" w:color="auto" w:fill="auto"/>
                  <w:noWrap w:val="0"/>
                  <w:vAlign w:val="center"/>
                </w:tcPr>
                <w:p w14:paraId="0A07C5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6DA577F2">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397E7805">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73A907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val="en-US" w:eastAsia="zh-CN"/>
                    </w:rPr>
                    <w:t>抑碱剂</w:t>
                  </w:r>
                </w:p>
              </w:tc>
              <w:tc>
                <w:tcPr>
                  <w:tcW w:w="1067" w:type="dxa"/>
                  <w:tcBorders>
                    <w:tl2br w:val="nil"/>
                    <w:tr2bl w:val="nil"/>
                  </w:tcBorders>
                  <w:shd w:val="clear" w:color="auto" w:fill="auto"/>
                  <w:noWrap w:val="0"/>
                  <w:vAlign w:val="center"/>
                </w:tcPr>
                <w:p w14:paraId="7A78F7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0</w:t>
                  </w:r>
                </w:p>
              </w:tc>
              <w:tc>
                <w:tcPr>
                  <w:tcW w:w="902" w:type="dxa"/>
                  <w:tcBorders>
                    <w:tl2br w:val="nil"/>
                    <w:tr2bl w:val="nil"/>
                  </w:tcBorders>
                  <w:shd w:val="clear" w:color="auto" w:fill="auto"/>
                  <w:noWrap w:val="0"/>
                  <w:vAlign w:val="center"/>
                </w:tcPr>
                <w:p w14:paraId="03CFC5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5000</w:t>
                  </w:r>
                </w:p>
              </w:tc>
              <w:tc>
                <w:tcPr>
                  <w:tcW w:w="1040" w:type="dxa"/>
                  <w:tcBorders>
                    <w:tl2br w:val="nil"/>
                    <w:tr2bl w:val="nil"/>
                  </w:tcBorders>
                  <w:shd w:val="clear" w:color="auto" w:fill="auto"/>
                  <w:noWrap w:val="0"/>
                  <w:vAlign w:val="center"/>
                </w:tcPr>
                <w:p w14:paraId="3F7D06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+5000</w:t>
                  </w:r>
                </w:p>
              </w:tc>
              <w:tc>
                <w:tcPr>
                  <w:tcW w:w="916" w:type="dxa"/>
                  <w:tcBorders>
                    <w:tl2br w:val="nil"/>
                    <w:tr2bl w:val="nil"/>
                  </w:tcBorders>
                  <w:shd w:val="clear" w:color="auto" w:fill="auto"/>
                  <w:noWrap w:val="0"/>
                  <w:vAlign w:val="center"/>
                </w:tcPr>
                <w:p w14:paraId="39E440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lang w:eastAsia="zh-CN"/>
                    </w:rPr>
                    <w:t>袋装</w:t>
                  </w:r>
                </w:p>
              </w:tc>
              <w:tc>
                <w:tcPr>
                  <w:tcW w:w="2314" w:type="dxa"/>
                  <w:tcBorders>
                    <w:tl2br w:val="nil"/>
                    <w:tr2bl w:val="nil"/>
                  </w:tcBorders>
                  <w:shd w:val="clear" w:color="auto" w:fill="auto"/>
                  <w:noWrap w:val="0"/>
                  <w:vAlign w:val="center"/>
                </w:tcPr>
                <w:p w14:paraId="383989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2CC624F9">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72933A01">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5EFB6F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固化剂</w:t>
                  </w:r>
                </w:p>
              </w:tc>
              <w:tc>
                <w:tcPr>
                  <w:tcW w:w="1067" w:type="dxa"/>
                  <w:tcBorders>
                    <w:tl2br w:val="nil"/>
                    <w:tr2bl w:val="nil"/>
                  </w:tcBorders>
                  <w:shd w:val="clear" w:color="auto" w:fill="auto"/>
                  <w:noWrap w:val="0"/>
                  <w:vAlign w:val="center"/>
                </w:tcPr>
                <w:p w14:paraId="7A75C8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noWrap w:val="0"/>
                  <w:vAlign w:val="center"/>
                </w:tcPr>
                <w:p w14:paraId="27DD92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2.5万</w:t>
                  </w:r>
                </w:p>
              </w:tc>
              <w:tc>
                <w:tcPr>
                  <w:tcW w:w="1040" w:type="dxa"/>
                  <w:tcBorders>
                    <w:tl2br w:val="nil"/>
                    <w:tr2bl w:val="nil"/>
                  </w:tcBorders>
                  <w:shd w:val="clear" w:color="auto" w:fill="auto"/>
                  <w:noWrap w:val="0"/>
                  <w:vAlign w:val="center"/>
                </w:tcPr>
                <w:p w14:paraId="255483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highlight w:val="none"/>
                      <w:lang w:val="en-US" w:eastAsia="zh-CN"/>
                    </w:rPr>
                    <w:t>+2.5万</w:t>
                  </w:r>
                </w:p>
              </w:tc>
              <w:tc>
                <w:tcPr>
                  <w:tcW w:w="916" w:type="dxa"/>
                  <w:tcBorders>
                    <w:tl2br w:val="nil"/>
                    <w:tr2bl w:val="nil"/>
                  </w:tcBorders>
                  <w:noWrap w:val="0"/>
                  <w:vAlign w:val="center"/>
                </w:tcPr>
                <w:p w14:paraId="7067A5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eastAsia="zh-CN"/>
                    </w:rPr>
                    <w:t>袋装</w:t>
                  </w:r>
                </w:p>
              </w:tc>
              <w:tc>
                <w:tcPr>
                  <w:tcW w:w="2314" w:type="dxa"/>
                  <w:tcBorders>
                    <w:tl2br w:val="nil"/>
                    <w:tr2bl w:val="nil"/>
                  </w:tcBorders>
                  <w:shd w:val="clear" w:color="auto" w:fill="auto"/>
                  <w:noWrap w:val="0"/>
                  <w:vAlign w:val="center"/>
                </w:tcPr>
                <w:p w14:paraId="43645E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7253473C">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291" w:hRule="atLeast"/>
                <w:jc w:val="center"/>
              </w:trPr>
              <w:tc>
                <w:tcPr>
                  <w:tcW w:w="516" w:type="dxa"/>
                  <w:tcBorders>
                    <w:tl2br w:val="nil"/>
                    <w:tr2bl w:val="nil"/>
                  </w:tcBorders>
                  <w:shd w:val="clear" w:color="auto" w:fill="auto"/>
                  <w:noWrap w:val="0"/>
                  <w:vAlign w:val="center"/>
                </w:tcPr>
                <w:p w14:paraId="1D437CE7">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rPr>
                  </w:pPr>
                </w:p>
              </w:tc>
              <w:tc>
                <w:tcPr>
                  <w:tcW w:w="1325" w:type="dxa"/>
                  <w:tcBorders>
                    <w:tl2br w:val="nil"/>
                    <w:tr2bl w:val="nil"/>
                  </w:tcBorders>
                  <w:shd w:val="clear" w:color="auto" w:fill="auto"/>
                  <w:noWrap w:val="0"/>
                  <w:vAlign w:val="center"/>
                </w:tcPr>
                <w:p w14:paraId="20BAA3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rPr>
                  </w:pPr>
                  <w:r>
                    <w:rPr>
                      <w:rFonts w:hint="eastAsia" w:cs="Times New Roman"/>
                      <w:color w:val="auto"/>
                      <w:highlight w:val="none"/>
                      <w:lang w:val="en-US" w:eastAsia="zh-CN"/>
                    </w:rPr>
                    <w:t>机</w:t>
                  </w:r>
                  <w:r>
                    <w:rPr>
                      <w:rFonts w:hint="default" w:ascii="Times New Roman" w:hAnsi="Times New Roman" w:cs="Times New Roman"/>
                      <w:color w:val="auto"/>
                      <w:highlight w:val="none"/>
                      <w:lang w:val="en-US" w:eastAsia="zh-CN"/>
                    </w:rPr>
                    <w:t>油</w:t>
                  </w:r>
                </w:p>
              </w:tc>
              <w:tc>
                <w:tcPr>
                  <w:tcW w:w="1067" w:type="dxa"/>
                  <w:tcBorders>
                    <w:tl2br w:val="nil"/>
                    <w:tr2bl w:val="nil"/>
                  </w:tcBorders>
                  <w:shd w:val="clear" w:color="auto" w:fill="auto"/>
                  <w:noWrap w:val="0"/>
                  <w:vAlign w:val="center"/>
                </w:tcPr>
                <w:p w14:paraId="2C524A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noWrap w:val="0"/>
                  <w:vAlign w:val="center"/>
                </w:tcPr>
                <w:p w14:paraId="1456D5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0.5</w:t>
                  </w:r>
                </w:p>
              </w:tc>
              <w:tc>
                <w:tcPr>
                  <w:tcW w:w="1040" w:type="dxa"/>
                  <w:tcBorders>
                    <w:tl2br w:val="nil"/>
                    <w:tr2bl w:val="nil"/>
                  </w:tcBorders>
                  <w:noWrap w:val="0"/>
                  <w:vAlign w:val="center"/>
                </w:tcPr>
                <w:p w14:paraId="1E57D4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0.5</w:t>
                  </w:r>
                </w:p>
              </w:tc>
              <w:tc>
                <w:tcPr>
                  <w:tcW w:w="916" w:type="dxa"/>
                  <w:tcBorders>
                    <w:tl2br w:val="nil"/>
                    <w:tr2bl w:val="nil"/>
                  </w:tcBorders>
                  <w:noWrap w:val="0"/>
                  <w:vAlign w:val="center"/>
                </w:tcPr>
                <w:p w14:paraId="750786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桶装</w:t>
                  </w:r>
                </w:p>
              </w:tc>
              <w:tc>
                <w:tcPr>
                  <w:tcW w:w="2314" w:type="dxa"/>
                  <w:tcBorders>
                    <w:tl2br w:val="nil"/>
                    <w:tr2bl w:val="nil"/>
                  </w:tcBorders>
                  <w:noWrap w:val="0"/>
                  <w:vAlign w:val="center"/>
                </w:tcPr>
                <w:p w14:paraId="400F94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77B57484">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341" w:hRule="atLeast"/>
                <w:jc w:val="center"/>
              </w:trPr>
              <w:tc>
                <w:tcPr>
                  <w:tcW w:w="516" w:type="dxa"/>
                  <w:tcBorders>
                    <w:tl2br w:val="nil"/>
                    <w:tr2bl w:val="nil"/>
                  </w:tcBorders>
                  <w:shd w:val="clear" w:color="auto" w:fill="auto"/>
                  <w:noWrap w:val="0"/>
                  <w:vAlign w:val="center"/>
                </w:tcPr>
                <w:p w14:paraId="6950812B">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rPr>
                  </w:pPr>
                </w:p>
              </w:tc>
              <w:tc>
                <w:tcPr>
                  <w:tcW w:w="1325" w:type="dxa"/>
                  <w:tcBorders>
                    <w:tl2br w:val="nil"/>
                    <w:tr2bl w:val="nil"/>
                  </w:tcBorders>
                  <w:shd w:val="clear" w:color="auto" w:fill="auto"/>
                  <w:noWrap w:val="0"/>
                  <w:vAlign w:val="center"/>
                </w:tcPr>
                <w:p w14:paraId="1EB84B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柴油</w:t>
                  </w:r>
                </w:p>
              </w:tc>
              <w:tc>
                <w:tcPr>
                  <w:tcW w:w="1067" w:type="dxa"/>
                  <w:tcBorders>
                    <w:tl2br w:val="nil"/>
                    <w:tr2bl w:val="nil"/>
                  </w:tcBorders>
                  <w:shd w:val="clear" w:color="auto" w:fill="auto"/>
                  <w:noWrap w:val="0"/>
                  <w:vAlign w:val="center"/>
                </w:tcPr>
                <w:p w14:paraId="72C9F0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0</w:t>
                  </w:r>
                </w:p>
              </w:tc>
              <w:tc>
                <w:tcPr>
                  <w:tcW w:w="902" w:type="dxa"/>
                  <w:tcBorders>
                    <w:tl2br w:val="nil"/>
                    <w:tr2bl w:val="nil"/>
                  </w:tcBorders>
                  <w:noWrap w:val="0"/>
                  <w:vAlign w:val="center"/>
                </w:tcPr>
                <w:p w14:paraId="372631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w:t>
                  </w:r>
                </w:p>
              </w:tc>
              <w:tc>
                <w:tcPr>
                  <w:tcW w:w="1040" w:type="dxa"/>
                  <w:tcBorders>
                    <w:tl2br w:val="nil"/>
                    <w:tr2bl w:val="nil"/>
                  </w:tcBorders>
                  <w:noWrap w:val="0"/>
                  <w:vAlign w:val="center"/>
                </w:tcPr>
                <w:p w14:paraId="760466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+10</w:t>
                  </w:r>
                </w:p>
              </w:tc>
              <w:tc>
                <w:tcPr>
                  <w:tcW w:w="916" w:type="dxa"/>
                  <w:tcBorders>
                    <w:tl2br w:val="nil"/>
                    <w:tr2bl w:val="nil"/>
                  </w:tcBorders>
                  <w:noWrap w:val="0"/>
                  <w:vAlign w:val="center"/>
                </w:tcPr>
                <w:p w14:paraId="3619F1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桶装</w:t>
                  </w:r>
                </w:p>
              </w:tc>
              <w:tc>
                <w:tcPr>
                  <w:tcW w:w="2314" w:type="dxa"/>
                  <w:tcBorders>
                    <w:tl2br w:val="nil"/>
                    <w:tr2bl w:val="nil"/>
                  </w:tcBorders>
                  <w:noWrap w:val="0"/>
                  <w:vAlign w:val="center"/>
                </w:tcPr>
                <w:p w14:paraId="7347D5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外购</w:t>
                  </w:r>
                </w:p>
              </w:tc>
            </w:tr>
            <w:tr w14:paraId="1A591485">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E70FD8F">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rPr>
                  </w:pPr>
                </w:p>
              </w:tc>
              <w:tc>
                <w:tcPr>
                  <w:tcW w:w="1325" w:type="dxa"/>
                  <w:tcBorders>
                    <w:tl2br w:val="nil"/>
                    <w:tr2bl w:val="nil"/>
                  </w:tcBorders>
                  <w:shd w:val="clear" w:color="auto" w:fill="auto"/>
                  <w:noWrap w:val="0"/>
                  <w:vAlign w:val="center"/>
                </w:tcPr>
                <w:p w14:paraId="104BE6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电</w:t>
                  </w:r>
                </w:p>
              </w:tc>
              <w:tc>
                <w:tcPr>
                  <w:tcW w:w="1067" w:type="dxa"/>
                  <w:tcBorders>
                    <w:tl2br w:val="nil"/>
                    <w:tr2bl w:val="nil"/>
                  </w:tcBorders>
                  <w:shd w:val="clear" w:color="auto" w:fill="auto"/>
                  <w:noWrap w:val="0"/>
                  <w:vAlign w:val="center"/>
                </w:tcPr>
                <w:p w14:paraId="79FC9E79">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bookmarkStart w:id="88" w:name="_Toc18166"/>
                  <w:r>
                    <w:rPr>
                      <w:rFonts w:hint="default"/>
                      <w:color w:val="auto"/>
                      <w:highlight w:val="none"/>
                    </w:rPr>
                    <w:t>600</w:t>
                  </w:r>
                  <w:r>
                    <w:rPr>
                      <w:rFonts w:hint="default" w:ascii="Times New Roman" w:hAnsi="Times New Roman" w:cs="Times New Roman"/>
                      <w:color w:val="auto"/>
                      <w:highlight w:val="none"/>
                      <w:lang w:val="en-US" w:eastAsia="zh-CN"/>
                    </w:rPr>
                    <w:t>万</w:t>
                  </w:r>
                  <w:r>
                    <w:rPr>
                      <w:rFonts w:hint="default" w:ascii="Times New Roman" w:hAnsi="Times New Roman" w:cs="Times New Roman"/>
                      <w:color w:val="auto"/>
                      <w:highlight w:val="none"/>
                      <w:lang w:eastAsia="zh-CN"/>
                    </w:rPr>
                    <w:t>kW</w:t>
                  </w:r>
                  <w:r>
                    <w:rPr>
                      <w:rFonts w:hint="default" w:ascii="Times New Roman" w:hAnsi="Times New Roman" w:cs="Times New Roman"/>
                      <w:color w:val="auto"/>
                      <w:highlight w:val="none"/>
                    </w:rPr>
                    <w:t>·h</w:t>
                  </w:r>
                  <w:bookmarkEnd w:id="88"/>
                </w:p>
              </w:tc>
              <w:tc>
                <w:tcPr>
                  <w:tcW w:w="902" w:type="dxa"/>
                  <w:tcBorders>
                    <w:tl2br w:val="nil"/>
                    <w:tr2bl w:val="nil"/>
                  </w:tcBorders>
                  <w:noWrap w:val="0"/>
                  <w:vAlign w:val="center"/>
                </w:tcPr>
                <w:p w14:paraId="03C227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900</w:t>
                  </w:r>
                  <w:r>
                    <w:rPr>
                      <w:rFonts w:hint="default" w:ascii="Times New Roman" w:hAnsi="Times New Roman" w:cs="Times New Roman"/>
                      <w:color w:val="auto"/>
                      <w:highlight w:val="none"/>
                      <w:lang w:val="en-US" w:eastAsia="zh-CN"/>
                    </w:rPr>
                    <w:t>万</w:t>
                  </w:r>
                  <w:r>
                    <w:rPr>
                      <w:rFonts w:hint="default" w:ascii="Times New Roman" w:hAnsi="Times New Roman" w:cs="Times New Roman"/>
                      <w:color w:val="auto"/>
                      <w:highlight w:val="none"/>
                      <w:lang w:eastAsia="zh-CN"/>
                    </w:rPr>
                    <w:t>kW</w:t>
                  </w:r>
                  <w:r>
                    <w:rPr>
                      <w:rFonts w:hint="default" w:ascii="Times New Roman" w:hAnsi="Times New Roman" w:cs="Times New Roman"/>
                      <w:color w:val="auto"/>
                      <w:highlight w:val="none"/>
                    </w:rPr>
                    <w:t>·h</w:t>
                  </w:r>
                </w:p>
              </w:tc>
              <w:tc>
                <w:tcPr>
                  <w:tcW w:w="1040" w:type="dxa"/>
                  <w:tcBorders>
                    <w:tl2br w:val="nil"/>
                    <w:tr2bl w:val="nil"/>
                  </w:tcBorders>
                  <w:noWrap w:val="0"/>
                  <w:vAlign w:val="center"/>
                </w:tcPr>
                <w:p w14:paraId="435C5D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+300</w:t>
                  </w:r>
                  <w:r>
                    <w:rPr>
                      <w:rFonts w:hint="default" w:ascii="Times New Roman" w:hAnsi="Times New Roman" w:cs="Times New Roman"/>
                      <w:color w:val="auto"/>
                      <w:highlight w:val="none"/>
                      <w:lang w:val="en-US" w:eastAsia="zh-CN"/>
                    </w:rPr>
                    <w:t>万</w:t>
                  </w:r>
                  <w:r>
                    <w:rPr>
                      <w:rFonts w:hint="default" w:ascii="Times New Roman" w:hAnsi="Times New Roman" w:cs="Times New Roman"/>
                      <w:color w:val="auto"/>
                      <w:highlight w:val="none"/>
                      <w:lang w:eastAsia="zh-CN"/>
                    </w:rPr>
                    <w:t>kW</w:t>
                  </w:r>
                  <w:r>
                    <w:rPr>
                      <w:rFonts w:hint="default" w:ascii="Times New Roman" w:hAnsi="Times New Roman" w:cs="Times New Roman"/>
                      <w:color w:val="auto"/>
                      <w:highlight w:val="none"/>
                    </w:rPr>
                    <w:t>·h</w:t>
                  </w:r>
                </w:p>
              </w:tc>
              <w:tc>
                <w:tcPr>
                  <w:tcW w:w="916" w:type="dxa"/>
                  <w:tcBorders>
                    <w:tl2br w:val="nil"/>
                    <w:tr2bl w:val="nil"/>
                  </w:tcBorders>
                  <w:noWrap w:val="0"/>
                  <w:vAlign w:val="center"/>
                </w:tcPr>
                <w:p w14:paraId="3791C2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tc>
              <w:tc>
                <w:tcPr>
                  <w:tcW w:w="2314" w:type="dxa"/>
                  <w:tcBorders>
                    <w:tl2br w:val="nil"/>
                    <w:tr2bl w:val="nil"/>
                  </w:tcBorders>
                  <w:noWrap w:val="0"/>
                  <w:vAlign w:val="center"/>
                </w:tcPr>
                <w:p w14:paraId="4B3BD1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市政电网供电</w:t>
                  </w:r>
                </w:p>
              </w:tc>
            </w:tr>
            <w:tr w14:paraId="64CD0B3B">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1563CE78">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634E0D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新鲜水</w:t>
                  </w:r>
                </w:p>
              </w:tc>
              <w:tc>
                <w:tcPr>
                  <w:tcW w:w="1067" w:type="dxa"/>
                  <w:tcBorders>
                    <w:tl2br w:val="nil"/>
                    <w:tr2bl w:val="nil"/>
                  </w:tcBorders>
                  <w:shd w:val="clear" w:color="auto" w:fill="auto"/>
                  <w:noWrap w:val="0"/>
                  <w:vAlign w:val="center"/>
                </w:tcPr>
                <w:p w14:paraId="1048025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bookmarkStart w:id="89" w:name="_Toc6986"/>
                  <w:r>
                    <w:rPr>
                      <w:rFonts w:hint="default"/>
                      <w:color w:val="auto"/>
                      <w:highlight w:val="none"/>
                    </w:rPr>
                    <w:t>102183m</w:t>
                  </w:r>
                  <w:r>
                    <w:rPr>
                      <w:rFonts w:hint="default"/>
                      <w:color w:val="auto"/>
                      <w:highlight w:val="none"/>
                      <w:vertAlign w:val="superscript"/>
                    </w:rPr>
                    <w:t>3/</w:t>
                  </w:r>
                  <w:r>
                    <w:rPr>
                      <w:rFonts w:hint="default"/>
                      <w:color w:val="auto"/>
                      <w:highlight w:val="none"/>
                    </w:rPr>
                    <w:t>a</w:t>
                  </w:r>
                  <w:bookmarkEnd w:id="89"/>
                </w:p>
              </w:tc>
              <w:tc>
                <w:tcPr>
                  <w:tcW w:w="902" w:type="dxa"/>
                  <w:tcBorders>
                    <w:tl2br w:val="nil"/>
                    <w:tr2bl w:val="nil"/>
                  </w:tcBorders>
                  <w:noWrap w:val="0"/>
                  <w:vAlign w:val="center"/>
                </w:tcPr>
                <w:p w14:paraId="1AB501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116493</w:t>
                  </w:r>
                  <w:r>
                    <w:rPr>
                      <w:rFonts w:hint="default"/>
                      <w:color w:val="auto"/>
                      <w:highlight w:val="none"/>
                    </w:rPr>
                    <w:t>m</w:t>
                  </w:r>
                  <w:r>
                    <w:rPr>
                      <w:rFonts w:hint="default"/>
                      <w:color w:val="auto"/>
                      <w:highlight w:val="none"/>
                      <w:vertAlign w:val="superscript"/>
                    </w:rPr>
                    <w:t>3/</w:t>
                  </w:r>
                  <w:r>
                    <w:rPr>
                      <w:rFonts w:hint="default"/>
                      <w:color w:val="auto"/>
                      <w:highlight w:val="none"/>
                    </w:rPr>
                    <w:t>a</w:t>
                  </w:r>
                </w:p>
              </w:tc>
              <w:tc>
                <w:tcPr>
                  <w:tcW w:w="1040" w:type="dxa"/>
                  <w:tcBorders>
                    <w:tl2br w:val="nil"/>
                    <w:tr2bl w:val="nil"/>
                  </w:tcBorders>
                  <w:noWrap w:val="0"/>
                  <w:vAlign w:val="center"/>
                </w:tcPr>
                <w:p w14:paraId="5DE9A6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+14310</w:t>
                  </w:r>
                  <w:r>
                    <w:rPr>
                      <w:rFonts w:hint="default"/>
                      <w:color w:val="auto"/>
                      <w:highlight w:val="none"/>
                    </w:rPr>
                    <w:t>m</w:t>
                  </w:r>
                  <w:r>
                    <w:rPr>
                      <w:rFonts w:hint="default"/>
                      <w:color w:val="auto"/>
                      <w:highlight w:val="none"/>
                      <w:vertAlign w:val="superscript"/>
                    </w:rPr>
                    <w:t>3/</w:t>
                  </w:r>
                  <w:r>
                    <w:rPr>
                      <w:rFonts w:hint="default"/>
                      <w:color w:val="auto"/>
                      <w:highlight w:val="none"/>
                    </w:rPr>
                    <w:t>a</w:t>
                  </w:r>
                </w:p>
              </w:tc>
              <w:tc>
                <w:tcPr>
                  <w:tcW w:w="916" w:type="dxa"/>
                  <w:tcBorders>
                    <w:tl2br w:val="nil"/>
                    <w:tr2bl w:val="nil"/>
                  </w:tcBorders>
                  <w:noWrap w:val="0"/>
                  <w:vAlign w:val="center"/>
                </w:tcPr>
                <w:p w14:paraId="43B5B1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2314" w:type="dxa"/>
                  <w:tcBorders>
                    <w:tl2br w:val="nil"/>
                    <w:tr2bl w:val="nil"/>
                  </w:tcBorders>
                  <w:noWrap w:val="0"/>
                  <w:vAlign w:val="center"/>
                </w:tcPr>
                <w:p w14:paraId="10B7C1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市政管网供水</w:t>
                  </w:r>
                </w:p>
              </w:tc>
            </w:tr>
            <w:tr w14:paraId="5F86F2AF">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51" w:type="dxa"/>
                  <w:bottom w:w="0" w:type="dxa"/>
                  <w:right w:w="51" w:type="dxa"/>
                </w:tblCellMar>
              </w:tblPrEx>
              <w:trPr>
                <w:trHeight w:val="0" w:hRule="atLeast"/>
                <w:jc w:val="center"/>
              </w:trPr>
              <w:tc>
                <w:tcPr>
                  <w:tcW w:w="516" w:type="dxa"/>
                  <w:tcBorders>
                    <w:tl2br w:val="nil"/>
                    <w:tr2bl w:val="nil"/>
                  </w:tcBorders>
                  <w:shd w:val="clear" w:color="auto" w:fill="auto"/>
                  <w:noWrap w:val="0"/>
                  <w:vAlign w:val="center"/>
                </w:tcPr>
                <w:p w14:paraId="0C6ADD61">
                  <w:pPr>
                    <w:pStyle w:val="78"/>
                    <w:keepNext w:val="0"/>
                    <w:keepLines w:val="0"/>
                    <w:pageBreakBefore w:val="0"/>
                    <w:widowControl w:val="0"/>
                    <w:numPr>
                      <w:ilvl w:val="0"/>
                      <w:numId w:val="12"/>
                    </w:numPr>
                    <w:suppressLineNumbers w:val="0"/>
                    <w:kinsoku/>
                    <w:wordWrap/>
                    <w:overflowPunct/>
                    <w:topLinePunct w:val="0"/>
                    <w:autoSpaceDE/>
                    <w:autoSpaceDN/>
                    <w:bidi w:val="0"/>
                    <w:adjustRightInd w:val="0"/>
                    <w:snapToGrid w:val="0"/>
                    <w:spacing w:before="0" w:beforeAutospacing="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p>
              </w:tc>
              <w:tc>
                <w:tcPr>
                  <w:tcW w:w="1325" w:type="dxa"/>
                  <w:tcBorders>
                    <w:tl2br w:val="nil"/>
                    <w:tr2bl w:val="nil"/>
                  </w:tcBorders>
                  <w:shd w:val="clear" w:color="auto" w:fill="auto"/>
                  <w:noWrap w:val="0"/>
                  <w:vAlign w:val="center"/>
                </w:tcPr>
                <w:p w14:paraId="3D895E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天然气</w:t>
                  </w:r>
                </w:p>
              </w:tc>
              <w:tc>
                <w:tcPr>
                  <w:tcW w:w="1067" w:type="dxa"/>
                  <w:tcBorders>
                    <w:tl2br w:val="nil"/>
                    <w:tr2bl w:val="nil"/>
                  </w:tcBorders>
                  <w:shd w:val="clear" w:color="auto" w:fill="auto"/>
                  <w:noWrap w:val="0"/>
                  <w:vAlign w:val="center"/>
                </w:tcPr>
                <w:p w14:paraId="3C49B9F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ascii="Times New Roman" w:hAnsi="Times New Roman" w:cs="Times New Roman"/>
                      <w:color w:val="auto"/>
                      <w:highlight w:val="none"/>
                      <w:lang w:val="en-US" w:eastAsia="zh-CN"/>
                    </w:rPr>
                  </w:pPr>
                  <w:bookmarkStart w:id="90" w:name="_Toc30740"/>
                  <w:r>
                    <w:rPr>
                      <w:rFonts w:hint="default"/>
                      <w:color w:val="auto"/>
                      <w:highlight w:val="none"/>
                    </w:rPr>
                    <w:t>1365840m</w:t>
                  </w:r>
                  <w:r>
                    <w:rPr>
                      <w:rFonts w:hint="default"/>
                      <w:color w:val="auto"/>
                      <w:highlight w:val="none"/>
                      <w:vertAlign w:val="superscript"/>
                    </w:rPr>
                    <w:t>3</w:t>
                  </w:r>
                  <w:bookmarkEnd w:id="90"/>
                </w:p>
              </w:tc>
              <w:tc>
                <w:tcPr>
                  <w:tcW w:w="902" w:type="dxa"/>
                  <w:tcBorders>
                    <w:tl2br w:val="nil"/>
                    <w:tr2bl w:val="nil"/>
                  </w:tcBorders>
                  <w:noWrap w:val="0"/>
                  <w:vAlign w:val="center"/>
                </w:tcPr>
                <w:p w14:paraId="526FD3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default"/>
                      <w:color w:val="auto"/>
                      <w:highlight w:val="none"/>
                    </w:rPr>
                    <w:t>1365840m</w:t>
                  </w:r>
                  <w:r>
                    <w:rPr>
                      <w:rFonts w:hint="default"/>
                      <w:color w:val="auto"/>
                      <w:highlight w:val="none"/>
                      <w:vertAlign w:val="superscript"/>
                    </w:rPr>
                    <w:t>3</w:t>
                  </w:r>
                </w:p>
              </w:tc>
              <w:tc>
                <w:tcPr>
                  <w:tcW w:w="1040" w:type="dxa"/>
                  <w:tcBorders>
                    <w:tl2br w:val="nil"/>
                    <w:tr2bl w:val="nil"/>
                  </w:tcBorders>
                  <w:noWrap w:val="0"/>
                  <w:vAlign w:val="center"/>
                </w:tcPr>
                <w:p w14:paraId="5557B5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cs="Times New Roman"/>
                      <w:color w:val="auto"/>
                      <w:highlight w:val="none"/>
                      <w:lang w:val="en-US" w:eastAsia="zh-CN"/>
                    </w:rPr>
                    <w:t>+</w:t>
                  </w:r>
                  <w:r>
                    <w:rPr>
                      <w:rFonts w:hint="eastAsia" w:ascii="Times New Roman" w:hAnsi="Times New Roman" w:cs="Times New Roman"/>
                      <w:color w:val="auto"/>
                      <w:highlight w:val="none"/>
                      <w:lang w:val="en-US" w:eastAsia="zh-CN"/>
                    </w:rPr>
                    <w:t>0</w:t>
                  </w:r>
                </w:p>
              </w:tc>
              <w:tc>
                <w:tcPr>
                  <w:tcW w:w="916" w:type="dxa"/>
                  <w:tcBorders>
                    <w:tl2br w:val="nil"/>
                    <w:tr2bl w:val="nil"/>
                  </w:tcBorders>
                  <w:noWrap w:val="0"/>
                  <w:vAlign w:val="center"/>
                </w:tcPr>
                <w:p w14:paraId="77AEB5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w:t>
                  </w:r>
                </w:p>
              </w:tc>
              <w:tc>
                <w:tcPr>
                  <w:tcW w:w="2314" w:type="dxa"/>
                  <w:tcBorders>
                    <w:tl2br w:val="nil"/>
                    <w:tr2bl w:val="nil"/>
                  </w:tcBorders>
                  <w:noWrap w:val="0"/>
                  <w:vAlign w:val="center"/>
                </w:tcPr>
                <w:p w14:paraId="085C5A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园区供气</w:t>
                  </w:r>
                </w:p>
              </w:tc>
            </w:tr>
          </w:tbl>
          <w:p w14:paraId="750A1EC7">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FF0000"/>
                <w:highlight w:val="none"/>
                <w:lang w:val="en-US" w:eastAsia="zh-CN"/>
              </w:rPr>
            </w:pPr>
            <w:r>
              <w:rPr>
                <w:rFonts w:hint="default" w:ascii="Times New Roman" w:hAnsi="Times New Roman" w:cs="Times New Roman"/>
                <w:b/>
                <w:bCs w:val="0"/>
                <w:color w:val="FF0000"/>
                <w:highlight w:val="none"/>
                <w:lang w:val="en-US" w:eastAsia="zh-CN"/>
              </w:rPr>
              <w:t>6.</w:t>
            </w:r>
            <w:r>
              <w:rPr>
                <w:rFonts w:hint="eastAsia" w:cs="Times New Roman"/>
                <w:b/>
                <w:bCs w:val="0"/>
                <w:color w:val="FF0000"/>
                <w:highlight w:val="none"/>
                <w:lang w:val="en-US" w:eastAsia="zh-CN"/>
              </w:rPr>
              <w:t>1</w:t>
            </w:r>
            <w:r>
              <w:rPr>
                <w:rFonts w:hint="default" w:ascii="Times New Roman" w:hAnsi="Times New Roman" w:cs="Times New Roman"/>
                <w:b/>
                <w:bCs w:val="0"/>
                <w:color w:val="FF0000"/>
                <w:highlight w:val="none"/>
                <w:lang w:val="en-US" w:eastAsia="zh-CN"/>
              </w:rPr>
              <w:t>、仓储能力匹配</w:t>
            </w:r>
          </w:p>
          <w:p w14:paraId="6EB3097D">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w:t>
            </w:r>
            <w:r>
              <w:rPr>
                <w:rFonts w:hint="eastAsia"/>
                <w:color w:val="FF0000"/>
                <w:highlight w:val="none"/>
                <w:lang w:val="en-US" w:eastAsia="zh-CN"/>
              </w:rPr>
              <w:t>本项目锂冶炼剩余物储存于锂渣仓库，锂渣的日用量为1433.3t，储存周期为6天，因此锂冶炼剩余物的最大储存量约为8600t，</w:t>
            </w:r>
            <w:r>
              <w:rPr>
                <w:rFonts w:hint="default" w:ascii="Times New Roman" w:hAnsi="Times New Roman" w:cs="Times New Roman"/>
                <w:color w:val="FF0000"/>
                <w:highlight w:val="none"/>
                <w:lang w:val="en-US" w:eastAsia="zh-CN"/>
              </w:rPr>
              <w:t>本项目锂渣暂存于锂渣仓库，仓储面积约</w:t>
            </w:r>
            <w:r>
              <w:rPr>
                <w:rFonts w:hint="eastAsia" w:cs="Times New Roman"/>
                <w:color w:val="FF0000"/>
                <w:highlight w:val="none"/>
                <w:lang w:val="en-US" w:eastAsia="zh-CN"/>
              </w:rPr>
              <w:t>2500</w:t>
            </w:r>
            <w:r>
              <w:rPr>
                <w:rFonts w:hint="default" w:ascii="Times New Roman" w:hAnsi="Times New Roman" w:cs="Times New Roman"/>
                <w:color w:val="FF0000"/>
                <w:highlight w:val="none"/>
                <w:lang w:val="en-US" w:eastAsia="zh-CN"/>
              </w:rPr>
              <w:t>m</w:t>
            </w:r>
            <w:r>
              <w:rPr>
                <w:rFonts w:hint="default" w:ascii="Times New Roman" w:hAnsi="Times New Roman" w:cs="Times New Roman"/>
                <w:color w:val="FF0000"/>
                <w:highlight w:val="none"/>
                <w:vertAlign w:val="superscript"/>
                <w:lang w:val="en-US" w:eastAsia="zh-CN"/>
              </w:rPr>
              <w:t>2</w:t>
            </w:r>
            <w:r>
              <w:rPr>
                <w:rFonts w:hint="default" w:ascii="Times New Roman" w:hAnsi="Times New Roman" w:cs="Times New Roman"/>
                <w:color w:val="FF0000"/>
                <w:highlight w:val="none"/>
                <w:lang w:val="en-US" w:eastAsia="zh-CN"/>
              </w:rPr>
              <w:t>，采取直接堆放，</w:t>
            </w:r>
            <w:r>
              <w:rPr>
                <w:rFonts w:hint="default" w:ascii="Times New Roman" w:hAnsi="Times New Roman" w:cs="Times New Roman"/>
                <w:color w:val="FF0000"/>
                <w:highlight w:val="none"/>
              </w:rPr>
              <w:t>密度约2.0-2.5g/cm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vertAlign w:val="baseline"/>
                <w:lang w:val="en-US" w:eastAsia="zh-CN"/>
              </w:rPr>
              <w:t>，本项目取2.3</w:t>
            </w:r>
            <w:r>
              <w:rPr>
                <w:rFonts w:hint="default" w:ascii="Times New Roman" w:hAnsi="Times New Roman" w:cs="Times New Roman"/>
                <w:color w:val="FF0000"/>
                <w:highlight w:val="none"/>
                <w:lang w:val="en-US" w:eastAsia="zh-CN"/>
              </w:rPr>
              <w:t>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val="en-US" w:eastAsia="zh-CN"/>
              </w:rPr>
              <w:t>，堆放高度取值</w:t>
            </w:r>
            <w:r>
              <w:rPr>
                <w:rFonts w:hint="eastAsia" w:cs="Times New Roman"/>
                <w:color w:val="FF0000"/>
                <w:highlight w:val="none"/>
                <w:lang w:val="en-US" w:eastAsia="zh-CN"/>
              </w:rPr>
              <w:t>3</w:t>
            </w:r>
            <w:r>
              <w:rPr>
                <w:rFonts w:hint="default" w:ascii="Times New Roman" w:hAnsi="Times New Roman" w:cs="Times New Roman"/>
                <w:color w:val="FF0000"/>
                <w:highlight w:val="none"/>
                <w:lang w:val="en-US" w:eastAsia="zh-CN"/>
              </w:rPr>
              <w:t>m，设计存储量约为</w:t>
            </w:r>
            <w:r>
              <w:rPr>
                <w:rFonts w:hint="eastAsia" w:cs="Times New Roman"/>
                <w:color w:val="FF0000"/>
                <w:highlight w:val="none"/>
                <w:lang w:val="en-US" w:eastAsia="zh-CN"/>
              </w:rPr>
              <w:t>17250</w:t>
            </w:r>
            <w:r>
              <w:rPr>
                <w:rFonts w:hint="default" w:ascii="Times New Roman" w:hAnsi="Times New Roman" w:cs="Times New Roman"/>
                <w:color w:val="FF0000"/>
                <w:highlight w:val="none"/>
                <w:lang w:val="en-US" w:eastAsia="zh-CN"/>
              </w:rPr>
              <w:t>t，能够达到</w:t>
            </w:r>
            <w:r>
              <w:rPr>
                <w:rFonts w:hint="eastAsia" w:cs="Times New Roman"/>
                <w:color w:val="FF0000"/>
                <w:highlight w:val="none"/>
                <w:lang w:val="en-US" w:eastAsia="zh-CN"/>
              </w:rPr>
              <w:t>860</w:t>
            </w:r>
            <w:r>
              <w:rPr>
                <w:rFonts w:hint="default" w:ascii="Times New Roman" w:hAnsi="Times New Roman" w:cs="Times New Roman"/>
                <w:color w:val="FF0000"/>
                <w:highlight w:val="none"/>
                <w:lang w:val="en-US" w:eastAsia="zh-CN"/>
              </w:rPr>
              <w:t>0t锂渣存储要求。</w:t>
            </w:r>
          </w:p>
          <w:p w14:paraId="64DBFFFC">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2、本项目原料仓库建筑面积约2</w:t>
            </w:r>
            <w:r>
              <w:rPr>
                <w:rFonts w:hint="eastAsia" w:cs="Times New Roman"/>
                <w:color w:val="FF0000"/>
                <w:highlight w:val="none"/>
                <w:lang w:val="en-US" w:eastAsia="zh-CN"/>
              </w:rPr>
              <w:t>500</w:t>
            </w:r>
            <w:r>
              <w:rPr>
                <w:rFonts w:hint="default" w:ascii="Times New Roman" w:hAnsi="Times New Roman" w:cs="Times New Roman"/>
                <w:color w:val="FF0000"/>
                <w:highlight w:val="none"/>
                <w:lang w:val="en-US" w:eastAsia="zh-CN"/>
              </w:rPr>
              <w:t>m</w:t>
            </w:r>
            <w:r>
              <w:rPr>
                <w:rFonts w:hint="default" w:ascii="Times New Roman" w:hAnsi="Times New Roman" w:cs="Times New Roman"/>
                <w:color w:val="FF0000"/>
                <w:highlight w:val="none"/>
                <w:vertAlign w:val="superscript"/>
                <w:lang w:val="en-US" w:eastAsia="zh-CN"/>
              </w:rPr>
              <w:t>2</w:t>
            </w:r>
            <w:r>
              <w:rPr>
                <w:rFonts w:hint="default" w:ascii="Times New Roman" w:hAnsi="Times New Roman" w:cs="Times New Roman"/>
                <w:color w:val="FF0000"/>
                <w:highlight w:val="none"/>
                <w:lang w:val="en-US" w:eastAsia="zh-CN"/>
              </w:rPr>
              <w:t>，碎石采取直接堆放，碎石堆放面积为</w:t>
            </w:r>
            <w:r>
              <w:rPr>
                <w:rFonts w:hint="eastAsia" w:cs="Times New Roman"/>
                <w:color w:val="FF0000"/>
                <w:highlight w:val="none"/>
                <w:lang w:val="en-US" w:eastAsia="zh-CN"/>
              </w:rPr>
              <w:t>800</w:t>
            </w:r>
            <w:r>
              <w:rPr>
                <w:rFonts w:hint="default" w:ascii="Times New Roman" w:hAnsi="Times New Roman" w:cs="Times New Roman"/>
                <w:color w:val="FF0000"/>
                <w:highlight w:val="none"/>
                <w:lang w:val="en-US" w:eastAsia="zh-CN"/>
              </w:rPr>
              <w:t>m</w:t>
            </w:r>
            <w:r>
              <w:rPr>
                <w:rFonts w:hint="default" w:ascii="Times New Roman" w:hAnsi="Times New Roman" w:cs="Times New Roman"/>
                <w:color w:val="FF0000"/>
                <w:highlight w:val="none"/>
                <w:vertAlign w:val="superscript"/>
                <w:lang w:val="en-US" w:eastAsia="zh-CN"/>
              </w:rPr>
              <w:t>2</w:t>
            </w:r>
            <w:r>
              <w:rPr>
                <w:rFonts w:hint="default" w:ascii="Times New Roman" w:hAnsi="Times New Roman" w:cs="Times New Roman"/>
                <w:color w:val="FF0000"/>
                <w:highlight w:val="none"/>
                <w:lang w:val="en-US" w:eastAsia="zh-CN"/>
              </w:rPr>
              <w:t>，密度取3g/cm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val="en-US" w:eastAsia="zh-CN"/>
              </w:rPr>
              <w:t>，堆放高度取值</w:t>
            </w:r>
            <w:r>
              <w:rPr>
                <w:rFonts w:hint="eastAsia" w:cs="Times New Roman"/>
                <w:color w:val="FF0000"/>
                <w:highlight w:val="none"/>
                <w:lang w:val="en-US" w:eastAsia="zh-CN"/>
              </w:rPr>
              <w:t>2.5</w:t>
            </w:r>
            <w:r>
              <w:rPr>
                <w:rFonts w:hint="default" w:ascii="Times New Roman" w:hAnsi="Times New Roman" w:cs="Times New Roman"/>
                <w:color w:val="FF0000"/>
                <w:highlight w:val="none"/>
                <w:lang w:val="en-US" w:eastAsia="zh-CN"/>
              </w:rPr>
              <w:t>m，设计存储量约为</w:t>
            </w:r>
            <w:r>
              <w:rPr>
                <w:rFonts w:hint="eastAsia" w:cs="Times New Roman"/>
                <w:color w:val="FF0000"/>
                <w:highlight w:val="none"/>
                <w:lang w:val="en-US" w:eastAsia="zh-CN"/>
              </w:rPr>
              <w:t>6000</w:t>
            </w:r>
            <w:r>
              <w:rPr>
                <w:rFonts w:hint="default" w:ascii="Times New Roman" w:hAnsi="Times New Roman" w:cs="Times New Roman"/>
                <w:color w:val="FF0000"/>
                <w:highlight w:val="none"/>
                <w:lang w:val="en-US" w:eastAsia="zh-CN"/>
              </w:rPr>
              <w:t>t，能够达到</w:t>
            </w:r>
            <w:r>
              <w:rPr>
                <w:rFonts w:hint="eastAsia" w:cs="Times New Roman"/>
                <w:color w:val="FF0000"/>
                <w:highlight w:val="none"/>
                <w:lang w:val="en-US" w:eastAsia="zh-CN"/>
              </w:rPr>
              <w:t>1</w:t>
            </w:r>
            <w:r>
              <w:rPr>
                <w:rFonts w:hint="default" w:ascii="Times New Roman" w:hAnsi="Times New Roman" w:cs="Times New Roman"/>
                <w:color w:val="FF0000"/>
                <w:highlight w:val="none"/>
                <w:lang w:val="en-US" w:eastAsia="zh-CN"/>
              </w:rPr>
              <w:t>800t碎石存储要求。螯合剂、抑碱剂、固化剂采取袋装码垛方式堆放，除去码垛间隙，实际堆放面积为</w:t>
            </w:r>
            <w:r>
              <w:rPr>
                <w:rFonts w:hint="eastAsia" w:cs="Times New Roman"/>
                <w:color w:val="FF0000"/>
                <w:highlight w:val="none"/>
                <w:lang w:val="en-US" w:eastAsia="zh-CN"/>
              </w:rPr>
              <w:t>15</w:t>
            </w:r>
            <w:r>
              <w:rPr>
                <w:rFonts w:hint="default" w:ascii="Times New Roman" w:hAnsi="Times New Roman" w:cs="Times New Roman"/>
                <w:color w:val="FF0000"/>
                <w:highlight w:val="none"/>
                <w:lang w:val="en-US" w:eastAsia="zh-CN"/>
              </w:rPr>
              <w:t>0m</w:t>
            </w:r>
            <w:r>
              <w:rPr>
                <w:rFonts w:hint="default" w:ascii="Times New Roman" w:hAnsi="Times New Roman" w:cs="Times New Roman"/>
                <w:color w:val="FF0000"/>
                <w:highlight w:val="none"/>
                <w:vertAlign w:val="superscript"/>
                <w:lang w:val="en-US" w:eastAsia="zh-CN"/>
              </w:rPr>
              <w:t>2</w:t>
            </w:r>
            <w:r>
              <w:rPr>
                <w:rFonts w:hint="default" w:ascii="Times New Roman" w:hAnsi="Times New Roman" w:cs="Times New Roman"/>
                <w:color w:val="FF0000"/>
                <w:highlight w:val="none"/>
                <w:lang w:val="en-US" w:eastAsia="zh-CN"/>
              </w:rPr>
              <w:t>，密度取3.5g/cm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val="en-US" w:eastAsia="zh-CN"/>
              </w:rPr>
              <w:t>，堆放高度取值2.5m，设计存储量约为</w:t>
            </w:r>
            <w:r>
              <w:rPr>
                <w:rFonts w:hint="eastAsia" w:cs="Times New Roman"/>
                <w:color w:val="FF0000"/>
                <w:highlight w:val="none"/>
                <w:lang w:val="en-US" w:eastAsia="zh-CN"/>
              </w:rPr>
              <w:t>1312.5</w:t>
            </w:r>
            <w:r>
              <w:rPr>
                <w:rFonts w:hint="default" w:ascii="Times New Roman" w:hAnsi="Times New Roman" w:cs="Times New Roman"/>
                <w:color w:val="FF0000"/>
                <w:highlight w:val="none"/>
                <w:lang w:val="en-US" w:eastAsia="zh-CN"/>
              </w:rPr>
              <w:t>t，能够达到</w:t>
            </w:r>
            <w:r>
              <w:rPr>
                <w:rFonts w:hint="eastAsia" w:cs="Times New Roman"/>
                <w:color w:val="FF0000"/>
                <w:highlight w:val="none"/>
                <w:lang w:val="en-US" w:eastAsia="zh-CN"/>
              </w:rPr>
              <w:t>900</w:t>
            </w:r>
            <w:r>
              <w:rPr>
                <w:rFonts w:hint="default" w:ascii="Times New Roman" w:hAnsi="Times New Roman" w:cs="Times New Roman"/>
                <w:color w:val="FF0000"/>
                <w:highlight w:val="none"/>
                <w:lang w:val="en-US" w:eastAsia="zh-CN"/>
              </w:rPr>
              <w:t>t</w:t>
            </w:r>
            <w:r>
              <w:rPr>
                <w:rFonts w:hint="default" w:ascii="Times New Roman" w:hAnsi="Times New Roman" w:eastAsia="宋体" w:cs="Times New Roman"/>
                <w:color w:val="FF0000"/>
                <w:highlight w:val="none"/>
                <w:lang w:val="en-US" w:eastAsia="zh-CN"/>
              </w:rPr>
              <w:t>螯合剂、抑碱剂、固化剂</w:t>
            </w:r>
            <w:r>
              <w:rPr>
                <w:rFonts w:hint="default" w:ascii="Times New Roman" w:hAnsi="Times New Roman" w:cs="Times New Roman"/>
                <w:color w:val="FF0000"/>
                <w:highlight w:val="none"/>
                <w:lang w:val="en-US" w:eastAsia="zh-CN"/>
              </w:rPr>
              <w:t>存储要求。</w:t>
            </w:r>
          </w:p>
          <w:p w14:paraId="3FC96804">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3、本项目水泥储存于料仓之中，料仓位置位于原料仓库内，容积为</w:t>
            </w:r>
            <w:r>
              <w:rPr>
                <w:rFonts w:hint="eastAsia" w:cs="Times New Roman"/>
                <w:color w:val="FF0000"/>
                <w:highlight w:val="none"/>
                <w:lang w:val="en-US" w:eastAsia="zh-CN"/>
              </w:rPr>
              <w:t>500</w:t>
            </w:r>
            <w:r>
              <w:rPr>
                <w:rFonts w:hint="default" w:ascii="Times New Roman" w:hAnsi="Times New Roman" w:cs="Times New Roman"/>
                <w:color w:val="FF0000"/>
                <w:highlight w:val="none"/>
                <w:lang w:val="en-US" w:eastAsia="zh-CN"/>
              </w:rPr>
              <w:t>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val="en-US" w:eastAsia="zh-CN"/>
              </w:rPr>
              <w:t>，</w:t>
            </w:r>
            <w:r>
              <w:rPr>
                <w:rFonts w:hint="default" w:ascii="Times New Roman" w:hAnsi="Times New Roman" w:cs="Times New Roman"/>
                <w:color w:val="FF0000"/>
                <w:highlight w:val="none"/>
              </w:rPr>
              <w:t>密度约3.1-3.2g/cm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eastAsia="zh-CN"/>
              </w:rPr>
              <w:t>，</w:t>
            </w:r>
            <w:r>
              <w:rPr>
                <w:rFonts w:hint="default" w:ascii="Times New Roman" w:hAnsi="Times New Roman" w:eastAsia="宋体" w:cs="Times New Roman"/>
                <w:bCs/>
                <w:color w:val="FF0000"/>
                <w:kern w:val="2"/>
                <w:sz w:val="24"/>
                <w:szCs w:val="24"/>
                <w:highlight w:val="none"/>
                <w:lang w:val="en-US" w:eastAsia="zh-CN" w:bidi="ar-SA"/>
              </w:rPr>
              <w:t>设计存储量约为</w:t>
            </w:r>
            <w:r>
              <w:rPr>
                <w:rFonts w:hint="eastAsia" w:cs="Times New Roman"/>
                <w:bCs/>
                <w:color w:val="FF0000"/>
                <w:kern w:val="2"/>
                <w:sz w:val="24"/>
                <w:szCs w:val="24"/>
                <w:highlight w:val="none"/>
                <w:lang w:val="en-US" w:eastAsia="zh-CN" w:bidi="ar-SA"/>
              </w:rPr>
              <w:t>1600</w:t>
            </w:r>
            <w:r>
              <w:rPr>
                <w:rFonts w:hint="default" w:ascii="Times New Roman" w:hAnsi="Times New Roman" w:eastAsia="宋体" w:cs="Times New Roman"/>
                <w:bCs/>
                <w:color w:val="FF0000"/>
                <w:kern w:val="2"/>
                <w:sz w:val="24"/>
                <w:szCs w:val="24"/>
                <w:highlight w:val="none"/>
                <w:lang w:val="en-US" w:eastAsia="zh-CN" w:bidi="ar-SA"/>
              </w:rPr>
              <w:t>t，</w:t>
            </w:r>
            <w:r>
              <w:rPr>
                <w:rFonts w:hint="default" w:ascii="Times New Roman" w:hAnsi="Times New Roman" w:cs="Times New Roman"/>
                <w:color w:val="FF0000"/>
                <w:highlight w:val="none"/>
                <w:lang w:val="en-US" w:eastAsia="zh-CN"/>
              </w:rPr>
              <w:t>能满足水泥</w:t>
            </w:r>
            <w:r>
              <w:rPr>
                <w:rFonts w:hint="eastAsia" w:cs="Times New Roman"/>
                <w:color w:val="FF0000"/>
                <w:highlight w:val="none"/>
                <w:lang w:val="en-US" w:eastAsia="zh-CN"/>
              </w:rPr>
              <w:t>1</w:t>
            </w:r>
            <w:r>
              <w:rPr>
                <w:rFonts w:hint="default" w:ascii="Times New Roman" w:hAnsi="Times New Roman" w:cs="Times New Roman"/>
                <w:color w:val="FF0000"/>
                <w:highlight w:val="none"/>
                <w:lang w:val="en-US" w:eastAsia="zh-CN"/>
              </w:rPr>
              <w:t>500t的存储要求。</w:t>
            </w:r>
          </w:p>
          <w:p w14:paraId="4C56FD46">
            <w:pPr>
              <w:keepNext w:val="0"/>
              <w:keepLines w:val="0"/>
              <w:widowControl w:val="0"/>
              <w:suppressLineNumbers w:val="0"/>
              <w:bidi w:val="0"/>
              <w:spacing w:before="0" w:beforeAutospacing="0" w:after="0" w:afterAutospacing="0" w:line="360" w:lineRule="auto"/>
              <w:ind w:left="0" w:right="0" w:firstLine="480" w:firstLineChars="200"/>
              <w:jc w:val="both"/>
              <w:rPr>
                <w:rFonts w:hint="default" w:ascii="Times New Roman" w:hAnsi="Times New Roman" w:eastAsia="宋体" w:cs="Times New Roman"/>
                <w:bCs/>
                <w:color w:val="FF0000"/>
                <w:kern w:val="2"/>
                <w:sz w:val="24"/>
                <w:szCs w:val="24"/>
                <w:highlight w:val="none"/>
                <w:lang w:val="en-US" w:eastAsia="zh-CN" w:bidi="ar-SA"/>
              </w:rPr>
            </w:pPr>
            <w:r>
              <w:rPr>
                <w:rFonts w:hint="default" w:ascii="Times New Roman" w:hAnsi="Times New Roman" w:eastAsia="宋体" w:cs="Times New Roman"/>
                <w:bCs/>
                <w:color w:val="FF0000"/>
                <w:kern w:val="2"/>
                <w:sz w:val="24"/>
                <w:szCs w:val="24"/>
                <w:highlight w:val="none"/>
                <w:lang w:val="en-US" w:eastAsia="zh-CN" w:bidi="ar-SA"/>
              </w:rPr>
              <w:t>4、本项目粉煤灰储存于料仓之中，料仓位置位于原料仓库内，容积为800m</w:t>
            </w:r>
            <w:r>
              <w:rPr>
                <w:rFonts w:hint="default" w:ascii="Times New Roman" w:hAnsi="Times New Roman" w:eastAsia="宋体" w:cs="Times New Roman"/>
                <w:bCs/>
                <w:color w:val="FF0000"/>
                <w:kern w:val="2"/>
                <w:sz w:val="24"/>
                <w:szCs w:val="24"/>
                <w:highlight w:val="none"/>
                <w:vertAlign w:val="superscript"/>
                <w:lang w:val="en-US" w:eastAsia="zh-CN" w:bidi="ar-SA"/>
              </w:rPr>
              <w:t>3</w:t>
            </w:r>
            <w:r>
              <w:rPr>
                <w:rFonts w:hint="default" w:ascii="Times New Roman" w:hAnsi="Times New Roman" w:eastAsia="宋体" w:cs="Times New Roman"/>
                <w:bCs/>
                <w:color w:val="FF0000"/>
                <w:kern w:val="2"/>
                <w:sz w:val="24"/>
                <w:szCs w:val="24"/>
                <w:highlight w:val="none"/>
                <w:lang w:val="en-US" w:eastAsia="zh-CN" w:bidi="ar-SA"/>
              </w:rPr>
              <w:t>，密度约2.1-2.6g/cm</w:t>
            </w:r>
            <w:r>
              <w:rPr>
                <w:rFonts w:hint="default" w:ascii="Times New Roman" w:hAnsi="Times New Roman" w:eastAsia="宋体" w:cs="Times New Roman"/>
                <w:bCs/>
                <w:color w:val="FF0000"/>
                <w:kern w:val="2"/>
                <w:sz w:val="24"/>
                <w:szCs w:val="24"/>
                <w:highlight w:val="none"/>
                <w:vertAlign w:val="superscript"/>
                <w:lang w:val="en-US" w:eastAsia="zh-CN" w:bidi="ar-SA"/>
              </w:rPr>
              <w:t>3</w:t>
            </w:r>
            <w:r>
              <w:rPr>
                <w:rFonts w:hint="default" w:ascii="Times New Roman" w:hAnsi="Times New Roman" w:eastAsia="宋体" w:cs="Times New Roman"/>
                <w:bCs/>
                <w:color w:val="FF0000"/>
                <w:kern w:val="2"/>
                <w:sz w:val="24"/>
                <w:szCs w:val="24"/>
                <w:highlight w:val="none"/>
                <w:lang w:val="en-US" w:eastAsia="zh-CN" w:bidi="ar-SA"/>
              </w:rPr>
              <w:t>，本项目取2.4g/cm</w:t>
            </w:r>
            <w:r>
              <w:rPr>
                <w:rFonts w:hint="default" w:ascii="Times New Roman" w:hAnsi="Times New Roman" w:eastAsia="宋体" w:cs="Times New Roman"/>
                <w:bCs/>
                <w:color w:val="FF0000"/>
                <w:kern w:val="2"/>
                <w:sz w:val="24"/>
                <w:szCs w:val="24"/>
                <w:highlight w:val="none"/>
                <w:vertAlign w:val="superscript"/>
                <w:lang w:val="en-US" w:eastAsia="zh-CN" w:bidi="ar-SA"/>
              </w:rPr>
              <w:t>3</w:t>
            </w:r>
            <w:r>
              <w:rPr>
                <w:rFonts w:hint="default" w:ascii="Times New Roman" w:hAnsi="Times New Roman" w:eastAsia="宋体" w:cs="Times New Roman"/>
                <w:bCs/>
                <w:color w:val="FF0000"/>
                <w:kern w:val="2"/>
                <w:sz w:val="24"/>
                <w:szCs w:val="24"/>
                <w:highlight w:val="none"/>
                <w:lang w:val="en-US" w:eastAsia="zh-CN" w:bidi="ar-SA"/>
              </w:rPr>
              <w:t>，设计存储量约为1920t，能满足粉煤灰1</w:t>
            </w:r>
            <w:r>
              <w:rPr>
                <w:rFonts w:hint="eastAsia" w:cs="Times New Roman"/>
                <w:bCs/>
                <w:color w:val="FF0000"/>
                <w:kern w:val="2"/>
                <w:sz w:val="24"/>
                <w:szCs w:val="24"/>
                <w:highlight w:val="none"/>
                <w:lang w:val="en-US" w:eastAsia="zh-CN" w:bidi="ar-SA"/>
              </w:rPr>
              <w:t>4</w:t>
            </w:r>
            <w:r>
              <w:rPr>
                <w:rFonts w:hint="default" w:ascii="Times New Roman" w:hAnsi="Times New Roman" w:eastAsia="宋体" w:cs="Times New Roman"/>
                <w:bCs/>
                <w:color w:val="FF0000"/>
                <w:kern w:val="2"/>
                <w:sz w:val="24"/>
                <w:szCs w:val="24"/>
                <w:highlight w:val="none"/>
                <w:lang w:val="en-US" w:eastAsia="zh-CN" w:bidi="ar-SA"/>
              </w:rPr>
              <w:t>00t的存储要求。</w:t>
            </w:r>
          </w:p>
          <w:p w14:paraId="6C0A199D">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lang w:val="en-US" w:eastAsia="zh-CN"/>
              </w:rPr>
            </w:pPr>
            <w:r>
              <w:rPr>
                <w:rFonts w:hint="default" w:ascii="Times New Roman" w:hAnsi="Times New Roman" w:cs="Times New Roman"/>
                <w:color w:val="FF0000"/>
                <w:highlight w:val="none"/>
                <w:lang w:val="en-US" w:eastAsia="zh-CN"/>
              </w:rPr>
              <w:t>5、本项目成品</w:t>
            </w:r>
            <w:r>
              <w:rPr>
                <w:rFonts w:hint="eastAsia" w:cs="Times New Roman"/>
                <w:color w:val="FF0000"/>
                <w:highlight w:val="none"/>
                <w:lang w:val="en-US" w:eastAsia="zh-CN"/>
              </w:rPr>
              <w:t>区</w:t>
            </w:r>
            <w:r>
              <w:rPr>
                <w:rFonts w:hint="default" w:ascii="Times New Roman" w:hAnsi="Times New Roman" w:cs="Times New Roman"/>
                <w:color w:val="FF0000"/>
                <w:highlight w:val="none"/>
                <w:lang w:val="en-US" w:eastAsia="zh-CN"/>
              </w:rPr>
              <w:t>建筑面积约</w:t>
            </w:r>
            <w:r>
              <w:rPr>
                <w:rFonts w:hint="eastAsia" w:cs="Times New Roman"/>
                <w:color w:val="FF0000"/>
                <w:highlight w:val="none"/>
                <w:lang w:val="en-US" w:eastAsia="zh-CN"/>
              </w:rPr>
              <w:t>4000</w:t>
            </w:r>
            <w:r>
              <w:rPr>
                <w:rFonts w:hint="default" w:ascii="Times New Roman" w:hAnsi="Times New Roman" w:cs="Times New Roman"/>
                <w:color w:val="FF0000"/>
                <w:highlight w:val="none"/>
                <w:lang w:val="en-US" w:eastAsia="zh-CN"/>
              </w:rPr>
              <w:t>m</w:t>
            </w:r>
            <w:r>
              <w:rPr>
                <w:rFonts w:hint="default" w:ascii="Times New Roman" w:hAnsi="Times New Roman" w:cs="Times New Roman"/>
                <w:color w:val="FF0000"/>
                <w:highlight w:val="none"/>
                <w:vertAlign w:val="superscript"/>
                <w:lang w:val="en-US" w:eastAsia="zh-CN"/>
              </w:rPr>
              <w:t>2</w:t>
            </w:r>
            <w:r>
              <w:rPr>
                <w:rFonts w:hint="default" w:ascii="Times New Roman" w:hAnsi="Times New Roman" w:cs="Times New Roman"/>
                <w:color w:val="FF0000"/>
                <w:highlight w:val="none"/>
                <w:lang w:val="en-US" w:eastAsia="zh-CN"/>
              </w:rPr>
              <w:t>，成品</w:t>
            </w:r>
            <w:r>
              <w:rPr>
                <w:rFonts w:hint="eastAsia" w:cs="Times New Roman"/>
                <w:color w:val="FF0000"/>
                <w:highlight w:val="none"/>
                <w:lang w:val="en-US" w:eastAsia="zh-CN"/>
              </w:rPr>
              <w:t>掺合料</w:t>
            </w:r>
            <w:r>
              <w:rPr>
                <w:rFonts w:hint="default" w:ascii="Times New Roman" w:hAnsi="Times New Roman" w:cs="Times New Roman"/>
                <w:color w:val="FF0000"/>
                <w:highlight w:val="none"/>
                <w:lang w:val="en-US" w:eastAsia="zh-CN"/>
              </w:rPr>
              <w:t>不在厂内储存，本项目产品均下单后现生产，最大储存量为一天，</w:t>
            </w:r>
            <w:r>
              <w:rPr>
                <w:rFonts w:hint="eastAsia" w:cs="Times New Roman"/>
                <w:color w:val="FF0000"/>
                <w:highlight w:val="none"/>
                <w:lang w:val="en-US" w:eastAsia="zh-CN"/>
              </w:rPr>
              <w:t>环保免烧砖</w:t>
            </w:r>
            <w:r>
              <w:rPr>
                <w:rFonts w:hint="default" w:ascii="Times New Roman" w:hAnsi="Times New Roman" w:eastAsia="宋体" w:cs="Times New Roman"/>
                <w:color w:val="FF0000"/>
                <w:highlight w:val="none"/>
                <w:lang w:val="en-US" w:eastAsia="zh-CN"/>
              </w:rPr>
              <w:t>采取码垛方式堆放，除去码垛间隙，实际堆放面积为</w:t>
            </w:r>
            <w:r>
              <w:rPr>
                <w:rFonts w:hint="eastAsia" w:cs="Times New Roman"/>
                <w:color w:val="FF0000"/>
                <w:highlight w:val="none"/>
                <w:lang w:val="en-US" w:eastAsia="zh-CN"/>
              </w:rPr>
              <w:t>3000</w:t>
            </w:r>
            <w:r>
              <w:rPr>
                <w:rFonts w:hint="default" w:ascii="Times New Roman" w:hAnsi="Times New Roman" w:eastAsia="宋体" w:cs="Times New Roman"/>
                <w:color w:val="FF0000"/>
                <w:highlight w:val="none"/>
                <w:lang w:val="en-US" w:eastAsia="zh-CN"/>
              </w:rPr>
              <w:t>m</w:t>
            </w:r>
            <w:r>
              <w:rPr>
                <w:rFonts w:hint="default" w:ascii="Times New Roman" w:hAnsi="Times New Roman" w:eastAsia="宋体" w:cs="Times New Roman"/>
                <w:color w:val="FF0000"/>
                <w:highlight w:val="none"/>
                <w:vertAlign w:val="superscript"/>
                <w:lang w:val="en-US" w:eastAsia="zh-CN"/>
              </w:rPr>
              <w:t>2</w:t>
            </w:r>
            <w:r>
              <w:rPr>
                <w:rFonts w:hint="default" w:ascii="Times New Roman" w:hAnsi="Times New Roman" w:eastAsia="宋体" w:cs="Times New Roman"/>
                <w:color w:val="FF0000"/>
                <w:highlight w:val="none"/>
                <w:lang w:val="en-US" w:eastAsia="zh-CN"/>
              </w:rPr>
              <w:t>，</w:t>
            </w:r>
            <w:r>
              <w:rPr>
                <w:rFonts w:hint="default" w:ascii="Times New Roman" w:hAnsi="Times New Roman" w:cs="Times New Roman"/>
                <w:color w:val="FF0000"/>
                <w:highlight w:val="none"/>
                <w:lang w:val="en-US" w:eastAsia="zh-CN"/>
              </w:rPr>
              <w:t>环保砖的日产量为</w:t>
            </w:r>
            <w:r>
              <w:rPr>
                <w:rFonts w:hint="eastAsia" w:cs="Times New Roman"/>
                <w:color w:val="FF0000"/>
                <w:highlight w:val="none"/>
                <w:lang w:val="en-US" w:eastAsia="zh-CN"/>
              </w:rPr>
              <w:t>1667</w:t>
            </w:r>
            <w:r>
              <w:rPr>
                <w:rFonts w:hint="default" w:ascii="Times New Roman" w:hAnsi="Times New Roman" w:cs="Times New Roman"/>
                <w:color w:val="FF0000"/>
                <w:highlight w:val="none"/>
                <w:lang w:val="en-US" w:eastAsia="zh-CN"/>
              </w:rPr>
              <w:t>t，养护周期为7天，环保砖密度取1.8g/cm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FF0000"/>
                <w:highlight w:val="none"/>
                <w:lang w:val="en-US" w:eastAsia="zh-CN"/>
              </w:rPr>
              <w:t>，堆放高度取值</w:t>
            </w:r>
            <w:r>
              <w:rPr>
                <w:rFonts w:hint="eastAsia" w:cs="Times New Roman"/>
                <w:color w:val="FF0000"/>
                <w:highlight w:val="none"/>
                <w:lang w:val="en-US" w:eastAsia="zh-CN"/>
              </w:rPr>
              <w:t>2</w:t>
            </w:r>
            <w:r>
              <w:rPr>
                <w:rFonts w:hint="default" w:ascii="Times New Roman" w:hAnsi="Times New Roman" w:cs="Times New Roman"/>
                <w:color w:val="FF0000"/>
                <w:highlight w:val="none"/>
                <w:lang w:val="en-US" w:eastAsia="zh-CN"/>
              </w:rPr>
              <w:t>m，则设计存储量约为</w:t>
            </w:r>
            <w:r>
              <w:rPr>
                <w:rFonts w:hint="eastAsia" w:cs="Times New Roman"/>
                <w:color w:val="FF0000"/>
                <w:highlight w:val="none"/>
                <w:lang w:val="en-US" w:eastAsia="zh-CN"/>
              </w:rPr>
              <w:t>13500</w:t>
            </w:r>
            <w:r>
              <w:rPr>
                <w:rFonts w:hint="default" w:ascii="Times New Roman" w:hAnsi="Times New Roman" w:cs="Times New Roman"/>
                <w:color w:val="FF0000"/>
                <w:highlight w:val="none"/>
                <w:lang w:val="en-US" w:eastAsia="zh-CN"/>
              </w:rPr>
              <w:t>t，能够达到</w:t>
            </w:r>
            <w:r>
              <w:rPr>
                <w:rFonts w:hint="eastAsia" w:cs="Times New Roman"/>
                <w:color w:val="FF0000"/>
                <w:highlight w:val="none"/>
                <w:lang w:val="en-US" w:eastAsia="zh-CN"/>
              </w:rPr>
              <w:t>11667</w:t>
            </w:r>
            <w:r>
              <w:rPr>
                <w:rFonts w:hint="default" w:ascii="Times New Roman" w:hAnsi="Times New Roman" w:cs="Times New Roman"/>
                <w:color w:val="FF0000"/>
                <w:highlight w:val="none"/>
                <w:lang w:val="en-US" w:eastAsia="zh-CN"/>
              </w:rPr>
              <w:t>t的存储要求。</w:t>
            </w:r>
          </w:p>
          <w:p w14:paraId="68925C0D">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lang w:eastAsia="zh-CN"/>
              </w:rPr>
            </w:pPr>
            <w:r>
              <w:rPr>
                <w:rFonts w:hint="default" w:ascii="Times New Roman" w:hAnsi="Times New Roman" w:cs="Times New Roman"/>
                <w:b/>
                <w:bCs w:val="0"/>
                <w:color w:val="auto"/>
                <w:highlight w:val="none"/>
                <w:lang w:val="en-US" w:eastAsia="zh-CN"/>
              </w:rPr>
              <w:t>6.</w:t>
            </w:r>
            <w:r>
              <w:rPr>
                <w:rFonts w:hint="eastAsia" w:cs="Times New Roman"/>
                <w:b/>
                <w:bCs w:val="0"/>
                <w:color w:val="auto"/>
                <w:highlight w:val="none"/>
                <w:lang w:val="en-US" w:eastAsia="zh-CN"/>
              </w:rPr>
              <w:t>2</w:t>
            </w:r>
            <w:r>
              <w:rPr>
                <w:rFonts w:hint="default" w:ascii="Times New Roman" w:hAnsi="Times New Roman" w:cs="Times New Roman"/>
                <w:b/>
                <w:bCs w:val="0"/>
                <w:color w:val="auto"/>
                <w:highlight w:val="none"/>
                <w:lang w:val="en-US" w:eastAsia="zh-CN"/>
              </w:rPr>
              <w:t>、本项目</w:t>
            </w:r>
            <w:r>
              <w:rPr>
                <w:rFonts w:hint="default" w:ascii="Times New Roman" w:hAnsi="Times New Roman" w:cs="Times New Roman"/>
                <w:b/>
                <w:bCs w:val="0"/>
                <w:color w:val="auto"/>
                <w:highlight w:val="none"/>
              </w:rPr>
              <w:t>主要原辅料理化性质</w:t>
            </w:r>
            <w:r>
              <w:rPr>
                <w:rFonts w:hint="default" w:ascii="Times New Roman" w:hAnsi="Times New Roman" w:cs="Times New Roman"/>
                <w:b/>
                <w:bCs w:val="0"/>
                <w:color w:val="auto"/>
                <w:highlight w:val="none"/>
                <w:lang w:eastAsia="zh-CN"/>
              </w:rPr>
              <w:t>：</w:t>
            </w:r>
          </w:p>
          <w:p w14:paraId="4A66C191">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eastAsia" w:cs="Times New Roman"/>
                <w:b/>
                <w:bCs w:val="0"/>
                <w:color w:val="auto"/>
                <w:highlight w:val="none"/>
                <w:lang w:eastAsia="zh-CN"/>
              </w:rPr>
              <w:t>锂渣</w:t>
            </w:r>
            <w:r>
              <w:rPr>
                <w:rFonts w:hint="default" w:ascii="Times New Roman" w:hAnsi="Times New Roman" w:cs="Times New Roman"/>
                <w:b/>
                <w:bCs w:val="0"/>
                <w:color w:val="auto"/>
                <w:highlight w:val="none"/>
              </w:rPr>
              <w:t>：</w:t>
            </w:r>
            <w:r>
              <w:rPr>
                <w:rFonts w:hint="default" w:ascii="Times New Roman" w:hAnsi="Times New Roman" w:cs="Times New Roman"/>
                <w:color w:val="auto"/>
                <w:highlight w:val="none"/>
              </w:rPr>
              <w:t>呈灰白色或浅灰色的固态物质，主要成分包含锂盐残留物及其他金属氧化物。具有一定含水率</w:t>
            </w:r>
            <w:r>
              <w:rPr>
                <w:rFonts w:hint="default" w:ascii="Times New Roman" w:hAnsi="Times New Roman" w:cs="Times New Roman"/>
                <w:color w:val="FF0000"/>
                <w:highlight w:val="none"/>
              </w:rPr>
              <w:t>（通常10-30%），密度约2.0-2.5g/cm</w:t>
            </w:r>
            <w:r>
              <w:rPr>
                <w:rFonts w:hint="default" w:ascii="Times New Roman" w:hAnsi="Times New Roman" w:cs="Times New Roman"/>
                <w:color w:val="FF0000"/>
                <w:highlight w:val="none"/>
                <w:vertAlign w:val="superscript"/>
                <w:lang w:val="en-US" w:eastAsia="zh-CN"/>
              </w:rPr>
              <w:t>3</w:t>
            </w:r>
            <w:r>
              <w:rPr>
                <w:rFonts w:hint="default" w:ascii="Times New Roman" w:hAnsi="Times New Roman" w:cs="Times New Roman"/>
                <w:color w:val="auto"/>
                <w:highlight w:val="none"/>
              </w:rPr>
              <w:t>。</w:t>
            </w:r>
            <w:r>
              <w:rPr>
                <w:rFonts w:hint="default" w:ascii="Times New Roman" w:hAnsi="Times New Roman" w:cs="Times New Roman"/>
                <w:color w:val="FF0000"/>
                <w:highlight w:val="none"/>
              </w:rPr>
              <w:t>化学性质相对稳定，但可能含有少量可溶性锂盐。在常温下不易挥发，无明显气味。</w:t>
            </w:r>
            <w:r>
              <w:rPr>
                <w:rFonts w:hint="default" w:ascii="Times New Roman" w:hAnsi="Times New Roman" w:cs="Times New Roman"/>
                <w:color w:val="auto"/>
                <w:highlight w:val="none"/>
              </w:rPr>
              <w:t>可能含有微量重金属成分，需注意环境影响。粉尘可能对呼吸道造成刺激，建议佩戴防护设备进行操作。在环境中可能会随雨水渗透，对土壤和地下水可能造成影响，需妥善处置和存储。</w:t>
            </w:r>
          </w:p>
          <w:p w14:paraId="1548EE7E">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本</w:t>
            </w:r>
            <w:r>
              <w:rPr>
                <w:rFonts w:hint="default" w:ascii="Times New Roman" w:hAnsi="Times New Roman" w:eastAsia="宋体" w:cs="Times New Roman"/>
                <w:color w:val="auto"/>
                <w:kern w:val="0"/>
                <w:sz w:val="24"/>
                <w:szCs w:val="24"/>
                <w:highlight w:val="none"/>
                <w:lang w:val="en-US" w:eastAsia="zh-CN" w:bidi="ar"/>
              </w:rPr>
              <w:t>项目使用</w:t>
            </w:r>
            <w:r>
              <w:rPr>
                <w:rFonts w:hint="eastAsia" w:cs="Times New Roman"/>
                <w:color w:val="auto"/>
                <w:kern w:val="0"/>
                <w:sz w:val="24"/>
                <w:szCs w:val="24"/>
                <w:highlight w:val="none"/>
                <w:lang w:val="en-US" w:eastAsia="zh-CN" w:bidi="ar"/>
              </w:rPr>
              <w:t>锂渣</w:t>
            </w:r>
            <w:r>
              <w:rPr>
                <w:rFonts w:hint="default" w:ascii="Times New Roman" w:hAnsi="Times New Roman" w:eastAsia="宋体" w:cs="Times New Roman"/>
                <w:color w:val="auto"/>
                <w:kern w:val="0"/>
                <w:sz w:val="24"/>
                <w:szCs w:val="24"/>
                <w:highlight w:val="none"/>
                <w:lang w:val="en-US" w:eastAsia="zh-CN" w:bidi="ar"/>
              </w:rPr>
              <w:t>来源于</w:t>
            </w:r>
            <w:r>
              <w:rPr>
                <w:rFonts w:hint="default" w:ascii="Times New Roman" w:hAnsi="Times New Roman" w:eastAsia="宋体" w:cs="Times New Roman"/>
                <w:b w:val="0"/>
                <w:caps w:val="0"/>
                <w:smallCaps w:val="0"/>
                <w:color w:val="FF0000"/>
                <w:kern w:val="2"/>
                <w:sz w:val="24"/>
                <w:szCs w:val="24"/>
                <w:highlight w:val="none"/>
                <w:lang w:val="en-US" w:eastAsia="zh-CN" w:bidi="ar-SA"/>
              </w:rPr>
              <w:t>宜丰国轩锂业有限公司年产5万吨碳酸锂项目经过滤、洗涤后的浸出渣</w:t>
            </w:r>
            <w:r>
              <w:rPr>
                <w:rFonts w:hint="default" w:ascii="Times New Roman" w:hAnsi="Times New Roman" w:eastAsia="宋体" w:cs="Times New Roman"/>
                <w:color w:val="FF0000"/>
                <w:kern w:val="0"/>
                <w:sz w:val="24"/>
                <w:szCs w:val="24"/>
                <w:highlight w:val="none"/>
                <w:lang w:val="en-US" w:eastAsia="zh-CN" w:bidi="ar"/>
              </w:rPr>
              <w:t>，其粒径能满足本项目生产需要；</w:t>
            </w:r>
            <w:r>
              <w:rPr>
                <w:rFonts w:hint="default" w:ascii="Times New Roman" w:hAnsi="Times New Roman" w:cs="Times New Roman"/>
                <w:color w:val="FF0000"/>
                <w:highlight w:val="none"/>
                <w:lang w:val="en-US" w:eastAsia="zh-CN"/>
              </w:rPr>
              <w:t>根据</w:t>
            </w:r>
            <w:r>
              <w:rPr>
                <w:rFonts w:hint="eastAsia"/>
                <w:color w:val="FF0000"/>
                <w:highlight w:val="none"/>
              </w:rPr>
              <w:t>锂渣</w:t>
            </w:r>
            <w:r>
              <w:rPr>
                <w:rFonts w:hint="default" w:ascii="Times New Roman" w:hAnsi="Times New Roman" w:cs="Times New Roman"/>
                <w:color w:val="FF0000"/>
                <w:highlight w:val="none"/>
                <w:lang w:val="en-US" w:eastAsia="zh-CN"/>
              </w:rPr>
              <w:t>的危险特性鉴别报告（附件</w:t>
            </w:r>
            <w:r>
              <w:rPr>
                <w:rFonts w:hint="eastAsia" w:cs="Times New Roman"/>
                <w:color w:val="FF0000"/>
                <w:highlight w:val="none"/>
                <w:lang w:val="en-US" w:eastAsia="zh-CN"/>
              </w:rPr>
              <w:t>5</w:t>
            </w:r>
            <w:r>
              <w:rPr>
                <w:rFonts w:hint="default" w:ascii="Times New Roman" w:hAnsi="Times New Roman" w:cs="Times New Roman"/>
                <w:color w:val="FF0000"/>
                <w:highlight w:val="none"/>
                <w:lang w:val="en-US" w:eastAsia="zh-CN"/>
              </w:rPr>
              <w:t>）</w:t>
            </w:r>
            <w:r>
              <w:rPr>
                <w:rFonts w:hint="default" w:ascii="Times New Roman" w:hAnsi="Times New Roman" w:cs="Times New Roman"/>
                <w:color w:val="FF0000"/>
                <w:highlight w:val="none"/>
              </w:rPr>
              <w:t>，为一般工业固废，不属于危险废物，</w:t>
            </w:r>
            <w:r>
              <w:rPr>
                <w:rFonts w:hint="default" w:ascii="Times New Roman" w:hAnsi="Times New Roman" w:eastAsia="宋体" w:cs="Times New Roman"/>
                <w:b w:val="0"/>
                <w:caps w:val="0"/>
                <w:smallCaps w:val="0"/>
                <w:color w:val="FF0000"/>
                <w:kern w:val="2"/>
                <w:sz w:val="24"/>
                <w:szCs w:val="24"/>
                <w:highlight w:val="none"/>
                <w:lang w:val="en-US" w:eastAsia="zh-CN" w:bidi="ar-SA"/>
              </w:rPr>
              <w:t>根据《宜丰国轩锂业有限公司年产5万吨碳酸锂项目环境影响报告书》，该项目产生</w:t>
            </w:r>
            <w:r>
              <w:rPr>
                <w:rFonts w:hint="eastAsia" w:cs="Times New Roman"/>
                <w:b w:val="0"/>
                <w:caps w:val="0"/>
                <w:smallCaps w:val="0"/>
                <w:color w:val="FF0000"/>
                <w:kern w:val="2"/>
                <w:sz w:val="24"/>
                <w:szCs w:val="24"/>
                <w:highlight w:val="none"/>
                <w:lang w:val="en-US" w:eastAsia="zh-CN" w:bidi="ar-SA"/>
              </w:rPr>
              <w:t>锂渣</w:t>
            </w:r>
            <w:r>
              <w:rPr>
                <w:rFonts w:hint="default" w:ascii="Times New Roman" w:hAnsi="Times New Roman" w:eastAsia="宋体" w:cs="Times New Roman"/>
                <w:b w:val="0"/>
                <w:caps w:val="0"/>
                <w:smallCaps w:val="0"/>
                <w:color w:val="FF0000"/>
                <w:kern w:val="2"/>
                <w:sz w:val="24"/>
                <w:szCs w:val="24"/>
                <w:highlight w:val="none"/>
                <w:lang w:val="en-US" w:eastAsia="zh-CN" w:bidi="ar-SA"/>
              </w:rPr>
              <w:t>共1804531.105t/a，本项目外购</w:t>
            </w:r>
            <w:r>
              <w:rPr>
                <w:rFonts w:hint="eastAsia" w:cs="Times New Roman"/>
                <w:b w:val="0"/>
                <w:caps w:val="0"/>
                <w:smallCaps w:val="0"/>
                <w:color w:val="FF0000"/>
                <w:kern w:val="2"/>
                <w:sz w:val="24"/>
                <w:szCs w:val="24"/>
                <w:highlight w:val="none"/>
                <w:lang w:val="en-US" w:eastAsia="zh-CN" w:bidi="ar-SA"/>
              </w:rPr>
              <w:t>430</w:t>
            </w:r>
            <w:r>
              <w:rPr>
                <w:rFonts w:hint="default" w:ascii="Times New Roman" w:hAnsi="Times New Roman" w:eastAsia="宋体" w:cs="Times New Roman"/>
                <w:b w:val="0"/>
                <w:caps w:val="0"/>
                <w:smallCaps w:val="0"/>
                <w:color w:val="FF0000"/>
                <w:kern w:val="2"/>
                <w:sz w:val="24"/>
                <w:szCs w:val="24"/>
                <w:highlight w:val="none"/>
                <w:lang w:val="en-US" w:eastAsia="zh-CN" w:bidi="ar-SA"/>
              </w:rPr>
              <w:t>000t/a</w:t>
            </w:r>
            <w:r>
              <w:rPr>
                <w:rFonts w:hint="default" w:ascii="Times New Roman" w:hAnsi="Times New Roman" w:cs="Times New Roman"/>
                <w:color w:val="FF0000"/>
                <w:highlight w:val="none"/>
              </w:rPr>
              <w:t>，不超出产生范围。</w:t>
            </w:r>
            <w:r>
              <w:rPr>
                <w:rFonts w:hint="default" w:ascii="Times New Roman" w:hAnsi="Times New Roman" w:cs="Times New Roman"/>
                <w:color w:val="auto"/>
                <w:highlight w:val="none"/>
              </w:rPr>
              <w:t>①根据附件</w:t>
            </w:r>
            <w:r>
              <w:rPr>
                <w:rFonts w:hint="eastAsia" w:cs="Times New Roman"/>
                <w:color w:val="auto"/>
                <w:highlight w:val="none"/>
                <w:lang w:val="en-US" w:eastAsia="zh-CN"/>
              </w:rPr>
              <w:t>5</w:t>
            </w:r>
            <w:r>
              <w:rPr>
                <w:rFonts w:hint="default" w:ascii="Times New Roman" w:hAnsi="Times New Roman" w:cs="Times New Roman"/>
                <w:color w:val="auto"/>
                <w:highlight w:val="none"/>
              </w:rPr>
              <w:t>由江西省地质局实验测试</w:t>
            </w:r>
            <w:r>
              <w:rPr>
                <w:rFonts w:hint="default" w:ascii="Times New Roman" w:hAnsi="Times New Roman" w:cs="Times New Roman"/>
                <w:color w:val="auto"/>
                <w:highlight w:val="none"/>
                <w:lang w:val="en-US" w:eastAsia="zh-CN"/>
              </w:rPr>
              <w:t>大队</w:t>
            </w:r>
            <w:r>
              <w:rPr>
                <w:rFonts w:hint="default" w:ascii="Times New Roman" w:hAnsi="Times New Roman" w:cs="Times New Roman"/>
                <w:color w:val="auto"/>
                <w:highlight w:val="none"/>
              </w:rPr>
              <w:t>编制的《</w:t>
            </w:r>
            <w:r>
              <w:rPr>
                <w:rFonts w:hint="default" w:ascii="Times New Roman" w:hAnsi="Times New Roman" w:cs="Times New Roman"/>
                <w:color w:val="auto"/>
                <w:highlight w:val="none"/>
                <w:lang w:eastAsia="zh-CN"/>
              </w:rPr>
              <w:t>宜丰国轩锂业有限公司锂渣危险特性鉴别报告（</w:t>
            </w:r>
            <w:r>
              <w:rPr>
                <w:rFonts w:hint="default" w:ascii="Times New Roman" w:hAnsi="Times New Roman" w:cs="Times New Roman"/>
                <w:color w:val="auto"/>
                <w:highlight w:val="none"/>
              </w:rPr>
              <w:t>202</w:t>
            </w:r>
            <w:r>
              <w:rPr>
                <w:rFonts w:hint="eastAsia" w:cs="Times New Roman"/>
                <w:color w:val="auto"/>
                <w:highlight w:val="none"/>
                <w:lang w:val="en-US" w:eastAsia="zh-CN"/>
              </w:rPr>
              <w:t>5</w:t>
            </w:r>
            <w:r>
              <w:rPr>
                <w:rFonts w:hint="default" w:ascii="Times New Roman" w:hAnsi="Times New Roman" w:cs="Times New Roman"/>
                <w:color w:val="auto"/>
                <w:highlight w:val="none"/>
              </w:rPr>
              <w:t>年</w:t>
            </w:r>
            <w:r>
              <w:rPr>
                <w:rFonts w:hint="eastAsia" w:cs="Times New Roman"/>
                <w:color w:val="auto"/>
                <w:highlight w:val="none"/>
                <w:lang w:val="en-US" w:eastAsia="zh-CN"/>
              </w:rPr>
              <w:t>2</w:t>
            </w:r>
            <w:r>
              <w:rPr>
                <w:rFonts w:hint="default" w:ascii="Times New Roman" w:hAnsi="Times New Roman" w:cs="Times New Roman"/>
                <w:color w:val="auto"/>
                <w:highlight w:val="none"/>
              </w:rPr>
              <w:t>月）》结论可知，该项目浸出工序产生的浸出渣（本项目原料锂渣）不具有危险特性，不属于危险废物，属于一般工业固体废物；②根据</w:t>
            </w:r>
            <w:r>
              <w:rPr>
                <w:rFonts w:hint="default" w:ascii="Times New Roman" w:hAnsi="Times New Roman" w:cs="Times New Roman"/>
                <w:color w:val="auto"/>
                <w:highlight w:val="none"/>
                <w:lang w:val="en-US" w:eastAsia="zh-CN"/>
              </w:rPr>
              <w:t>附件</w:t>
            </w:r>
            <w:r>
              <w:rPr>
                <w:rFonts w:hint="eastAsia" w:cs="Times New Roman"/>
                <w:color w:val="auto"/>
                <w:highlight w:val="none"/>
                <w:lang w:val="en-US" w:eastAsia="zh-CN"/>
              </w:rPr>
              <w:t>6</w:t>
            </w:r>
            <w:r>
              <w:rPr>
                <w:rFonts w:hint="eastAsia"/>
                <w:color w:val="auto"/>
                <w:highlight w:val="none"/>
                <w:lang w:val="en-US" w:eastAsia="zh-CN"/>
              </w:rPr>
              <w:t>宜丰国轩锂业有限公司对锂渣的全元素检测报告（以干基检测）</w:t>
            </w:r>
            <w:r>
              <w:rPr>
                <w:rFonts w:hint="eastAsia"/>
                <w:color w:val="auto"/>
                <w:highlight w:val="none"/>
              </w:rPr>
              <w:t>，</w:t>
            </w:r>
            <w:r>
              <w:rPr>
                <w:rFonts w:hint="eastAsia"/>
                <w:color w:val="FF0000"/>
                <w:highlight w:val="none"/>
                <w:lang w:val="en-US" w:eastAsia="zh-CN"/>
              </w:rPr>
              <w:t>以及江西源灿新型材料有限公司对宜丰国轩锂业有限公司锂渣水溶性盐的检测报告（附件15）（以干基检测）</w:t>
            </w:r>
            <w:r>
              <w:rPr>
                <w:rFonts w:hint="eastAsia"/>
                <w:color w:val="auto"/>
                <w:highlight w:val="none"/>
                <w:lang w:val="en-US" w:eastAsia="zh-CN"/>
              </w:rPr>
              <w:t>锂渣中具体</w:t>
            </w:r>
            <w:r>
              <w:rPr>
                <w:rFonts w:hint="eastAsia"/>
                <w:color w:val="auto"/>
                <w:highlight w:val="none"/>
              </w:rPr>
              <w:t>元素分析见</w:t>
            </w:r>
            <w:r>
              <w:rPr>
                <w:rFonts w:hint="eastAsia"/>
                <w:color w:val="auto"/>
                <w:highlight w:val="none"/>
                <w:lang w:val="en-US" w:eastAsia="zh-CN"/>
              </w:rPr>
              <w:t>下</w:t>
            </w:r>
            <w:r>
              <w:rPr>
                <w:rFonts w:hint="eastAsia"/>
                <w:color w:val="auto"/>
                <w:highlight w:val="none"/>
              </w:rPr>
              <w:t>表</w:t>
            </w:r>
            <w:r>
              <w:rPr>
                <w:rFonts w:hint="default" w:ascii="Times New Roman" w:hAnsi="Times New Roman" w:cs="Times New Roman"/>
                <w:color w:val="auto"/>
                <w:highlight w:val="none"/>
              </w:rPr>
              <w:t>。</w:t>
            </w:r>
          </w:p>
          <w:p w14:paraId="32F27D20">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锂渣成分含量分析表</w:t>
            </w:r>
          </w:p>
          <w:tbl>
            <w:tblPr>
              <w:tblStyle w:val="96"/>
              <w:tblW w:w="808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452"/>
              <w:gridCol w:w="2378"/>
              <w:gridCol w:w="1225"/>
              <w:gridCol w:w="600"/>
              <w:gridCol w:w="2044"/>
              <w:gridCol w:w="1381"/>
            </w:tblGrid>
            <w:tr w14:paraId="3D204C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4" w:hRule="atLeast"/>
                <w:jc w:val="center"/>
              </w:trPr>
              <w:tc>
                <w:tcPr>
                  <w:tcW w:w="452" w:type="dxa"/>
                  <w:tcBorders>
                    <w:tl2br w:val="nil"/>
                    <w:tr2bl w:val="nil"/>
                  </w:tcBorders>
                  <w:vAlign w:val="center"/>
                </w:tcPr>
                <w:p w14:paraId="6F5CA0E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序号</w:t>
                  </w:r>
                </w:p>
              </w:tc>
              <w:tc>
                <w:tcPr>
                  <w:tcW w:w="2378" w:type="dxa"/>
                  <w:tcBorders>
                    <w:tl2br w:val="nil"/>
                    <w:tr2bl w:val="nil"/>
                  </w:tcBorders>
                  <w:vAlign w:val="center"/>
                </w:tcPr>
                <w:p w14:paraId="02FF53E7">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成分名称</w:t>
                  </w:r>
                </w:p>
              </w:tc>
              <w:tc>
                <w:tcPr>
                  <w:tcW w:w="1225" w:type="dxa"/>
                  <w:tcBorders>
                    <w:tl2br w:val="nil"/>
                    <w:tr2bl w:val="nil"/>
                  </w:tcBorders>
                  <w:vAlign w:val="center"/>
                </w:tcPr>
                <w:p w14:paraId="7D4988C6">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含量</w:t>
                  </w:r>
                </w:p>
              </w:tc>
              <w:tc>
                <w:tcPr>
                  <w:tcW w:w="600" w:type="dxa"/>
                  <w:tcBorders>
                    <w:tl2br w:val="nil"/>
                    <w:tr2bl w:val="nil"/>
                  </w:tcBorders>
                  <w:vAlign w:val="center"/>
                </w:tcPr>
                <w:p w14:paraId="29445FA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序号</w:t>
                  </w:r>
                </w:p>
              </w:tc>
              <w:tc>
                <w:tcPr>
                  <w:tcW w:w="2044" w:type="dxa"/>
                  <w:tcBorders>
                    <w:tl2br w:val="nil"/>
                    <w:tr2bl w:val="nil"/>
                  </w:tcBorders>
                  <w:vAlign w:val="center"/>
                </w:tcPr>
                <w:p w14:paraId="1F5D163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成分名称</w:t>
                  </w:r>
                </w:p>
              </w:tc>
              <w:tc>
                <w:tcPr>
                  <w:tcW w:w="1381" w:type="dxa"/>
                  <w:tcBorders>
                    <w:tl2br w:val="nil"/>
                    <w:tr2bl w:val="nil"/>
                  </w:tcBorders>
                  <w:vAlign w:val="center"/>
                </w:tcPr>
                <w:p w14:paraId="786D45A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含量</w:t>
                  </w:r>
                </w:p>
              </w:tc>
            </w:tr>
            <w:tr w14:paraId="060CFB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 w:hRule="atLeast"/>
                <w:jc w:val="center"/>
              </w:trPr>
              <w:tc>
                <w:tcPr>
                  <w:tcW w:w="452" w:type="dxa"/>
                  <w:tcBorders>
                    <w:tl2br w:val="nil"/>
                    <w:tr2bl w:val="nil"/>
                  </w:tcBorders>
                  <w:vAlign w:val="center"/>
                </w:tcPr>
                <w:p w14:paraId="4E6BDE15">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w:t>
                  </w:r>
                </w:p>
              </w:tc>
              <w:tc>
                <w:tcPr>
                  <w:tcW w:w="2378" w:type="dxa"/>
                  <w:tcBorders>
                    <w:tl2br w:val="nil"/>
                    <w:tr2bl w:val="nil"/>
                  </w:tcBorders>
                  <w:vAlign w:val="center"/>
                </w:tcPr>
                <w:p w14:paraId="558C66FC">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灼烧减量LOSS</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1025℃</w:t>
                  </w:r>
                  <w:r>
                    <w:rPr>
                      <w:rFonts w:hint="eastAsia" w:ascii="Times New Roman" w:hAnsi="Times New Roman" w:eastAsia="宋体" w:cs="Times New Roman"/>
                      <w:color w:val="auto"/>
                      <w:highlight w:val="none"/>
                      <w:lang w:eastAsia="zh-CN"/>
                    </w:rPr>
                    <w:t>）</w:t>
                  </w:r>
                </w:p>
              </w:tc>
              <w:tc>
                <w:tcPr>
                  <w:tcW w:w="1225" w:type="dxa"/>
                  <w:tcBorders>
                    <w:tl2br w:val="nil"/>
                    <w:tr2bl w:val="nil"/>
                  </w:tcBorders>
                  <w:vAlign w:val="center"/>
                </w:tcPr>
                <w:p w14:paraId="5952BC5A">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2.28</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0ECF48CF">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16</w:t>
                  </w:r>
                </w:p>
              </w:tc>
              <w:tc>
                <w:tcPr>
                  <w:tcW w:w="2044" w:type="dxa"/>
                  <w:tcBorders>
                    <w:tl2br w:val="nil"/>
                    <w:tr2bl w:val="nil"/>
                  </w:tcBorders>
                  <w:shd w:val="clear" w:color="auto" w:fill="auto"/>
                  <w:vAlign w:val="center"/>
                </w:tcPr>
                <w:p w14:paraId="79500794">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一氧化铅PbO</w:t>
                  </w:r>
                </w:p>
              </w:tc>
              <w:tc>
                <w:tcPr>
                  <w:tcW w:w="1381" w:type="dxa"/>
                  <w:tcBorders>
                    <w:tl2br w:val="nil"/>
                    <w:tr2bl w:val="nil"/>
                  </w:tcBorders>
                  <w:shd w:val="clear" w:color="auto" w:fill="auto"/>
                  <w:vAlign w:val="center"/>
                </w:tcPr>
                <w:p w14:paraId="7BDD43B2">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0.01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7A9318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52" w:type="dxa"/>
                  <w:tcBorders>
                    <w:tl2br w:val="nil"/>
                    <w:tr2bl w:val="nil"/>
                  </w:tcBorders>
                  <w:vAlign w:val="center"/>
                </w:tcPr>
                <w:p w14:paraId="308DB611">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2</w:t>
                  </w:r>
                </w:p>
              </w:tc>
              <w:tc>
                <w:tcPr>
                  <w:tcW w:w="2378" w:type="dxa"/>
                  <w:tcBorders>
                    <w:tl2br w:val="nil"/>
                    <w:tr2bl w:val="nil"/>
                  </w:tcBorders>
                  <w:vAlign w:val="center"/>
                </w:tcPr>
                <w:p w14:paraId="0147BE31">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rPr>
                  </w:pPr>
                  <w:r>
                    <w:rPr>
                      <w:rFonts w:ascii="Times New Roman" w:hAnsi="Times New Roman" w:eastAsia="宋体" w:cs="Times New Roman"/>
                      <w:color w:val="auto"/>
                      <w:highlight w:val="none"/>
                    </w:rPr>
                    <w:t>三氧化二铝Al</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r>
                    <w:rPr>
                      <w:rFonts w:hint="eastAsia" w:ascii="Times New Roman" w:hAnsi="Times New Roman" w:eastAsia="宋体" w:cs="Times New Roman"/>
                      <w:color w:val="auto"/>
                      <w:highlight w:val="none"/>
                      <w:vertAlign w:val="subscript"/>
                    </w:rPr>
                    <w:t>3</w:t>
                  </w:r>
                </w:p>
              </w:tc>
              <w:tc>
                <w:tcPr>
                  <w:tcW w:w="1225" w:type="dxa"/>
                  <w:tcBorders>
                    <w:tl2br w:val="nil"/>
                    <w:tr2bl w:val="nil"/>
                  </w:tcBorders>
                  <w:vAlign w:val="center"/>
                </w:tcPr>
                <w:p w14:paraId="46B716F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22.68</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504F952E">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17</w:t>
                  </w:r>
                </w:p>
              </w:tc>
              <w:tc>
                <w:tcPr>
                  <w:tcW w:w="2044" w:type="dxa"/>
                  <w:tcBorders>
                    <w:tl2br w:val="nil"/>
                    <w:tr2bl w:val="nil"/>
                  </w:tcBorders>
                  <w:shd w:val="clear" w:color="auto" w:fill="auto"/>
                  <w:vAlign w:val="center"/>
                </w:tcPr>
                <w:p w14:paraId="475FF763">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氧化锌ZnO</w:t>
                  </w:r>
                </w:p>
              </w:tc>
              <w:tc>
                <w:tcPr>
                  <w:tcW w:w="1381" w:type="dxa"/>
                  <w:tcBorders>
                    <w:tl2br w:val="nil"/>
                    <w:tr2bl w:val="nil"/>
                  </w:tcBorders>
                  <w:shd w:val="clear" w:color="auto" w:fill="auto"/>
                  <w:vAlign w:val="center"/>
                </w:tcPr>
                <w:p w14:paraId="547ABBCF">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0.0</w:t>
                  </w:r>
                  <w:r>
                    <w:rPr>
                      <w:rFonts w:hint="eastAsia" w:ascii="Times New Roman" w:hAnsi="Times New Roman" w:eastAsia="宋体" w:cs="Times New Roman"/>
                      <w:color w:val="auto"/>
                      <w:highlight w:val="none"/>
                      <w:lang w:val="en-US" w:eastAsia="zh-CN"/>
                    </w:rPr>
                    <w:t>6</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w:t>
                  </w:r>
                </w:p>
              </w:tc>
            </w:tr>
            <w:tr w14:paraId="16E4F1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90" w:hRule="atLeast"/>
                <w:jc w:val="center"/>
              </w:trPr>
              <w:tc>
                <w:tcPr>
                  <w:tcW w:w="452" w:type="dxa"/>
                  <w:tcBorders>
                    <w:tl2br w:val="nil"/>
                    <w:tr2bl w:val="nil"/>
                  </w:tcBorders>
                  <w:vAlign w:val="center"/>
                </w:tcPr>
                <w:p w14:paraId="6EA616BF">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3</w:t>
                  </w:r>
                </w:p>
              </w:tc>
              <w:tc>
                <w:tcPr>
                  <w:tcW w:w="2378" w:type="dxa"/>
                  <w:tcBorders>
                    <w:tl2br w:val="nil"/>
                    <w:tr2bl w:val="nil"/>
                  </w:tcBorders>
                  <w:vAlign w:val="center"/>
                </w:tcPr>
                <w:p w14:paraId="1F80E298">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二氧化硅SiO₂</w:t>
                  </w:r>
                </w:p>
              </w:tc>
              <w:tc>
                <w:tcPr>
                  <w:tcW w:w="1225" w:type="dxa"/>
                  <w:tcBorders>
                    <w:tl2br w:val="nil"/>
                    <w:tr2bl w:val="nil"/>
                  </w:tcBorders>
                  <w:vAlign w:val="center"/>
                </w:tcPr>
                <w:p w14:paraId="21A8A052">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35.98</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043296EC">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18</w:t>
                  </w:r>
                </w:p>
              </w:tc>
              <w:tc>
                <w:tcPr>
                  <w:tcW w:w="2044" w:type="dxa"/>
                  <w:tcBorders>
                    <w:tl2br w:val="nil"/>
                    <w:tr2bl w:val="nil"/>
                  </w:tcBorders>
                  <w:shd w:val="clear" w:color="auto" w:fill="auto"/>
                  <w:vAlign w:val="center"/>
                </w:tcPr>
                <w:p w14:paraId="73CA7127">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氧化锶SrO</w:t>
                  </w:r>
                </w:p>
              </w:tc>
              <w:tc>
                <w:tcPr>
                  <w:tcW w:w="1381" w:type="dxa"/>
                  <w:tcBorders>
                    <w:tl2br w:val="nil"/>
                    <w:tr2bl w:val="nil"/>
                  </w:tcBorders>
                  <w:shd w:val="clear" w:color="auto" w:fill="auto"/>
                  <w:vAlign w:val="center"/>
                </w:tcPr>
                <w:p w14:paraId="03C9DF2C">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w:t>
                  </w:r>
                </w:p>
              </w:tc>
            </w:tr>
            <w:tr w14:paraId="4BF893E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52" w:type="dxa"/>
                  <w:tcBorders>
                    <w:tl2br w:val="nil"/>
                    <w:tr2bl w:val="nil"/>
                  </w:tcBorders>
                  <w:vAlign w:val="center"/>
                </w:tcPr>
                <w:p w14:paraId="02F4A914">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4</w:t>
                  </w:r>
                </w:p>
              </w:tc>
              <w:tc>
                <w:tcPr>
                  <w:tcW w:w="2378" w:type="dxa"/>
                  <w:tcBorders>
                    <w:tl2br w:val="nil"/>
                    <w:tr2bl w:val="nil"/>
                  </w:tcBorders>
                  <w:vAlign w:val="center"/>
                </w:tcPr>
                <w:p w14:paraId="5224F672">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rPr>
                  </w:pPr>
                  <w:r>
                    <w:rPr>
                      <w:rFonts w:ascii="Times New Roman" w:hAnsi="Times New Roman" w:eastAsia="宋体" w:cs="Times New Roman"/>
                      <w:color w:val="auto"/>
                      <w:highlight w:val="none"/>
                    </w:rPr>
                    <w:t>三氧化二铁Fe</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r>
                    <w:rPr>
                      <w:rFonts w:hint="eastAsia" w:ascii="Times New Roman" w:hAnsi="Times New Roman" w:eastAsia="宋体" w:cs="Times New Roman"/>
                      <w:color w:val="auto"/>
                      <w:highlight w:val="none"/>
                      <w:vertAlign w:val="subscript"/>
                    </w:rPr>
                    <w:t>3</w:t>
                  </w:r>
                </w:p>
              </w:tc>
              <w:tc>
                <w:tcPr>
                  <w:tcW w:w="1225" w:type="dxa"/>
                  <w:tcBorders>
                    <w:tl2br w:val="nil"/>
                    <w:tr2bl w:val="nil"/>
                  </w:tcBorders>
                  <w:vAlign w:val="center"/>
                </w:tcPr>
                <w:p w14:paraId="732E969D">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2.</w:t>
                  </w:r>
                  <w:r>
                    <w:rPr>
                      <w:rFonts w:hint="eastAsia" w:ascii="Times New Roman" w:hAnsi="Times New Roman" w:eastAsia="宋体" w:cs="Times New Roman"/>
                      <w:color w:val="auto"/>
                      <w:highlight w:val="none"/>
                      <w:lang w:val="en-US" w:eastAsia="zh-CN"/>
                    </w:rPr>
                    <w:t>89</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6FD9A27A">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19</w:t>
                  </w:r>
                </w:p>
              </w:tc>
              <w:tc>
                <w:tcPr>
                  <w:tcW w:w="2044" w:type="dxa"/>
                  <w:tcBorders>
                    <w:tl2br w:val="nil"/>
                    <w:tr2bl w:val="nil"/>
                  </w:tcBorders>
                  <w:shd w:val="clear" w:color="auto" w:fill="auto"/>
                  <w:vAlign w:val="center"/>
                </w:tcPr>
                <w:p w14:paraId="6728D211">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一氧化锰MnO</w:t>
                  </w:r>
                </w:p>
              </w:tc>
              <w:tc>
                <w:tcPr>
                  <w:tcW w:w="1381" w:type="dxa"/>
                  <w:tcBorders>
                    <w:tl2br w:val="nil"/>
                    <w:tr2bl w:val="nil"/>
                  </w:tcBorders>
                  <w:shd w:val="clear" w:color="auto" w:fill="auto"/>
                  <w:vAlign w:val="center"/>
                </w:tcPr>
                <w:p w14:paraId="7354A15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0.4</w:t>
                  </w:r>
                  <w:r>
                    <w:rPr>
                      <w:rFonts w:hint="eastAsia"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2F614A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 w:hRule="atLeast"/>
                <w:jc w:val="center"/>
              </w:trPr>
              <w:tc>
                <w:tcPr>
                  <w:tcW w:w="452" w:type="dxa"/>
                  <w:tcBorders>
                    <w:tl2br w:val="nil"/>
                    <w:tr2bl w:val="nil"/>
                  </w:tcBorders>
                  <w:vAlign w:val="center"/>
                </w:tcPr>
                <w:p w14:paraId="45578B5F">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5</w:t>
                  </w:r>
                </w:p>
              </w:tc>
              <w:tc>
                <w:tcPr>
                  <w:tcW w:w="2378" w:type="dxa"/>
                  <w:tcBorders>
                    <w:tl2br w:val="nil"/>
                    <w:tr2bl w:val="nil"/>
                  </w:tcBorders>
                  <w:vAlign w:val="center"/>
                </w:tcPr>
                <w:p w14:paraId="32A7CF55">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氧化钙C</w:t>
                  </w:r>
                  <w:r>
                    <w:rPr>
                      <w:rFonts w:hint="eastAsia" w:ascii="Times New Roman" w:hAnsi="Times New Roman" w:eastAsia="宋体" w:cs="Times New Roman"/>
                      <w:color w:val="auto"/>
                      <w:highlight w:val="none"/>
                    </w:rPr>
                    <w:t>a</w:t>
                  </w:r>
                  <w:r>
                    <w:rPr>
                      <w:rFonts w:ascii="Times New Roman" w:hAnsi="Times New Roman" w:eastAsia="宋体" w:cs="Times New Roman"/>
                      <w:color w:val="auto"/>
                      <w:highlight w:val="none"/>
                    </w:rPr>
                    <w:t>O</w:t>
                  </w:r>
                </w:p>
              </w:tc>
              <w:tc>
                <w:tcPr>
                  <w:tcW w:w="1225" w:type="dxa"/>
                  <w:tcBorders>
                    <w:tl2br w:val="nil"/>
                    <w:tr2bl w:val="nil"/>
                  </w:tcBorders>
                  <w:vAlign w:val="center"/>
                </w:tcPr>
                <w:p w14:paraId="178ED988">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w:t>
                  </w:r>
                  <w:r>
                    <w:rPr>
                      <w:rFonts w:hint="eastAsia" w:ascii="Times New Roman" w:hAnsi="Times New Roman" w:eastAsia="宋体" w:cs="Times New Roman"/>
                      <w:color w:val="auto"/>
                      <w:highlight w:val="none"/>
                      <w:lang w:val="en-US" w:eastAsia="zh-CN"/>
                    </w:rPr>
                    <w:t>5.61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19C62881">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20</w:t>
                  </w:r>
                </w:p>
              </w:tc>
              <w:tc>
                <w:tcPr>
                  <w:tcW w:w="2044" w:type="dxa"/>
                  <w:tcBorders>
                    <w:tl2br w:val="nil"/>
                    <w:tr2bl w:val="nil"/>
                  </w:tcBorders>
                  <w:shd w:val="clear" w:color="auto" w:fill="auto"/>
                  <w:vAlign w:val="center"/>
                </w:tcPr>
                <w:p w14:paraId="15E85213">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氧化铷Rb</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p>
              </w:tc>
              <w:tc>
                <w:tcPr>
                  <w:tcW w:w="1381" w:type="dxa"/>
                  <w:tcBorders>
                    <w:tl2br w:val="nil"/>
                    <w:tr2bl w:val="nil"/>
                  </w:tcBorders>
                  <w:shd w:val="clear" w:color="auto" w:fill="auto"/>
                  <w:vAlign w:val="center"/>
                </w:tcPr>
                <w:p w14:paraId="578C061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lang w:val="en-US" w:eastAsia="zh-CN"/>
                    </w:rPr>
                    <w:t>46</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7E04447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7" w:hRule="atLeast"/>
                <w:jc w:val="center"/>
              </w:trPr>
              <w:tc>
                <w:tcPr>
                  <w:tcW w:w="452" w:type="dxa"/>
                  <w:tcBorders>
                    <w:tl2br w:val="nil"/>
                    <w:tr2bl w:val="nil"/>
                  </w:tcBorders>
                  <w:vAlign w:val="center"/>
                </w:tcPr>
                <w:p w14:paraId="70906A06">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6</w:t>
                  </w:r>
                </w:p>
              </w:tc>
              <w:tc>
                <w:tcPr>
                  <w:tcW w:w="2378" w:type="dxa"/>
                  <w:tcBorders>
                    <w:tl2br w:val="nil"/>
                    <w:tr2bl w:val="nil"/>
                  </w:tcBorders>
                  <w:vAlign w:val="center"/>
                </w:tcPr>
                <w:p w14:paraId="048D5215">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氧化镁MgO</w:t>
                  </w:r>
                </w:p>
              </w:tc>
              <w:tc>
                <w:tcPr>
                  <w:tcW w:w="1225" w:type="dxa"/>
                  <w:tcBorders>
                    <w:tl2br w:val="nil"/>
                    <w:tr2bl w:val="nil"/>
                  </w:tcBorders>
                  <w:vAlign w:val="center"/>
                </w:tcPr>
                <w:p w14:paraId="45608CEE">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0.52</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485A07DA">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21</w:t>
                  </w:r>
                </w:p>
              </w:tc>
              <w:tc>
                <w:tcPr>
                  <w:tcW w:w="2044" w:type="dxa"/>
                  <w:tcBorders>
                    <w:tl2br w:val="nil"/>
                    <w:tr2bl w:val="nil"/>
                  </w:tcBorders>
                  <w:shd w:val="clear" w:color="auto" w:fill="auto"/>
                  <w:vAlign w:val="center"/>
                </w:tcPr>
                <w:p w14:paraId="19C1E8B5">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氧化铯Cs</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p>
              </w:tc>
              <w:tc>
                <w:tcPr>
                  <w:tcW w:w="1381" w:type="dxa"/>
                  <w:tcBorders>
                    <w:tl2br w:val="nil"/>
                    <w:tr2bl w:val="nil"/>
                  </w:tcBorders>
                  <w:shd w:val="clear" w:color="auto" w:fill="auto"/>
                  <w:vAlign w:val="center"/>
                </w:tcPr>
                <w:p w14:paraId="7D0911C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lang w:val="en-US" w:eastAsia="zh-CN"/>
                    </w:rPr>
                    <w:t>10</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591EF08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149" w:hRule="atLeast"/>
                <w:jc w:val="center"/>
              </w:trPr>
              <w:tc>
                <w:tcPr>
                  <w:tcW w:w="452" w:type="dxa"/>
                  <w:tcBorders>
                    <w:tl2br w:val="nil"/>
                    <w:tr2bl w:val="nil"/>
                  </w:tcBorders>
                  <w:vAlign w:val="center"/>
                </w:tcPr>
                <w:p w14:paraId="0F1C10B0">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7</w:t>
                  </w:r>
                </w:p>
              </w:tc>
              <w:tc>
                <w:tcPr>
                  <w:tcW w:w="2378" w:type="dxa"/>
                  <w:tcBorders>
                    <w:tl2br w:val="nil"/>
                    <w:tr2bl w:val="nil"/>
                  </w:tcBorders>
                  <w:vAlign w:val="center"/>
                </w:tcPr>
                <w:p w14:paraId="48074885">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氧化钾K</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p>
              </w:tc>
              <w:tc>
                <w:tcPr>
                  <w:tcW w:w="1225" w:type="dxa"/>
                  <w:tcBorders>
                    <w:tl2br w:val="nil"/>
                    <w:tr2bl w:val="nil"/>
                  </w:tcBorders>
                  <w:vAlign w:val="center"/>
                </w:tcPr>
                <w:p w14:paraId="0EF32CEF">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6.95</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0455638C">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22</w:t>
                  </w:r>
                </w:p>
              </w:tc>
              <w:tc>
                <w:tcPr>
                  <w:tcW w:w="2044" w:type="dxa"/>
                  <w:tcBorders>
                    <w:tl2br w:val="nil"/>
                    <w:tr2bl w:val="nil"/>
                  </w:tcBorders>
                  <w:shd w:val="clear" w:color="auto" w:fill="auto"/>
                  <w:vAlign w:val="center"/>
                </w:tcPr>
                <w:p w14:paraId="745F98B5">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氧化镉CdO</w:t>
                  </w:r>
                </w:p>
              </w:tc>
              <w:tc>
                <w:tcPr>
                  <w:tcW w:w="1381" w:type="dxa"/>
                  <w:tcBorders>
                    <w:tl2br w:val="nil"/>
                    <w:tr2bl w:val="nil"/>
                  </w:tcBorders>
                  <w:shd w:val="clear" w:color="auto" w:fill="auto"/>
                  <w:vAlign w:val="center"/>
                </w:tcPr>
                <w:p w14:paraId="57549E6E">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604FA99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52" w:type="dxa"/>
                  <w:tcBorders>
                    <w:tl2br w:val="nil"/>
                    <w:tr2bl w:val="nil"/>
                  </w:tcBorders>
                  <w:vAlign w:val="center"/>
                </w:tcPr>
                <w:p w14:paraId="6C37CA88">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8</w:t>
                  </w:r>
                </w:p>
              </w:tc>
              <w:tc>
                <w:tcPr>
                  <w:tcW w:w="2378" w:type="dxa"/>
                  <w:tcBorders>
                    <w:tl2br w:val="nil"/>
                    <w:tr2bl w:val="nil"/>
                  </w:tcBorders>
                  <w:vAlign w:val="center"/>
                </w:tcPr>
                <w:p w14:paraId="65DA9093">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氧化钠NaO</w:t>
                  </w:r>
                </w:p>
              </w:tc>
              <w:tc>
                <w:tcPr>
                  <w:tcW w:w="1225" w:type="dxa"/>
                  <w:tcBorders>
                    <w:tl2br w:val="nil"/>
                    <w:tr2bl w:val="nil"/>
                  </w:tcBorders>
                  <w:vAlign w:val="center"/>
                </w:tcPr>
                <w:p w14:paraId="7D080FD3">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1.54</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2320F661">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23</w:t>
                  </w:r>
                </w:p>
              </w:tc>
              <w:tc>
                <w:tcPr>
                  <w:tcW w:w="2044" w:type="dxa"/>
                  <w:tcBorders>
                    <w:tl2br w:val="nil"/>
                    <w:tr2bl w:val="nil"/>
                  </w:tcBorders>
                  <w:shd w:val="clear" w:color="auto" w:fill="auto"/>
                  <w:vAlign w:val="center"/>
                </w:tcPr>
                <w:p w14:paraId="2F9C5AC8">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五氧化二磷P</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r>
                    <w:rPr>
                      <w:rFonts w:hint="eastAsia" w:ascii="Times New Roman" w:hAnsi="Times New Roman" w:eastAsia="宋体" w:cs="Times New Roman"/>
                      <w:color w:val="auto"/>
                      <w:highlight w:val="none"/>
                      <w:vertAlign w:val="subscript"/>
                    </w:rPr>
                    <w:t>3</w:t>
                  </w:r>
                </w:p>
              </w:tc>
              <w:tc>
                <w:tcPr>
                  <w:tcW w:w="1381" w:type="dxa"/>
                  <w:tcBorders>
                    <w:tl2br w:val="nil"/>
                    <w:tr2bl w:val="nil"/>
                  </w:tcBorders>
                  <w:shd w:val="clear" w:color="auto" w:fill="auto"/>
                  <w:vAlign w:val="center"/>
                </w:tcPr>
                <w:p w14:paraId="3BB220C7">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lang w:val="en-US" w:eastAsia="zh-CN"/>
                    </w:rPr>
                    <w:t>10</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470225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 w:hRule="atLeast"/>
                <w:jc w:val="center"/>
              </w:trPr>
              <w:tc>
                <w:tcPr>
                  <w:tcW w:w="452" w:type="dxa"/>
                  <w:tcBorders>
                    <w:tl2br w:val="nil"/>
                    <w:tr2bl w:val="nil"/>
                  </w:tcBorders>
                  <w:vAlign w:val="center"/>
                </w:tcPr>
                <w:p w14:paraId="480AA5B3">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9</w:t>
                  </w:r>
                </w:p>
              </w:tc>
              <w:tc>
                <w:tcPr>
                  <w:tcW w:w="2378" w:type="dxa"/>
                  <w:tcBorders>
                    <w:tl2br w:val="nil"/>
                    <w:tr2bl w:val="nil"/>
                  </w:tcBorders>
                  <w:vAlign w:val="center"/>
                </w:tcPr>
                <w:p w14:paraId="3DC1C71B">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二氧化钛TiO₂</w:t>
                  </w:r>
                </w:p>
              </w:tc>
              <w:tc>
                <w:tcPr>
                  <w:tcW w:w="1225" w:type="dxa"/>
                  <w:tcBorders>
                    <w:tl2br w:val="nil"/>
                    <w:tr2bl w:val="nil"/>
                  </w:tcBorders>
                  <w:vAlign w:val="center"/>
                </w:tcPr>
                <w:p w14:paraId="3C85C68F">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0.07</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64DB4E26">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24</w:t>
                  </w:r>
                </w:p>
              </w:tc>
              <w:tc>
                <w:tcPr>
                  <w:tcW w:w="2044" w:type="dxa"/>
                  <w:tcBorders>
                    <w:tl2br w:val="nil"/>
                    <w:tr2bl w:val="nil"/>
                  </w:tcBorders>
                  <w:shd w:val="clear" w:color="auto" w:fill="auto"/>
                  <w:vAlign w:val="center"/>
                </w:tcPr>
                <w:p w14:paraId="746BCE72">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三氧化硫SO</w:t>
                  </w:r>
                  <w:r>
                    <w:rPr>
                      <w:rFonts w:hint="eastAsia" w:ascii="Times New Roman" w:hAnsi="Times New Roman" w:eastAsia="宋体" w:cs="Times New Roman"/>
                      <w:color w:val="auto"/>
                      <w:highlight w:val="none"/>
                      <w:vertAlign w:val="subscript"/>
                    </w:rPr>
                    <w:t>3</w:t>
                  </w:r>
                </w:p>
              </w:tc>
              <w:tc>
                <w:tcPr>
                  <w:tcW w:w="1381" w:type="dxa"/>
                  <w:tcBorders>
                    <w:tl2br w:val="nil"/>
                    <w:tr2bl w:val="nil"/>
                  </w:tcBorders>
                  <w:shd w:val="clear" w:color="auto" w:fill="auto"/>
                  <w:vAlign w:val="center"/>
                </w:tcPr>
                <w:p w14:paraId="3EE9B733">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val="en-US" w:eastAsia="zh-CN"/>
                    </w:rPr>
                    <w:t>8.75</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012FEEF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33" w:hRule="atLeast"/>
                <w:jc w:val="center"/>
              </w:trPr>
              <w:tc>
                <w:tcPr>
                  <w:tcW w:w="452" w:type="dxa"/>
                  <w:tcBorders>
                    <w:tl2br w:val="nil"/>
                    <w:tr2bl w:val="nil"/>
                  </w:tcBorders>
                  <w:vAlign w:val="center"/>
                </w:tcPr>
                <w:p w14:paraId="6B35AFCE">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10</w:t>
                  </w:r>
                </w:p>
              </w:tc>
              <w:tc>
                <w:tcPr>
                  <w:tcW w:w="2378" w:type="dxa"/>
                  <w:tcBorders>
                    <w:tl2br w:val="nil"/>
                    <w:tr2bl w:val="nil"/>
                  </w:tcBorders>
                  <w:vAlign w:val="center"/>
                </w:tcPr>
                <w:p w14:paraId="425A122E">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rPr>
                  </w:pPr>
                  <w:r>
                    <w:rPr>
                      <w:rFonts w:ascii="Times New Roman" w:hAnsi="Times New Roman" w:eastAsia="宋体" w:cs="Times New Roman"/>
                      <w:color w:val="auto"/>
                      <w:highlight w:val="none"/>
                    </w:rPr>
                    <w:t>三氧化二硼B</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r>
                    <w:rPr>
                      <w:rFonts w:hint="eastAsia" w:ascii="Times New Roman" w:hAnsi="Times New Roman" w:eastAsia="宋体" w:cs="Times New Roman"/>
                      <w:color w:val="auto"/>
                      <w:highlight w:val="none"/>
                      <w:vertAlign w:val="subscript"/>
                    </w:rPr>
                    <w:t>3</w:t>
                  </w:r>
                </w:p>
              </w:tc>
              <w:tc>
                <w:tcPr>
                  <w:tcW w:w="1225" w:type="dxa"/>
                  <w:tcBorders>
                    <w:tl2br w:val="nil"/>
                    <w:tr2bl w:val="nil"/>
                  </w:tcBorders>
                  <w:vAlign w:val="center"/>
                </w:tcPr>
                <w:p w14:paraId="57AFB688">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0.09</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4190F4E3">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25</w:t>
                  </w:r>
                </w:p>
              </w:tc>
              <w:tc>
                <w:tcPr>
                  <w:tcW w:w="2044" w:type="dxa"/>
                  <w:tcBorders>
                    <w:tl2br w:val="nil"/>
                    <w:tr2bl w:val="nil"/>
                  </w:tcBorders>
                  <w:shd w:val="clear" w:color="auto" w:fill="auto"/>
                  <w:vAlign w:val="center"/>
                </w:tcPr>
                <w:p w14:paraId="32B1ACB9">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一氧化镍NiO</w:t>
                  </w:r>
                </w:p>
              </w:tc>
              <w:tc>
                <w:tcPr>
                  <w:tcW w:w="1381" w:type="dxa"/>
                  <w:tcBorders>
                    <w:tl2br w:val="nil"/>
                    <w:tr2bl w:val="nil"/>
                  </w:tcBorders>
                  <w:shd w:val="clear" w:color="auto" w:fill="auto"/>
                  <w:vAlign w:val="center"/>
                </w:tcPr>
                <w:p w14:paraId="6841EF56">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&lt;0.01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37E2B30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149" w:hRule="atLeast"/>
                <w:jc w:val="center"/>
              </w:trPr>
              <w:tc>
                <w:tcPr>
                  <w:tcW w:w="452" w:type="dxa"/>
                  <w:tcBorders>
                    <w:tl2br w:val="nil"/>
                    <w:tr2bl w:val="nil"/>
                  </w:tcBorders>
                  <w:vAlign w:val="center"/>
                </w:tcPr>
                <w:p w14:paraId="29C20321">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11</w:t>
                  </w:r>
                </w:p>
              </w:tc>
              <w:tc>
                <w:tcPr>
                  <w:tcW w:w="2378" w:type="dxa"/>
                  <w:tcBorders>
                    <w:tl2br w:val="nil"/>
                    <w:tr2bl w:val="nil"/>
                  </w:tcBorders>
                  <w:vAlign w:val="center"/>
                </w:tcPr>
                <w:p w14:paraId="6BBEA1EF">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氧化钡BaO</w:t>
                  </w:r>
                </w:p>
              </w:tc>
              <w:tc>
                <w:tcPr>
                  <w:tcW w:w="1225" w:type="dxa"/>
                  <w:tcBorders>
                    <w:tl2br w:val="nil"/>
                    <w:tr2bl w:val="nil"/>
                  </w:tcBorders>
                  <w:vAlign w:val="center"/>
                </w:tcPr>
                <w:p w14:paraId="7578C1BC">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0.02</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274A9E30">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26</w:t>
                  </w:r>
                </w:p>
              </w:tc>
              <w:tc>
                <w:tcPr>
                  <w:tcW w:w="2044" w:type="dxa"/>
                  <w:tcBorders>
                    <w:tl2br w:val="nil"/>
                    <w:tr2bl w:val="nil"/>
                  </w:tcBorders>
                  <w:shd w:val="clear" w:color="auto" w:fill="auto"/>
                  <w:vAlign w:val="center"/>
                </w:tcPr>
                <w:p w14:paraId="4739D4E6">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三氧化二铬</w:t>
                  </w:r>
                  <w:r>
                    <w:rPr>
                      <w:rFonts w:ascii="Times New Roman" w:hAnsi="Times New Roman" w:eastAsia="宋体" w:cs="Times New Roman"/>
                      <w:color w:val="auto"/>
                      <w:highlight w:val="none"/>
                    </w:rPr>
                    <w:t>Cr</w:t>
                  </w:r>
                  <w:r>
                    <w:rPr>
                      <w:rFonts w:hint="eastAsia" w:ascii="Times New Roman" w:hAnsi="Times New Roman" w:eastAsia="宋体" w:cs="Times New Roman"/>
                      <w:color w:val="auto"/>
                      <w:highlight w:val="none"/>
                      <w:vertAlign w:val="subscript"/>
                      <w:lang w:val="en-US" w:eastAsia="zh-CN"/>
                    </w:rPr>
                    <w:t>2</w:t>
                  </w:r>
                  <w:r>
                    <w:rPr>
                      <w:rFonts w:hint="eastAsia" w:ascii="Times New Roman" w:hAnsi="Times New Roman" w:eastAsia="宋体" w:cs="Times New Roman"/>
                      <w:color w:val="auto"/>
                      <w:highlight w:val="none"/>
                      <w:lang w:val="en-US" w:eastAsia="zh-CN"/>
                    </w:rPr>
                    <w:t>O</w:t>
                  </w:r>
                  <w:r>
                    <w:rPr>
                      <w:rFonts w:hint="eastAsia" w:ascii="Times New Roman" w:hAnsi="Times New Roman" w:eastAsia="宋体" w:cs="Times New Roman"/>
                      <w:color w:val="auto"/>
                      <w:highlight w:val="none"/>
                      <w:vertAlign w:val="subscript"/>
                      <w:lang w:val="en-US" w:eastAsia="zh-CN"/>
                    </w:rPr>
                    <w:t>3</w:t>
                  </w:r>
                </w:p>
              </w:tc>
              <w:tc>
                <w:tcPr>
                  <w:tcW w:w="1381" w:type="dxa"/>
                  <w:tcBorders>
                    <w:tl2br w:val="nil"/>
                    <w:tr2bl w:val="nil"/>
                  </w:tcBorders>
                  <w:shd w:val="clear" w:color="auto" w:fill="auto"/>
                  <w:vAlign w:val="center"/>
                </w:tcPr>
                <w:p w14:paraId="5F07F03A">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eastAsia="zh-CN"/>
                    </w:rPr>
                    <w:t>＜</w:t>
                  </w:r>
                  <w:r>
                    <w:rPr>
                      <w:rFonts w:hint="eastAsia" w:cs="Times New Roman"/>
                      <w:color w:val="auto"/>
                      <w:highlight w:val="none"/>
                      <w:lang w:val="en-US" w:eastAsia="zh-CN"/>
                    </w:rPr>
                    <w:t>0.01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6189712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52" w:type="dxa"/>
                  <w:tcBorders>
                    <w:tl2br w:val="nil"/>
                    <w:tr2bl w:val="nil"/>
                  </w:tcBorders>
                  <w:vAlign w:val="center"/>
                </w:tcPr>
                <w:p w14:paraId="4B0B7FEE">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12</w:t>
                  </w:r>
                </w:p>
              </w:tc>
              <w:tc>
                <w:tcPr>
                  <w:tcW w:w="2378" w:type="dxa"/>
                  <w:tcBorders>
                    <w:tl2br w:val="nil"/>
                    <w:tr2bl w:val="nil"/>
                  </w:tcBorders>
                  <w:vAlign w:val="center"/>
                </w:tcPr>
                <w:p w14:paraId="7CD27E5E">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铊T</w:t>
                  </w:r>
                  <w:r>
                    <w:rPr>
                      <w:rFonts w:hint="eastAsia" w:ascii="Times New Roman" w:hAnsi="Times New Roman" w:eastAsia="宋体" w:cs="Times New Roman"/>
                      <w:color w:val="auto"/>
                      <w:highlight w:val="none"/>
                    </w:rPr>
                    <w:t>l</w:t>
                  </w:r>
                </w:p>
              </w:tc>
              <w:tc>
                <w:tcPr>
                  <w:tcW w:w="1225" w:type="dxa"/>
                  <w:tcBorders>
                    <w:tl2br w:val="nil"/>
                    <w:tr2bl w:val="nil"/>
                  </w:tcBorders>
                  <w:vAlign w:val="center"/>
                </w:tcPr>
                <w:p w14:paraId="5B8992C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color w:val="auto"/>
                      <w:highlight w:val="none"/>
                      <w:lang w:val="en-US" w:eastAsia="zh-CN"/>
                    </w:rPr>
                    <w:t>9.34</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mg/kg</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20EC0110">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27</w:t>
                  </w:r>
                </w:p>
              </w:tc>
              <w:tc>
                <w:tcPr>
                  <w:tcW w:w="2044" w:type="dxa"/>
                  <w:tcBorders>
                    <w:tl2br w:val="nil"/>
                    <w:tr2bl w:val="nil"/>
                  </w:tcBorders>
                  <w:shd w:val="clear" w:color="auto" w:fill="auto"/>
                  <w:vAlign w:val="center"/>
                </w:tcPr>
                <w:p w14:paraId="7DC31566">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氧化</w:t>
                  </w:r>
                  <w:r>
                    <w:rPr>
                      <w:rFonts w:ascii="Times New Roman" w:hAnsi="Times New Roman" w:eastAsia="宋体" w:cs="Times New Roman"/>
                      <w:color w:val="auto"/>
                      <w:highlight w:val="none"/>
                    </w:rPr>
                    <w:t>铜Cu</w:t>
                  </w:r>
                  <w:r>
                    <w:rPr>
                      <w:rFonts w:hint="eastAsia" w:ascii="Times New Roman" w:hAnsi="Times New Roman" w:eastAsia="宋体" w:cs="Times New Roman"/>
                      <w:color w:val="auto"/>
                      <w:highlight w:val="none"/>
                      <w:lang w:val="en-US" w:eastAsia="zh-CN"/>
                    </w:rPr>
                    <w:t>O</w:t>
                  </w:r>
                </w:p>
              </w:tc>
              <w:tc>
                <w:tcPr>
                  <w:tcW w:w="1381" w:type="dxa"/>
                  <w:tcBorders>
                    <w:tl2br w:val="nil"/>
                    <w:tr2bl w:val="nil"/>
                  </w:tcBorders>
                  <w:shd w:val="clear" w:color="auto" w:fill="auto"/>
                  <w:vAlign w:val="center"/>
                </w:tcPr>
                <w:p w14:paraId="1B657A5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eastAsia="zh-CN"/>
                    </w:rPr>
                    <w:t>＜</w:t>
                  </w:r>
                  <w:r>
                    <w:rPr>
                      <w:rFonts w:hint="eastAsia" w:cs="Times New Roman"/>
                      <w:color w:val="auto"/>
                      <w:highlight w:val="none"/>
                      <w:lang w:val="en-US" w:eastAsia="zh-CN"/>
                    </w:rPr>
                    <w:t>0.01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r>
            <w:tr w14:paraId="181F00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49" w:hRule="atLeast"/>
                <w:jc w:val="center"/>
              </w:trPr>
              <w:tc>
                <w:tcPr>
                  <w:tcW w:w="452" w:type="dxa"/>
                  <w:tcBorders>
                    <w:tl2br w:val="nil"/>
                    <w:tr2bl w:val="nil"/>
                  </w:tcBorders>
                  <w:vAlign w:val="center"/>
                </w:tcPr>
                <w:p w14:paraId="33ECFA82">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13</w:t>
                  </w:r>
                </w:p>
              </w:tc>
              <w:tc>
                <w:tcPr>
                  <w:tcW w:w="2378" w:type="dxa"/>
                  <w:tcBorders>
                    <w:tl2br w:val="nil"/>
                    <w:tr2bl w:val="nil"/>
                  </w:tcBorders>
                  <w:vAlign w:val="center"/>
                </w:tcPr>
                <w:p w14:paraId="3352C811">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氟F</w:t>
                  </w:r>
                </w:p>
              </w:tc>
              <w:tc>
                <w:tcPr>
                  <w:tcW w:w="1225" w:type="dxa"/>
                  <w:tcBorders>
                    <w:tl2br w:val="nil"/>
                    <w:tr2bl w:val="nil"/>
                  </w:tcBorders>
                  <w:vAlign w:val="center"/>
                </w:tcPr>
                <w:p w14:paraId="22956C9A">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hint="eastAsia" w:ascii="Times New Roman" w:hAnsi="Times New Roman" w:eastAsia="宋体" w:cs="Times New Roman"/>
                      <w:color w:val="auto"/>
                      <w:highlight w:val="none"/>
                      <w:lang w:val="en-US" w:eastAsia="zh-CN"/>
                    </w:rPr>
                    <w:t>1.87</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1130E7FA">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28</w:t>
                  </w:r>
                </w:p>
              </w:tc>
              <w:tc>
                <w:tcPr>
                  <w:tcW w:w="2044" w:type="dxa"/>
                  <w:tcBorders>
                    <w:tl2br w:val="nil"/>
                    <w:tr2bl w:val="nil"/>
                  </w:tcBorders>
                  <w:shd w:val="clear" w:color="auto" w:fill="auto"/>
                  <w:vAlign w:val="center"/>
                </w:tcPr>
                <w:p w14:paraId="46636655">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一氧化钴CoO</w:t>
                  </w:r>
                </w:p>
              </w:tc>
              <w:tc>
                <w:tcPr>
                  <w:tcW w:w="1381" w:type="dxa"/>
                  <w:tcBorders>
                    <w:tl2br w:val="nil"/>
                    <w:tr2bl w:val="nil"/>
                  </w:tcBorders>
                  <w:shd w:val="clear" w:color="auto" w:fill="auto"/>
                  <w:vAlign w:val="center"/>
                </w:tcPr>
                <w:p w14:paraId="3C3C008F">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&lt;0</w:t>
                  </w:r>
                  <w:r>
                    <w:rPr>
                      <w:rFonts w:hint="eastAsia" w:ascii="Times New Roman" w:hAnsi="Times New Roman" w:eastAsia="宋体" w:cs="Times New Roman"/>
                      <w:color w:val="auto"/>
                      <w:highlight w:val="none"/>
                      <w:lang w:val="en-US" w:eastAsia="zh-CN"/>
                    </w:rPr>
                    <w:t>.</w:t>
                  </w:r>
                  <w:r>
                    <w:rPr>
                      <w:rFonts w:ascii="Times New Roman" w:hAnsi="Times New Roman" w:eastAsia="宋体" w:cs="Times New Roman"/>
                      <w:color w:val="auto"/>
                      <w:highlight w:val="none"/>
                    </w:rPr>
                    <w:t>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rPr>
                    <w:t>）</w:t>
                  </w:r>
                </w:p>
              </w:tc>
            </w:tr>
            <w:tr w14:paraId="67FA1BF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60" w:hRule="atLeast"/>
                <w:jc w:val="center"/>
              </w:trPr>
              <w:tc>
                <w:tcPr>
                  <w:tcW w:w="452" w:type="dxa"/>
                  <w:tcBorders>
                    <w:tl2br w:val="nil"/>
                    <w:tr2bl w:val="nil"/>
                  </w:tcBorders>
                  <w:vAlign w:val="center"/>
                </w:tcPr>
                <w:p w14:paraId="34ADEA36">
                  <w:pPr>
                    <w:pStyle w:val="110"/>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ascii="Times New Roman" w:hAnsi="Times New Roman" w:eastAsia="宋体" w:cs="Times New Roman"/>
                      <w:color w:val="auto"/>
                      <w:highlight w:val="none"/>
                    </w:rPr>
                  </w:pPr>
                  <w:r>
                    <w:rPr>
                      <w:rFonts w:ascii="Times New Roman" w:hAnsi="Times New Roman" w:eastAsia="宋体" w:cs="Times New Roman"/>
                      <w:color w:val="auto"/>
                      <w:highlight w:val="none"/>
                    </w:rPr>
                    <w:t>14</w:t>
                  </w:r>
                </w:p>
              </w:tc>
              <w:tc>
                <w:tcPr>
                  <w:tcW w:w="2378" w:type="dxa"/>
                  <w:tcBorders>
                    <w:tl2br w:val="nil"/>
                    <w:tr2bl w:val="nil"/>
                  </w:tcBorders>
                  <w:shd w:val="clear" w:color="auto" w:fill="auto"/>
                  <w:vAlign w:val="center"/>
                </w:tcPr>
                <w:p w14:paraId="1F97DEDC">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氧化</w:t>
                  </w:r>
                  <w:r>
                    <w:rPr>
                      <w:rFonts w:ascii="Times New Roman" w:hAnsi="Times New Roman" w:eastAsia="宋体" w:cs="Times New Roman"/>
                      <w:color w:val="auto"/>
                      <w:highlight w:val="none"/>
                    </w:rPr>
                    <w:t>铍Be</w:t>
                  </w:r>
                  <w:r>
                    <w:rPr>
                      <w:rFonts w:hint="eastAsia" w:ascii="Times New Roman" w:hAnsi="Times New Roman" w:eastAsia="宋体" w:cs="Times New Roman"/>
                      <w:color w:val="auto"/>
                      <w:highlight w:val="none"/>
                      <w:lang w:val="en-US" w:eastAsia="zh-CN"/>
                    </w:rPr>
                    <w:t>O</w:t>
                  </w:r>
                </w:p>
              </w:tc>
              <w:tc>
                <w:tcPr>
                  <w:tcW w:w="1225" w:type="dxa"/>
                  <w:tcBorders>
                    <w:tl2br w:val="nil"/>
                    <w:tr2bl w:val="nil"/>
                  </w:tcBorders>
                  <w:shd w:val="clear" w:color="auto" w:fill="auto"/>
                  <w:vAlign w:val="center"/>
                </w:tcPr>
                <w:p w14:paraId="366BB017">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highlight w:val="none"/>
                      <w:lang w:eastAsia="zh-CN"/>
                    </w:rPr>
                    <w:t>＜</w:t>
                  </w:r>
                  <w:r>
                    <w:rPr>
                      <w:rFonts w:hint="eastAsia" w:cs="Times New Roman"/>
                      <w:color w:val="auto"/>
                      <w:highlight w:val="none"/>
                      <w:lang w:val="en-US" w:eastAsia="zh-CN"/>
                    </w:rPr>
                    <w:t>0.01</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46E3C560">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kern w:val="2"/>
                      <w:sz w:val="21"/>
                      <w:szCs w:val="24"/>
                      <w:highlight w:val="none"/>
                      <w:lang w:val="en-US" w:eastAsia="zh-CN" w:bidi="ar-SA"/>
                    </w:rPr>
                    <w:t>29</w:t>
                  </w:r>
                </w:p>
              </w:tc>
              <w:tc>
                <w:tcPr>
                  <w:tcW w:w="2044" w:type="dxa"/>
                  <w:tcBorders>
                    <w:tl2br w:val="nil"/>
                    <w:tr2bl w:val="nil"/>
                  </w:tcBorders>
                  <w:shd w:val="clear" w:color="auto" w:fill="auto"/>
                  <w:vAlign w:val="center"/>
                </w:tcPr>
                <w:p w14:paraId="46F80D5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
                      <w:sz w:val="21"/>
                      <w:szCs w:val="24"/>
                      <w:highlight w:val="none"/>
                      <w:lang w:val="en-US" w:eastAsia="zh-CN" w:bidi="ar-SA"/>
                    </w:rPr>
                  </w:pPr>
                  <w:r>
                    <w:rPr>
                      <w:rFonts w:hint="eastAsia" w:cs="Times New Roman"/>
                      <w:color w:val="FF0000"/>
                      <w:kern w:val="2"/>
                      <w:sz w:val="21"/>
                      <w:szCs w:val="24"/>
                      <w:highlight w:val="none"/>
                      <w:lang w:val="en-US" w:eastAsia="zh-CN" w:bidi="ar-SA"/>
                    </w:rPr>
                    <w:t>水溶性盐</w:t>
                  </w:r>
                </w:p>
              </w:tc>
              <w:tc>
                <w:tcPr>
                  <w:tcW w:w="1381" w:type="dxa"/>
                  <w:tcBorders>
                    <w:tl2br w:val="nil"/>
                    <w:tr2bl w:val="nil"/>
                  </w:tcBorders>
                  <w:shd w:val="clear" w:color="auto" w:fill="auto"/>
                  <w:vAlign w:val="center"/>
                </w:tcPr>
                <w:p w14:paraId="7A16E6AC">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FF0000"/>
                      <w:kern w:val="2"/>
                      <w:sz w:val="21"/>
                      <w:szCs w:val="24"/>
                      <w:highlight w:val="none"/>
                      <w:lang w:val="en-US" w:eastAsia="zh-CN" w:bidi="ar-SA"/>
                    </w:rPr>
                  </w:pPr>
                  <w:r>
                    <w:rPr>
                      <w:rFonts w:hint="eastAsia" w:cs="Times New Roman"/>
                      <w:color w:val="FF0000"/>
                      <w:kern w:val="2"/>
                      <w:sz w:val="21"/>
                      <w:szCs w:val="24"/>
                      <w:highlight w:val="none"/>
                      <w:lang w:val="en-US" w:eastAsia="zh-CN" w:bidi="ar-SA"/>
                    </w:rPr>
                    <w:t>27.8（g/kg）</w:t>
                  </w:r>
                </w:p>
              </w:tc>
            </w:tr>
            <w:tr w14:paraId="7F4D92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160" w:hRule="atLeast"/>
                <w:jc w:val="center"/>
              </w:trPr>
              <w:tc>
                <w:tcPr>
                  <w:tcW w:w="452" w:type="dxa"/>
                  <w:tcBorders>
                    <w:tl2br w:val="nil"/>
                    <w:tr2bl w:val="nil"/>
                  </w:tcBorders>
                  <w:shd w:val="clear" w:color="auto" w:fill="auto"/>
                  <w:vAlign w:val="center"/>
                </w:tcPr>
                <w:p w14:paraId="54BF3BF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15</w:t>
                  </w:r>
                </w:p>
              </w:tc>
              <w:tc>
                <w:tcPr>
                  <w:tcW w:w="2378" w:type="dxa"/>
                  <w:tcBorders>
                    <w:tl2br w:val="nil"/>
                    <w:tr2bl w:val="nil"/>
                  </w:tcBorders>
                  <w:shd w:val="clear" w:color="auto" w:fill="auto"/>
                  <w:vAlign w:val="center"/>
                </w:tcPr>
                <w:p w14:paraId="5C71390D">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ascii="Times New Roman" w:hAnsi="Times New Roman" w:eastAsia="宋体" w:cs="Times New Roman"/>
                      <w:color w:val="auto"/>
                      <w:highlight w:val="none"/>
                    </w:rPr>
                    <w:t>氧化锂Li</w:t>
                  </w:r>
                  <w:r>
                    <w:rPr>
                      <w:rFonts w:hint="eastAsia" w:ascii="Times New Roman" w:hAnsi="Times New Roman" w:eastAsia="宋体" w:cs="Times New Roman"/>
                      <w:color w:val="auto"/>
                      <w:highlight w:val="none"/>
                      <w:vertAlign w:val="subscript"/>
                    </w:rPr>
                    <w:t>2</w:t>
                  </w:r>
                  <w:r>
                    <w:rPr>
                      <w:rFonts w:ascii="Times New Roman" w:hAnsi="Times New Roman" w:eastAsia="宋体" w:cs="Times New Roman"/>
                      <w:color w:val="auto"/>
                      <w:highlight w:val="none"/>
                    </w:rPr>
                    <w:t>O</w:t>
                  </w:r>
                </w:p>
              </w:tc>
              <w:tc>
                <w:tcPr>
                  <w:tcW w:w="1225" w:type="dxa"/>
                  <w:tcBorders>
                    <w:tl2br w:val="nil"/>
                    <w:tr2bl w:val="nil"/>
                  </w:tcBorders>
                  <w:shd w:val="clear" w:color="auto" w:fill="auto"/>
                  <w:vAlign w:val="center"/>
                </w:tcPr>
                <w:p w14:paraId="5AA4A25B">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highlight w:val="none"/>
                      <w:lang w:val="en-US" w:eastAsia="zh-CN"/>
                    </w:rPr>
                    <w:t>0.3</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w:t>
                  </w:r>
                  <w:r>
                    <w:rPr>
                      <w:rFonts w:hint="eastAsia" w:ascii="Times New Roman" w:hAnsi="Times New Roman" w:eastAsia="宋体" w:cs="Times New Roman"/>
                      <w:color w:val="auto"/>
                      <w:highlight w:val="none"/>
                      <w:lang w:eastAsia="zh-CN"/>
                    </w:rPr>
                    <w:t>）</w:t>
                  </w:r>
                </w:p>
              </w:tc>
              <w:tc>
                <w:tcPr>
                  <w:tcW w:w="600" w:type="dxa"/>
                  <w:tcBorders>
                    <w:tl2br w:val="nil"/>
                    <w:tr2bl w:val="nil"/>
                  </w:tcBorders>
                  <w:shd w:val="clear" w:color="auto" w:fill="auto"/>
                  <w:vAlign w:val="center"/>
                </w:tcPr>
                <w:p w14:paraId="42E36C27">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highlight w:val="none"/>
                    </w:rPr>
                  </w:pPr>
                </w:p>
              </w:tc>
              <w:tc>
                <w:tcPr>
                  <w:tcW w:w="2044" w:type="dxa"/>
                  <w:tcBorders>
                    <w:tl2br w:val="nil"/>
                    <w:tr2bl w:val="nil"/>
                  </w:tcBorders>
                  <w:shd w:val="clear" w:color="auto" w:fill="auto"/>
                  <w:vAlign w:val="center"/>
                </w:tcPr>
                <w:p w14:paraId="5BF3F2FE">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Times New Roman" w:hAnsi="Times New Roman" w:eastAsia="宋体" w:cs="Times New Roman"/>
                      <w:color w:val="auto"/>
                      <w:highlight w:val="none"/>
                      <w:lang w:val="en-US" w:eastAsia="zh-CN"/>
                    </w:rPr>
                  </w:pPr>
                </w:p>
              </w:tc>
              <w:tc>
                <w:tcPr>
                  <w:tcW w:w="1381" w:type="dxa"/>
                  <w:tcBorders>
                    <w:tl2br w:val="nil"/>
                    <w:tr2bl w:val="nil"/>
                  </w:tcBorders>
                  <w:shd w:val="clear" w:color="auto" w:fill="auto"/>
                  <w:vAlign w:val="center"/>
                </w:tcPr>
                <w:p w14:paraId="40FE731E">
                  <w:pPr>
                    <w:pStyle w:val="110"/>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Times New Roman" w:hAnsi="Times New Roman" w:eastAsia="宋体" w:cs="Times New Roman"/>
                      <w:color w:val="auto"/>
                      <w:highlight w:val="none"/>
                    </w:rPr>
                  </w:pPr>
                </w:p>
              </w:tc>
            </w:tr>
          </w:tbl>
          <w:p w14:paraId="586F82A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粉煤灰：是燃煤电厂产生的细颗粒固体废弃物，主要由硅、铝、铁、钙等氧化物组成，呈灰褐色粉末状，粒径通常在1-100微米之间，具有多孔结构和较大的比表面积。其化学性质取决于煤源和燃烧条件，主要成分为SiO</w:t>
            </w:r>
            <w:r>
              <w:rPr>
                <w:rFonts w:hint="default"/>
                <w:color w:val="auto"/>
                <w:highlight w:val="none"/>
                <w:vertAlign w:val="subscript"/>
                <w:lang w:val="en-US" w:eastAsia="zh-CN"/>
              </w:rPr>
              <w:t>2</w:t>
            </w:r>
            <w:r>
              <w:rPr>
                <w:rFonts w:hint="default"/>
                <w:color w:val="auto"/>
                <w:highlight w:val="none"/>
                <w:lang w:val="en-US" w:eastAsia="zh-CN"/>
              </w:rPr>
              <w:t>（40%-60%）、Al</w:t>
            </w:r>
            <w:r>
              <w:rPr>
                <w:rFonts w:hint="default"/>
                <w:color w:val="auto"/>
                <w:highlight w:val="none"/>
                <w:vertAlign w:val="subscript"/>
                <w:lang w:val="en-US" w:eastAsia="zh-CN"/>
              </w:rPr>
              <w:t>2</w:t>
            </w:r>
            <w:r>
              <w:rPr>
                <w:rFonts w:hint="default"/>
                <w:color w:val="auto"/>
                <w:highlight w:val="none"/>
                <w:lang w:val="en-US" w:eastAsia="zh-CN"/>
              </w:rPr>
              <w:t>O</w:t>
            </w:r>
            <w:r>
              <w:rPr>
                <w:rFonts w:hint="default"/>
                <w:color w:val="auto"/>
                <w:highlight w:val="none"/>
                <w:vertAlign w:val="subscript"/>
                <w:lang w:val="en-US" w:eastAsia="zh-CN"/>
              </w:rPr>
              <w:t>3</w:t>
            </w:r>
            <w:r>
              <w:rPr>
                <w:rFonts w:hint="default"/>
                <w:color w:val="auto"/>
                <w:highlight w:val="none"/>
                <w:lang w:val="en-US" w:eastAsia="zh-CN"/>
              </w:rPr>
              <w:t>（20%-30%）和Fe</w:t>
            </w:r>
            <w:r>
              <w:rPr>
                <w:rFonts w:hint="default"/>
                <w:color w:val="auto"/>
                <w:highlight w:val="none"/>
                <w:vertAlign w:val="subscript"/>
                <w:lang w:val="en-US" w:eastAsia="zh-CN"/>
              </w:rPr>
              <w:t>2</w:t>
            </w:r>
            <w:r>
              <w:rPr>
                <w:rFonts w:hint="default"/>
                <w:color w:val="auto"/>
                <w:highlight w:val="none"/>
                <w:lang w:val="en-US" w:eastAsia="zh-CN"/>
              </w:rPr>
              <w:t>O</w:t>
            </w:r>
            <w:r>
              <w:rPr>
                <w:rFonts w:hint="default"/>
                <w:color w:val="auto"/>
                <w:highlight w:val="none"/>
                <w:vertAlign w:val="subscript"/>
                <w:lang w:val="en-US" w:eastAsia="zh-CN"/>
              </w:rPr>
              <w:t>3</w:t>
            </w:r>
            <w:r>
              <w:rPr>
                <w:rFonts w:hint="default"/>
                <w:color w:val="auto"/>
                <w:highlight w:val="none"/>
                <w:lang w:val="en-US" w:eastAsia="zh-CN"/>
              </w:rPr>
              <w:t>（5%-10%），并含有少量CaO、MgO、K</w:t>
            </w:r>
            <w:r>
              <w:rPr>
                <w:rFonts w:hint="default"/>
                <w:color w:val="auto"/>
                <w:highlight w:val="none"/>
                <w:vertAlign w:val="subscript"/>
                <w:lang w:val="en-US" w:eastAsia="zh-CN"/>
              </w:rPr>
              <w:t>2</w:t>
            </w:r>
            <w:r>
              <w:rPr>
                <w:rFonts w:hint="default"/>
                <w:color w:val="auto"/>
                <w:highlight w:val="none"/>
                <w:lang w:val="en-US" w:eastAsia="zh-CN"/>
              </w:rPr>
              <w:t>O、Na</w:t>
            </w:r>
            <w:r>
              <w:rPr>
                <w:rFonts w:hint="default"/>
                <w:color w:val="auto"/>
                <w:highlight w:val="none"/>
                <w:vertAlign w:val="subscript"/>
                <w:lang w:val="en-US" w:eastAsia="zh-CN"/>
              </w:rPr>
              <w:t>2</w:t>
            </w:r>
            <w:r>
              <w:rPr>
                <w:rFonts w:hint="default"/>
                <w:color w:val="auto"/>
                <w:highlight w:val="none"/>
                <w:lang w:val="en-US" w:eastAsia="zh-CN"/>
              </w:rPr>
              <w:t>O及未燃尽碳。粉煤灰具有火山灰活性，在碱性条件下能与氢氧化钙反应生成胶凝物质（如C-S-H凝胶），因此常被用作水泥掺合料或混凝土添加剂。</w:t>
            </w:r>
          </w:p>
          <w:p w14:paraId="50BC271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水泥：灰色粉末状物质，主要成分为硅酸钙、铝酸钙等，密度约3.1-3.2g/cm</w:t>
            </w:r>
            <w:r>
              <w:rPr>
                <w:rFonts w:hint="default" w:ascii="Times New Roman" w:hAnsi="Times New Roman" w:cs="Times New Roman"/>
                <w:color w:val="auto"/>
                <w:highlight w:val="none"/>
              </w:rPr>
              <w:t>³。</w:t>
            </w:r>
            <w:r>
              <w:rPr>
                <w:rFonts w:hint="default"/>
                <w:color w:val="auto"/>
                <w:highlight w:val="none"/>
              </w:rPr>
              <w:t>具有水硬性，与水反应后能凝结硬化。强碱性，pH值12-13。遇水放热，初凝时间约45-60分钟。无毒，但粉尘可刺激呼吸道和眼睛。在潮湿环境中会发生水化反应，固化后形成稳定的水泥石。</w:t>
            </w:r>
          </w:p>
          <w:p w14:paraId="17B85A7B">
            <w:pPr>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lang w:val="en-US" w:eastAsia="zh-CN"/>
              </w:rPr>
            </w:pPr>
            <w:r>
              <w:rPr>
                <w:rFonts w:hint="default"/>
                <w:color w:val="auto"/>
                <w:highlight w:val="none"/>
                <w:lang w:val="en-US" w:eastAsia="zh-CN"/>
              </w:rPr>
              <w:t>碎石：碎石是由天然岩石经破碎、筛分或自然风化形成的颗粒状矿物集合体，莫氏硬度3~7（取决于岩石类型），密度2.5~3.0g/cm</w:t>
            </w:r>
            <w:r>
              <w:rPr>
                <w:rFonts w:hint="default" w:ascii="Times New Roman" w:hAnsi="Times New Roman" w:cs="Times New Roman"/>
                <w:color w:val="auto"/>
                <w:highlight w:val="none"/>
                <w:lang w:val="en-US" w:eastAsia="zh-CN"/>
              </w:rPr>
              <w:t>³，耐压强度50~300MPa，化学稳定性较高（硅酸盐类石子耐酸碱性优于碳酸盐类），吸水率通常低于2%，热稳定性良好（可耐受300℃以上温度）。石子表面粗糙，具有较强机械咬合力和抗磨损性，广泛用于建筑、道路等工程领域，其放射性及重金属含量需符合建材环保标准。</w:t>
            </w:r>
          </w:p>
          <w:p w14:paraId="784794D7">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抑碱剂：抑碱剂是一类用于抑制或中和材料中碱性成分的功能性添加剂，其物理化学性质因组成不同而有所差异。物理性质上，通常表现为白色或浅色粉末（如磷酸盐、硅灰等）或液态（如有机酸溶液），具有可调控的细度（粉末粒径多在1-100μm）和一定的吸湿性。化学性质上，主要通过酸性组分（如磷酸根、硅酸根）或活性阴离子与碱性物质（如Na⁺、K⁺、OH⁻）发生中和反应、离子交换或形成稳定络合物，从而降低体系pH值或抑制碱-硅酸反应（ASR）。部分高效抑碱剂（如锂盐类）还能在材料中形成致密保护层，阻断碱性离子迁移。其作用效果受温度、掺量和材料体系影响显著，需通过优化配比实现最佳抑碱效果，广泛应用于水泥基材料、工业废渣处理等领域。本项目产品中使用抑碱剂以减少产品表面因碱过量而形成的白色物质。</w:t>
            </w:r>
          </w:p>
          <w:p w14:paraId="099CE68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固化剂：</w:t>
            </w:r>
            <w:r>
              <w:rPr>
                <w:rFonts w:hint="default"/>
                <w:color w:val="auto"/>
                <w:highlight w:val="none"/>
              </w:rPr>
              <w:t>呈粉末或液态</w:t>
            </w:r>
            <w:r>
              <w:rPr>
                <w:rFonts w:hint="default"/>
                <w:color w:val="auto"/>
                <w:highlight w:val="none"/>
                <w:lang w:eastAsia="zh-CN"/>
              </w:rPr>
              <w:t>（</w:t>
            </w:r>
            <w:r>
              <w:rPr>
                <w:rFonts w:hint="default"/>
                <w:color w:val="auto"/>
                <w:highlight w:val="none"/>
                <w:lang w:val="en-US" w:eastAsia="zh-CN"/>
              </w:rPr>
              <w:t>本项目使用粉末</w:t>
            </w:r>
            <w:r>
              <w:rPr>
                <w:rFonts w:hint="default"/>
                <w:color w:val="auto"/>
                <w:highlight w:val="none"/>
                <w:lang w:eastAsia="zh-CN"/>
              </w:rPr>
              <w:t>）</w:t>
            </w:r>
            <w:r>
              <w:rPr>
                <w:rFonts w:hint="default"/>
                <w:color w:val="auto"/>
                <w:highlight w:val="none"/>
              </w:rPr>
              <w:t>，易溶于水或分散于水泥浆体；化学组成多为硅酸盐、铝酸盐、硫酸盐（如</w:t>
            </w:r>
            <w:r>
              <w:rPr>
                <w:rStyle w:val="81"/>
                <w:rFonts w:hint="default" w:ascii="Times New Roman" w:hAnsi="Times New Roman" w:cs="Times New Roman"/>
                <w:bCs/>
                <w:color w:val="auto"/>
                <w:highlight w:val="none"/>
              </w:rPr>
              <w:t>Na₂SiO₃、CaCl₂）</w:t>
            </w:r>
            <w:r>
              <w:rPr>
                <w:rFonts w:hint="default"/>
                <w:color w:val="auto"/>
                <w:highlight w:val="none"/>
              </w:rPr>
              <w:t>或有机聚合物（如丙烯酸酯），能通过促进水化反应（加速CSH凝胶生成）或交联作用增强结构密实性；具有碱性（pH10~13）以匹配水泥环境，部分含氯盐类可能引锈需慎用；固化后产物具备耐水性、抗渗性，且热稳定性通常高于150℃。其掺量低（0.5%~5%），但可显著提升早期强度（1~3天强度提高20%~50%）或改善耐久性（如降低孔隙率）。</w:t>
            </w:r>
          </w:p>
          <w:p w14:paraId="524CD592">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螯合剂</w:t>
            </w:r>
            <w:r>
              <w:rPr>
                <w:rFonts w:hint="default"/>
                <w:color w:val="FF0000"/>
                <w:highlight w:val="none"/>
                <w:lang w:eastAsia="zh-CN"/>
              </w:rPr>
              <w:t>：</w:t>
            </w:r>
            <w:r>
              <w:rPr>
                <w:rFonts w:hint="default"/>
                <w:color w:val="FF0000"/>
                <w:highlight w:val="none"/>
              </w:rPr>
              <w:t>主要成分为碳、氧、氢直链配位体，呈中性环保无毒，无挥发性。螯合剂为专利技术，成分保密。螯合剂能与游离的铍、铊发生螯合反应，形成难溶解的铍络合物和铊络合物，从而使铊、铍稳定化。</w:t>
            </w:r>
          </w:p>
          <w:p w14:paraId="6D2F4ED4">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螯合剂原理：本项目利用螯合剂对</w:t>
            </w:r>
            <w:r>
              <w:rPr>
                <w:rFonts w:hint="eastAsia"/>
                <w:color w:val="FF0000"/>
                <w:highlight w:val="none"/>
                <w:lang w:eastAsia="zh-CN"/>
              </w:rPr>
              <w:t>锂渣</w:t>
            </w:r>
            <w:r>
              <w:rPr>
                <w:rFonts w:hint="default"/>
                <w:color w:val="FF0000"/>
                <w:highlight w:val="none"/>
              </w:rPr>
              <w:t>进行改性，其原理与飞灰螯合原理类似，螯合剂与水溶性的铊盐、铍盐发生螯合反应，形成难溶解的铍络合物和铊络合物沉淀，该络合物性质稳定，不易被溶解。</w:t>
            </w:r>
          </w:p>
          <w:p w14:paraId="04DB85CE">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Rx-+XTl</w:t>
            </w:r>
            <w:r>
              <w:rPr>
                <w:rFonts w:hint="default"/>
                <w:color w:val="FF0000"/>
                <w:highlight w:val="none"/>
                <w:vertAlign w:val="superscript"/>
              </w:rPr>
              <w:t>3+</w:t>
            </w:r>
            <w:r>
              <w:rPr>
                <w:rFonts w:hint="default"/>
                <w:color w:val="FF0000"/>
                <w:highlight w:val="none"/>
              </w:rPr>
              <w:t>→TlxR↓(R代表重金属捕捉剂的络合阴离子基团)</w:t>
            </w:r>
          </w:p>
          <w:p w14:paraId="2BF5FE4B">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Rx-+XBe</w:t>
            </w:r>
            <w:r>
              <w:rPr>
                <w:rFonts w:hint="default"/>
                <w:color w:val="FF0000"/>
                <w:highlight w:val="none"/>
                <w:vertAlign w:val="superscript"/>
              </w:rPr>
              <w:t>2+</w:t>
            </w:r>
            <w:r>
              <w:rPr>
                <w:rFonts w:hint="default"/>
                <w:color w:val="FF0000"/>
                <w:highlight w:val="none"/>
              </w:rPr>
              <w:t>→TlxBe↓(R代表重金属捕捉剂的络合阴离子基团)</w:t>
            </w:r>
          </w:p>
          <w:p w14:paraId="34AABFA9">
            <w:pPr>
              <w:keepNext w:val="0"/>
              <w:keepLines w:val="0"/>
              <w:suppressLineNumbers w:val="0"/>
              <w:bidi w:val="0"/>
              <w:spacing w:before="0" w:beforeAutospacing="0" w:after="0" w:afterAutospacing="0"/>
              <w:ind w:left="0" w:right="0"/>
              <w:rPr>
                <w:rFonts w:hint="default"/>
                <w:color w:val="FF0000"/>
                <w:highlight w:val="none"/>
                <w:lang w:val="en-US" w:eastAsia="zh-CN"/>
              </w:rPr>
            </w:pPr>
            <w:r>
              <w:rPr>
                <w:rFonts w:hint="default"/>
                <w:color w:val="FF0000"/>
                <w:highlight w:val="none"/>
              </w:rPr>
              <w:t>参照其他企业产生的浸出渣实验结果，具体如下</w:t>
            </w:r>
            <w:r>
              <w:rPr>
                <w:rFonts w:hint="default"/>
                <w:color w:val="FF0000"/>
                <w:highlight w:val="none"/>
                <w:lang w:val="en-US" w:eastAsia="zh-CN"/>
              </w:rPr>
              <w:t>表</w:t>
            </w:r>
          </w:p>
          <w:p w14:paraId="04713BC6">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浸出实验结果</w:t>
            </w:r>
          </w:p>
          <w:tbl>
            <w:tblPr>
              <w:tblStyle w:val="96"/>
              <w:tblW w:w="4999"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818"/>
              <w:gridCol w:w="1430"/>
              <w:gridCol w:w="1574"/>
              <w:gridCol w:w="1574"/>
              <w:gridCol w:w="1683"/>
            </w:tblGrid>
            <w:tr w14:paraId="70E86D7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1817" w:type="dxa"/>
                  <w:vMerge w:val="restart"/>
                  <w:tcBorders>
                    <w:tl2br w:val="nil"/>
                    <w:tr2bl w:val="nil"/>
                  </w:tcBorders>
                  <w:vAlign w:val="center"/>
                </w:tcPr>
                <w:p w14:paraId="6B64D2F2">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样品名称</w:t>
                  </w:r>
                </w:p>
              </w:tc>
              <w:tc>
                <w:tcPr>
                  <w:tcW w:w="1430" w:type="dxa"/>
                  <w:tcBorders>
                    <w:tl2br w:val="nil"/>
                    <w:tr2bl w:val="nil"/>
                  </w:tcBorders>
                  <w:vAlign w:val="center"/>
                </w:tcPr>
                <w:p w14:paraId="13CC9EDC">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氟化物</w:t>
                  </w:r>
                </w:p>
              </w:tc>
              <w:tc>
                <w:tcPr>
                  <w:tcW w:w="1573" w:type="dxa"/>
                  <w:tcBorders>
                    <w:tl2br w:val="nil"/>
                    <w:tr2bl w:val="nil"/>
                  </w:tcBorders>
                  <w:vAlign w:val="center"/>
                </w:tcPr>
                <w:p w14:paraId="4944B63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铍</w:t>
                  </w:r>
                </w:p>
              </w:tc>
              <w:tc>
                <w:tcPr>
                  <w:tcW w:w="1573" w:type="dxa"/>
                  <w:tcBorders>
                    <w:tl2br w:val="nil"/>
                    <w:tr2bl w:val="nil"/>
                  </w:tcBorders>
                  <w:vAlign w:val="center"/>
                </w:tcPr>
                <w:p w14:paraId="26C4558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铊</w:t>
                  </w:r>
                </w:p>
              </w:tc>
              <w:tc>
                <w:tcPr>
                  <w:tcW w:w="1682" w:type="dxa"/>
                  <w:tcBorders>
                    <w:tl2br w:val="nil"/>
                    <w:tr2bl w:val="nil"/>
                  </w:tcBorders>
                  <w:vAlign w:val="center"/>
                </w:tcPr>
                <w:p w14:paraId="1757B15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锰</w:t>
                  </w:r>
                </w:p>
              </w:tc>
            </w:tr>
            <w:tr w14:paraId="45893D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vMerge w:val="continue"/>
                  <w:tcBorders>
                    <w:tl2br w:val="nil"/>
                    <w:tr2bl w:val="nil"/>
                  </w:tcBorders>
                  <w:vAlign w:val="center"/>
                </w:tcPr>
                <w:p w14:paraId="6EBE6A1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p>
              </w:tc>
              <w:tc>
                <w:tcPr>
                  <w:tcW w:w="1430" w:type="dxa"/>
                  <w:tcBorders>
                    <w:tl2br w:val="nil"/>
                    <w:tr2bl w:val="nil"/>
                  </w:tcBorders>
                  <w:vAlign w:val="center"/>
                </w:tcPr>
                <w:p w14:paraId="6384948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mg/L</w:t>
                  </w:r>
                </w:p>
              </w:tc>
              <w:tc>
                <w:tcPr>
                  <w:tcW w:w="1573" w:type="dxa"/>
                  <w:tcBorders>
                    <w:tl2br w:val="nil"/>
                    <w:tr2bl w:val="nil"/>
                  </w:tcBorders>
                  <w:vAlign w:val="center"/>
                </w:tcPr>
                <w:p w14:paraId="1D99539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μg/L</w:t>
                  </w:r>
                </w:p>
              </w:tc>
              <w:tc>
                <w:tcPr>
                  <w:tcW w:w="1573" w:type="dxa"/>
                  <w:tcBorders>
                    <w:tl2br w:val="nil"/>
                    <w:tr2bl w:val="nil"/>
                  </w:tcBorders>
                  <w:vAlign w:val="center"/>
                </w:tcPr>
                <w:p w14:paraId="3D6F5307">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μg/L</w:t>
                  </w:r>
                </w:p>
              </w:tc>
              <w:tc>
                <w:tcPr>
                  <w:tcW w:w="1682" w:type="dxa"/>
                  <w:tcBorders>
                    <w:tl2br w:val="nil"/>
                    <w:tr2bl w:val="nil"/>
                  </w:tcBorders>
                  <w:vAlign w:val="center"/>
                </w:tcPr>
                <w:p w14:paraId="66A3187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μg/L</w:t>
                  </w:r>
                </w:p>
              </w:tc>
            </w:tr>
            <w:tr w14:paraId="49BACA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tcBorders>
                    <w:tl2br w:val="nil"/>
                    <w:tr2bl w:val="nil"/>
                  </w:tcBorders>
                  <w:vAlign w:val="center"/>
                </w:tcPr>
                <w:p w14:paraId="646FE44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锂渣（浸出渣）</w:t>
                  </w:r>
                </w:p>
              </w:tc>
              <w:tc>
                <w:tcPr>
                  <w:tcW w:w="1430" w:type="dxa"/>
                  <w:tcBorders>
                    <w:tl2br w:val="nil"/>
                    <w:tr2bl w:val="nil"/>
                  </w:tcBorders>
                  <w:vAlign w:val="center"/>
                </w:tcPr>
                <w:p w14:paraId="2B09DC98">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36</w:t>
                  </w:r>
                </w:p>
              </w:tc>
              <w:tc>
                <w:tcPr>
                  <w:tcW w:w="1573" w:type="dxa"/>
                  <w:tcBorders>
                    <w:tl2br w:val="nil"/>
                    <w:tr2bl w:val="nil"/>
                  </w:tcBorders>
                  <w:vAlign w:val="center"/>
                </w:tcPr>
                <w:p w14:paraId="6597DFC0">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1110</w:t>
                  </w:r>
                </w:p>
              </w:tc>
              <w:tc>
                <w:tcPr>
                  <w:tcW w:w="1573" w:type="dxa"/>
                  <w:tcBorders>
                    <w:tl2br w:val="nil"/>
                    <w:tr2bl w:val="nil"/>
                  </w:tcBorders>
                  <w:vAlign w:val="center"/>
                </w:tcPr>
                <w:p w14:paraId="78D4E42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4.2</w:t>
                  </w:r>
                </w:p>
              </w:tc>
              <w:tc>
                <w:tcPr>
                  <w:tcW w:w="1682" w:type="dxa"/>
                  <w:tcBorders>
                    <w:tl2br w:val="nil"/>
                    <w:tr2bl w:val="nil"/>
                  </w:tcBorders>
                  <w:vAlign w:val="center"/>
                </w:tcPr>
                <w:p w14:paraId="77EE2324">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8550</w:t>
                  </w:r>
                </w:p>
              </w:tc>
            </w:tr>
            <w:tr w14:paraId="185F2C9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5" w:hRule="atLeast"/>
                <w:jc w:val="center"/>
              </w:trPr>
              <w:tc>
                <w:tcPr>
                  <w:tcW w:w="1817" w:type="dxa"/>
                  <w:tcBorders>
                    <w:tl2br w:val="nil"/>
                    <w:tr2bl w:val="nil"/>
                  </w:tcBorders>
                  <w:vAlign w:val="center"/>
                </w:tcPr>
                <w:p w14:paraId="1B45DEB1">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免烧砖（实心砖）</w:t>
                  </w:r>
                </w:p>
              </w:tc>
              <w:tc>
                <w:tcPr>
                  <w:tcW w:w="1430" w:type="dxa"/>
                  <w:tcBorders>
                    <w:tl2br w:val="nil"/>
                    <w:tr2bl w:val="nil"/>
                  </w:tcBorders>
                  <w:vAlign w:val="center"/>
                </w:tcPr>
                <w:p w14:paraId="6F6C85BA">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8.7~ 19</w:t>
                  </w:r>
                </w:p>
              </w:tc>
              <w:tc>
                <w:tcPr>
                  <w:tcW w:w="1573" w:type="dxa"/>
                  <w:tcBorders>
                    <w:tl2br w:val="nil"/>
                    <w:tr2bl w:val="nil"/>
                  </w:tcBorders>
                  <w:vAlign w:val="center"/>
                </w:tcPr>
                <w:p w14:paraId="6704CCDD">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&lt;0.7</w:t>
                  </w:r>
                </w:p>
              </w:tc>
              <w:tc>
                <w:tcPr>
                  <w:tcW w:w="1573" w:type="dxa"/>
                  <w:tcBorders>
                    <w:tl2br w:val="nil"/>
                    <w:tr2bl w:val="nil"/>
                  </w:tcBorders>
                  <w:vAlign w:val="center"/>
                </w:tcPr>
                <w:p w14:paraId="44CC652B">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&lt;1.3</w:t>
                  </w:r>
                </w:p>
              </w:tc>
              <w:tc>
                <w:tcPr>
                  <w:tcW w:w="1682" w:type="dxa"/>
                  <w:tcBorders>
                    <w:tl2br w:val="nil"/>
                    <w:tr2bl w:val="nil"/>
                  </w:tcBorders>
                  <w:vAlign w:val="center"/>
                </w:tcPr>
                <w:p w14:paraId="2B091E4F">
                  <w:pPr>
                    <w:pStyle w:val="78"/>
                    <w:keepNext w:val="0"/>
                    <w:keepLines w:val="0"/>
                    <w:pageBreakBefore w:val="0"/>
                    <w:widowControl w:val="0"/>
                    <w:kinsoku/>
                    <w:wordWrap/>
                    <w:overflowPunct/>
                    <w:topLinePunct w:val="0"/>
                    <w:autoSpaceDE/>
                    <w:autoSpaceDN/>
                    <w:bidi w:val="0"/>
                    <w:adjustRightInd w:val="0"/>
                    <w:snapToGrid w:val="0"/>
                    <w:spacing w:before="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&lt;3.6</w:t>
                  </w:r>
                </w:p>
              </w:tc>
            </w:tr>
          </w:tbl>
          <w:p w14:paraId="4E7C13B7">
            <w:pPr>
              <w:keepNext w:val="0"/>
              <w:keepLines w:val="0"/>
              <w:suppressLineNumbers w:val="0"/>
              <w:bidi w:val="0"/>
              <w:spacing w:before="0" w:beforeAutospacing="0" w:after="0" w:afterAutospacing="0"/>
              <w:ind w:left="0" w:right="0"/>
              <w:rPr>
                <w:rFonts w:hint="default"/>
                <w:color w:val="FF0000"/>
                <w:highlight w:val="none"/>
                <w:lang w:val="en-US" w:eastAsia="zh-CN"/>
              </w:rPr>
            </w:pPr>
            <w:r>
              <w:rPr>
                <w:rFonts w:hint="default"/>
                <w:color w:val="FF0000"/>
                <w:highlight w:val="none"/>
                <w:lang w:val="en-US" w:eastAsia="zh-CN"/>
              </w:rPr>
              <w:t>从上表可知，采用本项目</w:t>
            </w:r>
            <w:r>
              <w:rPr>
                <w:rFonts w:hint="default"/>
                <w:color w:val="FF0000"/>
                <w:highlight w:val="none"/>
              </w:rPr>
              <w:t>螯合剂</w:t>
            </w:r>
            <w:r>
              <w:rPr>
                <w:rFonts w:hint="default"/>
                <w:color w:val="FF0000"/>
                <w:highlight w:val="none"/>
                <w:lang w:val="en-US" w:eastAsia="zh-CN"/>
              </w:rPr>
              <w:t>改性后生产的免烧砖铊、铍、锰浸出浓度均低于检出限，改性效果较佳。</w:t>
            </w:r>
          </w:p>
          <w:p w14:paraId="3A1C5487">
            <w:pPr>
              <w:keepNext w:val="0"/>
              <w:keepLines w:val="0"/>
              <w:suppressLineNumbers w:val="0"/>
              <w:bidi w:val="0"/>
              <w:spacing w:before="0" w:beforeAutospacing="0" w:after="0" w:afterAutospacing="0"/>
              <w:ind w:left="0" w:right="0"/>
              <w:rPr>
                <w:rFonts w:hint="default"/>
                <w:color w:val="FF0000"/>
                <w:highlight w:val="none"/>
                <w:lang w:val="en-US" w:eastAsia="zh-CN"/>
              </w:rPr>
            </w:pPr>
            <w:r>
              <w:rPr>
                <w:rFonts w:hint="default"/>
                <w:color w:val="FF0000"/>
                <w:highlight w:val="none"/>
                <w:lang w:val="en-US" w:eastAsia="zh-CN"/>
              </w:rPr>
              <w:t>对照《固体废物分类与代码目录》（生态环境部公告2024年第4号），本项目拟处置固废种类见下表。</w:t>
            </w:r>
          </w:p>
          <w:p w14:paraId="0B299D1F">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本项目拟处置固废种类一览表</w:t>
            </w:r>
          </w:p>
          <w:tbl>
            <w:tblPr>
              <w:tblStyle w:val="26"/>
              <w:tblW w:w="808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675"/>
              <w:gridCol w:w="1875"/>
              <w:gridCol w:w="1725"/>
              <w:gridCol w:w="2138"/>
            </w:tblGrid>
            <w:tr w14:paraId="2DC4B3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tcBorders>
                    <w:tl2br w:val="nil"/>
                    <w:tr2bl w:val="nil"/>
                  </w:tcBorders>
                  <w:vAlign w:val="center"/>
                </w:tcPr>
                <w:p w14:paraId="057E1C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lang w:val="en-US" w:eastAsia="zh-CN"/>
                    </w:rPr>
                    <w:t>序号</w:t>
                  </w:r>
                </w:p>
              </w:tc>
              <w:tc>
                <w:tcPr>
                  <w:tcW w:w="1675" w:type="dxa"/>
                  <w:tcBorders>
                    <w:tl2br w:val="nil"/>
                    <w:tr2bl w:val="nil"/>
                  </w:tcBorders>
                  <w:shd w:val="clear" w:color="auto" w:fill="auto"/>
                  <w:vAlign w:val="center"/>
                </w:tcPr>
                <w:p w14:paraId="2D503D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rPr>
                    <w:t>原辅料名称</w:t>
                  </w:r>
                </w:p>
              </w:tc>
              <w:tc>
                <w:tcPr>
                  <w:tcW w:w="1875" w:type="dxa"/>
                  <w:tcBorders>
                    <w:tl2br w:val="nil"/>
                    <w:tr2bl w:val="nil"/>
                  </w:tcBorders>
                  <w:shd w:val="clear" w:color="auto" w:fill="auto"/>
                  <w:vAlign w:val="center"/>
                </w:tcPr>
                <w:p w14:paraId="32BC0B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rPr>
                    <w:t>废物种类</w:t>
                  </w:r>
                </w:p>
              </w:tc>
              <w:tc>
                <w:tcPr>
                  <w:tcW w:w="1725" w:type="dxa"/>
                  <w:tcBorders>
                    <w:tl2br w:val="nil"/>
                    <w:tr2bl w:val="nil"/>
                  </w:tcBorders>
                  <w:shd w:val="clear" w:color="auto" w:fill="auto"/>
                  <w:vAlign w:val="center"/>
                </w:tcPr>
                <w:p w14:paraId="0B4498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rPr>
                    <w:t>行业来源</w:t>
                  </w:r>
                </w:p>
              </w:tc>
              <w:tc>
                <w:tcPr>
                  <w:tcW w:w="2138" w:type="dxa"/>
                  <w:tcBorders>
                    <w:tl2br w:val="nil"/>
                    <w:tr2bl w:val="nil"/>
                  </w:tcBorders>
                  <w:shd w:val="clear" w:color="auto" w:fill="auto"/>
                  <w:vAlign w:val="center"/>
                </w:tcPr>
                <w:p w14:paraId="18366D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FF0000"/>
                      <w:highlight w:val="none"/>
                      <w:lang w:val="en-US" w:eastAsia="zh-CN"/>
                    </w:rPr>
                  </w:pPr>
                  <w:r>
                    <w:rPr>
                      <w:rFonts w:hint="default" w:ascii="Times New Roman" w:hAnsi="Times New Roman" w:cs="Times New Roman"/>
                      <w:b/>
                      <w:bCs/>
                      <w:color w:val="FF0000"/>
                      <w:highlight w:val="none"/>
                    </w:rPr>
                    <w:t>废物代码</w:t>
                  </w:r>
                </w:p>
              </w:tc>
            </w:tr>
            <w:tr w14:paraId="63FD27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vMerge w:val="restart"/>
                  <w:tcBorders>
                    <w:tl2br w:val="nil"/>
                    <w:tr2bl w:val="nil"/>
                  </w:tcBorders>
                  <w:vAlign w:val="center"/>
                </w:tcPr>
                <w:p w14:paraId="1F4705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1</w:t>
                  </w:r>
                </w:p>
              </w:tc>
              <w:tc>
                <w:tcPr>
                  <w:tcW w:w="1675" w:type="dxa"/>
                  <w:vMerge w:val="restart"/>
                  <w:tcBorders>
                    <w:tl2br w:val="nil"/>
                    <w:tr2bl w:val="nil"/>
                  </w:tcBorders>
                  <w:vAlign w:val="center"/>
                </w:tcPr>
                <w:p w14:paraId="10FC14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lang w:val="en-US" w:eastAsia="zh-CN"/>
                    </w:rPr>
                    <w:t>工业固体废物</w:t>
                  </w:r>
                </w:p>
              </w:tc>
              <w:tc>
                <w:tcPr>
                  <w:tcW w:w="1875" w:type="dxa"/>
                  <w:tcBorders>
                    <w:tl2br w:val="nil"/>
                    <w:tr2bl w:val="nil"/>
                  </w:tcBorders>
                  <w:shd w:val="clear" w:color="auto" w:fill="auto"/>
                  <w:vAlign w:val="center"/>
                </w:tcPr>
                <w:p w14:paraId="172F98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SW0</w:t>
                  </w:r>
                  <w:r>
                    <w:rPr>
                      <w:rFonts w:hint="default" w:ascii="Times New Roman" w:hAnsi="Times New Roman" w:cs="Times New Roman"/>
                      <w:color w:val="FF0000"/>
                      <w:highlight w:val="none"/>
                      <w:lang w:val="en-US" w:eastAsia="zh-CN"/>
                    </w:rPr>
                    <w:t>1冶炼废渣</w:t>
                  </w:r>
                </w:p>
              </w:tc>
              <w:tc>
                <w:tcPr>
                  <w:tcW w:w="1725" w:type="dxa"/>
                  <w:tcBorders>
                    <w:tl2br w:val="nil"/>
                    <w:tr2bl w:val="nil"/>
                  </w:tcBorders>
                  <w:vAlign w:val="center"/>
                </w:tcPr>
                <w:p w14:paraId="275CE8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FF0000"/>
                      <w:highlight w:val="none"/>
                      <w:lang w:val="en-US" w:eastAsia="zh-CN"/>
                    </w:rPr>
                  </w:pPr>
                  <w:r>
                    <w:rPr>
                      <w:rFonts w:hint="default" w:ascii="Times New Roman" w:hAnsi="Times New Roman" w:cs="Times New Roman"/>
                      <w:color w:val="FF0000"/>
                      <w:highlight w:val="none"/>
                      <w:lang w:val="en-US" w:eastAsia="zh-CN"/>
                    </w:rPr>
                    <w:t>锂冶炼</w:t>
                  </w:r>
                </w:p>
              </w:tc>
              <w:tc>
                <w:tcPr>
                  <w:tcW w:w="2138" w:type="dxa"/>
                  <w:tcBorders>
                    <w:tl2br w:val="nil"/>
                    <w:tr2bl w:val="nil"/>
                  </w:tcBorders>
                  <w:vAlign w:val="center"/>
                </w:tcPr>
                <w:p w14:paraId="23CA61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rPr>
                  </w:pPr>
                  <w:r>
                    <w:rPr>
                      <w:rFonts w:hint="default" w:ascii="Times New Roman" w:hAnsi="Times New Roman" w:cs="Times New Roman"/>
                      <w:color w:val="FF0000"/>
                      <w:highlight w:val="none"/>
                    </w:rPr>
                    <w:t>900-099-S01</w:t>
                  </w:r>
                </w:p>
              </w:tc>
            </w:tr>
            <w:tr w14:paraId="55511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67" w:type="dxa"/>
                  <w:vMerge w:val="continue"/>
                  <w:tcBorders>
                    <w:tl2br w:val="nil"/>
                    <w:tr2bl w:val="nil"/>
                  </w:tcBorders>
                  <w:vAlign w:val="center"/>
                </w:tcPr>
                <w:p w14:paraId="725632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1675" w:type="dxa"/>
                  <w:vMerge w:val="continue"/>
                  <w:tcBorders>
                    <w:tl2br w:val="nil"/>
                    <w:tr2bl w:val="nil"/>
                  </w:tcBorders>
                  <w:vAlign w:val="center"/>
                </w:tcPr>
                <w:p w14:paraId="14A051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1875" w:type="dxa"/>
                  <w:vMerge w:val="restart"/>
                  <w:tcBorders>
                    <w:tl2br w:val="nil"/>
                    <w:tr2bl w:val="nil"/>
                  </w:tcBorders>
                  <w:shd w:val="clear" w:color="auto" w:fill="auto"/>
                  <w:vAlign w:val="center"/>
                </w:tcPr>
                <w:p w14:paraId="66BD21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SW02粉煤灰</w:t>
                  </w:r>
                </w:p>
              </w:tc>
              <w:tc>
                <w:tcPr>
                  <w:tcW w:w="1725" w:type="dxa"/>
                  <w:vMerge w:val="restart"/>
                  <w:tcBorders>
                    <w:tl2br w:val="nil"/>
                    <w:tr2bl w:val="nil"/>
                  </w:tcBorders>
                  <w:vAlign w:val="center"/>
                </w:tcPr>
                <w:p w14:paraId="2B30F5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非特定行业</w:t>
                  </w:r>
                </w:p>
              </w:tc>
              <w:tc>
                <w:tcPr>
                  <w:tcW w:w="2138" w:type="dxa"/>
                  <w:tcBorders>
                    <w:tl2br w:val="nil"/>
                    <w:tr2bl w:val="nil"/>
                  </w:tcBorders>
                  <w:vAlign w:val="center"/>
                </w:tcPr>
                <w:p w14:paraId="495810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900-001-S02</w:t>
                  </w:r>
                </w:p>
              </w:tc>
            </w:tr>
            <w:tr w14:paraId="020C23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667" w:type="dxa"/>
                  <w:vMerge w:val="continue"/>
                  <w:tcBorders>
                    <w:tl2br w:val="nil"/>
                    <w:tr2bl w:val="nil"/>
                  </w:tcBorders>
                  <w:vAlign w:val="center"/>
                </w:tcPr>
                <w:p w14:paraId="02D780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1675" w:type="dxa"/>
                  <w:vMerge w:val="continue"/>
                  <w:tcBorders>
                    <w:tl2br w:val="nil"/>
                    <w:tr2bl w:val="nil"/>
                  </w:tcBorders>
                  <w:vAlign w:val="center"/>
                </w:tcPr>
                <w:p w14:paraId="76F26B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1875" w:type="dxa"/>
                  <w:vMerge w:val="continue"/>
                  <w:tcBorders>
                    <w:tl2br w:val="nil"/>
                    <w:tr2bl w:val="nil"/>
                  </w:tcBorders>
                  <w:shd w:val="clear" w:color="auto" w:fill="auto"/>
                  <w:vAlign w:val="center"/>
                </w:tcPr>
                <w:p w14:paraId="3FD28A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1725" w:type="dxa"/>
                  <w:vMerge w:val="continue"/>
                  <w:tcBorders>
                    <w:tl2br w:val="nil"/>
                    <w:tr2bl w:val="nil"/>
                  </w:tcBorders>
                  <w:vAlign w:val="center"/>
                </w:tcPr>
                <w:p w14:paraId="68073D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p>
              </w:tc>
              <w:tc>
                <w:tcPr>
                  <w:tcW w:w="2138" w:type="dxa"/>
                  <w:tcBorders>
                    <w:tl2br w:val="nil"/>
                    <w:tr2bl w:val="nil"/>
                  </w:tcBorders>
                  <w:vAlign w:val="center"/>
                </w:tcPr>
                <w:p w14:paraId="0C1109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FF0000"/>
                      <w:highlight w:val="none"/>
                      <w:lang w:val="en-US" w:eastAsia="zh-CN"/>
                    </w:rPr>
                  </w:pPr>
                  <w:r>
                    <w:rPr>
                      <w:rFonts w:hint="default" w:ascii="Times New Roman" w:hAnsi="Times New Roman" w:cs="Times New Roman"/>
                      <w:color w:val="FF0000"/>
                      <w:highlight w:val="none"/>
                    </w:rPr>
                    <w:t>900-002-S02</w:t>
                  </w:r>
                </w:p>
              </w:tc>
            </w:tr>
          </w:tbl>
          <w:p w14:paraId="2E245C12">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6</w:t>
            </w:r>
            <w:r>
              <w:rPr>
                <w:rFonts w:hint="eastAsia"/>
                <w:b/>
                <w:bCs/>
                <w:color w:val="auto"/>
                <w:highlight w:val="none"/>
                <w:lang w:val="en-US" w:eastAsia="zh-CN"/>
              </w:rPr>
              <w:t>.3</w:t>
            </w:r>
            <w:r>
              <w:rPr>
                <w:rFonts w:hint="default"/>
                <w:b/>
                <w:bCs/>
                <w:color w:val="auto"/>
                <w:highlight w:val="none"/>
                <w:lang w:val="en-US" w:eastAsia="zh-CN"/>
              </w:rPr>
              <w:t>、</w:t>
            </w:r>
            <w:r>
              <w:rPr>
                <w:rFonts w:hint="eastAsia"/>
                <w:b/>
                <w:bCs/>
                <w:color w:val="auto"/>
                <w:highlight w:val="none"/>
                <w:lang w:val="en-US" w:eastAsia="zh-CN"/>
              </w:rPr>
              <w:t>锂渣</w:t>
            </w:r>
            <w:r>
              <w:rPr>
                <w:rFonts w:hint="default"/>
                <w:b/>
                <w:bCs/>
                <w:color w:val="auto"/>
                <w:highlight w:val="none"/>
                <w:lang w:val="en-US" w:eastAsia="zh-CN"/>
              </w:rPr>
              <w:t>入、出厂要求：</w:t>
            </w:r>
          </w:p>
          <w:p w14:paraId="273A24A5">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（1）本项目外购锂渣原料入厂控制要求</w:t>
            </w:r>
          </w:p>
          <w:p w14:paraId="049792E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①本项目使用</w:t>
            </w:r>
            <w:r>
              <w:rPr>
                <w:rFonts w:hint="eastAsia"/>
                <w:color w:val="auto"/>
                <w:highlight w:val="none"/>
                <w:lang w:eastAsia="zh-CN"/>
              </w:rPr>
              <w:t>锂渣</w:t>
            </w:r>
            <w:r>
              <w:rPr>
                <w:rFonts w:hint="default"/>
                <w:color w:val="auto"/>
                <w:highlight w:val="none"/>
              </w:rPr>
              <w:t>来源于</w:t>
            </w:r>
            <w:r>
              <w:rPr>
                <w:rFonts w:hint="eastAsia"/>
                <w:color w:val="auto"/>
                <w:highlight w:val="none"/>
                <w:lang w:eastAsia="zh-CN"/>
              </w:rPr>
              <w:t>宜丰国轩锂业有限公司</w:t>
            </w:r>
            <w:r>
              <w:rPr>
                <w:rFonts w:hint="default"/>
                <w:color w:val="auto"/>
                <w:highlight w:val="none"/>
              </w:rPr>
              <w:t>等</w:t>
            </w:r>
            <w:r>
              <w:rPr>
                <w:rFonts w:hint="eastAsia"/>
                <w:color w:val="auto"/>
                <w:highlight w:val="none"/>
                <w:lang w:val="en-US" w:eastAsia="zh-CN"/>
              </w:rPr>
              <w:t>单位鉴定为一般固废的锂渣，</w:t>
            </w:r>
            <w:r>
              <w:rPr>
                <w:rFonts w:hint="eastAsia"/>
                <w:color w:val="auto"/>
                <w:highlight w:val="none"/>
                <w:lang w:eastAsia="zh-CN"/>
              </w:rPr>
              <w:t>后续待建设单位现有项目</w:t>
            </w:r>
            <w:r>
              <w:rPr>
                <w:rFonts w:hint="eastAsia"/>
                <w:color w:val="auto"/>
                <w:highlight w:val="none"/>
                <w:lang w:val="en-US" w:eastAsia="zh-CN"/>
              </w:rPr>
              <w:t>固化尾渣</w:t>
            </w:r>
            <w:r>
              <w:rPr>
                <w:rFonts w:hint="eastAsia"/>
                <w:color w:val="auto"/>
                <w:highlight w:val="none"/>
                <w:lang w:eastAsia="zh-CN"/>
              </w:rPr>
              <w:t>（</w:t>
            </w:r>
            <w:r>
              <w:rPr>
                <w:rFonts w:hint="eastAsia"/>
                <w:color w:val="auto"/>
                <w:highlight w:val="none"/>
                <w:lang w:val="en-US" w:eastAsia="zh-CN"/>
              </w:rPr>
              <w:t>锂渣</w:t>
            </w:r>
            <w:r>
              <w:rPr>
                <w:rFonts w:hint="eastAsia"/>
                <w:color w:val="auto"/>
                <w:highlight w:val="none"/>
                <w:lang w:eastAsia="zh-CN"/>
              </w:rPr>
              <w:t>）鉴定结果若为一般固废后，可使用自产</w:t>
            </w:r>
            <w:r>
              <w:rPr>
                <w:rFonts w:hint="eastAsia"/>
                <w:color w:val="auto"/>
                <w:highlight w:val="none"/>
                <w:lang w:val="en-US" w:eastAsia="zh-CN"/>
              </w:rPr>
              <w:t>固化尾</w:t>
            </w:r>
            <w:r>
              <w:rPr>
                <w:rFonts w:hint="eastAsia"/>
                <w:color w:val="auto"/>
                <w:highlight w:val="none"/>
                <w:lang w:eastAsia="zh-CN"/>
              </w:rPr>
              <w:t>渣（</w:t>
            </w:r>
            <w:r>
              <w:rPr>
                <w:rFonts w:hint="eastAsia"/>
                <w:color w:val="auto"/>
                <w:highlight w:val="none"/>
                <w:lang w:val="en-US" w:eastAsia="zh-CN"/>
              </w:rPr>
              <w:t>锂渣</w:t>
            </w:r>
            <w:r>
              <w:rPr>
                <w:rFonts w:hint="eastAsia"/>
                <w:color w:val="auto"/>
                <w:highlight w:val="none"/>
                <w:lang w:eastAsia="zh-CN"/>
              </w:rPr>
              <w:t>）作为本项目原料进行生产。</w:t>
            </w:r>
            <w:r>
              <w:rPr>
                <w:rFonts w:hint="default"/>
                <w:color w:val="FF0000"/>
                <w:highlight w:val="none"/>
              </w:rPr>
              <w:t>本次环评以宜丰国轩锂业有限公司为典型企业，要求后续生产过程按照此要求严格原料入厂，</w:t>
            </w:r>
            <w:r>
              <w:rPr>
                <w:rFonts w:hint="default"/>
                <w:color w:val="FF0000"/>
                <w:highlight w:val="none"/>
                <w:lang w:val="en-US" w:eastAsia="zh-CN"/>
              </w:rPr>
              <w:t>供货方需提供危废鉴定报告及结论，不具有危险特性，不属于危险废物，属于一般工业固体废物</w:t>
            </w:r>
            <w:r>
              <w:rPr>
                <w:rFonts w:hint="default"/>
                <w:color w:val="auto"/>
                <w:highlight w:val="none"/>
                <w:lang w:val="en-US" w:eastAsia="zh-CN"/>
              </w:rPr>
              <w:t>，还需明确一般工业固体废物类型(第I类或第Ⅱ类一般工业固体废物)</w:t>
            </w:r>
            <w:r>
              <w:rPr>
                <w:rFonts w:hint="default"/>
                <w:color w:val="auto"/>
                <w:highlight w:val="none"/>
              </w:rPr>
              <w:t>后方可进场使用。</w:t>
            </w:r>
          </w:p>
          <w:p w14:paraId="50DB74D3">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②</w:t>
            </w:r>
            <w:r>
              <w:rPr>
                <w:rFonts w:hint="default"/>
                <w:color w:val="auto"/>
                <w:highlight w:val="none"/>
                <w:lang w:val="en-US" w:eastAsia="zh-CN"/>
              </w:rPr>
              <w:t>本项目要求建设单位定期对锂渣成分进行抽检，确保本项目外购的锂渣为第I（Ⅱ）类一般工业固废，若抽检出的来料成分不属于第I（Ⅱ）类一般工业固废（或为危险废物等），应立即停止生产，拒绝接收该批次来料，同一批次中已进厂的部分要求供应方联系处置单位合理合法处置，待来料锂渣抽检达到第I类一般工业固废要求后方可入厂，不得掺杂电解质、玻璃粉等任何含锂冶炼渣。</w:t>
            </w:r>
          </w:p>
          <w:p w14:paraId="7437EB2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③项目运行过程中，建设单位应要求原料供应商定期对浸出渣进行鉴别，并建立</w:t>
            </w:r>
            <w:r>
              <w:rPr>
                <w:rFonts w:hint="eastAsia"/>
                <w:color w:val="auto"/>
                <w:highlight w:val="none"/>
                <w:lang w:val="en-US" w:eastAsia="zh-CN"/>
              </w:rPr>
              <w:t>锂渣</w:t>
            </w:r>
            <w:r>
              <w:rPr>
                <w:rFonts w:hint="default"/>
                <w:color w:val="auto"/>
                <w:highlight w:val="none"/>
                <w:lang w:val="en-US" w:eastAsia="zh-CN"/>
              </w:rPr>
              <w:t>原料、利用后的</w:t>
            </w:r>
            <w:r>
              <w:rPr>
                <w:rFonts w:hint="eastAsia"/>
                <w:color w:val="auto"/>
                <w:highlight w:val="none"/>
                <w:lang w:val="en-US" w:eastAsia="zh-CN"/>
              </w:rPr>
              <w:t>锂渣</w:t>
            </w:r>
            <w:r>
              <w:rPr>
                <w:rFonts w:hint="default"/>
                <w:color w:val="auto"/>
                <w:highlight w:val="none"/>
                <w:lang w:val="en-US" w:eastAsia="zh-CN"/>
              </w:rPr>
              <w:t>、浸出渣管理台账，项目不得利用经鉴别属于危险废物的</w:t>
            </w:r>
            <w:r>
              <w:rPr>
                <w:rFonts w:hint="eastAsia"/>
                <w:color w:val="auto"/>
                <w:highlight w:val="none"/>
                <w:lang w:val="en-US" w:eastAsia="zh-CN"/>
              </w:rPr>
              <w:t>锂渣</w:t>
            </w:r>
            <w:r>
              <w:rPr>
                <w:rFonts w:hint="default"/>
                <w:color w:val="auto"/>
                <w:highlight w:val="none"/>
                <w:lang w:val="en-US" w:eastAsia="zh-CN"/>
              </w:rPr>
              <w:t>为原料。</w:t>
            </w:r>
          </w:p>
          <w:p w14:paraId="2242BAC7">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企业后期生产过程中根据实际情况进行原料检测。结合本项目原料成分实测数据（见附件</w:t>
            </w:r>
            <w:r>
              <w:rPr>
                <w:rFonts w:hint="eastAsia"/>
                <w:color w:val="auto"/>
                <w:highlight w:val="none"/>
                <w:lang w:val="en-US" w:eastAsia="zh-CN"/>
              </w:rPr>
              <w:t>6</w:t>
            </w:r>
            <w:r>
              <w:rPr>
                <w:rFonts w:hint="default"/>
                <w:color w:val="auto"/>
                <w:highlight w:val="none"/>
              </w:rPr>
              <w:t>）及建设单位生产经验，结合产品质量标准，提出原料</w:t>
            </w:r>
            <w:r>
              <w:rPr>
                <w:rFonts w:hint="default"/>
                <w:color w:val="auto"/>
                <w:highlight w:val="none"/>
                <w:lang w:val="en-US" w:eastAsia="zh-CN"/>
              </w:rPr>
              <w:t>入厂要求及浸出液成分控制要求，如下表所示。</w:t>
            </w:r>
          </w:p>
          <w:p w14:paraId="655C65AC">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入厂浸出液成分控制要求</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8"/>
              <w:gridCol w:w="2272"/>
              <w:gridCol w:w="2460"/>
              <w:gridCol w:w="2460"/>
            </w:tblGrid>
            <w:tr w14:paraId="67AE81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7DF03C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bookmarkStart w:id="91" w:name="_Toc22803"/>
                  <w:bookmarkStart w:id="92" w:name="_Toc19110"/>
                  <w:r>
                    <w:rPr>
                      <w:rFonts w:hint="eastAsia"/>
                      <w:b/>
                      <w:bCs/>
                      <w:color w:val="auto"/>
                      <w:sz w:val="21"/>
                      <w:szCs w:val="21"/>
                      <w:highlight w:val="none"/>
                      <w:lang w:val="en-US" w:eastAsia="zh-CN"/>
                    </w:rPr>
                    <w:t>序号</w:t>
                  </w:r>
                </w:p>
              </w:tc>
              <w:tc>
                <w:tcPr>
                  <w:tcW w:w="2272" w:type="dxa"/>
                  <w:tcBorders>
                    <w:tl2br w:val="nil"/>
                    <w:tr2bl w:val="nil"/>
                  </w:tcBorders>
                  <w:noWrap w:val="0"/>
                  <w:vAlign w:val="center"/>
                </w:tcPr>
                <w:p w14:paraId="1CCC54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sz w:val="21"/>
                      <w:szCs w:val="21"/>
                      <w:highlight w:val="none"/>
                      <w:lang w:eastAsia="zh-CN"/>
                    </w:rPr>
                  </w:pPr>
                  <w:r>
                    <w:rPr>
                      <w:rFonts w:hint="default"/>
                      <w:b/>
                      <w:bCs/>
                      <w:color w:val="auto"/>
                      <w:sz w:val="21"/>
                      <w:szCs w:val="21"/>
                      <w:highlight w:val="none"/>
                      <w:lang w:val="en-US" w:eastAsia="zh-CN"/>
                    </w:rPr>
                    <w:t>项目</w:t>
                  </w:r>
                </w:p>
              </w:tc>
              <w:tc>
                <w:tcPr>
                  <w:tcW w:w="2460" w:type="dxa"/>
                  <w:tcBorders>
                    <w:tl2br w:val="nil"/>
                    <w:tr2bl w:val="nil"/>
                  </w:tcBorders>
                  <w:noWrap w:val="0"/>
                  <w:vAlign w:val="center"/>
                </w:tcPr>
                <w:p w14:paraId="1ECB1A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sz w:val="21"/>
                      <w:szCs w:val="21"/>
                      <w:highlight w:val="none"/>
                      <w:lang w:eastAsia="zh-CN"/>
                    </w:rPr>
                  </w:pPr>
                  <w:r>
                    <w:rPr>
                      <w:rFonts w:hint="default"/>
                      <w:b/>
                      <w:bCs/>
                      <w:color w:val="auto"/>
                      <w:sz w:val="21"/>
                      <w:szCs w:val="21"/>
                      <w:highlight w:val="none"/>
                      <w:lang w:val="en-US" w:eastAsia="zh-CN"/>
                    </w:rPr>
                    <w:t>限值</w:t>
                  </w:r>
                </w:p>
              </w:tc>
              <w:tc>
                <w:tcPr>
                  <w:tcW w:w="2460" w:type="dxa"/>
                  <w:tcBorders>
                    <w:tl2br w:val="nil"/>
                    <w:tr2bl w:val="nil"/>
                  </w:tcBorders>
                  <w:noWrap w:val="0"/>
                  <w:vAlign w:val="center"/>
                </w:tcPr>
                <w:p w14:paraId="2854C7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依据</w:t>
                  </w:r>
                </w:p>
              </w:tc>
            </w:tr>
            <w:tr w14:paraId="5CB7AE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42B37A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w:t>
                  </w:r>
                </w:p>
              </w:tc>
              <w:tc>
                <w:tcPr>
                  <w:tcW w:w="2272" w:type="dxa"/>
                  <w:tcBorders>
                    <w:tl2br w:val="nil"/>
                    <w:tr2bl w:val="nil"/>
                  </w:tcBorders>
                  <w:noWrap w:val="0"/>
                  <w:vAlign w:val="center"/>
                </w:tcPr>
                <w:p w14:paraId="4D3054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水溶性盐</w:t>
                  </w:r>
                </w:p>
              </w:tc>
              <w:tc>
                <w:tcPr>
                  <w:tcW w:w="2460" w:type="dxa"/>
                  <w:tcBorders>
                    <w:tl2br w:val="nil"/>
                    <w:tr2bl w:val="nil"/>
                  </w:tcBorders>
                  <w:noWrap w:val="0"/>
                  <w:vAlign w:val="center"/>
                </w:tcPr>
                <w:p w14:paraId="36E1AE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&lt;5%</w:t>
                  </w:r>
                </w:p>
              </w:tc>
              <w:tc>
                <w:tcPr>
                  <w:tcW w:w="2460" w:type="dxa"/>
                  <w:vMerge w:val="restart"/>
                  <w:tcBorders>
                    <w:tl2br w:val="nil"/>
                    <w:tr2bl w:val="nil"/>
                  </w:tcBorders>
                  <w:noWrap w:val="0"/>
                  <w:vAlign w:val="center"/>
                </w:tcPr>
                <w:p w14:paraId="0A2C56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《公路路基工程利用锂渣技术规范（试行）》（DB36/T1968-2024）表1</w:t>
                  </w:r>
                </w:p>
              </w:tc>
            </w:tr>
            <w:tr w14:paraId="20D41B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70CED0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2</w:t>
                  </w:r>
                </w:p>
              </w:tc>
              <w:tc>
                <w:tcPr>
                  <w:tcW w:w="2272" w:type="dxa"/>
                  <w:tcBorders>
                    <w:tl2br w:val="nil"/>
                    <w:tr2bl w:val="nil"/>
                  </w:tcBorders>
                  <w:noWrap w:val="0"/>
                  <w:vAlign w:val="center"/>
                </w:tcPr>
                <w:p w14:paraId="4CF6D6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pH</w:t>
                  </w:r>
                </w:p>
              </w:tc>
              <w:tc>
                <w:tcPr>
                  <w:tcW w:w="2460" w:type="dxa"/>
                  <w:tcBorders>
                    <w:tl2br w:val="nil"/>
                    <w:tr2bl w:val="nil"/>
                  </w:tcBorders>
                  <w:noWrap w:val="0"/>
                  <w:vAlign w:val="center"/>
                </w:tcPr>
                <w:p w14:paraId="3E3D47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6~9</w:t>
                  </w:r>
                </w:p>
              </w:tc>
              <w:tc>
                <w:tcPr>
                  <w:tcW w:w="2460" w:type="dxa"/>
                  <w:vMerge w:val="continue"/>
                  <w:tcBorders>
                    <w:tl2br w:val="nil"/>
                    <w:tr2bl w:val="nil"/>
                  </w:tcBorders>
                  <w:noWrap w:val="0"/>
                  <w:vAlign w:val="center"/>
                </w:tcPr>
                <w:p w14:paraId="717282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0973EC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44FE25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3</w:t>
                  </w:r>
                </w:p>
              </w:tc>
              <w:tc>
                <w:tcPr>
                  <w:tcW w:w="2272" w:type="dxa"/>
                  <w:tcBorders>
                    <w:tl2br w:val="nil"/>
                    <w:tr2bl w:val="nil"/>
                  </w:tcBorders>
                  <w:noWrap w:val="0"/>
                  <w:vAlign w:val="center"/>
                </w:tcPr>
                <w:p w14:paraId="0ADDD4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总镍，mg/L</w:t>
                  </w:r>
                </w:p>
              </w:tc>
              <w:tc>
                <w:tcPr>
                  <w:tcW w:w="2460" w:type="dxa"/>
                  <w:tcBorders>
                    <w:tl2br w:val="nil"/>
                    <w:tr2bl w:val="nil"/>
                  </w:tcBorders>
                  <w:noWrap w:val="0"/>
                  <w:vAlign w:val="center"/>
                </w:tcPr>
                <w:p w14:paraId="6DAF1F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w:t>
                  </w:r>
                  <w:r>
                    <w:rPr>
                      <w:rFonts w:hint="default"/>
                      <w:color w:val="auto"/>
                      <w:sz w:val="21"/>
                      <w:szCs w:val="21"/>
                      <w:highlight w:val="none"/>
                      <w:lang w:val="en-US" w:eastAsia="zh-CN"/>
                    </w:rPr>
                    <w:t>1.0</w:t>
                  </w:r>
                </w:p>
              </w:tc>
              <w:tc>
                <w:tcPr>
                  <w:tcW w:w="2460" w:type="dxa"/>
                  <w:vMerge w:val="continue"/>
                  <w:tcBorders>
                    <w:tl2br w:val="nil"/>
                    <w:tr2bl w:val="nil"/>
                  </w:tcBorders>
                  <w:noWrap w:val="0"/>
                  <w:vAlign w:val="center"/>
                </w:tcPr>
                <w:p w14:paraId="058EF9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000C20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77E8B9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4</w:t>
                  </w:r>
                </w:p>
              </w:tc>
              <w:tc>
                <w:tcPr>
                  <w:tcW w:w="2272" w:type="dxa"/>
                  <w:tcBorders>
                    <w:tl2br w:val="nil"/>
                    <w:tr2bl w:val="nil"/>
                  </w:tcBorders>
                  <w:noWrap w:val="0"/>
                  <w:vAlign w:val="center"/>
                </w:tcPr>
                <w:p w14:paraId="0FFCB3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lang w:val="en-US" w:eastAsia="zh-CN"/>
                    </w:rPr>
                    <w:t>总铜，mg/L</w:t>
                  </w:r>
                </w:p>
              </w:tc>
              <w:tc>
                <w:tcPr>
                  <w:tcW w:w="2460" w:type="dxa"/>
                  <w:tcBorders>
                    <w:tl2br w:val="nil"/>
                    <w:tr2bl w:val="nil"/>
                  </w:tcBorders>
                  <w:noWrap w:val="0"/>
                  <w:vAlign w:val="center"/>
                </w:tcPr>
                <w:p w14:paraId="7F2387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0.5</w:t>
                  </w:r>
                </w:p>
              </w:tc>
              <w:tc>
                <w:tcPr>
                  <w:tcW w:w="2460" w:type="dxa"/>
                  <w:vMerge w:val="continue"/>
                  <w:tcBorders>
                    <w:tl2br w:val="nil"/>
                    <w:tr2bl w:val="nil"/>
                  </w:tcBorders>
                  <w:noWrap w:val="0"/>
                  <w:vAlign w:val="center"/>
                </w:tcPr>
                <w:p w14:paraId="2F3636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1560C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3738FA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5</w:t>
                  </w:r>
                </w:p>
              </w:tc>
              <w:tc>
                <w:tcPr>
                  <w:tcW w:w="2272" w:type="dxa"/>
                  <w:tcBorders>
                    <w:tl2br w:val="nil"/>
                    <w:tr2bl w:val="nil"/>
                  </w:tcBorders>
                  <w:noWrap w:val="0"/>
                  <w:vAlign w:val="center"/>
                </w:tcPr>
                <w:p w14:paraId="287B65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总锌，mg/L</w:t>
                  </w:r>
                </w:p>
              </w:tc>
              <w:tc>
                <w:tcPr>
                  <w:tcW w:w="2460" w:type="dxa"/>
                  <w:tcBorders>
                    <w:tl2br w:val="nil"/>
                    <w:tr2bl w:val="nil"/>
                  </w:tcBorders>
                  <w:noWrap w:val="0"/>
                  <w:vAlign w:val="center"/>
                </w:tcPr>
                <w:p w14:paraId="77212C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2.0</w:t>
                  </w:r>
                </w:p>
              </w:tc>
              <w:tc>
                <w:tcPr>
                  <w:tcW w:w="2460" w:type="dxa"/>
                  <w:vMerge w:val="continue"/>
                  <w:tcBorders>
                    <w:tl2br w:val="nil"/>
                    <w:tr2bl w:val="nil"/>
                  </w:tcBorders>
                  <w:noWrap w:val="0"/>
                  <w:vAlign w:val="center"/>
                </w:tcPr>
                <w:p w14:paraId="7D4B0A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1567A9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39A98A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6</w:t>
                  </w:r>
                </w:p>
              </w:tc>
              <w:tc>
                <w:tcPr>
                  <w:tcW w:w="2272" w:type="dxa"/>
                  <w:tcBorders>
                    <w:tl2br w:val="nil"/>
                    <w:tr2bl w:val="nil"/>
                  </w:tcBorders>
                  <w:noWrap w:val="0"/>
                  <w:vAlign w:val="center"/>
                </w:tcPr>
                <w:p w14:paraId="2F6FD0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总镉，mg/L</w:t>
                  </w:r>
                </w:p>
              </w:tc>
              <w:tc>
                <w:tcPr>
                  <w:tcW w:w="2460" w:type="dxa"/>
                  <w:tcBorders>
                    <w:tl2br w:val="nil"/>
                    <w:tr2bl w:val="nil"/>
                  </w:tcBorders>
                  <w:noWrap w:val="0"/>
                  <w:vAlign w:val="center"/>
                </w:tcPr>
                <w:p w14:paraId="45B4C4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0.1</w:t>
                  </w:r>
                </w:p>
              </w:tc>
              <w:tc>
                <w:tcPr>
                  <w:tcW w:w="2460" w:type="dxa"/>
                  <w:vMerge w:val="continue"/>
                  <w:tcBorders>
                    <w:tl2br w:val="nil"/>
                    <w:tr2bl w:val="nil"/>
                  </w:tcBorders>
                  <w:noWrap w:val="0"/>
                  <w:vAlign w:val="center"/>
                </w:tcPr>
                <w:p w14:paraId="26594C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220E03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289D90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7</w:t>
                  </w:r>
                </w:p>
              </w:tc>
              <w:tc>
                <w:tcPr>
                  <w:tcW w:w="2272" w:type="dxa"/>
                  <w:tcBorders>
                    <w:tl2br w:val="nil"/>
                    <w:tr2bl w:val="nil"/>
                  </w:tcBorders>
                  <w:noWrap w:val="0"/>
                  <w:vAlign w:val="center"/>
                </w:tcPr>
                <w:p w14:paraId="2D6B38D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总铅，mg/L</w:t>
                  </w:r>
                </w:p>
              </w:tc>
              <w:tc>
                <w:tcPr>
                  <w:tcW w:w="2460" w:type="dxa"/>
                  <w:tcBorders>
                    <w:tl2br w:val="nil"/>
                    <w:tr2bl w:val="nil"/>
                  </w:tcBorders>
                  <w:noWrap w:val="0"/>
                  <w:vAlign w:val="center"/>
                </w:tcPr>
                <w:p w14:paraId="2DD2CF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1.0</w:t>
                  </w:r>
                </w:p>
              </w:tc>
              <w:tc>
                <w:tcPr>
                  <w:tcW w:w="2460" w:type="dxa"/>
                  <w:vMerge w:val="continue"/>
                  <w:tcBorders>
                    <w:tl2br w:val="nil"/>
                    <w:tr2bl w:val="nil"/>
                  </w:tcBorders>
                  <w:noWrap w:val="0"/>
                  <w:vAlign w:val="center"/>
                </w:tcPr>
                <w:p w14:paraId="10B2C7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28D119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11C4D4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8</w:t>
                  </w:r>
                </w:p>
              </w:tc>
              <w:tc>
                <w:tcPr>
                  <w:tcW w:w="2272" w:type="dxa"/>
                  <w:tcBorders>
                    <w:tl2br w:val="nil"/>
                    <w:tr2bl w:val="nil"/>
                  </w:tcBorders>
                  <w:noWrap w:val="0"/>
                  <w:vAlign w:val="center"/>
                </w:tcPr>
                <w:p w14:paraId="7653F4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总铬，mg/L</w:t>
                  </w:r>
                </w:p>
              </w:tc>
              <w:tc>
                <w:tcPr>
                  <w:tcW w:w="2460" w:type="dxa"/>
                  <w:tcBorders>
                    <w:tl2br w:val="nil"/>
                    <w:tr2bl w:val="nil"/>
                  </w:tcBorders>
                  <w:noWrap w:val="0"/>
                  <w:vAlign w:val="center"/>
                </w:tcPr>
                <w:p w14:paraId="2F0621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1.5</w:t>
                  </w:r>
                </w:p>
              </w:tc>
              <w:tc>
                <w:tcPr>
                  <w:tcW w:w="2460" w:type="dxa"/>
                  <w:vMerge w:val="continue"/>
                  <w:tcBorders>
                    <w:tl2br w:val="nil"/>
                    <w:tr2bl w:val="nil"/>
                  </w:tcBorders>
                  <w:noWrap w:val="0"/>
                  <w:vAlign w:val="center"/>
                </w:tcPr>
                <w:p w14:paraId="11F4A3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rPr>
                  </w:pPr>
                </w:p>
              </w:tc>
            </w:tr>
            <w:tr w14:paraId="37A3FF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63E355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9</w:t>
                  </w:r>
                </w:p>
              </w:tc>
              <w:tc>
                <w:tcPr>
                  <w:tcW w:w="2272" w:type="dxa"/>
                  <w:tcBorders>
                    <w:tl2br w:val="nil"/>
                    <w:tr2bl w:val="nil"/>
                  </w:tcBorders>
                  <w:noWrap w:val="0"/>
                  <w:vAlign w:val="center"/>
                </w:tcPr>
                <w:p w14:paraId="376FB4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总锰，mg/L</w:t>
                  </w:r>
                </w:p>
              </w:tc>
              <w:tc>
                <w:tcPr>
                  <w:tcW w:w="2460" w:type="dxa"/>
                  <w:tcBorders>
                    <w:tl2br w:val="nil"/>
                    <w:tr2bl w:val="nil"/>
                  </w:tcBorders>
                  <w:noWrap w:val="0"/>
                  <w:vAlign w:val="center"/>
                </w:tcPr>
                <w:p w14:paraId="10C621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2.0</w:t>
                  </w:r>
                </w:p>
              </w:tc>
              <w:tc>
                <w:tcPr>
                  <w:tcW w:w="2460" w:type="dxa"/>
                  <w:vMerge w:val="continue"/>
                  <w:tcBorders>
                    <w:tl2br w:val="nil"/>
                    <w:tr2bl w:val="nil"/>
                  </w:tcBorders>
                  <w:noWrap w:val="0"/>
                  <w:vAlign w:val="center"/>
                </w:tcPr>
                <w:p w14:paraId="4B2851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6C46A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22F75E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10</w:t>
                  </w:r>
                </w:p>
              </w:tc>
              <w:tc>
                <w:tcPr>
                  <w:tcW w:w="2272" w:type="dxa"/>
                  <w:tcBorders>
                    <w:tl2br w:val="nil"/>
                    <w:tr2bl w:val="nil"/>
                  </w:tcBorders>
                  <w:noWrap w:val="0"/>
                  <w:vAlign w:val="center"/>
                </w:tcPr>
                <w:p w14:paraId="0426D1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总银，mg/L</w:t>
                  </w:r>
                </w:p>
              </w:tc>
              <w:tc>
                <w:tcPr>
                  <w:tcW w:w="2460" w:type="dxa"/>
                  <w:tcBorders>
                    <w:tl2br w:val="nil"/>
                    <w:tr2bl w:val="nil"/>
                  </w:tcBorders>
                  <w:noWrap w:val="0"/>
                  <w:vAlign w:val="center"/>
                </w:tcPr>
                <w:p w14:paraId="58A4A1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0.5</w:t>
                  </w:r>
                </w:p>
              </w:tc>
              <w:tc>
                <w:tcPr>
                  <w:tcW w:w="2460" w:type="dxa"/>
                  <w:vMerge w:val="continue"/>
                  <w:tcBorders>
                    <w:tl2br w:val="nil"/>
                    <w:tr2bl w:val="nil"/>
                  </w:tcBorders>
                  <w:noWrap w:val="0"/>
                  <w:vAlign w:val="center"/>
                </w:tcPr>
                <w:p w14:paraId="2E5496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rPr>
                  </w:pPr>
                </w:p>
              </w:tc>
            </w:tr>
            <w:tr w14:paraId="633F7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5D5AD1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11</w:t>
                  </w:r>
                </w:p>
              </w:tc>
              <w:tc>
                <w:tcPr>
                  <w:tcW w:w="2272" w:type="dxa"/>
                  <w:tcBorders>
                    <w:tl2br w:val="nil"/>
                    <w:tr2bl w:val="nil"/>
                  </w:tcBorders>
                  <w:noWrap w:val="0"/>
                  <w:vAlign w:val="center"/>
                </w:tcPr>
                <w:p w14:paraId="34B74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总铍，mg/L</w:t>
                  </w:r>
                </w:p>
              </w:tc>
              <w:tc>
                <w:tcPr>
                  <w:tcW w:w="2460" w:type="dxa"/>
                  <w:tcBorders>
                    <w:tl2br w:val="nil"/>
                    <w:tr2bl w:val="nil"/>
                  </w:tcBorders>
                  <w:noWrap w:val="0"/>
                  <w:vAlign w:val="center"/>
                </w:tcPr>
                <w:p w14:paraId="67298E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0.005</w:t>
                  </w:r>
                </w:p>
              </w:tc>
              <w:tc>
                <w:tcPr>
                  <w:tcW w:w="2460" w:type="dxa"/>
                  <w:vMerge w:val="continue"/>
                  <w:tcBorders>
                    <w:tl2br w:val="nil"/>
                    <w:tr2bl w:val="nil"/>
                  </w:tcBorders>
                  <w:noWrap w:val="0"/>
                  <w:vAlign w:val="center"/>
                </w:tcPr>
                <w:p w14:paraId="0F86BC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1E7078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4DCEF2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12</w:t>
                  </w:r>
                </w:p>
              </w:tc>
              <w:tc>
                <w:tcPr>
                  <w:tcW w:w="2272" w:type="dxa"/>
                  <w:tcBorders>
                    <w:tl2br w:val="nil"/>
                    <w:tr2bl w:val="nil"/>
                  </w:tcBorders>
                  <w:noWrap w:val="0"/>
                  <w:vAlign w:val="center"/>
                </w:tcPr>
                <w:p w14:paraId="4E568E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总铊，mg/L</w:t>
                  </w:r>
                </w:p>
              </w:tc>
              <w:tc>
                <w:tcPr>
                  <w:tcW w:w="2460" w:type="dxa"/>
                  <w:tcBorders>
                    <w:tl2br w:val="nil"/>
                    <w:tr2bl w:val="nil"/>
                  </w:tcBorders>
                  <w:noWrap w:val="0"/>
                  <w:vAlign w:val="center"/>
                </w:tcPr>
                <w:p w14:paraId="17ECFF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0.005</w:t>
                  </w:r>
                </w:p>
              </w:tc>
              <w:tc>
                <w:tcPr>
                  <w:tcW w:w="2460" w:type="dxa"/>
                  <w:vMerge w:val="continue"/>
                  <w:tcBorders>
                    <w:tl2br w:val="nil"/>
                    <w:tr2bl w:val="nil"/>
                  </w:tcBorders>
                  <w:noWrap w:val="0"/>
                  <w:vAlign w:val="center"/>
                </w:tcPr>
                <w:p w14:paraId="0C2E3E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646E0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7C7471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13</w:t>
                  </w:r>
                </w:p>
              </w:tc>
              <w:tc>
                <w:tcPr>
                  <w:tcW w:w="2272" w:type="dxa"/>
                  <w:tcBorders>
                    <w:tl2br w:val="nil"/>
                    <w:tr2bl w:val="nil"/>
                  </w:tcBorders>
                  <w:noWrap w:val="0"/>
                  <w:vAlign w:val="center"/>
                </w:tcPr>
                <w:p w14:paraId="4870E1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总汞，mg/L</w:t>
                  </w:r>
                </w:p>
              </w:tc>
              <w:tc>
                <w:tcPr>
                  <w:tcW w:w="2460" w:type="dxa"/>
                  <w:tcBorders>
                    <w:tl2br w:val="nil"/>
                    <w:tr2bl w:val="nil"/>
                  </w:tcBorders>
                  <w:noWrap w:val="0"/>
                  <w:vAlign w:val="center"/>
                </w:tcPr>
                <w:p w14:paraId="4981B6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0.05</w:t>
                  </w:r>
                </w:p>
              </w:tc>
              <w:tc>
                <w:tcPr>
                  <w:tcW w:w="2460" w:type="dxa"/>
                  <w:vMerge w:val="continue"/>
                  <w:tcBorders>
                    <w:tl2br w:val="nil"/>
                    <w:tr2bl w:val="nil"/>
                  </w:tcBorders>
                  <w:noWrap w:val="0"/>
                  <w:vAlign w:val="center"/>
                </w:tcPr>
                <w:p w14:paraId="281004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rPr>
                  </w:pPr>
                </w:p>
              </w:tc>
            </w:tr>
            <w:tr w14:paraId="1E53FA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5B26ED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14</w:t>
                  </w:r>
                </w:p>
              </w:tc>
              <w:tc>
                <w:tcPr>
                  <w:tcW w:w="2272" w:type="dxa"/>
                  <w:tcBorders>
                    <w:tl2br w:val="nil"/>
                    <w:tr2bl w:val="nil"/>
                  </w:tcBorders>
                  <w:noWrap w:val="0"/>
                  <w:vAlign w:val="center"/>
                </w:tcPr>
                <w:p w14:paraId="7D5490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氟化物，mg/L</w:t>
                  </w:r>
                </w:p>
              </w:tc>
              <w:tc>
                <w:tcPr>
                  <w:tcW w:w="2460" w:type="dxa"/>
                  <w:tcBorders>
                    <w:tl2br w:val="nil"/>
                    <w:tr2bl w:val="nil"/>
                  </w:tcBorders>
                  <w:noWrap w:val="0"/>
                  <w:vAlign w:val="center"/>
                </w:tcPr>
                <w:p w14:paraId="5B91D9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10</w:t>
                  </w:r>
                </w:p>
              </w:tc>
              <w:tc>
                <w:tcPr>
                  <w:tcW w:w="2460" w:type="dxa"/>
                  <w:vMerge w:val="continue"/>
                  <w:tcBorders>
                    <w:tl2br w:val="nil"/>
                    <w:tr2bl w:val="nil"/>
                  </w:tcBorders>
                  <w:noWrap w:val="0"/>
                  <w:vAlign w:val="center"/>
                </w:tcPr>
                <w:p w14:paraId="119D67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357AE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0B0166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15</w:t>
                  </w:r>
                </w:p>
              </w:tc>
              <w:tc>
                <w:tcPr>
                  <w:tcW w:w="2272" w:type="dxa"/>
                  <w:tcBorders>
                    <w:tl2br w:val="nil"/>
                    <w:tr2bl w:val="nil"/>
                  </w:tcBorders>
                  <w:noWrap w:val="0"/>
                  <w:vAlign w:val="center"/>
                </w:tcPr>
                <w:p w14:paraId="41C8F3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硫化物，mg/L</w:t>
                  </w:r>
                </w:p>
              </w:tc>
              <w:tc>
                <w:tcPr>
                  <w:tcW w:w="2460" w:type="dxa"/>
                  <w:tcBorders>
                    <w:tl2br w:val="nil"/>
                    <w:tr2bl w:val="nil"/>
                  </w:tcBorders>
                  <w:noWrap w:val="0"/>
                  <w:vAlign w:val="center"/>
                </w:tcPr>
                <w:p w14:paraId="2728D3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1.0</w:t>
                  </w:r>
                </w:p>
              </w:tc>
              <w:tc>
                <w:tcPr>
                  <w:tcW w:w="2460" w:type="dxa"/>
                  <w:vMerge w:val="continue"/>
                  <w:tcBorders>
                    <w:tl2br w:val="nil"/>
                    <w:tr2bl w:val="nil"/>
                  </w:tcBorders>
                  <w:noWrap w:val="0"/>
                  <w:vAlign w:val="center"/>
                </w:tcPr>
                <w:p w14:paraId="103B80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lang w:val="en-US" w:eastAsia="zh-CN"/>
                    </w:rPr>
                  </w:pPr>
                </w:p>
              </w:tc>
            </w:tr>
            <w:tr w14:paraId="7B72A7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88" w:type="dxa"/>
                  <w:tcBorders>
                    <w:tl2br w:val="nil"/>
                    <w:tr2bl w:val="nil"/>
                  </w:tcBorders>
                  <w:noWrap w:val="0"/>
                  <w:vAlign w:val="center"/>
                </w:tcPr>
                <w:p w14:paraId="0429F1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16</w:t>
                  </w:r>
                </w:p>
              </w:tc>
              <w:tc>
                <w:tcPr>
                  <w:tcW w:w="2272" w:type="dxa"/>
                  <w:tcBorders>
                    <w:tl2br w:val="nil"/>
                    <w:tr2bl w:val="nil"/>
                  </w:tcBorders>
                  <w:noWrap w:val="0"/>
                  <w:vAlign w:val="center"/>
                </w:tcPr>
                <w:p w14:paraId="49F743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总氰化物，mg/L</w:t>
                  </w:r>
                </w:p>
              </w:tc>
              <w:tc>
                <w:tcPr>
                  <w:tcW w:w="2460" w:type="dxa"/>
                  <w:tcBorders>
                    <w:tl2br w:val="nil"/>
                    <w:tr2bl w:val="nil"/>
                  </w:tcBorders>
                  <w:noWrap w:val="0"/>
                  <w:vAlign w:val="center"/>
                </w:tcPr>
                <w:p w14:paraId="3CDABE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w:t>
                  </w:r>
                  <w:r>
                    <w:rPr>
                      <w:rFonts w:hint="default"/>
                      <w:color w:val="auto"/>
                      <w:sz w:val="21"/>
                      <w:szCs w:val="21"/>
                      <w:highlight w:val="none"/>
                      <w:lang w:val="en-US" w:eastAsia="zh-CN"/>
                    </w:rPr>
                    <w:t>0.5</w:t>
                  </w:r>
                </w:p>
              </w:tc>
              <w:tc>
                <w:tcPr>
                  <w:tcW w:w="2460" w:type="dxa"/>
                  <w:vMerge w:val="continue"/>
                  <w:tcBorders>
                    <w:tl2br w:val="nil"/>
                    <w:tr2bl w:val="nil"/>
                  </w:tcBorders>
                  <w:noWrap w:val="0"/>
                  <w:vAlign w:val="center"/>
                </w:tcPr>
                <w:p w14:paraId="167D00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sz w:val="21"/>
                      <w:szCs w:val="21"/>
                      <w:highlight w:val="none"/>
                    </w:rPr>
                  </w:pPr>
                </w:p>
              </w:tc>
            </w:tr>
          </w:tbl>
          <w:p w14:paraId="616B5922">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项目原料质量要求</w:t>
            </w:r>
          </w:p>
          <w:tbl>
            <w:tblPr>
              <w:tblStyle w:val="96"/>
              <w:tblpPr w:vertAnchor="text" w:tblpXSpec="center" w:tblpY="1"/>
              <w:tblOverlap w:val="never"/>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1489"/>
              <w:gridCol w:w="2044"/>
              <w:gridCol w:w="2475"/>
              <w:gridCol w:w="2072"/>
            </w:tblGrid>
            <w:tr w14:paraId="718525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42CEFD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highlight w:val="none"/>
                    </w:rPr>
                  </w:pPr>
                  <w:r>
                    <w:rPr>
                      <w:rFonts w:hint="default"/>
                      <w:b/>
                      <w:bCs/>
                      <w:color w:val="auto"/>
                      <w:sz w:val="21"/>
                      <w:szCs w:val="21"/>
                      <w:highlight w:val="none"/>
                    </w:rPr>
                    <w:t>项目</w:t>
                  </w:r>
                </w:p>
              </w:tc>
              <w:tc>
                <w:tcPr>
                  <w:tcW w:w="2475" w:type="dxa"/>
                  <w:tcBorders>
                    <w:tl2br w:val="nil"/>
                    <w:tr2bl w:val="nil"/>
                  </w:tcBorders>
                  <w:vAlign w:val="center"/>
                </w:tcPr>
                <w:p w14:paraId="0E3361E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highlight w:val="none"/>
                    </w:rPr>
                  </w:pPr>
                  <w:r>
                    <w:rPr>
                      <w:rFonts w:hint="default"/>
                      <w:b/>
                      <w:bCs/>
                      <w:color w:val="auto"/>
                      <w:sz w:val="21"/>
                      <w:szCs w:val="21"/>
                      <w:highlight w:val="none"/>
                    </w:rPr>
                    <w:t>指标限值</w:t>
                  </w:r>
                </w:p>
              </w:tc>
              <w:tc>
                <w:tcPr>
                  <w:tcW w:w="2072" w:type="dxa"/>
                  <w:tcBorders>
                    <w:tl2br w:val="nil"/>
                    <w:tr2bl w:val="nil"/>
                  </w:tcBorders>
                  <w:vAlign w:val="center"/>
                </w:tcPr>
                <w:p w14:paraId="7A7485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b/>
                      <w:bCs/>
                      <w:color w:val="auto"/>
                      <w:sz w:val="21"/>
                      <w:szCs w:val="21"/>
                      <w:highlight w:val="none"/>
                    </w:rPr>
                  </w:pPr>
                  <w:r>
                    <w:rPr>
                      <w:rFonts w:hint="default"/>
                      <w:b/>
                      <w:bCs/>
                      <w:color w:val="auto"/>
                      <w:sz w:val="21"/>
                      <w:szCs w:val="21"/>
                      <w:highlight w:val="none"/>
                    </w:rPr>
                    <w:t>依据</w:t>
                  </w:r>
                </w:p>
              </w:tc>
            </w:tr>
            <w:tr w14:paraId="0D44D0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C42031F">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密度/（g/cm</w:t>
                  </w:r>
                  <w:r>
                    <w:rPr>
                      <w:rFonts w:hint="default"/>
                      <w:color w:val="auto"/>
                      <w:sz w:val="21"/>
                      <w:szCs w:val="21"/>
                      <w:highlight w:val="none"/>
                      <w:lang w:val="en-US" w:eastAsia="zh-CN"/>
                    </w:rPr>
                    <w:t>3</w:t>
                  </w:r>
                  <w:r>
                    <w:rPr>
                      <w:rFonts w:hint="default"/>
                      <w:color w:val="auto"/>
                      <w:sz w:val="21"/>
                      <w:szCs w:val="21"/>
                      <w:highlight w:val="none"/>
                    </w:rPr>
                    <w:t>)≥</w:t>
                  </w:r>
                </w:p>
              </w:tc>
              <w:tc>
                <w:tcPr>
                  <w:tcW w:w="2475" w:type="dxa"/>
                  <w:tcBorders>
                    <w:tl2br w:val="nil"/>
                    <w:tr2bl w:val="nil"/>
                  </w:tcBorders>
                  <w:vAlign w:val="center"/>
                </w:tcPr>
                <w:p w14:paraId="713754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2.8</w:t>
                  </w:r>
                </w:p>
              </w:tc>
              <w:tc>
                <w:tcPr>
                  <w:tcW w:w="2072" w:type="dxa"/>
                  <w:vMerge w:val="restart"/>
                  <w:tcBorders>
                    <w:tl2br w:val="nil"/>
                    <w:tr2bl w:val="nil"/>
                  </w:tcBorders>
                  <w:vAlign w:val="center"/>
                </w:tcPr>
                <w:p w14:paraId="3637BFFD">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《用于水泥和混凝土中的锂渣粉》（YB/T4230-2010）和</w:t>
                  </w:r>
                  <w:r>
                    <w:rPr>
                      <w:rFonts w:hint="default"/>
                      <w:color w:val="auto"/>
                      <w:sz w:val="21"/>
                      <w:szCs w:val="21"/>
                      <w:highlight w:val="none"/>
                      <w:lang w:eastAsia="zh-CN"/>
                    </w:rPr>
                    <w:t>《用于水泥、砂浆和混凝土中的粒化高炉矿渣粉》（GB/T18046-2017）</w:t>
                  </w:r>
                  <w:r>
                    <w:rPr>
                      <w:rFonts w:hint="default"/>
                      <w:color w:val="auto"/>
                      <w:sz w:val="21"/>
                      <w:szCs w:val="21"/>
                      <w:highlight w:val="none"/>
                      <w:lang w:val="en-US" w:eastAsia="zh-CN"/>
                    </w:rPr>
                    <w:t>从严执行</w:t>
                  </w:r>
                </w:p>
              </w:tc>
            </w:tr>
            <w:tr w14:paraId="0D8EED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6E64D31">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比表面积/（m2/kg）≥</w:t>
                  </w:r>
                </w:p>
              </w:tc>
              <w:tc>
                <w:tcPr>
                  <w:tcW w:w="2475" w:type="dxa"/>
                  <w:tcBorders>
                    <w:tl2br w:val="nil"/>
                    <w:tr2bl w:val="nil"/>
                  </w:tcBorders>
                  <w:vAlign w:val="center"/>
                </w:tcPr>
                <w:p w14:paraId="1EBA64E0">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400</w:t>
                  </w:r>
                </w:p>
              </w:tc>
              <w:tc>
                <w:tcPr>
                  <w:tcW w:w="2072" w:type="dxa"/>
                  <w:vMerge w:val="continue"/>
                  <w:tcBorders>
                    <w:tl2br w:val="nil"/>
                    <w:tr2bl w:val="nil"/>
                  </w:tcBorders>
                  <w:vAlign w:val="center"/>
                </w:tcPr>
                <w:p w14:paraId="2135162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1BA4A0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5B2B044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三氧化硫含量/%≤</w:t>
                  </w:r>
                </w:p>
              </w:tc>
              <w:tc>
                <w:tcPr>
                  <w:tcW w:w="2475" w:type="dxa"/>
                  <w:tcBorders>
                    <w:tl2br w:val="nil"/>
                    <w:tr2bl w:val="nil"/>
                  </w:tcBorders>
                  <w:vAlign w:val="center"/>
                </w:tcPr>
                <w:p w14:paraId="3BB3C23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4.0</w:t>
                  </w:r>
                </w:p>
              </w:tc>
              <w:tc>
                <w:tcPr>
                  <w:tcW w:w="2072" w:type="dxa"/>
                  <w:vMerge w:val="continue"/>
                  <w:tcBorders>
                    <w:tl2br w:val="nil"/>
                    <w:tr2bl w:val="nil"/>
                  </w:tcBorders>
                  <w:vAlign w:val="center"/>
                </w:tcPr>
                <w:p w14:paraId="206433F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7158E8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6D56C7E">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需水量比/%≤</w:t>
                  </w:r>
                </w:p>
              </w:tc>
              <w:tc>
                <w:tcPr>
                  <w:tcW w:w="2475" w:type="dxa"/>
                  <w:tcBorders>
                    <w:tl2br w:val="nil"/>
                    <w:tr2bl w:val="nil"/>
                  </w:tcBorders>
                  <w:vAlign w:val="center"/>
                </w:tcPr>
                <w:p w14:paraId="3109AC9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115</w:t>
                  </w:r>
                </w:p>
              </w:tc>
              <w:tc>
                <w:tcPr>
                  <w:tcW w:w="2072" w:type="dxa"/>
                  <w:vMerge w:val="continue"/>
                  <w:tcBorders>
                    <w:tl2br w:val="nil"/>
                    <w:tr2bl w:val="nil"/>
                  </w:tcBorders>
                  <w:vAlign w:val="center"/>
                </w:tcPr>
                <w:p w14:paraId="69D6083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059556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489" w:type="dxa"/>
                  <w:vMerge w:val="restart"/>
                  <w:tcBorders>
                    <w:tl2br w:val="nil"/>
                    <w:tr2bl w:val="nil"/>
                  </w:tcBorders>
                  <w:vAlign w:val="center"/>
                </w:tcPr>
                <w:p w14:paraId="2C2BAE4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活性指数</w:t>
                  </w:r>
                </w:p>
              </w:tc>
              <w:tc>
                <w:tcPr>
                  <w:tcW w:w="2044" w:type="dxa"/>
                  <w:tcBorders>
                    <w:tl2br w:val="nil"/>
                    <w:tr2bl w:val="nil"/>
                  </w:tcBorders>
                  <w:vAlign w:val="center"/>
                </w:tcPr>
                <w:p w14:paraId="35970ADA">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7d≥</w:t>
                  </w:r>
                </w:p>
              </w:tc>
              <w:tc>
                <w:tcPr>
                  <w:tcW w:w="2475" w:type="dxa"/>
                  <w:tcBorders>
                    <w:tl2br w:val="nil"/>
                    <w:tr2bl w:val="nil"/>
                  </w:tcBorders>
                  <w:vAlign w:val="center"/>
                </w:tcPr>
                <w:p w14:paraId="172D7159">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70</w:t>
                  </w:r>
                </w:p>
              </w:tc>
              <w:tc>
                <w:tcPr>
                  <w:tcW w:w="2072" w:type="dxa"/>
                  <w:vMerge w:val="continue"/>
                  <w:tcBorders>
                    <w:tl2br w:val="nil"/>
                    <w:tr2bl w:val="nil"/>
                  </w:tcBorders>
                  <w:vAlign w:val="center"/>
                </w:tcPr>
                <w:p w14:paraId="562076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59846ED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1489" w:type="dxa"/>
                  <w:vMerge w:val="continue"/>
                  <w:tcBorders>
                    <w:tl2br w:val="nil"/>
                    <w:tr2bl w:val="nil"/>
                  </w:tcBorders>
                  <w:vAlign w:val="center"/>
                </w:tcPr>
                <w:p w14:paraId="513497B5">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p>
              </w:tc>
              <w:tc>
                <w:tcPr>
                  <w:tcW w:w="2044" w:type="dxa"/>
                  <w:tcBorders>
                    <w:tl2br w:val="nil"/>
                    <w:tr2bl w:val="nil"/>
                  </w:tcBorders>
                  <w:vAlign w:val="center"/>
                </w:tcPr>
                <w:p w14:paraId="4F06B45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28d≥</w:t>
                  </w:r>
                </w:p>
              </w:tc>
              <w:tc>
                <w:tcPr>
                  <w:tcW w:w="2475" w:type="dxa"/>
                  <w:tcBorders>
                    <w:tl2br w:val="nil"/>
                    <w:tr2bl w:val="nil"/>
                  </w:tcBorders>
                  <w:vAlign w:val="center"/>
                </w:tcPr>
                <w:p w14:paraId="6A4BE5B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95</w:t>
                  </w:r>
                </w:p>
              </w:tc>
              <w:tc>
                <w:tcPr>
                  <w:tcW w:w="2072" w:type="dxa"/>
                  <w:vMerge w:val="continue"/>
                  <w:tcBorders>
                    <w:tl2br w:val="nil"/>
                    <w:tr2bl w:val="nil"/>
                  </w:tcBorders>
                  <w:vAlign w:val="center"/>
                </w:tcPr>
                <w:p w14:paraId="03A212F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3B6A782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681BE712">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水浸安定性</w:t>
                  </w:r>
                </w:p>
              </w:tc>
              <w:tc>
                <w:tcPr>
                  <w:tcW w:w="2475" w:type="dxa"/>
                  <w:tcBorders>
                    <w:tl2br w:val="nil"/>
                    <w:tr2bl w:val="nil"/>
                  </w:tcBorders>
                  <w:vAlign w:val="center"/>
                </w:tcPr>
                <w:p w14:paraId="3A571FA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合格</w:t>
                  </w:r>
                </w:p>
              </w:tc>
              <w:tc>
                <w:tcPr>
                  <w:tcW w:w="2072" w:type="dxa"/>
                  <w:vMerge w:val="continue"/>
                  <w:tcBorders>
                    <w:tl2br w:val="nil"/>
                    <w:tr2bl w:val="nil"/>
                  </w:tcBorders>
                  <w:vAlign w:val="center"/>
                </w:tcPr>
                <w:p w14:paraId="60BE2C14">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01C0DF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18134A2C">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氯离子含量/%≤</w:t>
                  </w:r>
                </w:p>
              </w:tc>
              <w:tc>
                <w:tcPr>
                  <w:tcW w:w="2475" w:type="dxa"/>
                  <w:tcBorders>
                    <w:tl2br w:val="nil"/>
                    <w:tr2bl w:val="nil"/>
                  </w:tcBorders>
                  <w:vAlign w:val="center"/>
                </w:tcPr>
                <w:p w14:paraId="4C536CF3">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0.06</w:t>
                  </w:r>
                </w:p>
              </w:tc>
              <w:tc>
                <w:tcPr>
                  <w:tcW w:w="2072" w:type="dxa"/>
                  <w:vMerge w:val="continue"/>
                  <w:tcBorders>
                    <w:tl2br w:val="nil"/>
                    <w:tr2bl w:val="nil"/>
                  </w:tcBorders>
                  <w:vAlign w:val="center"/>
                </w:tcPr>
                <w:p w14:paraId="5646A586">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r w14:paraId="4B2CB3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23" w:hRule="atLeast"/>
                <w:jc w:val="center"/>
              </w:trPr>
              <w:tc>
                <w:tcPr>
                  <w:tcW w:w="3533" w:type="dxa"/>
                  <w:gridSpan w:val="2"/>
                  <w:tcBorders>
                    <w:tl2br w:val="nil"/>
                    <w:tr2bl w:val="nil"/>
                  </w:tcBorders>
                  <w:vAlign w:val="center"/>
                </w:tcPr>
                <w:p w14:paraId="14FD3B77">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放射性</w:t>
                  </w:r>
                </w:p>
              </w:tc>
              <w:tc>
                <w:tcPr>
                  <w:tcW w:w="2475" w:type="dxa"/>
                  <w:tcBorders>
                    <w:tl2br w:val="nil"/>
                    <w:tr2bl w:val="nil"/>
                  </w:tcBorders>
                  <w:vAlign w:val="center"/>
                </w:tcPr>
                <w:p w14:paraId="06C4500B">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default"/>
                      <w:color w:val="auto"/>
                      <w:sz w:val="21"/>
                      <w:szCs w:val="21"/>
                      <w:highlight w:val="none"/>
                    </w:rPr>
                  </w:pPr>
                  <w:r>
                    <w:rPr>
                      <w:rFonts w:hint="default"/>
                      <w:color w:val="auto"/>
                      <w:sz w:val="21"/>
                      <w:szCs w:val="21"/>
                      <w:highlight w:val="none"/>
                    </w:rPr>
                    <w:t>应符合GB6566规定</w:t>
                  </w:r>
                </w:p>
              </w:tc>
              <w:tc>
                <w:tcPr>
                  <w:tcW w:w="2072" w:type="dxa"/>
                  <w:vMerge w:val="continue"/>
                  <w:tcBorders>
                    <w:tl2br w:val="nil"/>
                    <w:tr2bl w:val="nil"/>
                  </w:tcBorders>
                  <w:vAlign w:val="center"/>
                </w:tcPr>
                <w:p w14:paraId="28A22608">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textAlignment w:val="auto"/>
                    <w:rPr>
                      <w:rFonts w:hint="default"/>
                      <w:color w:val="auto"/>
                      <w:sz w:val="21"/>
                      <w:szCs w:val="21"/>
                      <w:highlight w:val="none"/>
                    </w:rPr>
                  </w:pPr>
                </w:p>
              </w:tc>
            </w:tr>
          </w:tbl>
          <w:p w14:paraId="714166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2" w:firstLineChars="200"/>
              <w:textAlignment w:val="auto"/>
              <w:rPr>
                <w:rFonts w:hint="default" w:ascii="Times New Roman" w:hAnsi="Times New Roman" w:eastAsia="宋体" w:cs="Times New Roman"/>
                <w:b/>
                <w:bCs/>
                <w:caps w:val="0"/>
                <w:smallCaps w:val="0"/>
                <w:color w:val="auto"/>
                <w:sz w:val="24"/>
                <w:szCs w:val="24"/>
                <w:highlight w:val="none"/>
                <w:lang w:val="en-US" w:eastAsia="zh-CN"/>
              </w:rPr>
            </w:pPr>
            <w:r>
              <w:rPr>
                <w:rFonts w:hint="default" w:ascii="Times New Roman" w:hAnsi="Times New Roman" w:cs="Times New Roman"/>
                <w:b/>
                <w:bCs/>
                <w:caps w:val="0"/>
                <w:smallCaps w:val="0"/>
                <w:color w:val="auto"/>
                <w:sz w:val="24"/>
                <w:szCs w:val="24"/>
                <w:highlight w:val="none"/>
                <w:lang w:val="en-US" w:eastAsia="zh-CN"/>
              </w:rPr>
              <w:t>（2）</w:t>
            </w:r>
            <w:r>
              <w:rPr>
                <w:rFonts w:hint="default" w:ascii="Times New Roman" w:hAnsi="Times New Roman" w:eastAsia="宋体" w:cs="Times New Roman"/>
                <w:b/>
                <w:bCs/>
                <w:caps w:val="0"/>
                <w:smallCaps w:val="0"/>
                <w:color w:val="auto"/>
                <w:sz w:val="24"/>
                <w:szCs w:val="24"/>
                <w:highlight w:val="none"/>
                <w:lang w:val="en-US" w:eastAsia="zh-CN"/>
              </w:rPr>
              <w:t>原料</w:t>
            </w:r>
            <w:bookmarkEnd w:id="91"/>
            <w:bookmarkEnd w:id="92"/>
            <w:r>
              <w:rPr>
                <w:rFonts w:hint="default" w:ascii="Times New Roman" w:hAnsi="Times New Roman" w:eastAsia="宋体" w:cs="Times New Roman"/>
                <w:b/>
                <w:bCs/>
                <w:caps w:val="0"/>
                <w:smallCaps w:val="0"/>
                <w:color w:val="auto"/>
                <w:sz w:val="24"/>
                <w:szCs w:val="24"/>
                <w:highlight w:val="none"/>
                <w:lang w:val="en-US" w:eastAsia="zh-CN"/>
              </w:rPr>
              <w:t>供应稳定性</w:t>
            </w:r>
          </w:p>
          <w:p w14:paraId="56542C3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caps w:val="0"/>
                <w:smallCaps w:val="0"/>
                <w:color w:val="auto"/>
                <w:kern w:val="2"/>
                <w:sz w:val="24"/>
                <w:szCs w:val="24"/>
                <w:highlight w:val="none"/>
                <w:lang w:val="en-US" w:eastAsia="zh-CN" w:bidi="ar-SA"/>
              </w:rPr>
            </w:pPr>
            <w:r>
              <w:rPr>
                <w:rFonts w:hint="default" w:ascii="Times New Roman" w:hAnsi="Times New Roman" w:eastAsia="宋体" w:cs="Times New Roman"/>
                <w:b w:val="0"/>
                <w:caps w:val="0"/>
                <w:smallCaps w:val="0"/>
                <w:color w:val="auto"/>
                <w:kern w:val="2"/>
                <w:sz w:val="24"/>
                <w:szCs w:val="24"/>
                <w:highlight w:val="none"/>
                <w:lang w:val="en-US" w:eastAsia="zh-CN" w:bidi="ar-SA"/>
              </w:rPr>
              <w:t>本项目</w:t>
            </w:r>
            <w:r>
              <w:rPr>
                <w:rFonts w:hint="default" w:ascii="Times New Roman" w:hAnsi="Times New Roman" w:eastAsia="宋体" w:cs="Times New Roman"/>
                <w:b w:val="0"/>
                <w:caps w:val="0"/>
                <w:smallCaps w:val="0"/>
                <w:color w:val="FF0000"/>
                <w:kern w:val="2"/>
                <w:sz w:val="24"/>
                <w:szCs w:val="24"/>
                <w:highlight w:val="none"/>
                <w:lang w:val="en-US" w:eastAsia="zh-CN" w:bidi="ar-SA"/>
              </w:rPr>
              <w:t>使用</w:t>
            </w:r>
            <w:r>
              <w:rPr>
                <w:rFonts w:hint="eastAsia" w:cs="Times New Roman"/>
                <w:b w:val="0"/>
                <w:caps w:val="0"/>
                <w:smallCaps w:val="0"/>
                <w:color w:val="FF0000"/>
                <w:kern w:val="2"/>
                <w:sz w:val="24"/>
                <w:szCs w:val="24"/>
                <w:highlight w:val="none"/>
                <w:lang w:val="en-US" w:eastAsia="zh-CN" w:bidi="ar-SA"/>
              </w:rPr>
              <w:t>锂渣</w:t>
            </w:r>
            <w:r>
              <w:rPr>
                <w:rFonts w:hint="default" w:ascii="Times New Roman" w:hAnsi="Times New Roman" w:eastAsia="宋体" w:cs="Times New Roman"/>
                <w:b w:val="0"/>
                <w:caps w:val="0"/>
                <w:smallCaps w:val="0"/>
                <w:color w:val="FF0000"/>
                <w:kern w:val="2"/>
                <w:sz w:val="24"/>
                <w:szCs w:val="24"/>
                <w:highlight w:val="none"/>
                <w:lang w:val="en-US" w:eastAsia="zh-CN" w:bidi="ar-SA"/>
              </w:rPr>
              <w:t>来源于宜丰国轩锂业有限公司</w:t>
            </w:r>
            <w:r>
              <w:rPr>
                <w:rFonts w:hint="default"/>
                <w:color w:val="FF0000"/>
                <w:highlight w:val="none"/>
              </w:rPr>
              <w:t>等</w:t>
            </w:r>
            <w:r>
              <w:rPr>
                <w:rFonts w:hint="eastAsia"/>
                <w:color w:val="FF0000"/>
                <w:highlight w:val="none"/>
                <w:lang w:val="en-US" w:eastAsia="zh-CN"/>
              </w:rPr>
              <w:t>单位鉴定为一般固废的锂渣，</w:t>
            </w:r>
            <w:r>
              <w:rPr>
                <w:rFonts w:hint="default" w:ascii="Times New Roman" w:hAnsi="Times New Roman" w:eastAsia="宋体" w:cs="Times New Roman"/>
                <w:b w:val="0"/>
                <w:caps w:val="0"/>
                <w:smallCaps w:val="0"/>
                <w:color w:val="FF0000"/>
                <w:kern w:val="2"/>
                <w:sz w:val="24"/>
                <w:szCs w:val="24"/>
                <w:highlight w:val="none"/>
                <w:lang w:val="en-US" w:eastAsia="zh-CN" w:bidi="ar-SA"/>
              </w:rPr>
              <w:t>本次环评以宜丰国轩锂业有限公司为典型企业，要求后续生产过程按照此要求严格原料入厂，确保原料来源稳定且原料中各组分含量处于稳定的波动范围内；根据</w:t>
            </w:r>
            <w:r>
              <w:rPr>
                <w:rFonts w:hint="eastAsia" w:cs="Times New Roman"/>
                <w:b w:val="0"/>
                <w:caps w:val="0"/>
                <w:smallCaps w:val="0"/>
                <w:color w:val="FF0000"/>
                <w:kern w:val="2"/>
                <w:sz w:val="24"/>
                <w:szCs w:val="24"/>
                <w:highlight w:val="none"/>
                <w:lang w:val="en-US" w:eastAsia="zh-CN" w:bidi="ar-SA"/>
              </w:rPr>
              <w:t>锂渣</w:t>
            </w:r>
            <w:r>
              <w:rPr>
                <w:rFonts w:hint="default" w:ascii="Times New Roman" w:hAnsi="Times New Roman" w:eastAsia="宋体" w:cs="Times New Roman"/>
                <w:b w:val="0"/>
                <w:caps w:val="0"/>
                <w:smallCaps w:val="0"/>
                <w:color w:val="FF0000"/>
                <w:kern w:val="2"/>
                <w:sz w:val="24"/>
                <w:szCs w:val="24"/>
                <w:highlight w:val="none"/>
                <w:lang w:val="en-US" w:eastAsia="zh-CN" w:bidi="ar-SA"/>
              </w:rPr>
              <w:t>固废属性鉴别报告（见附件</w:t>
            </w:r>
            <w:r>
              <w:rPr>
                <w:rFonts w:hint="eastAsia" w:cs="Times New Roman"/>
                <w:b w:val="0"/>
                <w:caps w:val="0"/>
                <w:smallCaps w:val="0"/>
                <w:color w:val="FF0000"/>
                <w:kern w:val="2"/>
                <w:sz w:val="24"/>
                <w:szCs w:val="24"/>
                <w:highlight w:val="none"/>
                <w:lang w:val="en-US" w:eastAsia="zh-CN" w:bidi="ar-SA"/>
              </w:rPr>
              <w:t>5</w:t>
            </w:r>
            <w:r>
              <w:rPr>
                <w:rFonts w:hint="default" w:ascii="Times New Roman" w:hAnsi="Times New Roman" w:eastAsia="宋体" w:cs="Times New Roman"/>
                <w:b w:val="0"/>
                <w:caps w:val="0"/>
                <w:smallCaps w:val="0"/>
                <w:color w:val="FF0000"/>
                <w:kern w:val="2"/>
                <w:sz w:val="24"/>
                <w:szCs w:val="24"/>
                <w:highlight w:val="none"/>
                <w:lang w:val="en-US" w:eastAsia="zh-CN" w:bidi="ar-SA"/>
              </w:rPr>
              <w:t>），宜丰国轩锂业有限公司年产5万吨碳酸锂项目经过滤、洗涤后的浸出渣</w:t>
            </w:r>
            <w:r>
              <w:rPr>
                <w:rFonts w:hint="eastAsia" w:cs="Times New Roman"/>
                <w:b w:val="0"/>
                <w:caps w:val="0"/>
                <w:smallCaps w:val="0"/>
                <w:color w:val="FF0000"/>
                <w:kern w:val="2"/>
                <w:sz w:val="24"/>
                <w:szCs w:val="24"/>
                <w:highlight w:val="none"/>
                <w:lang w:val="en-US" w:eastAsia="zh-CN" w:bidi="ar-SA"/>
              </w:rPr>
              <w:t>（锂渣）</w:t>
            </w:r>
            <w:r>
              <w:rPr>
                <w:rFonts w:hint="default" w:ascii="Times New Roman" w:hAnsi="Times New Roman" w:eastAsia="宋体" w:cs="Times New Roman"/>
                <w:b w:val="0"/>
                <w:caps w:val="0"/>
                <w:smallCaps w:val="0"/>
                <w:color w:val="FF0000"/>
                <w:kern w:val="2"/>
                <w:sz w:val="24"/>
                <w:szCs w:val="24"/>
                <w:highlight w:val="none"/>
                <w:lang w:val="en-US" w:eastAsia="zh-CN" w:bidi="ar-SA"/>
              </w:rPr>
              <w:t>为一般工业固废，不属于危险废物；根据《宜丰国轩锂业有限公司年产5万吨碳酸锂项目环境影响报告书》，该项目产生</w:t>
            </w:r>
            <w:r>
              <w:rPr>
                <w:rFonts w:hint="eastAsia" w:cs="Times New Roman"/>
                <w:b w:val="0"/>
                <w:caps w:val="0"/>
                <w:smallCaps w:val="0"/>
                <w:color w:val="FF0000"/>
                <w:kern w:val="2"/>
                <w:sz w:val="24"/>
                <w:szCs w:val="24"/>
                <w:highlight w:val="none"/>
                <w:lang w:val="en-US" w:eastAsia="zh-CN" w:bidi="ar-SA"/>
              </w:rPr>
              <w:t>锂渣</w:t>
            </w:r>
            <w:r>
              <w:rPr>
                <w:rFonts w:hint="default" w:ascii="Times New Roman" w:hAnsi="Times New Roman" w:eastAsia="宋体" w:cs="Times New Roman"/>
                <w:b w:val="0"/>
                <w:caps w:val="0"/>
                <w:smallCaps w:val="0"/>
                <w:color w:val="FF0000"/>
                <w:kern w:val="2"/>
                <w:sz w:val="24"/>
                <w:szCs w:val="24"/>
                <w:highlight w:val="none"/>
                <w:lang w:val="en-US" w:eastAsia="zh-CN" w:bidi="ar-SA"/>
              </w:rPr>
              <w:t>共1804531.105t/a，本项目外购</w:t>
            </w:r>
            <w:r>
              <w:rPr>
                <w:rFonts w:hint="eastAsia" w:cs="Times New Roman"/>
                <w:b w:val="0"/>
                <w:caps w:val="0"/>
                <w:smallCaps w:val="0"/>
                <w:color w:val="FF0000"/>
                <w:kern w:val="2"/>
                <w:sz w:val="24"/>
                <w:szCs w:val="24"/>
                <w:highlight w:val="none"/>
                <w:lang w:val="en-US" w:eastAsia="zh-CN" w:bidi="ar-SA"/>
              </w:rPr>
              <w:t>430</w:t>
            </w:r>
            <w:r>
              <w:rPr>
                <w:rFonts w:hint="default" w:ascii="Times New Roman" w:hAnsi="Times New Roman" w:eastAsia="宋体" w:cs="Times New Roman"/>
                <w:b w:val="0"/>
                <w:caps w:val="0"/>
                <w:smallCaps w:val="0"/>
                <w:color w:val="FF0000"/>
                <w:kern w:val="2"/>
                <w:sz w:val="24"/>
                <w:szCs w:val="24"/>
                <w:highlight w:val="none"/>
                <w:lang w:val="en-US" w:eastAsia="zh-CN" w:bidi="ar-SA"/>
              </w:rPr>
              <w:t>000t/a，可满足本项目原料稳定供应需求</w:t>
            </w:r>
            <w:r>
              <w:rPr>
                <w:rFonts w:hint="default" w:ascii="Times New Roman" w:hAnsi="Times New Roman" w:eastAsia="宋体" w:cs="Times New Roman"/>
                <w:b w:val="0"/>
                <w:caps w:val="0"/>
                <w:smallCaps w:val="0"/>
                <w:color w:val="auto"/>
                <w:kern w:val="2"/>
                <w:sz w:val="24"/>
                <w:szCs w:val="24"/>
                <w:highlight w:val="none"/>
                <w:lang w:val="en-US" w:eastAsia="zh-CN" w:bidi="ar-SA"/>
              </w:rPr>
              <w:t>。</w:t>
            </w:r>
          </w:p>
          <w:p w14:paraId="6C51DF6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caps w:val="0"/>
                <w:smallCaps w:val="0"/>
                <w:color w:val="auto"/>
                <w:kern w:val="2"/>
                <w:sz w:val="24"/>
                <w:szCs w:val="24"/>
                <w:highlight w:val="none"/>
                <w:lang w:val="en-US" w:eastAsia="zh-CN" w:bidi="ar-SA"/>
              </w:rPr>
            </w:pPr>
            <w:r>
              <w:rPr>
                <w:rFonts w:hint="eastAsia"/>
                <w:color w:val="auto"/>
                <w:highlight w:val="none"/>
                <w:lang w:eastAsia="zh-CN"/>
              </w:rPr>
              <w:t>后续待建设单位现有项目</w:t>
            </w:r>
            <w:r>
              <w:rPr>
                <w:rFonts w:hint="eastAsia"/>
                <w:color w:val="auto"/>
                <w:highlight w:val="none"/>
                <w:lang w:val="en-US" w:eastAsia="zh-CN"/>
              </w:rPr>
              <w:t>固化尾渣</w:t>
            </w:r>
            <w:r>
              <w:rPr>
                <w:rFonts w:hint="eastAsia"/>
                <w:color w:val="auto"/>
                <w:highlight w:val="none"/>
                <w:lang w:eastAsia="zh-CN"/>
              </w:rPr>
              <w:t>（</w:t>
            </w:r>
            <w:r>
              <w:rPr>
                <w:rFonts w:hint="eastAsia"/>
                <w:color w:val="auto"/>
                <w:highlight w:val="none"/>
                <w:lang w:val="en-US" w:eastAsia="zh-CN"/>
              </w:rPr>
              <w:t>锂渣</w:t>
            </w:r>
            <w:r>
              <w:rPr>
                <w:rFonts w:hint="eastAsia"/>
                <w:color w:val="auto"/>
                <w:highlight w:val="none"/>
                <w:lang w:eastAsia="zh-CN"/>
              </w:rPr>
              <w:t>）鉴定结果若为一般固废后，可使用自产</w:t>
            </w:r>
            <w:r>
              <w:rPr>
                <w:rFonts w:hint="eastAsia"/>
                <w:color w:val="auto"/>
                <w:highlight w:val="none"/>
                <w:lang w:val="en-US" w:eastAsia="zh-CN"/>
              </w:rPr>
              <w:t>固化尾</w:t>
            </w:r>
            <w:r>
              <w:rPr>
                <w:rFonts w:hint="eastAsia"/>
                <w:color w:val="auto"/>
                <w:highlight w:val="none"/>
                <w:lang w:eastAsia="zh-CN"/>
              </w:rPr>
              <w:t>渣（</w:t>
            </w:r>
            <w:r>
              <w:rPr>
                <w:rFonts w:hint="eastAsia"/>
                <w:color w:val="auto"/>
                <w:highlight w:val="none"/>
                <w:lang w:val="en-US" w:eastAsia="zh-CN"/>
              </w:rPr>
              <w:t>锂渣</w:t>
            </w:r>
            <w:r>
              <w:rPr>
                <w:rFonts w:hint="eastAsia"/>
                <w:color w:val="auto"/>
                <w:highlight w:val="none"/>
                <w:lang w:eastAsia="zh-CN"/>
              </w:rPr>
              <w:t>）作为本项目原料进行生产。</w:t>
            </w:r>
          </w:p>
          <w:p w14:paraId="2FAB0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bCs/>
                <w:color w:val="auto"/>
                <w:highlight w:val="none"/>
                <w:lang w:val="en-US" w:eastAsia="zh-CN"/>
              </w:rPr>
            </w:pPr>
            <w:r>
              <w:rPr>
                <w:rFonts w:hint="default"/>
                <w:b/>
                <w:bCs/>
                <w:color w:val="auto"/>
                <w:highlight w:val="none"/>
                <w:lang w:val="en-US" w:eastAsia="zh-CN"/>
              </w:rPr>
              <w:t>（3）环境监管措施</w:t>
            </w:r>
          </w:p>
          <w:p w14:paraId="762F1393">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锂渣</w:t>
            </w:r>
            <w:r>
              <w:rPr>
                <w:rFonts w:hint="default"/>
                <w:color w:val="auto"/>
                <w:highlight w:val="none"/>
                <w:lang w:val="en-US" w:eastAsia="zh-CN"/>
              </w:rPr>
              <w:t>在起运前，供需双方需约定好共同认可的第三方检验检测机构，出具权威、合法的检验报告。本项目使用的</w:t>
            </w:r>
            <w:r>
              <w:rPr>
                <w:rFonts w:hint="eastAsia"/>
                <w:color w:val="auto"/>
                <w:highlight w:val="none"/>
                <w:lang w:val="en-US" w:eastAsia="zh-CN"/>
              </w:rPr>
              <w:t>锂渣</w:t>
            </w:r>
            <w:r>
              <w:rPr>
                <w:rFonts w:hint="default"/>
                <w:color w:val="auto"/>
                <w:highlight w:val="none"/>
                <w:lang w:val="en-US" w:eastAsia="zh-CN"/>
              </w:rPr>
              <w:t>需满足《公路路基工程利用锂渣技术规范（试行）》（DB36/T1968-2024）表1改性</w:t>
            </w:r>
            <w:r>
              <w:rPr>
                <w:rFonts w:hint="eastAsia"/>
                <w:color w:val="auto"/>
                <w:highlight w:val="none"/>
                <w:lang w:val="en-US" w:eastAsia="zh-CN"/>
              </w:rPr>
              <w:t>锂渣</w:t>
            </w:r>
            <w:r>
              <w:rPr>
                <w:rFonts w:hint="default"/>
                <w:color w:val="auto"/>
                <w:highlight w:val="none"/>
                <w:lang w:val="en-US" w:eastAsia="zh-CN"/>
              </w:rPr>
              <w:t>浸出液污染物浓度限值要求，入厂时，需提供检测报告，不满足要求的不予接收。</w:t>
            </w:r>
          </w:p>
          <w:p w14:paraId="6888C608">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对每批次入厂</w:t>
            </w:r>
            <w:r>
              <w:rPr>
                <w:rFonts w:hint="eastAsia"/>
                <w:color w:val="auto"/>
                <w:highlight w:val="none"/>
                <w:lang w:val="en-US" w:eastAsia="zh-CN"/>
              </w:rPr>
              <w:t>锂渣</w:t>
            </w:r>
            <w:r>
              <w:rPr>
                <w:rFonts w:hint="default"/>
                <w:color w:val="auto"/>
                <w:highlight w:val="none"/>
                <w:lang w:val="en-US" w:eastAsia="zh-CN"/>
              </w:rPr>
              <w:t>进行抽运检测，重点检测氟、铊、铍浸出浓度，若超出DB36/T1968限值要求，不得入厂。</w:t>
            </w:r>
          </w:p>
          <w:p w14:paraId="622CD4AE">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检验报告需完整存档备案，</w:t>
            </w:r>
            <w:r>
              <w:rPr>
                <w:rFonts w:hint="eastAsia"/>
                <w:color w:val="auto"/>
                <w:highlight w:val="none"/>
                <w:lang w:val="en-US" w:eastAsia="zh-CN"/>
              </w:rPr>
              <w:t>锂渣</w:t>
            </w:r>
            <w:r>
              <w:rPr>
                <w:rFonts w:hint="default"/>
                <w:color w:val="auto"/>
                <w:highlight w:val="none"/>
                <w:lang w:val="en-US" w:eastAsia="zh-CN"/>
              </w:rPr>
              <w:t>进出台账需如实如期填写保存，定期接受相关管理部门的督查。</w:t>
            </w:r>
          </w:p>
          <w:p w14:paraId="2EA94323">
            <w:pPr>
              <w:keepNext w:val="0"/>
              <w:keepLines w:val="0"/>
              <w:suppressLineNumbers w:val="0"/>
              <w:bidi w:val="0"/>
              <w:spacing w:before="0" w:beforeAutospacing="0" w:after="0" w:afterAutospacing="0"/>
              <w:ind w:left="0" w:right="0"/>
              <w:rPr>
                <w:rFonts w:hint="default"/>
                <w:b/>
                <w:bCs/>
                <w:color w:val="auto"/>
                <w:highlight w:val="none"/>
                <w:lang w:val="en-US" w:eastAsia="zh-CN"/>
              </w:rPr>
            </w:pPr>
            <w:r>
              <w:rPr>
                <w:rFonts w:hint="default"/>
                <w:b/>
                <w:bCs/>
                <w:color w:val="auto"/>
                <w:highlight w:val="none"/>
                <w:lang w:val="en-US" w:eastAsia="zh-CN"/>
              </w:rPr>
              <w:t>（4）本项目产品出厂控制要求</w:t>
            </w:r>
          </w:p>
          <w:p w14:paraId="2229EB9A">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①将上述产品污染物控制限值纳入产品合格监测内容；</w:t>
            </w:r>
          </w:p>
          <w:p w14:paraId="28540B66">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②每批次产品均进行抽样监测，监测结果不合格，产品不得出厂；不合格产品需重新进入生产线进行加工处理，直至合格为止。否则不合格产品不得流入市场。</w:t>
            </w:r>
          </w:p>
          <w:p w14:paraId="78D02190">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lang w:val="en-US" w:eastAsia="zh-CN"/>
              </w:rPr>
              <w:t>7</w:t>
            </w:r>
            <w:r>
              <w:rPr>
                <w:rFonts w:hint="default"/>
                <w:b/>
                <w:bCs/>
                <w:color w:val="auto"/>
                <w:highlight w:val="none"/>
              </w:rPr>
              <w:t>、项目劳动定员及工作制度</w:t>
            </w:r>
          </w:p>
          <w:p w14:paraId="4D5B32B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本次扩建新增劳动定员</w:t>
            </w:r>
            <w:r>
              <w:rPr>
                <w:rFonts w:hint="eastAsia"/>
                <w:color w:val="auto"/>
                <w:highlight w:val="none"/>
                <w:lang w:val="en-US" w:eastAsia="zh-CN"/>
              </w:rPr>
              <w:t>10人</w:t>
            </w:r>
            <w:r>
              <w:rPr>
                <w:rFonts w:hint="default"/>
                <w:color w:val="auto"/>
                <w:highlight w:val="none"/>
              </w:rPr>
              <w:t>，年工作3</w:t>
            </w:r>
            <w:r>
              <w:rPr>
                <w:rFonts w:hint="default"/>
                <w:color w:val="auto"/>
                <w:highlight w:val="none"/>
                <w:lang w:val="en-US" w:eastAsia="zh-CN"/>
              </w:rPr>
              <w:t>0</w:t>
            </w:r>
            <w:r>
              <w:rPr>
                <w:rFonts w:hint="default"/>
                <w:color w:val="auto"/>
                <w:highlight w:val="none"/>
              </w:rPr>
              <w:t>0d</w:t>
            </w:r>
            <w:r>
              <w:rPr>
                <w:rFonts w:hint="default"/>
                <w:color w:val="auto"/>
                <w:highlight w:val="none"/>
                <w:lang w:eastAsia="zh-CN"/>
              </w:rPr>
              <w:t>，</w:t>
            </w:r>
            <w:r>
              <w:rPr>
                <w:rFonts w:hint="default"/>
                <w:color w:val="auto"/>
                <w:highlight w:val="none"/>
              </w:rPr>
              <w:t>采用</w:t>
            </w:r>
            <w:r>
              <w:rPr>
                <w:rFonts w:hint="default"/>
                <w:color w:val="auto"/>
                <w:highlight w:val="none"/>
                <w:lang w:val="en-US" w:eastAsia="zh-CN"/>
              </w:rPr>
              <w:t>3</w:t>
            </w:r>
            <w:r>
              <w:rPr>
                <w:rFonts w:hint="default"/>
                <w:color w:val="auto"/>
                <w:highlight w:val="none"/>
              </w:rPr>
              <w:t>班制，每班8h，年工作</w:t>
            </w:r>
            <w:r>
              <w:rPr>
                <w:rFonts w:hint="default"/>
                <w:color w:val="auto"/>
                <w:highlight w:val="none"/>
                <w:lang w:val="en-US" w:eastAsia="zh-CN"/>
              </w:rPr>
              <w:t>7200</w:t>
            </w:r>
            <w:r>
              <w:rPr>
                <w:rFonts w:hint="default"/>
                <w:color w:val="auto"/>
                <w:highlight w:val="none"/>
              </w:rPr>
              <w:t>h。</w:t>
            </w:r>
          </w:p>
          <w:p w14:paraId="0BBBF0EC">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lang w:val="en-US" w:eastAsia="zh-CN"/>
              </w:rPr>
              <w:t>8</w:t>
            </w:r>
            <w:r>
              <w:rPr>
                <w:rFonts w:hint="default"/>
                <w:b/>
                <w:bCs/>
                <w:color w:val="auto"/>
                <w:highlight w:val="none"/>
              </w:rPr>
              <w:t>、公用工程</w:t>
            </w:r>
          </w:p>
          <w:p w14:paraId="53E423C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（1）给</w:t>
            </w:r>
            <w:r>
              <w:rPr>
                <w:rFonts w:hint="eastAsia"/>
                <w:color w:val="auto"/>
                <w:highlight w:val="none"/>
                <w:lang w:eastAsia="zh-CN"/>
              </w:rPr>
              <w:t>排</w:t>
            </w:r>
            <w:r>
              <w:rPr>
                <w:rFonts w:hint="default"/>
                <w:color w:val="auto"/>
                <w:highlight w:val="none"/>
              </w:rPr>
              <w:t>水</w:t>
            </w:r>
          </w:p>
          <w:p w14:paraId="1B0E4BF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w:t>
            </w:r>
            <w:r>
              <w:rPr>
                <w:rFonts w:hint="default"/>
                <w:color w:val="auto"/>
                <w:highlight w:val="none"/>
                <w:lang w:val="en-US" w:eastAsia="zh-CN"/>
              </w:rPr>
              <w:t>位于高安市建筑陶瓷产业园内，</w:t>
            </w:r>
            <w:r>
              <w:rPr>
                <w:rFonts w:hint="default"/>
                <w:color w:val="auto"/>
                <w:highlight w:val="none"/>
              </w:rPr>
              <w:t>用水由园区自来水管网统一供给，用水包括生活用水</w:t>
            </w:r>
            <w:r>
              <w:rPr>
                <w:rFonts w:hint="default"/>
                <w:color w:val="auto"/>
                <w:highlight w:val="none"/>
                <w:lang w:eastAsia="zh-CN"/>
              </w:rPr>
              <w:t>、</w:t>
            </w:r>
            <w:r>
              <w:rPr>
                <w:rFonts w:hint="default"/>
                <w:color w:val="auto"/>
                <w:highlight w:val="none"/>
                <w:lang w:val="en-US" w:eastAsia="zh-CN"/>
              </w:rPr>
              <w:t>搅拌用水、渗滤液</w:t>
            </w:r>
            <w:r>
              <w:rPr>
                <w:rFonts w:hint="eastAsia"/>
                <w:color w:val="auto"/>
                <w:highlight w:val="none"/>
                <w:lang w:val="en-US" w:eastAsia="zh-CN"/>
              </w:rPr>
              <w:t>（原料带入）</w:t>
            </w:r>
            <w:r>
              <w:rPr>
                <w:rFonts w:hint="default"/>
                <w:color w:val="auto"/>
                <w:highlight w:val="none"/>
                <w:lang w:val="en-US" w:eastAsia="zh-CN"/>
              </w:rPr>
              <w:t>、</w:t>
            </w:r>
            <w:r>
              <w:rPr>
                <w:rFonts w:hint="default"/>
                <w:color w:val="auto"/>
                <w:highlight w:val="none"/>
              </w:rPr>
              <w:t>洗车</w:t>
            </w:r>
            <w:r>
              <w:rPr>
                <w:rFonts w:hint="default"/>
                <w:color w:val="auto"/>
                <w:highlight w:val="none"/>
                <w:lang w:val="en-US" w:eastAsia="zh-CN"/>
              </w:rPr>
              <w:t>用</w:t>
            </w:r>
            <w:r>
              <w:rPr>
                <w:rFonts w:hint="default"/>
                <w:color w:val="auto"/>
                <w:highlight w:val="none"/>
              </w:rPr>
              <w:t>水</w:t>
            </w:r>
            <w:r>
              <w:rPr>
                <w:rFonts w:hint="default"/>
                <w:color w:val="auto"/>
                <w:highlight w:val="none"/>
                <w:lang w:eastAsia="zh-CN"/>
              </w:rPr>
              <w:t>、</w:t>
            </w:r>
            <w:r>
              <w:rPr>
                <w:rFonts w:hint="default"/>
                <w:color w:val="auto"/>
                <w:highlight w:val="none"/>
                <w:lang w:val="en-US" w:eastAsia="zh-CN"/>
              </w:rPr>
              <w:t>设备清洗用水、</w:t>
            </w:r>
            <w:r>
              <w:rPr>
                <w:rFonts w:hint="eastAsia"/>
                <w:color w:val="auto"/>
                <w:highlight w:val="none"/>
                <w:lang w:val="en-US" w:eastAsia="zh-CN"/>
              </w:rPr>
              <w:t>抑尘</w:t>
            </w:r>
            <w:r>
              <w:rPr>
                <w:rFonts w:hint="default"/>
                <w:color w:val="auto"/>
                <w:highlight w:val="none"/>
                <w:lang w:val="en-US" w:eastAsia="zh-CN"/>
              </w:rPr>
              <w:t>用水和养护用水</w:t>
            </w:r>
            <w:r>
              <w:rPr>
                <w:rFonts w:hint="default"/>
                <w:color w:val="auto"/>
                <w:highlight w:val="none"/>
              </w:rPr>
              <w:t>。</w:t>
            </w:r>
          </w:p>
          <w:p w14:paraId="36E26C0E">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eastAsia="zh-CN"/>
              </w:rPr>
              <w:t>①</w:t>
            </w:r>
            <w:r>
              <w:rPr>
                <w:rFonts w:hint="default"/>
                <w:color w:val="auto"/>
                <w:highlight w:val="none"/>
                <w:lang w:val="en-US" w:eastAsia="zh-CN"/>
              </w:rPr>
              <w:t>搅拌用水</w:t>
            </w:r>
          </w:p>
          <w:p w14:paraId="103D956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w:t>
            </w:r>
            <w:r>
              <w:rPr>
                <w:rFonts w:hint="default"/>
                <w:color w:val="auto"/>
                <w:highlight w:val="none"/>
                <w:lang w:val="en-US" w:eastAsia="zh-CN"/>
              </w:rPr>
              <w:t>环保</w:t>
            </w:r>
            <w:r>
              <w:rPr>
                <w:rFonts w:hint="eastAsia"/>
                <w:color w:val="auto"/>
                <w:highlight w:val="none"/>
                <w:lang w:val="en-US" w:eastAsia="zh-CN"/>
              </w:rPr>
              <w:t>免烧砖生产</w:t>
            </w:r>
            <w:r>
              <w:rPr>
                <w:rFonts w:hint="default"/>
                <w:color w:val="auto"/>
                <w:highlight w:val="none"/>
                <w:lang w:val="en-US" w:eastAsia="zh-CN"/>
              </w:rPr>
              <w:t>搅拌时</w:t>
            </w:r>
            <w:r>
              <w:rPr>
                <w:rFonts w:hint="default"/>
                <w:color w:val="auto"/>
                <w:highlight w:val="none"/>
              </w:rPr>
              <w:t>需添加一定的水量对混合</w:t>
            </w:r>
            <w:r>
              <w:rPr>
                <w:rFonts w:hint="default"/>
                <w:color w:val="auto"/>
                <w:highlight w:val="none"/>
                <w:lang w:val="en-US" w:eastAsia="zh-CN"/>
              </w:rPr>
              <w:t>物料</w:t>
            </w:r>
            <w:r>
              <w:rPr>
                <w:rFonts w:hint="default"/>
                <w:color w:val="auto"/>
                <w:highlight w:val="none"/>
              </w:rPr>
              <w:t>进行适度的湿度调节。根据</w:t>
            </w:r>
            <w:r>
              <w:rPr>
                <w:rFonts w:hint="eastAsia"/>
                <w:color w:val="auto"/>
                <w:highlight w:val="none"/>
                <w:lang w:eastAsia="zh-CN"/>
              </w:rPr>
              <w:t>工艺流程中水的配比可知</w:t>
            </w:r>
            <w:r>
              <w:rPr>
                <w:rFonts w:hint="default"/>
                <w:color w:val="auto"/>
                <w:highlight w:val="none"/>
              </w:rPr>
              <w:t>，</w:t>
            </w:r>
            <w:r>
              <w:rPr>
                <w:rFonts w:hint="default"/>
                <w:color w:val="auto"/>
                <w:highlight w:val="none"/>
                <w:lang w:val="en-US" w:eastAsia="zh-CN"/>
              </w:rPr>
              <w:t>环保砖添加水量</w:t>
            </w:r>
            <w:r>
              <w:rPr>
                <w:rFonts w:hint="default"/>
                <w:color w:val="auto"/>
                <w:highlight w:val="none"/>
              </w:rPr>
              <w:t>为</w:t>
            </w:r>
            <w:r>
              <w:rPr>
                <w:rFonts w:hint="eastAsia"/>
                <w:color w:val="auto"/>
                <w:highlight w:val="none"/>
                <w:lang w:val="en-US" w:eastAsia="zh-CN"/>
              </w:rPr>
              <w:t>25000t/a（83.33</w:t>
            </w:r>
            <w:r>
              <w:rPr>
                <w:rFonts w:hint="default"/>
                <w:color w:val="auto"/>
                <w:highlight w:val="none"/>
                <w:lang w:val="en-US" w:eastAsia="zh-CN"/>
              </w:rPr>
              <w:t>t/d</w:t>
            </w:r>
            <w:r>
              <w:rPr>
                <w:rFonts w:hint="eastAsia"/>
                <w:color w:val="auto"/>
                <w:highlight w:val="none"/>
                <w:lang w:val="en-US" w:eastAsia="zh-CN"/>
              </w:rPr>
              <w:t>）</w:t>
            </w:r>
            <w:r>
              <w:rPr>
                <w:rFonts w:hint="default"/>
                <w:color w:val="auto"/>
                <w:highlight w:val="none"/>
                <w:lang w:eastAsia="zh-CN"/>
              </w:rPr>
              <w:t>，</w:t>
            </w:r>
            <w:r>
              <w:rPr>
                <w:rFonts w:hint="default"/>
                <w:color w:val="auto"/>
                <w:highlight w:val="none"/>
              </w:rPr>
              <w:t>项目</w:t>
            </w:r>
            <w:r>
              <w:rPr>
                <w:rFonts w:hint="default"/>
                <w:color w:val="auto"/>
                <w:highlight w:val="none"/>
                <w:lang w:val="en-US" w:eastAsia="zh-CN"/>
              </w:rPr>
              <w:t>搅拌用</w:t>
            </w:r>
            <w:r>
              <w:rPr>
                <w:rFonts w:hint="default"/>
                <w:color w:val="auto"/>
                <w:highlight w:val="none"/>
              </w:rPr>
              <w:t>水全部</w:t>
            </w:r>
            <w:r>
              <w:rPr>
                <w:rFonts w:hint="default"/>
                <w:color w:val="auto"/>
                <w:highlight w:val="none"/>
                <w:lang w:val="en-US" w:eastAsia="zh-CN"/>
              </w:rPr>
              <w:t>损耗或进入产品</w:t>
            </w:r>
            <w:r>
              <w:rPr>
                <w:rFonts w:hint="default"/>
                <w:color w:val="auto"/>
                <w:highlight w:val="none"/>
              </w:rPr>
              <w:t>，不外排。</w:t>
            </w:r>
          </w:p>
          <w:p w14:paraId="17C7D282">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②渗滤液</w:t>
            </w:r>
            <w:r>
              <w:rPr>
                <w:rFonts w:hint="eastAsia"/>
                <w:color w:val="auto"/>
                <w:highlight w:val="none"/>
                <w:lang w:val="en-US" w:eastAsia="zh-CN"/>
              </w:rPr>
              <w:t>（原料带入）</w:t>
            </w:r>
          </w:p>
          <w:p w14:paraId="59E03B1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本项目锂</w:t>
            </w:r>
            <w:r>
              <w:rPr>
                <w:rFonts w:hint="eastAsia"/>
                <w:color w:val="auto"/>
                <w:highlight w:val="none"/>
                <w:lang w:val="en-US" w:eastAsia="zh-CN"/>
              </w:rPr>
              <w:t>渣</w:t>
            </w:r>
            <w:r>
              <w:rPr>
                <w:rFonts w:hint="default"/>
                <w:color w:val="auto"/>
                <w:highlight w:val="none"/>
                <w:lang w:val="en-US" w:eastAsia="zh-CN"/>
              </w:rPr>
              <w:t>在仓库堆放自然晾干时会产生渗滤液，根据业主提供资料，在仓库自然晾干的</w:t>
            </w:r>
            <w:r>
              <w:rPr>
                <w:rFonts w:hint="eastAsia"/>
                <w:color w:val="auto"/>
                <w:highlight w:val="none"/>
                <w:lang w:val="en-US" w:eastAsia="zh-CN"/>
              </w:rPr>
              <w:t>锂渣</w:t>
            </w:r>
            <w:r>
              <w:rPr>
                <w:rFonts w:hint="default"/>
                <w:color w:val="auto"/>
                <w:highlight w:val="none"/>
                <w:lang w:val="en-US" w:eastAsia="zh-CN"/>
              </w:rPr>
              <w:t>含水率由</w:t>
            </w:r>
            <w:r>
              <w:rPr>
                <w:rFonts w:hint="eastAsia"/>
                <w:color w:val="auto"/>
                <w:highlight w:val="none"/>
                <w:lang w:val="en-US" w:eastAsia="zh-CN"/>
              </w:rPr>
              <w:t>20</w:t>
            </w:r>
            <w:r>
              <w:rPr>
                <w:rFonts w:hint="default"/>
                <w:color w:val="auto"/>
                <w:highlight w:val="none"/>
                <w:lang w:val="en-US" w:eastAsia="zh-CN"/>
              </w:rPr>
              <w:t>%降至16%，本项目</w:t>
            </w:r>
            <w:r>
              <w:rPr>
                <w:rFonts w:hint="eastAsia"/>
                <w:color w:val="auto"/>
                <w:highlight w:val="none"/>
                <w:lang w:val="en-US" w:eastAsia="zh-CN"/>
              </w:rPr>
              <w:t>锂渣</w:t>
            </w:r>
            <w:r>
              <w:rPr>
                <w:rFonts w:hint="default"/>
                <w:color w:val="auto"/>
                <w:highlight w:val="none"/>
                <w:lang w:val="en-US" w:eastAsia="zh-CN"/>
              </w:rPr>
              <w:t>的年用量为</w:t>
            </w:r>
            <w:r>
              <w:rPr>
                <w:rFonts w:hint="eastAsia"/>
                <w:color w:val="auto"/>
                <w:highlight w:val="none"/>
                <w:lang w:val="en-US" w:eastAsia="zh-CN"/>
              </w:rPr>
              <w:t>430000</w:t>
            </w:r>
            <w:r>
              <w:rPr>
                <w:rFonts w:hint="default"/>
                <w:color w:val="auto"/>
                <w:highlight w:val="none"/>
                <w:lang w:val="en-US" w:eastAsia="zh-CN"/>
              </w:rPr>
              <w:t>t/a，则渗滤液的产生量为1</w:t>
            </w:r>
            <w:r>
              <w:rPr>
                <w:rFonts w:hint="eastAsia"/>
                <w:color w:val="auto"/>
                <w:highlight w:val="none"/>
                <w:lang w:val="en-US" w:eastAsia="zh-CN"/>
              </w:rPr>
              <w:t>72</w:t>
            </w:r>
            <w:r>
              <w:rPr>
                <w:rFonts w:hint="default"/>
                <w:color w:val="auto"/>
                <w:highlight w:val="none"/>
                <w:lang w:val="en-US" w:eastAsia="zh-CN"/>
              </w:rPr>
              <w:t>00t/a</w:t>
            </w:r>
            <w:r>
              <w:rPr>
                <w:rFonts w:hint="eastAsia"/>
                <w:color w:val="auto"/>
                <w:highlight w:val="none"/>
                <w:lang w:val="en-US" w:eastAsia="zh-CN"/>
              </w:rPr>
              <w:t>（57.33t/d）</w:t>
            </w:r>
            <w:r>
              <w:rPr>
                <w:rFonts w:hint="default"/>
                <w:color w:val="auto"/>
                <w:highlight w:val="none"/>
                <w:lang w:val="en-US" w:eastAsia="zh-CN"/>
              </w:rPr>
              <w:t>，其中20%损耗，80%由导流槽收集至渗滤液池，随后回用于产品生产，则渗滤液收集量为</w:t>
            </w:r>
            <w:r>
              <w:rPr>
                <w:rFonts w:hint="eastAsia"/>
                <w:color w:val="auto"/>
                <w:highlight w:val="none"/>
                <w:lang w:val="en-US" w:eastAsia="zh-CN"/>
              </w:rPr>
              <w:t>13760</w:t>
            </w:r>
            <w:r>
              <w:rPr>
                <w:rFonts w:hint="default"/>
                <w:color w:val="auto"/>
                <w:highlight w:val="none"/>
                <w:lang w:val="en-US" w:eastAsia="zh-CN"/>
              </w:rPr>
              <w:t>t/a（</w:t>
            </w:r>
            <w:r>
              <w:rPr>
                <w:rFonts w:hint="eastAsia"/>
                <w:color w:val="auto"/>
                <w:highlight w:val="none"/>
                <w:lang w:val="en-US" w:eastAsia="zh-CN"/>
              </w:rPr>
              <w:t>45.87</w:t>
            </w:r>
            <w:r>
              <w:rPr>
                <w:rFonts w:hint="default"/>
                <w:color w:val="auto"/>
                <w:highlight w:val="none"/>
                <w:lang w:val="en-US" w:eastAsia="zh-CN"/>
              </w:rPr>
              <w:t>t/d），本项目设置容积为</w:t>
            </w:r>
            <w:r>
              <w:rPr>
                <w:rFonts w:hint="eastAsia"/>
                <w:color w:val="auto"/>
                <w:highlight w:val="none"/>
                <w:lang w:val="en-US" w:eastAsia="zh-CN"/>
              </w:rPr>
              <w:t>60</w:t>
            </w:r>
            <w:r>
              <w:rPr>
                <w:rFonts w:hint="default"/>
                <w:color w:val="auto"/>
                <w:highlight w:val="none"/>
                <w:lang w:val="en-US" w:eastAsia="zh-CN"/>
              </w:rPr>
              <w:t>m</w:t>
            </w:r>
            <w:r>
              <w:rPr>
                <w:rFonts w:hint="default"/>
                <w:color w:val="auto"/>
                <w:highlight w:val="none"/>
                <w:vertAlign w:val="superscript"/>
                <w:lang w:val="en-US" w:eastAsia="zh-CN"/>
              </w:rPr>
              <w:t>3</w:t>
            </w:r>
            <w:r>
              <w:rPr>
                <w:rFonts w:hint="default"/>
                <w:color w:val="auto"/>
                <w:highlight w:val="none"/>
                <w:lang w:val="en-US" w:eastAsia="zh-CN"/>
              </w:rPr>
              <w:t>的渗滤液池一个，位于锂渣仓库</w:t>
            </w:r>
            <w:r>
              <w:rPr>
                <w:rFonts w:hint="eastAsia"/>
                <w:color w:val="auto"/>
                <w:highlight w:val="none"/>
                <w:lang w:val="en-US" w:eastAsia="zh-CN"/>
              </w:rPr>
              <w:t>西南</w:t>
            </w:r>
            <w:r>
              <w:rPr>
                <w:rFonts w:hint="default"/>
                <w:color w:val="auto"/>
                <w:highlight w:val="none"/>
                <w:lang w:val="en-US" w:eastAsia="zh-CN"/>
              </w:rPr>
              <w:t>角，锂渣仓库四周设导流槽，渗滤液</w:t>
            </w:r>
            <w:r>
              <w:rPr>
                <w:rFonts w:hint="default"/>
                <w:color w:val="auto"/>
                <w:highlight w:val="none"/>
                <w:lang w:eastAsia="zh-CN"/>
              </w:rPr>
              <w:t>通过导流槽进入</w:t>
            </w:r>
            <w:r>
              <w:rPr>
                <w:rFonts w:hint="default"/>
                <w:color w:val="auto"/>
                <w:highlight w:val="none"/>
                <w:lang w:val="en-US" w:eastAsia="zh-CN"/>
              </w:rPr>
              <w:t>渗滤液池然后回用于搅拌用水，</w:t>
            </w:r>
            <w:r>
              <w:rPr>
                <w:rFonts w:hint="eastAsia"/>
                <w:color w:val="auto"/>
                <w:highlight w:val="none"/>
                <w:lang w:val="en-US" w:eastAsia="zh-CN"/>
              </w:rPr>
              <w:t>渗滤液池防渗要求依据《危险废物贮存污染控制标准》GB18597-2023要求，渗透系数≤10</w:t>
            </w:r>
            <w:r>
              <w:rPr>
                <w:rFonts w:hint="eastAsia"/>
                <w:color w:val="auto"/>
                <w:highlight w:val="none"/>
                <w:vertAlign w:val="superscript"/>
                <w:lang w:val="en-US" w:eastAsia="zh-CN"/>
              </w:rPr>
              <w:t>-10</w:t>
            </w:r>
            <w:r>
              <w:rPr>
                <w:rFonts w:hint="eastAsia"/>
                <w:color w:val="auto"/>
                <w:highlight w:val="none"/>
                <w:lang w:val="en-US" w:eastAsia="zh-CN"/>
              </w:rPr>
              <w:t>cm/s；</w:t>
            </w:r>
            <w:r>
              <w:rPr>
                <w:rFonts w:hint="default"/>
                <w:color w:val="auto"/>
                <w:highlight w:val="none"/>
                <w:lang w:val="en-US" w:eastAsia="zh-CN"/>
              </w:rPr>
              <w:t>本项目渗滤液收集量为</w:t>
            </w:r>
            <w:r>
              <w:rPr>
                <w:rFonts w:hint="eastAsia"/>
                <w:color w:val="auto"/>
                <w:highlight w:val="none"/>
                <w:lang w:val="en-US" w:eastAsia="zh-CN"/>
              </w:rPr>
              <w:t>45.87</w:t>
            </w:r>
            <w:r>
              <w:rPr>
                <w:rFonts w:hint="default"/>
                <w:color w:val="auto"/>
                <w:highlight w:val="none"/>
                <w:lang w:val="en-US" w:eastAsia="zh-CN"/>
              </w:rPr>
              <w:t>t/d，因此渗滤液池容积可行。</w:t>
            </w:r>
          </w:p>
          <w:p w14:paraId="25C793A8">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③</w:t>
            </w:r>
            <w:r>
              <w:rPr>
                <w:rFonts w:hint="eastAsia"/>
                <w:color w:val="auto"/>
                <w:highlight w:val="none"/>
                <w:lang w:eastAsia="zh-CN"/>
              </w:rPr>
              <w:t>设备清洗用水</w:t>
            </w:r>
          </w:p>
          <w:p w14:paraId="1AE4D82B">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根据建设单位提供资料，项目运营期搅拌机、静压机等设备平均每天需要用水清洗一次，每次清洗用水量约为5m</w:t>
            </w:r>
            <w:r>
              <w:rPr>
                <w:rFonts w:hint="default"/>
                <w:color w:val="auto"/>
                <w:highlight w:val="none"/>
                <w:vertAlign w:val="superscript"/>
              </w:rPr>
              <w:t>3</w:t>
            </w:r>
            <w:r>
              <w:rPr>
                <w:rFonts w:hint="default"/>
                <w:color w:val="auto"/>
                <w:highlight w:val="none"/>
              </w:rPr>
              <w:t>/d，1500m</w:t>
            </w:r>
            <w:r>
              <w:rPr>
                <w:rFonts w:hint="default"/>
                <w:color w:val="auto"/>
                <w:highlight w:val="none"/>
                <w:vertAlign w:val="superscript"/>
              </w:rPr>
              <w:t>3</w:t>
            </w:r>
            <w:r>
              <w:rPr>
                <w:rFonts w:hint="default"/>
                <w:color w:val="auto"/>
                <w:highlight w:val="none"/>
              </w:rPr>
              <w:t>/a，设备清洗废水产生量以用水量80%计，则设备清洗废水产生量为1200m</w:t>
            </w:r>
            <w:r>
              <w:rPr>
                <w:rFonts w:hint="default"/>
                <w:color w:val="auto"/>
                <w:highlight w:val="none"/>
                <w:vertAlign w:val="superscript"/>
              </w:rPr>
              <w:t>3</w:t>
            </w:r>
            <w:r>
              <w:rPr>
                <w:rFonts w:hint="default"/>
                <w:color w:val="auto"/>
                <w:highlight w:val="none"/>
              </w:rPr>
              <w:t>/a</w:t>
            </w:r>
            <w:r>
              <w:rPr>
                <w:rFonts w:hint="eastAsia"/>
                <w:color w:val="auto"/>
                <w:highlight w:val="none"/>
                <w:lang w:eastAsia="zh-CN"/>
              </w:rPr>
              <w:t>（</w:t>
            </w:r>
            <w:r>
              <w:rPr>
                <w:rFonts w:hint="default"/>
                <w:color w:val="auto"/>
                <w:highlight w:val="none"/>
              </w:rPr>
              <w:t>4m</w:t>
            </w:r>
            <w:r>
              <w:rPr>
                <w:rFonts w:hint="default"/>
                <w:color w:val="auto"/>
                <w:highlight w:val="none"/>
                <w:vertAlign w:val="superscript"/>
              </w:rPr>
              <w:t>3</w:t>
            </w:r>
            <w:r>
              <w:rPr>
                <w:rFonts w:hint="default"/>
                <w:color w:val="auto"/>
                <w:highlight w:val="none"/>
              </w:rPr>
              <w:t>/d</w:t>
            </w:r>
            <w:r>
              <w:rPr>
                <w:rFonts w:hint="eastAsia"/>
                <w:color w:val="auto"/>
                <w:highlight w:val="none"/>
                <w:lang w:eastAsia="zh-CN"/>
              </w:rPr>
              <w:t>）</w:t>
            </w:r>
            <w:r>
              <w:rPr>
                <w:rFonts w:hint="default"/>
                <w:color w:val="auto"/>
                <w:highlight w:val="none"/>
              </w:rPr>
              <w:t>，经收集后回用于搅拌工序，无废水排放。</w:t>
            </w:r>
          </w:p>
          <w:p w14:paraId="4E3AE41F">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④</w:t>
            </w:r>
            <w:r>
              <w:rPr>
                <w:rFonts w:hint="eastAsia"/>
                <w:color w:val="auto"/>
                <w:highlight w:val="none"/>
                <w:lang w:eastAsia="zh-CN"/>
              </w:rPr>
              <w:t>洗车</w:t>
            </w:r>
            <w:r>
              <w:rPr>
                <w:rFonts w:hint="default"/>
                <w:color w:val="auto"/>
                <w:highlight w:val="none"/>
                <w:lang w:val="en-US" w:eastAsia="zh-CN"/>
              </w:rPr>
              <w:t>用</w:t>
            </w:r>
            <w:r>
              <w:rPr>
                <w:rFonts w:hint="default"/>
                <w:color w:val="auto"/>
                <w:highlight w:val="none"/>
              </w:rPr>
              <w:t>水</w:t>
            </w:r>
          </w:p>
          <w:p w14:paraId="3CECD07E">
            <w:pPr>
              <w:keepNext w:val="0"/>
              <w:keepLines w:val="0"/>
              <w:suppressLineNumbers w:val="0"/>
              <w:bidi w:val="0"/>
              <w:spacing w:before="0" w:beforeAutospacing="0" w:after="0" w:afterAutospacing="0"/>
              <w:ind w:left="0" w:right="0"/>
              <w:rPr>
                <w:rFonts w:hint="default"/>
                <w:color w:val="auto"/>
                <w:highlight w:val="none"/>
                <w:lang w:eastAsia="zh-CN"/>
              </w:rPr>
            </w:pPr>
            <w:r>
              <w:rPr>
                <w:rFonts w:hint="default"/>
                <w:color w:val="auto"/>
                <w:highlight w:val="none"/>
              </w:rPr>
              <w:t>项目洗车平台</w:t>
            </w:r>
            <w:r>
              <w:rPr>
                <w:rFonts w:hint="eastAsia"/>
                <w:color w:val="auto"/>
                <w:highlight w:val="none"/>
                <w:lang w:eastAsia="zh-CN"/>
              </w:rPr>
              <w:t>依托现有工程</w:t>
            </w:r>
            <w:r>
              <w:rPr>
                <w:rFonts w:hint="default"/>
                <w:color w:val="auto"/>
                <w:highlight w:val="none"/>
              </w:rPr>
              <w:t>，对进、出运输车辆进行冲洗，一般运输量为</w:t>
            </w:r>
            <w:r>
              <w:rPr>
                <w:rFonts w:hint="eastAsia"/>
                <w:color w:val="auto"/>
                <w:highlight w:val="none"/>
                <w:lang w:val="en-US" w:eastAsia="zh-CN"/>
              </w:rPr>
              <w:t>4</w:t>
            </w:r>
            <w:r>
              <w:rPr>
                <w:rFonts w:hint="default"/>
                <w:color w:val="auto"/>
                <w:highlight w:val="none"/>
              </w:rPr>
              <w:t>0t/辆计，平均每天发载货车7</w:t>
            </w:r>
            <w:r>
              <w:rPr>
                <w:rFonts w:hint="eastAsia"/>
                <w:color w:val="auto"/>
                <w:highlight w:val="none"/>
                <w:lang w:val="en-US" w:eastAsia="zh-CN"/>
              </w:rPr>
              <w:t>5</w:t>
            </w:r>
            <w:r>
              <w:rPr>
                <w:rFonts w:hint="default"/>
                <w:color w:val="auto"/>
                <w:highlight w:val="none"/>
              </w:rPr>
              <w:t>辆，冲洗水量不超过0.2m</w:t>
            </w:r>
            <w:r>
              <w:rPr>
                <w:rFonts w:hint="default"/>
                <w:color w:val="auto"/>
                <w:highlight w:val="none"/>
                <w:vertAlign w:val="superscript"/>
              </w:rPr>
              <w:t>3</w:t>
            </w:r>
            <w:r>
              <w:rPr>
                <w:rFonts w:hint="default"/>
                <w:color w:val="auto"/>
                <w:highlight w:val="none"/>
              </w:rPr>
              <w:t>/辆，以降低运输扬尘的产生。则车辆清洗用水量约</w:t>
            </w:r>
            <w:r>
              <w:rPr>
                <w:rFonts w:hint="eastAsia"/>
                <w:color w:val="auto"/>
                <w:highlight w:val="none"/>
                <w:lang w:val="en-US" w:eastAsia="zh-CN"/>
              </w:rPr>
              <w:t>4500</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eastAsia"/>
                <w:color w:val="auto"/>
                <w:highlight w:val="none"/>
                <w:lang w:val="en-US" w:eastAsia="zh-CN"/>
              </w:rPr>
              <w:t>15</w:t>
            </w:r>
            <w:r>
              <w:rPr>
                <w:rFonts w:hint="default"/>
                <w:color w:val="auto"/>
                <w:highlight w:val="none"/>
              </w:rPr>
              <w:t>m</w:t>
            </w:r>
            <w:r>
              <w:rPr>
                <w:rFonts w:hint="default"/>
                <w:color w:val="auto"/>
                <w:highlight w:val="none"/>
                <w:vertAlign w:val="superscript"/>
              </w:rPr>
              <w:t>3</w:t>
            </w:r>
            <w:r>
              <w:rPr>
                <w:rFonts w:hint="default"/>
                <w:color w:val="auto"/>
                <w:highlight w:val="none"/>
              </w:rPr>
              <w:t>/d），损耗约</w:t>
            </w:r>
            <w:r>
              <w:rPr>
                <w:rFonts w:hint="eastAsia"/>
                <w:color w:val="auto"/>
                <w:highlight w:val="none"/>
                <w:lang w:val="en-US" w:eastAsia="zh-CN"/>
              </w:rPr>
              <w:t>900</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eastAsia"/>
                <w:color w:val="auto"/>
                <w:highlight w:val="none"/>
                <w:lang w:val="en-US" w:eastAsia="zh-CN"/>
              </w:rPr>
              <w:t>3</w:t>
            </w:r>
            <w:r>
              <w:rPr>
                <w:rFonts w:hint="default"/>
                <w:color w:val="auto"/>
                <w:highlight w:val="none"/>
              </w:rPr>
              <w:t>m</w:t>
            </w:r>
            <w:r>
              <w:rPr>
                <w:rFonts w:hint="default"/>
                <w:color w:val="auto"/>
                <w:highlight w:val="none"/>
                <w:vertAlign w:val="superscript"/>
              </w:rPr>
              <w:t>3</w:t>
            </w:r>
            <w:r>
              <w:rPr>
                <w:rFonts w:hint="default"/>
                <w:color w:val="auto"/>
                <w:highlight w:val="none"/>
              </w:rPr>
              <w:t>/d）</w:t>
            </w:r>
            <w:r>
              <w:rPr>
                <w:rFonts w:hint="eastAsia"/>
                <w:color w:val="auto"/>
                <w:highlight w:val="none"/>
                <w:lang w:eastAsia="zh-CN"/>
              </w:rPr>
              <w:t>，</w:t>
            </w:r>
            <w:r>
              <w:rPr>
                <w:rFonts w:hint="default"/>
                <w:color w:val="auto"/>
                <w:highlight w:val="none"/>
                <w:lang w:val="en-US" w:eastAsia="zh-CN"/>
              </w:rPr>
              <w:t>洗车废水</w:t>
            </w:r>
            <w:r>
              <w:rPr>
                <w:rFonts w:hint="default"/>
                <w:color w:val="auto"/>
                <w:highlight w:val="none"/>
              </w:rPr>
              <w:t>产生量</w:t>
            </w:r>
            <w:r>
              <w:rPr>
                <w:rFonts w:hint="default"/>
                <w:color w:val="auto"/>
                <w:highlight w:val="none"/>
                <w:lang w:val="en-US" w:eastAsia="zh-CN"/>
              </w:rPr>
              <w:t>3</w:t>
            </w:r>
            <w:r>
              <w:rPr>
                <w:rFonts w:hint="eastAsia"/>
                <w:color w:val="auto"/>
                <w:highlight w:val="none"/>
                <w:lang w:val="en-US" w:eastAsia="zh-CN"/>
              </w:rPr>
              <w:t>600</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default"/>
                <w:color w:val="auto"/>
                <w:highlight w:val="none"/>
                <w:lang w:eastAsia="zh-CN"/>
              </w:rPr>
              <w:t>（</w:t>
            </w:r>
            <w:r>
              <w:rPr>
                <w:rFonts w:hint="default"/>
                <w:color w:val="auto"/>
                <w:highlight w:val="none"/>
                <w:lang w:val="en-US" w:eastAsia="zh-CN"/>
              </w:rPr>
              <w:t>1</w:t>
            </w:r>
            <w:r>
              <w:rPr>
                <w:rFonts w:hint="eastAsia"/>
                <w:color w:val="auto"/>
                <w:highlight w:val="none"/>
                <w:lang w:val="en-US" w:eastAsia="zh-CN"/>
              </w:rPr>
              <w:t>2</w:t>
            </w:r>
            <w:r>
              <w:rPr>
                <w:rFonts w:hint="default"/>
                <w:color w:val="auto"/>
                <w:highlight w:val="none"/>
              </w:rPr>
              <w:t>m</w:t>
            </w:r>
            <w:r>
              <w:rPr>
                <w:rFonts w:hint="default"/>
                <w:color w:val="auto"/>
                <w:highlight w:val="none"/>
                <w:vertAlign w:val="superscript"/>
              </w:rPr>
              <w:t>3</w:t>
            </w:r>
            <w:r>
              <w:rPr>
                <w:rFonts w:hint="default"/>
                <w:color w:val="auto"/>
                <w:highlight w:val="none"/>
              </w:rPr>
              <w:t>/</w:t>
            </w:r>
            <w:r>
              <w:rPr>
                <w:rFonts w:hint="default"/>
                <w:color w:val="auto"/>
                <w:highlight w:val="none"/>
                <w:lang w:val="en-US" w:eastAsia="zh-CN"/>
              </w:rPr>
              <w:t>d</w:t>
            </w:r>
            <w:r>
              <w:rPr>
                <w:rFonts w:hint="default"/>
                <w:color w:val="auto"/>
                <w:highlight w:val="none"/>
                <w:lang w:eastAsia="zh-CN"/>
              </w:rPr>
              <w:t>）</w:t>
            </w:r>
            <w:r>
              <w:rPr>
                <w:rFonts w:hint="default"/>
                <w:color w:val="auto"/>
                <w:highlight w:val="none"/>
              </w:rPr>
              <w:t>。</w:t>
            </w:r>
            <w:r>
              <w:rPr>
                <w:rFonts w:hint="eastAsia"/>
                <w:color w:val="auto"/>
                <w:highlight w:val="none"/>
                <w:lang w:eastAsia="zh-CN"/>
              </w:rPr>
              <w:t>洗车废水经</w:t>
            </w:r>
            <w:r>
              <w:rPr>
                <w:rFonts w:hint="default"/>
                <w:color w:val="auto"/>
                <w:highlight w:val="none"/>
                <w:lang w:eastAsia="zh-CN"/>
              </w:rPr>
              <w:t>收集</w:t>
            </w:r>
            <w:r>
              <w:rPr>
                <w:rFonts w:hint="eastAsia"/>
                <w:color w:val="auto"/>
                <w:highlight w:val="none"/>
                <w:lang w:eastAsia="zh-CN"/>
              </w:rPr>
              <w:t>进入</w:t>
            </w:r>
            <w:r>
              <w:rPr>
                <w:rFonts w:hint="default"/>
                <w:color w:val="auto"/>
                <w:highlight w:val="none"/>
              </w:rPr>
              <w:t>沉淀</w:t>
            </w:r>
            <w:r>
              <w:rPr>
                <w:rFonts w:hint="default"/>
                <w:color w:val="auto"/>
                <w:highlight w:val="none"/>
                <w:lang w:val="en-US" w:eastAsia="zh-CN"/>
              </w:rPr>
              <w:t>池沉淀</w:t>
            </w:r>
            <w:r>
              <w:rPr>
                <w:rFonts w:hint="default"/>
                <w:color w:val="auto"/>
                <w:highlight w:val="none"/>
                <w:lang w:eastAsia="zh-CN"/>
              </w:rPr>
              <w:t>，沉淀处理达《城市污水再生利用工业用水水质》（GB/T19923-2024）中洗涤水标准</w:t>
            </w:r>
            <w:r>
              <w:rPr>
                <w:rFonts w:hint="eastAsia"/>
                <w:color w:val="auto"/>
                <w:highlight w:val="none"/>
                <w:lang w:eastAsia="zh-CN"/>
              </w:rPr>
              <w:t>、</w:t>
            </w:r>
            <w:r>
              <w:rPr>
                <w:rFonts w:hint="eastAsia"/>
                <w:color w:val="auto"/>
                <w:highlight w:val="none"/>
              </w:rPr>
              <w:t>《无机化学工业污染物排放标准》（GB31573-2015）和《工业废水铊污染物排放标准》（DB36/1149-2019）标准</w:t>
            </w:r>
            <w:r>
              <w:rPr>
                <w:rFonts w:hint="eastAsia"/>
                <w:color w:val="FF0000"/>
                <w:highlight w:val="none"/>
                <w:lang w:eastAsia="zh-CN"/>
              </w:rPr>
              <w:t>中较严值</w:t>
            </w:r>
            <w:r>
              <w:rPr>
                <w:rFonts w:hint="eastAsia"/>
                <w:color w:val="auto"/>
                <w:highlight w:val="none"/>
                <w:lang w:val="en-US" w:eastAsia="zh-CN"/>
              </w:rPr>
              <w:t>后</w:t>
            </w:r>
            <w:r>
              <w:rPr>
                <w:rFonts w:hint="default"/>
                <w:color w:val="auto"/>
                <w:highlight w:val="none"/>
                <w:lang w:eastAsia="zh-CN"/>
              </w:rPr>
              <w:t>，回用于洗</w:t>
            </w:r>
            <w:r>
              <w:rPr>
                <w:rFonts w:hint="default"/>
                <w:color w:val="auto"/>
                <w:highlight w:val="none"/>
                <w:lang w:val="en-US" w:eastAsia="zh-CN"/>
              </w:rPr>
              <w:t>车</w:t>
            </w:r>
            <w:r>
              <w:rPr>
                <w:rFonts w:hint="default"/>
                <w:color w:val="auto"/>
                <w:highlight w:val="none"/>
                <w:lang w:eastAsia="zh-CN"/>
              </w:rPr>
              <w:t>环节，不外排。</w:t>
            </w:r>
          </w:p>
          <w:p w14:paraId="3021D487">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⑤</w:t>
            </w:r>
            <w:r>
              <w:rPr>
                <w:rFonts w:hint="default"/>
                <w:color w:val="auto"/>
                <w:highlight w:val="none"/>
                <w:lang w:val="en-US" w:eastAsia="zh-CN"/>
              </w:rPr>
              <w:t>降尘用水</w:t>
            </w:r>
          </w:p>
          <w:p w14:paraId="3E15D77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项目在</w:t>
            </w:r>
            <w:r>
              <w:rPr>
                <w:rFonts w:hint="default"/>
                <w:color w:val="auto"/>
                <w:highlight w:val="none"/>
                <w:lang w:val="en-US" w:eastAsia="zh-CN"/>
              </w:rPr>
              <w:t>原料</w:t>
            </w:r>
            <w:r>
              <w:rPr>
                <w:rFonts w:hint="default"/>
                <w:color w:val="auto"/>
                <w:highlight w:val="none"/>
              </w:rPr>
              <w:t>仓库</w:t>
            </w:r>
            <w:r>
              <w:rPr>
                <w:rFonts w:hint="default"/>
                <w:color w:val="auto"/>
                <w:highlight w:val="none"/>
                <w:lang w:val="en-US" w:eastAsia="zh-CN"/>
              </w:rPr>
              <w:t>及</w:t>
            </w:r>
            <w:r>
              <w:rPr>
                <w:rFonts w:hint="default"/>
                <w:color w:val="auto"/>
                <w:highlight w:val="none"/>
              </w:rPr>
              <w:t>周边</w:t>
            </w:r>
            <w:r>
              <w:rPr>
                <w:rFonts w:hint="default"/>
                <w:color w:val="auto"/>
                <w:highlight w:val="none"/>
                <w:lang w:eastAsia="zh-CN"/>
              </w:rPr>
              <w:t>、</w:t>
            </w:r>
            <w:r>
              <w:rPr>
                <w:rFonts w:hint="default"/>
                <w:color w:val="auto"/>
                <w:highlight w:val="none"/>
                <w:lang w:val="en-US" w:eastAsia="zh-CN"/>
              </w:rPr>
              <w:t>生产区域、厂内</w:t>
            </w:r>
            <w:r>
              <w:rPr>
                <w:rFonts w:hint="default"/>
                <w:color w:val="auto"/>
                <w:highlight w:val="none"/>
                <w:lang w:eastAsia="zh-CN"/>
              </w:rPr>
              <w:t>原料输送沿线</w:t>
            </w:r>
            <w:r>
              <w:rPr>
                <w:rFonts w:hint="default"/>
                <w:color w:val="auto"/>
                <w:highlight w:val="none"/>
              </w:rPr>
              <w:t>设有喷淋装置，根据企业提供的资料，喷淋水量约</w:t>
            </w:r>
            <w:r>
              <w:rPr>
                <w:rFonts w:hint="default"/>
                <w:color w:val="auto"/>
                <w:highlight w:val="none"/>
                <w:lang w:val="en-US" w:eastAsia="zh-CN"/>
              </w:rPr>
              <w:t>3000</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default"/>
                <w:color w:val="auto"/>
                <w:highlight w:val="none"/>
                <w:lang w:eastAsia="zh-CN"/>
              </w:rPr>
              <w:t>（</w:t>
            </w:r>
            <w:r>
              <w:rPr>
                <w:rFonts w:hint="default"/>
                <w:color w:val="auto"/>
                <w:highlight w:val="none"/>
                <w:lang w:val="en-US" w:eastAsia="zh-CN"/>
              </w:rPr>
              <w:t>10</w:t>
            </w:r>
            <w:r>
              <w:rPr>
                <w:rFonts w:hint="default"/>
                <w:color w:val="auto"/>
                <w:highlight w:val="none"/>
              </w:rPr>
              <w:t>m</w:t>
            </w:r>
            <w:r>
              <w:rPr>
                <w:rFonts w:hint="default"/>
                <w:color w:val="auto"/>
                <w:highlight w:val="none"/>
                <w:vertAlign w:val="superscript"/>
              </w:rPr>
              <w:t>3</w:t>
            </w:r>
            <w:r>
              <w:rPr>
                <w:rFonts w:hint="default"/>
                <w:color w:val="auto"/>
                <w:highlight w:val="none"/>
              </w:rPr>
              <w:t>/</w:t>
            </w:r>
            <w:r>
              <w:rPr>
                <w:rFonts w:hint="default"/>
                <w:color w:val="auto"/>
                <w:highlight w:val="none"/>
                <w:lang w:val="en-US" w:eastAsia="zh-CN"/>
              </w:rPr>
              <w:t>d</w:t>
            </w:r>
            <w:r>
              <w:rPr>
                <w:rFonts w:hint="default"/>
                <w:color w:val="auto"/>
                <w:highlight w:val="none"/>
                <w:lang w:eastAsia="zh-CN"/>
              </w:rPr>
              <w:t>），</w:t>
            </w:r>
            <w:r>
              <w:rPr>
                <w:rFonts w:hint="default"/>
                <w:color w:val="auto"/>
                <w:highlight w:val="none"/>
              </w:rPr>
              <w:t>该部分</w:t>
            </w:r>
            <w:r>
              <w:rPr>
                <w:rFonts w:hint="default"/>
                <w:color w:val="auto"/>
                <w:highlight w:val="none"/>
                <w:lang w:val="en-US" w:eastAsia="zh-CN"/>
              </w:rPr>
              <w:t>水分全部损耗</w:t>
            </w:r>
            <w:r>
              <w:rPr>
                <w:rFonts w:hint="default"/>
                <w:color w:val="auto"/>
                <w:highlight w:val="none"/>
              </w:rPr>
              <w:t>。</w:t>
            </w:r>
          </w:p>
          <w:p w14:paraId="5700F179">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⑥</w:t>
            </w:r>
            <w:r>
              <w:rPr>
                <w:rFonts w:hint="default"/>
                <w:color w:val="auto"/>
                <w:highlight w:val="none"/>
                <w:lang w:val="en-US" w:eastAsia="zh-CN"/>
              </w:rPr>
              <w:t>养护用水</w:t>
            </w:r>
          </w:p>
          <w:p w14:paraId="49AC0C25">
            <w:pPr>
              <w:keepNext w:val="0"/>
              <w:keepLines w:val="0"/>
              <w:suppressLineNumbers w:val="0"/>
              <w:bidi w:val="0"/>
              <w:spacing w:before="0" w:beforeAutospacing="0" w:after="0" w:afterAutospacing="0"/>
              <w:ind w:left="0" w:right="0"/>
              <w:rPr>
                <w:rFonts w:hint="default"/>
                <w:color w:val="auto"/>
                <w:highlight w:val="none"/>
                <w:lang w:eastAsia="zh-CN"/>
              </w:rPr>
            </w:pPr>
            <w:r>
              <w:rPr>
                <w:rFonts w:hint="default"/>
                <w:color w:val="auto"/>
                <w:highlight w:val="none"/>
                <w:lang w:val="en-US" w:eastAsia="zh-CN"/>
              </w:rPr>
              <w:t>环保</w:t>
            </w:r>
            <w:r>
              <w:rPr>
                <w:rFonts w:hint="eastAsia"/>
                <w:color w:val="auto"/>
                <w:highlight w:val="none"/>
                <w:lang w:val="en-US" w:eastAsia="zh-CN"/>
              </w:rPr>
              <w:t>免烧</w:t>
            </w:r>
            <w:r>
              <w:rPr>
                <w:rFonts w:hint="default"/>
                <w:color w:val="auto"/>
                <w:highlight w:val="none"/>
                <w:lang w:val="en-US" w:eastAsia="zh-CN"/>
              </w:rPr>
              <w:t>砖养护过程</w:t>
            </w:r>
            <w:r>
              <w:rPr>
                <w:rFonts w:hint="eastAsia"/>
                <w:color w:val="auto"/>
                <w:highlight w:val="none"/>
                <w:lang w:val="en-US" w:eastAsia="zh-CN"/>
              </w:rPr>
              <w:t>需要</w:t>
            </w:r>
            <w:r>
              <w:rPr>
                <w:rFonts w:hint="default"/>
                <w:color w:val="auto"/>
                <w:highlight w:val="none"/>
                <w:lang w:val="en-US" w:eastAsia="zh-CN"/>
              </w:rPr>
              <w:t>养护用水，根据业主提供资料，养护用水量</w:t>
            </w:r>
            <w:r>
              <w:rPr>
                <w:rFonts w:hint="default"/>
                <w:color w:val="auto"/>
                <w:highlight w:val="none"/>
              </w:rPr>
              <w:t>约</w:t>
            </w:r>
            <w:r>
              <w:rPr>
                <w:rFonts w:hint="default"/>
                <w:color w:val="auto"/>
                <w:highlight w:val="none"/>
                <w:lang w:val="en-US" w:eastAsia="zh-CN"/>
              </w:rPr>
              <w:t>为240</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default"/>
                <w:color w:val="auto"/>
                <w:highlight w:val="none"/>
                <w:lang w:eastAsia="zh-CN"/>
              </w:rPr>
              <w:t>（</w:t>
            </w:r>
            <w:r>
              <w:rPr>
                <w:rFonts w:hint="default"/>
                <w:color w:val="auto"/>
                <w:highlight w:val="none"/>
                <w:lang w:val="en-US" w:eastAsia="zh-CN"/>
              </w:rPr>
              <w:t>0.8</w:t>
            </w:r>
            <w:r>
              <w:rPr>
                <w:rFonts w:hint="default"/>
                <w:color w:val="auto"/>
                <w:highlight w:val="none"/>
              </w:rPr>
              <w:t>m</w:t>
            </w:r>
            <w:r>
              <w:rPr>
                <w:rFonts w:hint="default"/>
                <w:color w:val="auto"/>
                <w:highlight w:val="none"/>
                <w:vertAlign w:val="superscript"/>
              </w:rPr>
              <w:t>3</w:t>
            </w:r>
            <w:r>
              <w:rPr>
                <w:rFonts w:hint="default"/>
                <w:color w:val="auto"/>
                <w:highlight w:val="none"/>
              </w:rPr>
              <w:t>/</w:t>
            </w:r>
            <w:r>
              <w:rPr>
                <w:rFonts w:hint="default"/>
                <w:color w:val="auto"/>
                <w:highlight w:val="none"/>
                <w:lang w:val="en-US" w:eastAsia="zh-CN"/>
              </w:rPr>
              <w:t>d</w:t>
            </w:r>
            <w:r>
              <w:rPr>
                <w:rFonts w:hint="default"/>
                <w:color w:val="auto"/>
                <w:highlight w:val="none"/>
                <w:lang w:eastAsia="zh-CN"/>
              </w:rPr>
              <w:t>），</w:t>
            </w:r>
            <w:r>
              <w:rPr>
                <w:rFonts w:hint="default"/>
                <w:color w:val="auto"/>
                <w:highlight w:val="none"/>
              </w:rPr>
              <w:t>养护过程中约</w:t>
            </w:r>
            <w:r>
              <w:rPr>
                <w:rFonts w:hint="eastAsia"/>
                <w:color w:val="auto"/>
                <w:highlight w:val="none"/>
                <w:lang w:val="en-US" w:eastAsia="zh-CN"/>
              </w:rPr>
              <w:t>8</w:t>
            </w:r>
            <w:r>
              <w:rPr>
                <w:rFonts w:hint="default"/>
                <w:color w:val="auto"/>
                <w:highlight w:val="none"/>
              </w:rPr>
              <w:t>0%的水蒸发损耗，</w:t>
            </w:r>
            <w:r>
              <w:rPr>
                <w:rFonts w:hint="eastAsia"/>
                <w:color w:val="auto"/>
                <w:highlight w:val="none"/>
                <w:lang w:eastAsia="zh-CN"/>
              </w:rPr>
              <w:t>约产生</w:t>
            </w:r>
            <w:r>
              <w:rPr>
                <w:rFonts w:hint="eastAsia"/>
                <w:color w:val="auto"/>
                <w:highlight w:val="none"/>
                <w:lang w:val="en-US" w:eastAsia="zh-CN"/>
              </w:rPr>
              <w:t>20%的</w:t>
            </w:r>
            <w:r>
              <w:rPr>
                <w:rFonts w:hint="default"/>
                <w:color w:val="auto"/>
                <w:highlight w:val="none"/>
                <w:lang w:val="en-US" w:eastAsia="zh-CN"/>
              </w:rPr>
              <w:t>养护废水</w:t>
            </w:r>
            <w:r>
              <w:rPr>
                <w:rFonts w:hint="eastAsia"/>
                <w:color w:val="auto"/>
                <w:highlight w:val="none"/>
                <w:lang w:val="en-US" w:eastAsia="zh-CN"/>
              </w:rPr>
              <w:t>48</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default"/>
                <w:color w:val="auto"/>
                <w:highlight w:val="none"/>
                <w:lang w:eastAsia="zh-CN"/>
              </w:rPr>
              <w:t>（</w:t>
            </w:r>
            <w:r>
              <w:rPr>
                <w:rFonts w:hint="default"/>
                <w:color w:val="auto"/>
                <w:highlight w:val="none"/>
                <w:lang w:val="en-US" w:eastAsia="zh-CN"/>
              </w:rPr>
              <w:t>0.</w:t>
            </w:r>
            <w:r>
              <w:rPr>
                <w:rFonts w:hint="eastAsia"/>
                <w:color w:val="auto"/>
                <w:highlight w:val="none"/>
                <w:lang w:val="en-US" w:eastAsia="zh-CN"/>
              </w:rPr>
              <w:t>16</w:t>
            </w:r>
            <w:r>
              <w:rPr>
                <w:rFonts w:hint="default"/>
                <w:color w:val="auto"/>
                <w:highlight w:val="none"/>
              </w:rPr>
              <w:t>m</w:t>
            </w:r>
            <w:r>
              <w:rPr>
                <w:rFonts w:hint="default"/>
                <w:color w:val="auto"/>
                <w:highlight w:val="none"/>
                <w:vertAlign w:val="superscript"/>
              </w:rPr>
              <w:t>3</w:t>
            </w:r>
            <w:r>
              <w:rPr>
                <w:rFonts w:hint="default"/>
                <w:color w:val="auto"/>
                <w:highlight w:val="none"/>
              </w:rPr>
              <w:t>/</w:t>
            </w:r>
            <w:r>
              <w:rPr>
                <w:rFonts w:hint="default"/>
                <w:color w:val="auto"/>
                <w:highlight w:val="none"/>
                <w:lang w:val="en-US" w:eastAsia="zh-CN"/>
              </w:rPr>
              <w:t>d</w:t>
            </w:r>
            <w:r>
              <w:rPr>
                <w:rFonts w:hint="default"/>
                <w:color w:val="auto"/>
                <w:highlight w:val="none"/>
                <w:lang w:eastAsia="zh-CN"/>
              </w:rPr>
              <w:t>），养护区四周设有导流槽，养护废水通过导流槽进入</w:t>
            </w:r>
            <w:r>
              <w:rPr>
                <w:rFonts w:hint="default"/>
                <w:color w:val="auto"/>
                <w:highlight w:val="none"/>
                <w:lang w:val="en-US" w:eastAsia="zh-CN"/>
              </w:rPr>
              <w:t>沉淀池</w:t>
            </w:r>
            <w:r>
              <w:rPr>
                <w:rFonts w:hint="default"/>
                <w:color w:val="auto"/>
                <w:highlight w:val="none"/>
                <w:lang w:eastAsia="zh-CN"/>
              </w:rPr>
              <w:t>沉淀，沉淀后达《城市污水再生利用工业用水水质》（GB/T19923-2024）中洗涤水标准</w:t>
            </w:r>
            <w:r>
              <w:rPr>
                <w:rFonts w:hint="eastAsia"/>
                <w:color w:val="auto"/>
                <w:highlight w:val="none"/>
                <w:lang w:eastAsia="zh-CN"/>
              </w:rPr>
              <w:t>、</w:t>
            </w:r>
            <w:r>
              <w:rPr>
                <w:rFonts w:hint="eastAsia"/>
                <w:color w:val="auto"/>
                <w:highlight w:val="none"/>
              </w:rPr>
              <w:t>《无机化学工业污染物排放标准》（GB31573-2015）和《工业废水铊污染物排放标准》（DB36/1149-2019）标准</w:t>
            </w:r>
            <w:r>
              <w:rPr>
                <w:rFonts w:hint="eastAsia"/>
                <w:color w:val="FF0000"/>
                <w:highlight w:val="none"/>
                <w:lang w:eastAsia="zh-CN"/>
              </w:rPr>
              <w:t>中较严值</w:t>
            </w:r>
            <w:r>
              <w:rPr>
                <w:rFonts w:hint="eastAsia"/>
                <w:color w:val="auto"/>
                <w:highlight w:val="none"/>
                <w:lang w:val="en-US" w:eastAsia="zh-CN"/>
              </w:rPr>
              <w:t>后</w:t>
            </w:r>
            <w:r>
              <w:rPr>
                <w:rFonts w:hint="default"/>
                <w:color w:val="auto"/>
                <w:highlight w:val="none"/>
                <w:lang w:eastAsia="zh-CN"/>
              </w:rPr>
              <w:t>，回用于</w:t>
            </w:r>
            <w:r>
              <w:rPr>
                <w:rFonts w:hint="eastAsia"/>
                <w:color w:val="auto"/>
                <w:highlight w:val="none"/>
                <w:lang w:val="en-US" w:eastAsia="zh-CN"/>
              </w:rPr>
              <w:t>抑尘用水</w:t>
            </w:r>
            <w:r>
              <w:rPr>
                <w:rFonts w:hint="default"/>
                <w:color w:val="auto"/>
                <w:highlight w:val="none"/>
                <w:lang w:eastAsia="zh-CN"/>
              </w:rPr>
              <w:t>不外排。</w:t>
            </w:r>
          </w:p>
          <w:p w14:paraId="362B48AA">
            <w:pPr>
              <w:keepNext w:val="0"/>
              <w:keepLines w:val="0"/>
              <w:suppressLineNumbers w:val="0"/>
              <w:bidi w:val="0"/>
              <w:spacing w:before="0" w:beforeAutospacing="0" w:after="0" w:afterAutospacing="0"/>
              <w:ind w:left="0" w:right="0"/>
              <w:rPr>
                <w:rFonts w:hint="default"/>
                <w:color w:val="auto"/>
                <w:highlight w:val="none"/>
                <w:lang w:eastAsia="zh-CN"/>
              </w:rPr>
            </w:pPr>
            <w:r>
              <w:rPr>
                <w:rFonts w:hint="eastAsia"/>
                <w:color w:val="auto"/>
                <w:highlight w:val="none"/>
                <w:lang w:val="en-US" w:eastAsia="zh-CN"/>
              </w:rPr>
              <w:t>本项目洗车废水和养护废水进沉淀池沉淀后，采用絮凝</w:t>
            </w:r>
            <w:r>
              <w:rPr>
                <w:rFonts w:hint="eastAsia"/>
                <w:color w:val="auto"/>
                <w:highlight w:val="none"/>
                <w:lang w:eastAsia="zh-CN"/>
              </w:rPr>
              <w:t>沉淀处理后达《城市污水再生利用工业用水水质》（GB/T19923-2024）中洗涤水标准、</w:t>
            </w:r>
            <w:r>
              <w:rPr>
                <w:rFonts w:hint="eastAsia"/>
                <w:color w:val="auto"/>
                <w:highlight w:val="none"/>
              </w:rPr>
              <w:t>《无机化学工业污染物排放标准》（GB31573-2015）</w:t>
            </w:r>
            <w:r>
              <w:rPr>
                <w:rFonts w:hint="eastAsia"/>
                <w:color w:val="auto"/>
                <w:highlight w:val="none"/>
                <w:lang w:val="en-US" w:eastAsia="zh-CN"/>
              </w:rPr>
              <w:t>、《无机化学工业污染物排放标准》（GB31573-2015）</w:t>
            </w:r>
            <w:r>
              <w:rPr>
                <w:rFonts w:hint="eastAsia"/>
                <w:color w:val="auto"/>
                <w:highlight w:val="none"/>
              </w:rPr>
              <w:t>和《工业废水铊污染物排放标准》（DB36/1149-2019）标准</w:t>
            </w:r>
            <w:r>
              <w:rPr>
                <w:rFonts w:hint="eastAsia"/>
                <w:color w:val="FF0000"/>
                <w:highlight w:val="none"/>
                <w:lang w:eastAsia="zh-CN"/>
              </w:rPr>
              <w:t>中较严值</w:t>
            </w:r>
            <w:r>
              <w:rPr>
                <w:rFonts w:hint="eastAsia"/>
                <w:color w:val="auto"/>
                <w:highlight w:val="none"/>
                <w:lang w:eastAsia="zh-CN"/>
              </w:rPr>
              <w:t>后回用，</w:t>
            </w:r>
            <w:r>
              <w:rPr>
                <w:rFonts w:hint="eastAsia"/>
                <w:color w:val="auto"/>
                <w:highlight w:val="none"/>
                <w:lang w:val="en-US" w:eastAsia="zh-CN"/>
              </w:rPr>
              <w:t>本项目沉淀池依托租赁厂房东南侧的一容积为600m</w:t>
            </w:r>
            <w:r>
              <w:rPr>
                <w:rFonts w:hint="eastAsia"/>
                <w:color w:val="auto"/>
                <w:highlight w:val="none"/>
                <w:vertAlign w:val="superscript"/>
                <w:lang w:val="en-US" w:eastAsia="zh-CN"/>
              </w:rPr>
              <w:t>3</w:t>
            </w:r>
            <w:r>
              <w:rPr>
                <w:rFonts w:hint="eastAsia"/>
                <w:color w:val="auto"/>
                <w:highlight w:val="none"/>
                <w:lang w:val="en-US" w:eastAsia="zh-CN"/>
              </w:rPr>
              <w:t>的沉淀池，通过管道和导流槽收集，本项目洗车废水和养护废水收集量为12.16t/d，因此沉淀池容积可行。</w:t>
            </w:r>
          </w:p>
          <w:p w14:paraId="3C1D55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eastAsia" w:cs="Times New Roman"/>
                <w:color w:val="auto"/>
                <w:sz w:val="24"/>
                <w:szCs w:val="24"/>
                <w:highlight w:val="none"/>
                <w:lang w:eastAsia="zh-CN"/>
              </w:rPr>
            </w:pPr>
            <w:r>
              <w:rPr>
                <w:rFonts w:hint="default" w:ascii="Times New Roman" w:hAnsi="Times New Roman" w:cs="Times New Roman"/>
                <w:color w:val="auto"/>
                <w:sz w:val="24"/>
                <w:szCs w:val="24"/>
                <w:highlight w:val="none"/>
              </w:rPr>
              <w:t>⑦</w:t>
            </w:r>
            <w:r>
              <w:rPr>
                <w:rFonts w:hint="eastAsia" w:cs="Times New Roman"/>
                <w:color w:val="auto"/>
                <w:sz w:val="24"/>
                <w:szCs w:val="24"/>
                <w:highlight w:val="none"/>
                <w:lang w:eastAsia="zh-CN"/>
              </w:rPr>
              <w:t>生活用水</w:t>
            </w:r>
          </w:p>
          <w:p w14:paraId="62CF6E91">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本次扩建新增劳动定员</w:t>
            </w:r>
            <w:r>
              <w:rPr>
                <w:rFonts w:hint="eastAsia"/>
                <w:color w:val="auto"/>
                <w:highlight w:val="none"/>
                <w:lang w:val="en-US" w:eastAsia="zh-CN"/>
              </w:rPr>
              <w:t>1</w:t>
            </w:r>
            <w:r>
              <w:rPr>
                <w:rFonts w:hint="default"/>
                <w:color w:val="auto"/>
                <w:highlight w:val="none"/>
              </w:rPr>
              <w:t>0人，全部在厂内食宿，参考《生活及服务业用水定额 第2部分：服务业、居民生活和建筑业》（DB36/T 1827.1-2023）中员工生活用水量按城镇居民用水160L/（人·d）计，则用水量为</w:t>
            </w:r>
            <w:r>
              <w:rPr>
                <w:rFonts w:hint="eastAsia"/>
                <w:color w:val="auto"/>
                <w:highlight w:val="none"/>
                <w:lang w:val="en-US" w:eastAsia="zh-CN"/>
              </w:rPr>
              <w:t>480</w:t>
            </w:r>
            <w:r>
              <w:rPr>
                <w:rFonts w:hint="default"/>
                <w:color w:val="auto"/>
                <w:highlight w:val="none"/>
              </w:rPr>
              <w:t>m</w:t>
            </w:r>
            <w:r>
              <w:rPr>
                <w:rFonts w:hint="default"/>
                <w:color w:val="FF0000"/>
                <w:highlight w:val="none"/>
                <w:vertAlign w:val="superscript"/>
              </w:rPr>
              <w:t>3</w:t>
            </w:r>
            <w:r>
              <w:rPr>
                <w:rFonts w:hint="default"/>
                <w:color w:val="auto"/>
                <w:highlight w:val="none"/>
              </w:rPr>
              <w:t>/a</w:t>
            </w:r>
            <w:r>
              <w:rPr>
                <w:rFonts w:hint="eastAsia"/>
                <w:color w:val="auto"/>
                <w:highlight w:val="none"/>
                <w:lang w:eastAsia="zh-CN"/>
              </w:rPr>
              <w:t>（</w:t>
            </w:r>
            <w:r>
              <w:rPr>
                <w:rFonts w:hint="eastAsia"/>
                <w:color w:val="auto"/>
                <w:highlight w:val="none"/>
                <w:lang w:val="en-US" w:eastAsia="zh-CN"/>
              </w:rPr>
              <w:t>1.6</w:t>
            </w:r>
            <w:r>
              <w:rPr>
                <w:rFonts w:hint="default"/>
                <w:color w:val="auto"/>
                <w:highlight w:val="none"/>
              </w:rPr>
              <w:t>m</w:t>
            </w:r>
            <w:r>
              <w:rPr>
                <w:rFonts w:hint="default"/>
                <w:color w:val="auto"/>
                <w:highlight w:val="none"/>
                <w:vertAlign w:val="superscript"/>
              </w:rPr>
              <w:t>3</w:t>
            </w:r>
            <w:r>
              <w:rPr>
                <w:rFonts w:hint="default"/>
                <w:color w:val="auto"/>
                <w:highlight w:val="none"/>
              </w:rPr>
              <w:t>/d</w:t>
            </w:r>
            <w:r>
              <w:rPr>
                <w:rFonts w:hint="eastAsia"/>
                <w:color w:val="auto"/>
                <w:highlight w:val="none"/>
                <w:lang w:eastAsia="zh-CN"/>
              </w:rPr>
              <w:t>）</w:t>
            </w:r>
            <w:r>
              <w:rPr>
                <w:rFonts w:hint="default"/>
                <w:color w:val="auto"/>
                <w:highlight w:val="none"/>
              </w:rPr>
              <w:t>。</w:t>
            </w:r>
            <w:bookmarkStart w:id="93" w:name="OLE_LINK126"/>
            <w:r>
              <w:rPr>
                <w:rFonts w:hint="default"/>
                <w:color w:val="auto"/>
                <w:highlight w:val="none"/>
              </w:rPr>
              <w:t>排污系数按80%计，</w:t>
            </w:r>
            <w:bookmarkEnd w:id="93"/>
            <w:r>
              <w:rPr>
                <w:rFonts w:hint="default"/>
                <w:color w:val="auto"/>
                <w:highlight w:val="none"/>
              </w:rPr>
              <w:t>生活污水产生量为</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eastAsia"/>
                <w:color w:val="auto"/>
                <w:highlight w:val="none"/>
                <w:lang w:eastAsia="zh-CN"/>
              </w:rPr>
              <w:t>（</w:t>
            </w:r>
            <w:r>
              <w:rPr>
                <w:rFonts w:hint="eastAsia"/>
                <w:color w:val="auto"/>
                <w:highlight w:val="none"/>
                <w:lang w:val="en-US" w:eastAsia="zh-CN"/>
              </w:rPr>
              <w:t>1.28</w:t>
            </w:r>
            <w:r>
              <w:rPr>
                <w:rFonts w:hint="default"/>
                <w:color w:val="auto"/>
                <w:highlight w:val="none"/>
              </w:rPr>
              <w:t>m</w:t>
            </w:r>
            <w:r>
              <w:rPr>
                <w:rFonts w:hint="default"/>
                <w:color w:val="auto"/>
                <w:highlight w:val="none"/>
                <w:vertAlign w:val="superscript"/>
              </w:rPr>
              <w:t>3</w:t>
            </w:r>
            <w:r>
              <w:rPr>
                <w:rFonts w:hint="default"/>
                <w:color w:val="auto"/>
                <w:highlight w:val="none"/>
              </w:rPr>
              <w:t>/d</w:t>
            </w:r>
            <w:r>
              <w:rPr>
                <w:rFonts w:hint="eastAsia"/>
                <w:color w:val="auto"/>
                <w:highlight w:val="none"/>
                <w:lang w:eastAsia="zh-CN"/>
              </w:rPr>
              <w:t>）</w:t>
            </w:r>
            <w:r>
              <w:rPr>
                <w:rFonts w:hint="default"/>
                <w:color w:val="auto"/>
                <w:highlight w:val="none"/>
              </w:rPr>
              <w:t>。</w:t>
            </w:r>
          </w:p>
          <w:p w14:paraId="483E84E5">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eastAsia="zh-CN"/>
              </w:rPr>
              <w:t>⑧</w:t>
            </w:r>
            <w:r>
              <w:rPr>
                <w:rFonts w:hint="default"/>
                <w:color w:val="auto"/>
                <w:highlight w:val="none"/>
                <w:lang w:val="en-US" w:eastAsia="zh-CN"/>
              </w:rPr>
              <w:t>初期雨水</w:t>
            </w:r>
          </w:p>
          <w:p w14:paraId="56E23C29">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本环评考虑生产区域收集初期雨水，</w:t>
            </w:r>
            <w:r>
              <w:rPr>
                <w:rFonts w:hint="eastAsia"/>
                <w:color w:val="FF0000"/>
                <w:highlight w:val="none"/>
                <w:lang w:eastAsia="zh-CN"/>
              </w:rPr>
              <w:t>本项目</w:t>
            </w:r>
            <w:r>
              <w:rPr>
                <w:rFonts w:hint="default"/>
                <w:color w:val="FF0000"/>
                <w:highlight w:val="none"/>
              </w:rPr>
              <w:t>占地面积约为</w:t>
            </w:r>
            <w:r>
              <w:rPr>
                <w:rFonts w:hint="eastAsia"/>
                <w:color w:val="FF0000"/>
                <w:highlight w:val="none"/>
                <w:lang w:val="en-US" w:eastAsia="zh-CN"/>
              </w:rPr>
              <w:t>12000</w:t>
            </w:r>
            <w:r>
              <w:rPr>
                <w:rFonts w:hint="default"/>
                <w:color w:val="FF0000"/>
                <w:highlight w:val="none"/>
              </w:rPr>
              <w:t>m</w:t>
            </w:r>
            <w:r>
              <w:rPr>
                <w:rFonts w:hint="default"/>
                <w:color w:val="FF0000"/>
                <w:highlight w:val="none"/>
                <w:vertAlign w:val="superscript"/>
              </w:rPr>
              <w:t>2</w:t>
            </w:r>
            <w:r>
              <w:rPr>
                <w:rFonts w:hint="eastAsia"/>
                <w:color w:val="auto"/>
                <w:highlight w:val="none"/>
                <w:lang w:eastAsia="zh-CN"/>
              </w:rPr>
              <w:t>，</w:t>
            </w:r>
            <w:r>
              <w:rPr>
                <w:rFonts w:hint="default"/>
                <w:color w:val="auto"/>
                <w:highlight w:val="none"/>
              </w:rPr>
              <w:t>参考《石油化工给水排水系统设计规范》（SH/T3015-2019），</w:t>
            </w:r>
            <w:r>
              <w:rPr>
                <w:rFonts w:hint="default"/>
                <w:color w:val="FF0000"/>
                <w:spacing w:val="-2"/>
              </w:rPr>
              <w:t>初期雨水按降</w:t>
            </w:r>
            <w:r>
              <w:rPr>
                <w:rFonts w:hint="default"/>
                <w:color w:val="FF0000"/>
                <w:spacing w:val="4"/>
              </w:rPr>
              <w:t>水量与污染区面积的乘积计算</w:t>
            </w:r>
            <w:r>
              <w:rPr>
                <w:rFonts w:hint="eastAsia"/>
                <w:color w:val="FF0000"/>
                <w:spacing w:val="4"/>
                <w:lang w:eastAsia="zh-CN"/>
              </w:rPr>
              <w:t>，</w:t>
            </w:r>
            <w:r>
              <w:rPr>
                <w:rFonts w:hint="default"/>
                <w:color w:val="FF0000"/>
                <w:highlight w:val="none"/>
              </w:rPr>
              <w:t>本项目初期雨水产生量按</w:t>
            </w:r>
            <w:r>
              <w:rPr>
                <w:rFonts w:hint="eastAsia"/>
                <w:color w:val="FF0000"/>
                <w:highlight w:val="none"/>
                <w:lang w:val="en-US" w:eastAsia="zh-CN"/>
              </w:rPr>
              <w:t>20</w:t>
            </w:r>
            <w:r>
              <w:rPr>
                <w:rFonts w:hint="default"/>
                <w:color w:val="FF0000"/>
                <w:highlight w:val="none"/>
              </w:rPr>
              <w:t>mm计算</w:t>
            </w:r>
            <w:r>
              <w:rPr>
                <w:rFonts w:hint="default"/>
                <w:color w:val="FF0000"/>
                <w:highlight w:val="none"/>
                <w:lang w:eastAsia="zh-CN"/>
              </w:rPr>
              <w:t>，</w:t>
            </w:r>
            <w:r>
              <w:rPr>
                <w:rFonts w:hint="default"/>
                <w:color w:val="FF0000"/>
                <w:highlight w:val="none"/>
                <w:lang w:val="en-US" w:eastAsia="zh-CN"/>
              </w:rPr>
              <w:t>初期</w:t>
            </w:r>
            <w:r>
              <w:rPr>
                <w:rFonts w:hint="eastAsia"/>
                <w:color w:val="FF0000"/>
                <w:highlight w:val="none"/>
                <w:lang w:val="en-US" w:eastAsia="zh-CN"/>
              </w:rPr>
              <w:t>雨</w:t>
            </w:r>
            <w:r>
              <w:rPr>
                <w:rFonts w:hint="default"/>
                <w:color w:val="FF0000"/>
                <w:highlight w:val="none"/>
                <w:lang w:val="en-US" w:eastAsia="zh-CN"/>
              </w:rPr>
              <w:t>水</w:t>
            </w:r>
            <w:r>
              <w:rPr>
                <w:rFonts w:hint="eastAsia"/>
                <w:color w:val="FF0000"/>
                <w:highlight w:val="none"/>
                <w:lang w:val="en-US" w:eastAsia="zh-CN"/>
              </w:rPr>
              <w:t>一次产生</w:t>
            </w:r>
            <w:r>
              <w:rPr>
                <w:rFonts w:hint="default"/>
                <w:color w:val="FF0000"/>
                <w:highlight w:val="none"/>
                <w:lang w:val="en-US" w:eastAsia="zh-CN"/>
              </w:rPr>
              <w:t>量</w:t>
            </w:r>
            <w:r>
              <w:rPr>
                <w:rFonts w:hint="eastAsia"/>
                <w:color w:val="FF0000"/>
                <w:highlight w:val="none"/>
                <w:lang w:val="en-US" w:eastAsia="zh-CN"/>
              </w:rPr>
              <w:t>为240</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，全年按10次计算，初期雨水产生量</w:t>
            </w:r>
            <w:r>
              <w:rPr>
                <w:rFonts w:hint="eastAsia"/>
                <w:color w:val="FF0000"/>
                <w:highlight w:val="none"/>
                <w:lang w:val="en-US" w:eastAsia="zh-CN"/>
              </w:rPr>
              <w:t>2400</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/a（</w:t>
            </w:r>
            <w:r>
              <w:rPr>
                <w:rFonts w:hint="eastAsia"/>
                <w:color w:val="FF0000"/>
                <w:highlight w:val="none"/>
                <w:lang w:val="en-US" w:eastAsia="zh-CN"/>
              </w:rPr>
              <w:t>8</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/d）</w:t>
            </w:r>
            <w:r>
              <w:rPr>
                <w:rFonts w:hint="default"/>
                <w:color w:val="auto"/>
                <w:highlight w:val="none"/>
                <w:lang w:val="en-US" w:eastAsia="zh-CN"/>
              </w:rPr>
              <w:t>。本项目</w:t>
            </w:r>
            <w:r>
              <w:rPr>
                <w:rFonts w:hint="eastAsia"/>
                <w:color w:val="auto"/>
                <w:highlight w:val="none"/>
                <w:lang w:eastAsia="zh-CN"/>
              </w:rPr>
              <w:t>依托现有项目的</w:t>
            </w:r>
            <w:r>
              <w:rPr>
                <w:rFonts w:hint="default"/>
                <w:color w:val="auto"/>
                <w:highlight w:val="none"/>
                <w:lang w:val="en-US" w:eastAsia="zh-CN"/>
              </w:rPr>
              <w:t>初期雨水池一座，容积为</w:t>
            </w:r>
            <w:r>
              <w:rPr>
                <w:rFonts w:hint="eastAsia"/>
                <w:color w:val="auto"/>
                <w:highlight w:val="none"/>
                <w:lang w:val="en-US" w:eastAsia="zh-CN"/>
              </w:rPr>
              <w:t>960</w:t>
            </w:r>
            <w:r>
              <w:rPr>
                <w:rFonts w:hint="default"/>
                <w:color w:val="auto"/>
                <w:highlight w:val="none"/>
                <w:lang w:val="en-US" w:eastAsia="zh-CN"/>
              </w:rPr>
              <w:t>m</w:t>
            </w:r>
            <w:r>
              <w:rPr>
                <w:rFonts w:hint="default"/>
                <w:color w:val="auto"/>
                <w:highlight w:val="none"/>
                <w:vertAlign w:val="superscript"/>
                <w:lang w:val="en-US" w:eastAsia="zh-CN"/>
              </w:rPr>
              <w:t>3</w:t>
            </w:r>
            <w:r>
              <w:rPr>
                <w:rFonts w:hint="default"/>
                <w:color w:val="auto"/>
                <w:highlight w:val="none"/>
                <w:lang w:val="en-US" w:eastAsia="zh-CN"/>
              </w:rPr>
              <w:t>，位于</w:t>
            </w:r>
            <w:r>
              <w:rPr>
                <w:rFonts w:hint="eastAsia"/>
                <w:color w:val="auto"/>
                <w:highlight w:val="none"/>
                <w:lang w:val="en-US" w:eastAsia="zh-CN"/>
              </w:rPr>
              <w:t>1#</w:t>
            </w:r>
            <w:r>
              <w:rPr>
                <w:rFonts w:hint="default"/>
                <w:color w:val="auto"/>
                <w:highlight w:val="none"/>
                <w:lang w:val="en-US" w:eastAsia="zh-CN"/>
              </w:rPr>
              <w:t>厂房外东</w:t>
            </w:r>
            <w:r>
              <w:rPr>
                <w:rFonts w:hint="eastAsia"/>
                <w:color w:val="auto"/>
                <w:highlight w:val="none"/>
                <w:lang w:val="en-US" w:eastAsia="zh-CN"/>
              </w:rPr>
              <w:t>北</w:t>
            </w:r>
            <w:r>
              <w:rPr>
                <w:rFonts w:hint="default"/>
                <w:color w:val="auto"/>
                <w:highlight w:val="none"/>
                <w:lang w:val="en-US" w:eastAsia="zh-CN"/>
              </w:rPr>
              <w:t>侧，</w:t>
            </w:r>
            <w:r>
              <w:rPr>
                <w:rFonts w:hint="default"/>
                <w:color w:val="auto"/>
                <w:highlight w:val="none"/>
              </w:rPr>
              <w:t>建设单位需对初期雨水进行收集和处理，以减少对周围地表水的不利影响</w:t>
            </w:r>
            <w:r>
              <w:rPr>
                <w:rFonts w:hint="default"/>
                <w:color w:val="auto"/>
                <w:highlight w:val="none"/>
                <w:lang w:eastAsia="zh-CN"/>
              </w:rPr>
              <w:t>，</w:t>
            </w:r>
            <w:r>
              <w:rPr>
                <w:rFonts w:hint="default"/>
                <w:color w:val="auto"/>
                <w:highlight w:val="none"/>
                <w:lang w:val="en-US" w:eastAsia="zh-CN"/>
              </w:rPr>
              <w:t>通过对租赁厂房四周设置围堰仅收集租赁厂房初期雨水，再经</w:t>
            </w:r>
            <w:r>
              <w:rPr>
                <w:rFonts w:hint="default"/>
                <w:color w:val="FF0000"/>
                <w:highlight w:val="none"/>
                <w:lang w:val="en-US" w:eastAsia="zh-CN"/>
              </w:rPr>
              <w:t>氧化+除铊除氟+絮凝沉淀</w:t>
            </w:r>
            <w:r>
              <w:rPr>
                <w:rFonts w:hint="default"/>
                <w:color w:val="auto"/>
                <w:highlight w:val="none"/>
                <w:lang w:val="en-US" w:eastAsia="zh-CN"/>
              </w:rPr>
              <w:t>后达到《城市污水再生利用工业用水水质》（GB/T19923-2024）、《无机化学工业污染物排放标准》（GB31573-2015）和《工业废水铊污染物排放标准》（DB36/1149-2019）标准</w:t>
            </w:r>
            <w:r>
              <w:rPr>
                <w:rFonts w:hint="default"/>
                <w:color w:val="FF0000"/>
                <w:highlight w:val="none"/>
                <w:lang w:val="en-US" w:eastAsia="zh-CN"/>
              </w:rPr>
              <w:t>中的较严值</w:t>
            </w:r>
            <w:r>
              <w:rPr>
                <w:rFonts w:hint="default"/>
                <w:color w:val="auto"/>
                <w:highlight w:val="none"/>
                <w:lang w:val="en-US" w:eastAsia="zh-CN"/>
              </w:rPr>
              <w:t>后，回用于抑尘用水。</w:t>
            </w:r>
          </w:p>
          <w:p w14:paraId="02A8412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根据宜春市生态环境保护委员会办公室出具了《碳酸锂生产行业生态环境监管标准（试行）》（宜环委办字〔2023〕2号）文，初期雨水收集池按照厂区面积不低于每公顷300立方米的标准建设，本项目占地面积</w:t>
            </w:r>
            <w:r>
              <w:rPr>
                <w:rFonts w:hint="eastAsia"/>
                <w:color w:val="auto"/>
                <w:highlight w:val="none"/>
                <w:lang w:val="en-US" w:eastAsia="zh-CN"/>
              </w:rPr>
              <w:t>1.2</w:t>
            </w:r>
            <w:r>
              <w:rPr>
                <w:rFonts w:hint="default"/>
                <w:color w:val="auto"/>
                <w:highlight w:val="none"/>
              </w:rPr>
              <w:t>公顷，在满足一次收集量的情况下，需要建设不低于</w:t>
            </w:r>
            <w:r>
              <w:rPr>
                <w:rFonts w:hint="eastAsia"/>
                <w:color w:val="auto"/>
                <w:highlight w:val="none"/>
                <w:lang w:val="en-US" w:eastAsia="zh-CN"/>
              </w:rPr>
              <w:t>36</w:t>
            </w:r>
            <w:r>
              <w:rPr>
                <w:rFonts w:hint="default"/>
                <w:color w:val="auto"/>
                <w:highlight w:val="none"/>
              </w:rPr>
              <w:t>0</w:t>
            </w:r>
            <w:bookmarkStart w:id="94" w:name="OLE_LINK112"/>
            <w:r>
              <w:rPr>
                <w:rFonts w:hint="default"/>
                <w:color w:val="auto"/>
                <w:highlight w:val="none"/>
              </w:rPr>
              <w:t>m</w:t>
            </w:r>
            <w:r>
              <w:rPr>
                <w:rFonts w:hint="default"/>
                <w:color w:val="auto"/>
                <w:highlight w:val="none"/>
                <w:vertAlign w:val="superscript"/>
              </w:rPr>
              <w:t>3</w:t>
            </w:r>
            <w:bookmarkEnd w:id="94"/>
            <w:r>
              <w:rPr>
                <w:rFonts w:hint="default"/>
                <w:color w:val="auto"/>
                <w:highlight w:val="none"/>
              </w:rPr>
              <w:t>的初期雨水池。</w:t>
            </w:r>
            <w:r>
              <w:rPr>
                <w:rFonts w:hint="eastAsia"/>
                <w:color w:val="auto"/>
                <w:highlight w:val="none"/>
                <w:lang w:eastAsia="zh-CN"/>
              </w:rPr>
              <w:t>现有项目有一个</w:t>
            </w:r>
            <w:r>
              <w:rPr>
                <w:rFonts w:hint="eastAsia"/>
                <w:color w:val="auto"/>
                <w:highlight w:val="none"/>
                <w:lang w:val="en-US" w:eastAsia="zh-CN"/>
              </w:rPr>
              <w:t>960m</w:t>
            </w:r>
            <w:r>
              <w:rPr>
                <w:rFonts w:hint="eastAsia"/>
                <w:color w:val="auto"/>
                <w:highlight w:val="none"/>
                <w:vertAlign w:val="superscript"/>
                <w:lang w:val="en-US" w:eastAsia="zh-CN"/>
              </w:rPr>
              <w:t>3</w:t>
            </w:r>
            <w:r>
              <w:rPr>
                <w:rFonts w:hint="eastAsia"/>
                <w:color w:val="auto"/>
                <w:highlight w:val="none"/>
                <w:lang w:val="en-US" w:eastAsia="zh-CN"/>
              </w:rPr>
              <w:t>的初期雨水池，现有项目初期雨水量为600m</w:t>
            </w:r>
            <w:r>
              <w:rPr>
                <w:rFonts w:hint="eastAsia"/>
                <w:color w:val="auto"/>
                <w:highlight w:val="none"/>
                <w:vertAlign w:val="superscript"/>
                <w:lang w:val="en-US" w:eastAsia="zh-CN"/>
              </w:rPr>
              <w:t>3</w:t>
            </w:r>
            <w:r>
              <w:rPr>
                <w:rFonts w:hint="eastAsia"/>
                <w:color w:val="auto"/>
                <w:highlight w:val="none"/>
                <w:lang w:val="en-US" w:eastAsia="zh-CN"/>
              </w:rPr>
              <w:t>一次，本项目</w:t>
            </w:r>
            <w:r>
              <w:rPr>
                <w:rFonts w:hint="default"/>
                <w:color w:val="auto"/>
                <w:highlight w:val="none"/>
              </w:rPr>
              <w:t>依托现有</w:t>
            </w:r>
            <w:r>
              <w:rPr>
                <w:rFonts w:hint="eastAsia"/>
                <w:color w:val="auto"/>
                <w:highlight w:val="none"/>
                <w:lang w:eastAsia="zh-CN"/>
              </w:rPr>
              <w:t>工程</w:t>
            </w:r>
            <w:r>
              <w:rPr>
                <w:rFonts w:hint="default"/>
                <w:color w:val="auto"/>
                <w:highlight w:val="none"/>
              </w:rPr>
              <w:t>初期雨水收集池（</w:t>
            </w:r>
            <w:r>
              <w:rPr>
                <w:rFonts w:hint="eastAsia"/>
                <w:color w:val="auto"/>
                <w:highlight w:val="none"/>
                <w:lang w:val="en-US" w:eastAsia="zh-CN"/>
              </w:rPr>
              <w:t>960</w:t>
            </w:r>
            <w:r>
              <w:rPr>
                <w:rFonts w:hint="default"/>
                <w:color w:val="auto"/>
                <w:highlight w:val="none"/>
              </w:rPr>
              <w:t>m</w:t>
            </w:r>
            <w:r>
              <w:rPr>
                <w:rFonts w:hint="default"/>
                <w:color w:val="auto"/>
                <w:highlight w:val="none"/>
                <w:vertAlign w:val="superscript"/>
              </w:rPr>
              <w:t>3</w:t>
            </w:r>
            <w:r>
              <w:rPr>
                <w:rFonts w:hint="default"/>
                <w:color w:val="auto"/>
                <w:highlight w:val="none"/>
              </w:rPr>
              <w:t>），能满足要求。</w:t>
            </w:r>
          </w:p>
          <w:p w14:paraId="6E3F23F2">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项目排水实行雨污分流制。</w:t>
            </w:r>
            <w:r>
              <w:rPr>
                <w:rFonts w:hint="default"/>
                <w:color w:val="auto"/>
                <w:highlight w:val="none"/>
              </w:rPr>
              <w:t>项目后期雨水</w:t>
            </w:r>
            <w:r>
              <w:rPr>
                <w:rFonts w:hint="default"/>
                <w:color w:val="auto"/>
                <w:highlight w:val="none"/>
                <w:lang w:val="en-US" w:eastAsia="zh-CN"/>
              </w:rPr>
              <w:t>排放时自动监测铊、氟化物含量，</w:t>
            </w:r>
            <w:r>
              <w:rPr>
                <w:rFonts w:hint="default"/>
                <w:color w:val="auto"/>
                <w:highlight w:val="none"/>
              </w:rPr>
              <w:t>排入</w:t>
            </w:r>
            <w:r>
              <w:rPr>
                <w:rFonts w:hint="default"/>
                <w:color w:val="auto"/>
                <w:highlight w:val="none"/>
                <w:lang w:val="en-US" w:eastAsia="zh-CN"/>
              </w:rPr>
              <w:t>园区雨水管网，</w:t>
            </w:r>
            <w:r>
              <w:rPr>
                <w:rFonts w:hint="default"/>
                <w:color w:val="auto"/>
                <w:highlight w:val="none"/>
              </w:rPr>
              <w:t>铊预警限值浓度为</w:t>
            </w:r>
            <w:r>
              <w:rPr>
                <w:rFonts w:hint="default"/>
                <w:color w:val="auto"/>
                <w:highlight w:val="none"/>
                <w:lang w:val="en-US" w:eastAsia="zh-CN"/>
              </w:rPr>
              <w:t>5</w:t>
            </w:r>
            <w:r>
              <w:rPr>
                <w:rFonts w:hint="default"/>
                <w:color w:val="auto"/>
                <w:highlight w:val="none"/>
              </w:rPr>
              <w:t>μg/L（</w:t>
            </w:r>
            <w:r>
              <w:rPr>
                <w:rFonts w:hint="default"/>
                <w:color w:val="auto"/>
                <w:highlight w:val="none"/>
                <w:lang w:val="en-US" w:eastAsia="zh-CN"/>
              </w:rPr>
              <w:t>参照《工业废水铊污染物排放标准》（DB36/1149-2019）标准限值</w:t>
            </w:r>
            <w:r>
              <w:rPr>
                <w:rFonts w:hint="default"/>
                <w:color w:val="auto"/>
                <w:highlight w:val="none"/>
              </w:rPr>
              <w:t>），氟化物预警限值浓度为2mg/L（参照《无机化学工业污染物排放标准》（GB31573-2015）的水污染物排放限值）</w:t>
            </w:r>
            <w:r>
              <w:rPr>
                <w:rFonts w:hint="default"/>
                <w:color w:val="auto"/>
                <w:highlight w:val="none"/>
                <w:lang w:eastAsia="zh-CN"/>
              </w:rPr>
              <w:t>，</w:t>
            </w:r>
            <w:r>
              <w:rPr>
                <w:rFonts w:hint="default"/>
                <w:color w:val="auto"/>
                <w:highlight w:val="none"/>
                <w:lang w:val="en-US" w:eastAsia="zh-CN"/>
              </w:rPr>
              <w:t>超过预</w:t>
            </w:r>
            <w:r>
              <w:rPr>
                <w:rFonts w:hint="default"/>
                <w:color w:val="auto"/>
                <w:highlight w:val="none"/>
              </w:rPr>
              <w:t>警限值浓度</w:t>
            </w:r>
            <w:r>
              <w:rPr>
                <w:rFonts w:hint="default"/>
                <w:color w:val="auto"/>
                <w:highlight w:val="none"/>
                <w:lang w:val="en-US" w:eastAsia="zh-CN"/>
              </w:rPr>
              <w:t>后立即停止排放。</w:t>
            </w:r>
          </w:p>
          <w:p w14:paraId="42A491A6">
            <w:pPr>
              <w:keepNext w:val="0"/>
              <w:keepLines w:val="0"/>
              <w:suppressLineNumbers w:val="0"/>
              <w:bidi w:val="0"/>
              <w:spacing w:before="0" w:beforeAutospacing="0" w:after="0" w:afterAutospacing="0"/>
              <w:ind w:left="0" w:right="0"/>
              <w:rPr>
                <w:rFonts w:hint="default"/>
                <w:color w:val="auto"/>
                <w:highlight w:val="none"/>
                <w:lang w:eastAsia="zh-CN"/>
              </w:rPr>
            </w:pPr>
            <w:r>
              <w:rPr>
                <w:rFonts w:hint="default"/>
                <w:color w:val="auto"/>
                <w:highlight w:val="none"/>
                <w:lang w:val="en-US" w:eastAsia="zh-CN"/>
              </w:rPr>
              <w:t>（3）供电：项目用电由园区供电网统一供给。</w:t>
            </w:r>
          </w:p>
          <w:p w14:paraId="0DBC6673">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eastAsia="zh-CN"/>
              </w:rPr>
              <w:t>（</w:t>
            </w:r>
            <w:r>
              <w:rPr>
                <w:rFonts w:hint="default"/>
                <w:color w:val="auto"/>
                <w:highlight w:val="none"/>
                <w:lang w:val="en-US" w:eastAsia="zh-CN"/>
              </w:rPr>
              <w:t>4</w:t>
            </w:r>
            <w:r>
              <w:rPr>
                <w:rFonts w:hint="default"/>
                <w:color w:val="auto"/>
                <w:highlight w:val="none"/>
                <w:lang w:eastAsia="zh-CN"/>
              </w:rPr>
              <w:t>）</w:t>
            </w:r>
            <w:r>
              <w:rPr>
                <w:rFonts w:hint="default"/>
                <w:color w:val="auto"/>
                <w:highlight w:val="none"/>
                <w:lang w:val="en-US" w:eastAsia="zh-CN"/>
              </w:rPr>
              <w:t>水平衡：项目用水一览表及水平衡图见下表及下图。</w:t>
            </w:r>
          </w:p>
          <w:p w14:paraId="1BE830CC">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object>
                <v:shape id="_x0000_i1025" o:spt="75" type="#_x0000_t75" style="height:394.65pt;width:403.65pt;" o:ole="t" filled="f" o:preferrelative="t" stroked="f" coordsize="21600,21600">
                  <v:path/>
                  <v:fill on="f" focussize="0,0"/>
                  <v:stroke on="f"/>
                  <v:imagedata r:id="rId11" o:title=""/>
                  <o:lock v:ext="edit" aspectratio="f"/>
                  <w10:wrap type="none"/>
                  <w10:anchorlock/>
                </v:shape>
                <o:OLEObject Type="Embed" ProgID="Visio.Drawing.15" ShapeID="_x0000_i1025" DrawAspect="Content" ObjectID="_1468075725" r:id="rId10">
                  <o:LockedField>false</o:LockedField>
                </o:OLEObject>
              </w:object>
            </w:r>
            <w:r>
              <w:rPr>
                <w:rFonts w:hint="default" w:ascii="Times New Roman" w:hAnsi="Times New Roman" w:cs="Times New Roman"/>
                <w:color w:val="FF0000"/>
                <w:highlight w:val="none"/>
              </w:rPr>
              <w:t>图2-</w:t>
            </w:r>
            <w:r>
              <w:rPr>
                <w:rFonts w:hint="default" w:ascii="Times New Roman" w:hAnsi="Times New Roman" w:cs="Times New Roman"/>
                <w:color w:val="FF0000"/>
                <w:highlight w:val="none"/>
                <w:lang w:val="en-US" w:eastAsia="zh-CN"/>
              </w:rPr>
              <w:t>1</w:t>
            </w:r>
            <w:r>
              <w:rPr>
                <w:rFonts w:hint="default" w:ascii="Times New Roman" w:hAnsi="Times New Roman" w:cs="Times New Roman"/>
                <w:color w:val="FF0000"/>
                <w:highlight w:val="none"/>
              </w:rPr>
              <w:t xml:space="preserve"> 项目水平衡图（t/</w:t>
            </w:r>
            <w:r>
              <w:rPr>
                <w:rFonts w:hint="default" w:ascii="Times New Roman" w:hAnsi="Times New Roman" w:cs="Times New Roman"/>
                <w:color w:val="FF0000"/>
                <w:highlight w:val="none"/>
                <w:lang w:val="en-US" w:eastAsia="zh-CN"/>
              </w:rPr>
              <w:t>d</w:t>
            </w:r>
            <w:r>
              <w:rPr>
                <w:rFonts w:hint="default" w:ascii="Times New Roman" w:hAnsi="Times New Roman" w:cs="Times New Roman"/>
                <w:color w:val="FF0000"/>
                <w:highlight w:val="none"/>
              </w:rPr>
              <w:t>）</w:t>
            </w:r>
          </w:p>
          <w:p w14:paraId="2641E6EE">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项目水平衡表（t/d）</w:t>
            </w:r>
          </w:p>
          <w:tbl>
            <w:tblPr>
              <w:tblStyle w:val="25"/>
              <w:tblW w:w="5000" w:type="pct"/>
              <w:tblInd w:w="0" w:type="dxa"/>
              <w:tblLayout w:type="fixed"/>
              <w:tblCellMar>
                <w:top w:w="0" w:type="dxa"/>
                <w:left w:w="108" w:type="dxa"/>
                <w:bottom w:w="0" w:type="dxa"/>
                <w:right w:w="108" w:type="dxa"/>
              </w:tblCellMar>
            </w:tblPr>
            <w:tblGrid>
              <w:gridCol w:w="544"/>
              <w:gridCol w:w="1580"/>
              <w:gridCol w:w="1101"/>
              <w:gridCol w:w="1104"/>
              <w:gridCol w:w="1104"/>
              <w:gridCol w:w="796"/>
              <w:gridCol w:w="986"/>
              <w:gridCol w:w="865"/>
            </w:tblGrid>
            <w:tr w14:paraId="1089EA49">
              <w:tblPrEx>
                <w:tblCellMar>
                  <w:top w:w="0" w:type="dxa"/>
                  <w:left w:w="108" w:type="dxa"/>
                  <w:bottom w:w="0" w:type="dxa"/>
                  <w:right w:w="108" w:type="dxa"/>
                </w:tblCellMar>
              </w:tblPrEx>
              <w:tc>
                <w:tcPr>
                  <w:tcW w:w="544" w:type="dxa"/>
                  <w:vMerge w:val="restart"/>
                  <w:tcBorders>
                    <w:top w:val="single" w:color="000000" w:sz="12" w:space="0"/>
                    <w:left w:val="nil"/>
                    <w:bottom w:val="single" w:color="000000" w:sz="8" w:space="0"/>
                    <w:right w:val="single" w:color="000000" w:sz="8" w:space="0"/>
                  </w:tcBorders>
                  <w:noWrap w:val="0"/>
                  <w:vAlign w:val="center"/>
                </w:tcPr>
                <w:p w14:paraId="33E332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auto"/>
                      <w:sz w:val="21"/>
                      <w:szCs w:val="21"/>
                      <w:highlight w:val="none"/>
                    </w:rPr>
                  </w:pPr>
                  <w:r>
                    <w:rPr>
                      <w:rFonts w:hint="default"/>
                      <w:b/>
                      <w:bCs/>
                      <w:color w:val="auto"/>
                      <w:sz w:val="21"/>
                      <w:szCs w:val="21"/>
                      <w:highlight w:val="none"/>
                    </w:rPr>
                    <w:t>序号</w:t>
                  </w:r>
                </w:p>
              </w:tc>
              <w:tc>
                <w:tcPr>
                  <w:tcW w:w="1580" w:type="dxa"/>
                  <w:vMerge w:val="restart"/>
                  <w:tcBorders>
                    <w:top w:val="single" w:color="000000" w:sz="12" w:space="0"/>
                    <w:left w:val="nil"/>
                    <w:bottom w:val="single" w:color="000000" w:sz="8" w:space="0"/>
                    <w:right w:val="single" w:color="000000" w:sz="8" w:space="0"/>
                  </w:tcBorders>
                  <w:noWrap w:val="0"/>
                  <w:vAlign w:val="center"/>
                </w:tcPr>
                <w:p w14:paraId="0262EE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用水工序</w:t>
                  </w:r>
                </w:p>
              </w:tc>
              <w:tc>
                <w:tcPr>
                  <w:tcW w:w="3309" w:type="dxa"/>
                  <w:gridSpan w:val="3"/>
                  <w:tcBorders>
                    <w:top w:val="single" w:color="000000" w:sz="12" w:space="0"/>
                    <w:left w:val="nil"/>
                    <w:bottom w:val="single" w:color="000000" w:sz="8" w:space="0"/>
                    <w:right w:val="single" w:color="000000" w:sz="8" w:space="0"/>
                  </w:tcBorders>
                  <w:noWrap w:val="0"/>
                  <w:vAlign w:val="center"/>
                </w:tcPr>
                <w:p w14:paraId="0BCEE6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给水m</w:t>
                  </w:r>
                  <w:r>
                    <w:rPr>
                      <w:rFonts w:hint="default"/>
                      <w:b/>
                      <w:bCs/>
                      <w:color w:val="auto"/>
                      <w:sz w:val="21"/>
                      <w:szCs w:val="21"/>
                      <w:highlight w:val="none"/>
                      <w:vertAlign w:val="superscript"/>
                    </w:rPr>
                    <w:t>3</w:t>
                  </w:r>
                  <w:r>
                    <w:rPr>
                      <w:rFonts w:hint="default"/>
                      <w:b/>
                      <w:bCs/>
                      <w:color w:val="auto"/>
                      <w:sz w:val="21"/>
                      <w:szCs w:val="21"/>
                      <w:highlight w:val="none"/>
                    </w:rPr>
                    <w:t>/</w:t>
                  </w:r>
                  <w:r>
                    <w:rPr>
                      <w:rFonts w:hint="default"/>
                      <w:b/>
                      <w:bCs/>
                      <w:color w:val="auto"/>
                      <w:sz w:val="21"/>
                      <w:szCs w:val="21"/>
                      <w:highlight w:val="none"/>
                      <w:lang w:val="en-US" w:eastAsia="zh-CN"/>
                    </w:rPr>
                    <w:t>d</w:t>
                  </w:r>
                </w:p>
              </w:tc>
              <w:tc>
                <w:tcPr>
                  <w:tcW w:w="2647" w:type="dxa"/>
                  <w:gridSpan w:val="3"/>
                  <w:tcBorders>
                    <w:top w:val="single" w:color="000000" w:sz="12" w:space="0"/>
                    <w:left w:val="nil"/>
                    <w:bottom w:val="single" w:color="000000" w:sz="8" w:space="0"/>
                    <w:right w:val="nil"/>
                  </w:tcBorders>
                  <w:noWrap w:val="0"/>
                  <w:vAlign w:val="center"/>
                </w:tcPr>
                <w:p w14:paraId="309B45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排水m</w:t>
                  </w:r>
                  <w:r>
                    <w:rPr>
                      <w:rFonts w:hint="default"/>
                      <w:b/>
                      <w:bCs/>
                      <w:color w:val="auto"/>
                      <w:sz w:val="21"/>
                      <w:szCs w:val="21"/>
                      <w:highlight w:val="none"/>
                      <w:vertAlign w:val="superscript"/>
                    </w:rPr>
                    <w:t>3</w:t>
                  </w:r>
                  <w:r>
                    <w:rPr>
                      <w:rFonts w:hint="default"/>
                      <w:b/>
                      <w:bCs/>
                      <w:color w:val="auto"/>
                      <w:sz w:val="21"/>
                      <w:szCs w:val="21"/>
                      <w:highlight w:val="none"/>
                    </w:rPr>
                    <w:t>/</w:t>
                  </w:r>
                  <w:r>
                    <w:rPr>
                      <w:rFonts w:hint="default"/>
                      <w:b/>
                      <w:bCs/>
                      <w:color w:val="auto"/>
                      <w:sz w:val="21"/>
                      <w:szCs w:val="21"/>
                      <w:highlight w:val="none"/>
                      <w:lang w:val="en-US" w:eastAsia="zh-CN"/>
                    </w:rPr>
                    <w:t>d</w:t>
                  </w:r>
                </w:p>
              </w:tc>
            </w:tr>
            <w:tr w14:paraId="02F9B625">
              <w:tblPrEx>
                <w:tblCellMar>
                  <w:top w:w="0" w:type="dxa"/>
                  <w:left w:w="108" w:type="dxa"/>
                  <w:bottom w:w="0" w:type="dxa"/>
                  <w:right w:w="108" w:type="dxa"/>
                </w:tblCellMar>
              </w:tblPrEx>
              <w:tc>
                <w:tcPr>
                  <w:tcW w:w="544" w:type="dxa"/>
                  <w:vMerge w:val="continue"/>
                  <w:tcBorders>
                    <w:top w:val="single" w:color="000000" w:sz="12" w:space="0"/>
                    <w:left w:val="nil"/>
                    <w:bottom w:val="single" w:color="000000" w:sz="4" w:space="0"/>
                    <w:right w:val="single" w:color="000000" w:sz="8" w:space="0"/>
                  </w:tcBorders>
                  <w:noWrap w:val="0"/>
                  <w:vAlign w:val="center"/>
                </w:tcPr>
                <w:p w14:paraId="51DE325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p>
              </w:tc>
              <w:tc>
                <w:tcPr>
                  <w:tcW w:w="1580" w:type="dxa"/>
                  <w:vMerge w:val="continue"/>
                  <w:tcBorders>
                    <w:top w:val="single" w:color="000000" w:sz="12" w:space="0"/>
                    <w:left w:val="nil"/>
                    <w:bottom w:val="single" w:color="000000" w:sz="4" w:space="0"/>
                    <w:right w:val="single" w:color="000000" w:sz="8" w:space="0"/>
                  </w:tcBorders>
                  <w:noWrap w:val="0"/>
                  <w:vAlign w:val="center"/>
                </w:tcPr>
                <w:p w14:paraId="23E53A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p>
              </w:tc>
              <w:tc>
                <w:tcPr>
                  <w:tcW w:w="1101" w:type="dxa"/>
                  <w:tcBorders>
                    <w:top w:val="nil"/>
                    <w:left w:val="nil"/>
                    <w:bottom w:val="single" w:color="000000" w:sz="4" w:space="0"/>
                    <w:right w:val="single" w:color="000000" w:sz="8" w:space="0"/>
                  </w:tcBorders>
                  <w:noWrap w:val="0"/>
                  <w:vAlign w:val="center"/>
                </w:tcPr>
                <w:p w14:paraId="0085ED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新鲜水量</w:t>
                  </w:r>
                </w:p>
              </w:tc>
              <w:tc>
                <w:tcPr>
                  <w:tcW w:w="1104" w:type="dxa"/>
                  <w:tcBorders>
                    <w:top w:val="nil"/>
                    <w:left w:val="nil"/>
                    <w:bottom w:val="single" w:color="000000" w:sz="4" w:space="0"/>
                    <w:right w:val="single" w:color="000000" w:sz="8" w:space="0"/>
                  </w:tcBorders>
                  <w:noWrap w:val="0"/>
                  <w:vAlign w:val="center"/>
                </w:tcPr>
                <w:p w14:paraId="481F8D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原料带入/雨水</w:t>
                  </w:r>
                </w:p>
              </w:tc>
              <w:tc>
                <w:tcPr>
                  <w:tcW w:w="1104" w:type="dxa"/>
                  <w:tcBorders>
                    <w:top w:val="nil"/>
                    <w:left w:val="nil"/>
                    <w:bottom w:val="single" w:color="000000" w:sz="4" w:space="0"/>
                    <w:right w:val="single" w:color="000000" w:sz="8" w:space="0"/>
                  </w:tcBorders>
                  <w:noWrap w:val="0"/>
                  <w:vAlign w:val="center"/>
                </w:tcPr>
                <w:p w14:paraId="4A4DA9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回用</w:t>
                  </w:r>
                </w:p>
              </w:tc>
              <w:tc>
                <w:tcPr>
                  <w:tcW w:w="796" w:type="dxa"/>
                  <w:tcBorders>
                    <w:top w:val="nil"/>
                    <w:left w:val="nil"/>
                    <w:bottom w:val="single" w:color="000000" w:sz="4" w:space="0"/>
                    <w:right w:val="single" w:color="000000" w:sz="8" w:space="0"/>
                  </w:tcBorders>
                  <w:noWrap w:val="0"/>
                  <w:vAlign w:val="center"/>
                </w:tcPr>
                <w:p w14:paraId="5ADA26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lang w:val="en-US" w:eastAsia="zh-CN"/>
                    </w:rPr>
                  </w:pPr>
                  <w:r>
                    <w:rPr>
                      <w:rFonts w:hint="default"/>
                      <w:b/>
                      <w:bCs/>
                      <w:color w:val="auto"/>
                      <w:sz w:val="21"/>
                      <w:szCs w:val="21"/>
                      <w:highlight w:val="none"/>
                      <w:lang w:val="en-US" w:eastAsia="zh-CN"/>
                    </w:rPr>
                    <w:t>回用</w:t>
                  </w:r>
                </w:p>
              </w:tc>
              <w:tc>
                <w:tcPr>
                  <w:tcW w:w="986" w:type="dxa"/>
                  <w:tcBorders>
                    <w:top w:val="nil"/>
                    <w:left w:val="nil"/>
                    <w:bottom w:val="single" w:color="000000" w:sz="4" w:space="0"/>
                    <w:right w:val="single" w:color="000000" w:sz="8" w:space="0"/>
                  </w:tcBorders>
                  <w:noWrap w:val="0"/>
                  <w:vAlign w:val="center"/>
                </w:tcPr>
                <w:p w14:paraId="0B8FD7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损耗</w:t>
                  </w:r>
                </w:p>
              </w:tc>
              <w:tc>
                <w:tcPr>
                  <w:tcW w:w="865" w:type="dxa"/>
                  <w:tcBorders>
                    <w:top w:val="nil"/>
                    <w:left w:val="nil"/>
                    <w:bottom w:val="single" w:color="000000" w:sz="4" w:space="0"/>
                    <w:right w:val="nil"/>
                  </w:tcBorders>
                  <w:noWrap w:val="0"/>
                  <w:vAlign w:val="center"/>
                </w:tcPr>
                <w:p w14:paraId="4DBB8A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排放</w:t>
                  </w:r>
                </w:p>
              </w:tc>
            </w:tr>
            <w:tr w14:paraId="2443A886">
              <w:tblPrEx>
                <w:tblCellMar>
                  <w:top w:w="0" w:type="dxa"/>
                  <w:left w:w="108" w:type="dxa"/>
                  <w:bottom w:w="0" w:type="dxa"/>
                  <w:right w:w="108" w:type="dxa"/>
                </w:tblCellMar>
              </w:tblPrEx>
              <w:trPr>
                <w:trHeight w:val="90" w:hRule="atLeast"/>
              </w:trPr>
              <w:tc>
                <w:tcPr>
                  <w:tcW w:w="544" w:type="dxa"/>
                  <w:tcBorders>
                    <w:top w:val="single" w:color="000000" w:sz="4" w:space="0"/>
                    <w:left w:val="nil"/>
                    <w:bottom w:val="single" w:color="000000" w:sz="8" w:space="0"/>
                    <w:right w:val="single" w:color="000000" w:sz="8" w:space="0"/>
                  </w:tcBorders>
                  <w:noWrap w:val="0"/>
                  <w:vAlign w:val="center"/>
                </w:tcPr>
                <w:p w14:paraId="01C90C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1</w:t>
                  </w:r>
                </w:p>
              </w:tc>
              <w:tc>
                <w:tcPr>
                  <w:tcW w:w="1580" w:type="dxa"/>
                  <w:tcBorders>
                    <w:top w:val="single" w:color="000000" w:sz="4" w:space="0"/>
                    <w:left w:val="nil"/>
                    <w:bottom w:val="single" w:color="000000" w:sz="8" w:space="0"/>
                    <w:right w:val="single" w:color="000000" w:sz="8" w:space="0"/>
                  </w:tcBorders>
                  <w:noWrap w:val="0"/>
                  <w:vAlign w:val="center"/>
                </w:tcPr>
                <w:p w14:paraId="58722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生活</w:t>
                  </w:r>
                  <w:r>
                    <w:rPr>
                      <w:rFonts w:hint="default"/>
                      <w:color w:val="auto"/>
                      <w:sz w:val="21"/>
                      <w:szCs w:val="21"/>
                      <w:highlight w:val="none"/>
                      <w:lang w:val="en-US" w:eastAsia="zh-CN"/>
                    </w:rPr>
                    <w:t>用</w:t>
                  </w:r>
                  <w:r>
                    <w:rPr>
                      <w:rFonts w:hint="default"/>
                      <w:color w:val="auto"/>
                      <w:sz w:val="21"/>
                      <w:szCs w:val="21"/>
                      <w:highlight w:val="none"/>
                    </w:rPr>
                    <w:t>水</w:t>
                  </w:r>
                </w:p>
              </w:tc>
              <w:tc>
                <w:tcPr>
                  <w:tcW w:w="1101" w:type="dxa"/>
                  <w:tcBorders>
                    <w:top w:val="single" w:color="000000" w:sz="4" w:space="0"/>
                    <w:left w:val="nil"/>
                    <w:bottom w:val="single" w:color="000000" w:sz="8" w:space="0"/>
                    <w:right w:val="single" w:color="000000" w:sz="8" w:space="0"/>
                  </w:tcBorders>
                  <w:noWrap w:val="0"/>
                  <w:vAlign w:val="center"/>
                </w:tcPr>
                <w:p w14:paraId="0ABE0C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1.6</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587E24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4F62BC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796" w:type="dxa"/>
                  <w:tcBorders>
                    <w:top w:val="single" w:color="000000" w:sz="4" w:space="0"/>
                    <w:left w:val="nil"/>
                    <w:bottom w:val="single" w:color="000000" w:sz="8" w:space="0"/>
                    <w:right w:val="single" w:color="000000" w:sz="8" w:space="0"/>
                  </w:tcBorders>
                  <w:noWrap w:val="0"/>
                  <w:vAlign w:val="center"/>
                </w:tcPr>
                <w:p w14:paraId="1BE684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0</w:t>
                  </w:r>
                </w:p>
              </w:tc>
              <w:tc>
                <w:tcPr>
                  <w:tcW w:w="986" w:type="dxa"/>
                  <w:tcBorders>
                    <w:top w:val="single" w:color="000000" w:sz="4" w:space="0"/>
                    <w:left w:val="nil"/>
                    <w:bottom w:val="single" w:color="000000" w:sz="8" w:space="0"/>
                    <w:right w:val="single" w:color="000000" w:sz="8" w:space="0"/>
                  </w:tcBorders>
                  <w:noWrap w:val="0"/>
                  <w:vAlign w:val="center"/>
                </w:tcPr>
                <w:p w14:paraId="27C8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0.32</w:t>
                  </w:r>
                </w:p>
              </w:tc>
              <w:tc>
                <w:tcPr>
                  <w:tcW w:w="865" w:type="dxa"/>
                  <w:tcBorders>
                    <w:top w:val="single" w:color="000000" w:sz="4" w:space="0"/>
                    <w:left w:val="nil"/>
                    <w:bottom w:val="single" w:color="000000" w:sz="8" w:space="0"/>
                    <w:right w:val="nil"/>
                  </w:tcBorders>
                  <w:noWrap w:val="0"/>
                  <w:vAlign w:val="center"/>
                </w:tcPr>
                <w:p w14:paraId="5D874A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1.28</w:t>
                  </w:r>
                </w:p>
              </w:tc>
            </w:tr>
            <w:tr w14:paraId="2485ADB2">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noWrap w:val="0"/>
                  <w:vAlign w:val="center"/>
                </w:tcPr>
                <w:p w14:paraId="0317D0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2</w:t>
                  </w:r>
                </w:p>
              </w:tc>
              <w:tc>
                <w:tcPr>
                  <w:tcW w:w="1580" w:type="dxa"/>
                  <w:tcBorders>
                    <w:top w:val="single" w:color="000000" w:sz="4" w:space="0"/>
                    <w:left w:val="nil"/>
                    <w:bottom w:val="single" w:color="000000" w:sz="8" w:space="0"/>
                    <w:right w:val="single" w:color="000000" w:sz="8" w:space="0"/>
                  </w:tcBorders>
                  <w:noWrap w:val="0"/>
                  <w:vAlign w:val="center"/>
                </w:tcPr>
                <w:p w14:paraId="2A6D52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搅拌用水</w:t>
                  </w:r>
                </w:p>
              </w:tc>
              <w:tc>
                <w:tcPr>
                  <w:tcW w:w="1101" w:type="dxa"/>
                  <w:tcBorders>
                    <w:top w:val="single" w:color="000000" w:sz="4" w:space="0"/>
                    <w:left w:val="nil"/>
                    <w:bottom w:val="single" w:color="000000" w:sz="8" w:space="0"/>
                    <w:right w:val="single" w:color="000000" w:sz="8" w:space="0"/>
                  </w:tcBorders>
                  <w:noWrap w:val="0"/>
                  <w:vAlign w:val="center"/>
                </w:tcPr>
                <w:p w14:paraId="59BDC2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33.46</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196E2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56A12D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49.87</w:t>
                  </w:r>
                </w:p>
              </w:tc>
              <w:tc>
                <w:tcPr>
                  <w:tcW w:w="796" w:type="dxa"/>
                  <w:tcBorders>
                    <w:top w:val="single" w:color="000000" w:sz="4" w:space="0"/>
                    <w:left w:val="nil"/>
                    <w:bottom w:val="single" w:color="000000" w:sz="8" w:space="0"/>
                    <w:right w:val="single" w:color="000000" w:sz="8" w:space="0"/>
                  </w:tcBorders>
                  <w:noWrap w:val="0"/>
                  <w:vAlign w:val="center"/>
                </w:tcPr>
                <w:p w14:paraId="610C9E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986" w:type="dxa"/>
                  <w:tcBorders>
                    <w:top w:val="single" w:color="000000" w:sz="4" w:space="0"/>
                    <w:left w:val="nil"/>
                    <w:bottom w:val="single" w:color="000000" w:sz="8" w:space="0"/>
                    <w:right w:val="single" w:color="000000" w:sz="8" w:space="0"/>
                  </w:tcBorders>
                  <w:noWrap w:val="0"/>
                  <w:vAlign w:val="center"/>
                </w:tcPr>
                <w:p w14:paraId="07F59E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83.33</w:t>
                  </w:r>
                </w:p>
              </w:tc>
              <w:tc>
                <w:tcPr>
                  <w:tcW w:w="865" w:type="dxa"/>
                  <w:tcBorders>
                    <w:top w:val="single" w:color="000000" w:sz="4" w:space="0"/>
                    <w:left w:val="nil"/>
                    <w:bottom w:val="single" w:color="000000" w:sz="8" w:space="0"/>
                    <w:right w:val="nil"/>
                  </w:tcBorders>
                  <w:noWrap w:val="0"/>
                  <w:vAlign w:val="center"/>
                </w:tcPr>
                <w:p w14:paraId="0D1828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r>
            <w:tr w14:paraId="4EFD7640">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noWrap w:val="0"/>
                  <w:vAlign w:val="center"/>
                </w:tcPr>
                <w:p w14:paraId="770E9A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3</w:t>
                  </w:r>
                </w:p>
              </w:tc>
              <w:tc>
                <w:tcPr>
                  <w:tcW w:w="1580" w:type="dxa"/>
                  <w:tcBorders>
                    <w:top w:val="single" w:color="000000" w:sz="4" w:space="0"/>
                    <w:left w:val="nil"/>
                    <w:bottom w:val="single" w:color="000000" w:sz="8" w:space="0"/>
                    <w:right w:val="single" w:color="000000" w:sz="8" w:space="0"/>
                  </w:tcBorders>
                  <w:noWrap w:val="0"/>
                  <w:vAlign w:val="center"/>
                </w:tcPr>
                <w:p w14:paraId="0395D2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渗滤液</w:t>
                  </w:r>
                </w:p>
              </w:tc>
              <w:tc>
                <w:tcPr>
                  <w:tcW w:w="1101" w:type="dxa"/>
                  <w:tcBorders>
                    <w:top w:val="single" w:color="000000" w:sz="4" w:space="0"/>
                    <w:left w:val="nil"/>
                    <w:bottom w:val="single" w:color="000000" w:sz="8" w:space="0"/>
                    <w:right w:val="single" w:color="000000" w:sz="8" w:space="0"/>
                  </w:tcBorders>
                  <w:noWrap w:val="0"/>
                  <w:vAlign w:val="center"/>
                </w:tcPr>
                <w:p w14:paraId="3E2023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4974A8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57.33</w:t>
                  </w:r>
                </w:p>
              </w:tc>
              <w:tc>
                <w:tcPr>
                  <w:tcW w:w="1104" w:type="dxa"/>
                  <w:tcBorders>
                    <w:top w:val="single" w:color="000000" w:sz="4" w:space="0"/>
                    <w:left w:val="nil"/>
                    <w:bottom w:val="single" w:color="000000" w:sz="8" w:space="0"/>
                    <w:right w:val="single" w:color="000000" w:sz="8" w:space="0"/>
                  </w:tcBorders>
                  <w:noWrap w:val="0"/>
                  <w:vAlign w:val="center"/>
                </w:tcPr>
                <w:p w14:paraId="639064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796" w:type="dxa"/>
                  <w:tcBorders>
                    <w:top w:val="single" w:color="000000" w:sz="4" w:space="0"/>
                    <w:left w:val="nil"/>
                    <w:bottom w:val="single" w:color="000000" w:sz="8" w:space="0"/>
                    <w:right w:val="single" w:color="000000" w:sz="8" w:space="0"/>
                  </w:tcBorders>
                  <w:noWrap w:val="0"/>
                  <w:vAlign w:val="center"/>
                </w:tcPr>
                <w:p w14:paraId="2AF1BA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45.87</w:t>
                  </w:r>
                </w:p>
              </w:tc>
              <w:tc>
                <w:tcPr>
                  <w:tcW w:w="986" w:type="dxa"/>
                  <w:tcBorders>
                    <w:top w:val="single" w:color="000000" w:sz="4" w:space="0"/>
                    <w:left w:val="nil"/>
                    <w:bottom w:val="single" w:color="000000" w:sz="8" w:space="0"/>
                    <w:right w:val="single" w:color="000000" w:sz="8" w:space="0"/>
                  </w:tcBorders>
                  <w:noWrap w:val="0"/>
                  <w:vAlign w:val="center"/>
                </w:tcPr>
                <w:p w14:paraId="386EF7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11.46</w:t>
                  </w:r>
                </w:p>
              </w:tc>
              <w:tc>
                <w:tcPr>
                  <w:tcW w:w="865" w:type="dxa"/>
                  <w:tcBorders>
                    <w:top w:val="single" w:color="000000" w:sz="4" w:space="0"/>
                    <w:left w:val="nil"/>
                    <w:bottom w:val="single" w:color="000000" w:sz="8" w:space="0"/>
                    <w:right w:val="nil"/>
                  </w:tcBorders>
                  <w:noWrap w:val="0"/>
                  <w:vAlign w:val="center"/>
                </w:tcPr>
                <w:p w14:paraId="184E03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r>
            <w:tr w14:paraId="181F0608">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shd w:val="clear" w:color="auto" w:fill="auto"/>
                  <w:noWrap w:val="0"/>
                  <w:vAlign w:val="center"/>
                </w:tcPr>
                <w:p w14:paraId="32F44D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color w:val="auto"/>
                      <w:kern w:val="2"/>
                      <w:sz w:val="21"/>
                      <w:szCs w:val="21"/>
                      <w:highlight w:val="none"/>
                      <w:lang w:val="en-US" w:eastAsia="zh-CN" w:bidi="ar-SA"/>
                    </w:rPr>
                  </w:pPr>
                  <w:r>
                    <w:rPr>
                      <w:rFonts w:hint="default"/>
                      <w:color w:val="auto"/>
                      <w:sz w:val="21"/>
                      <w:szCs w:val="21"/>
                      <w:highlight w:val="none"/>
                      <w:lang w:val="en-US" w:eastAsia="zh-CN"/>
                    </w:rPr>
                    <w:t>4</w:t>
                  </w:r>
                </w:p>
              </w:tc>
              <w:tc>
                <w:tcPr>
                  <w:tcW w:w="1580" w:type="dxa"/>
                  <w:tcBorders>
                    <w:top w:val="single" w:color="000000" w:sz="4" w:space="0"/>
                    <w:left w:val="nil"/>
                    <w:bottom w:val="single" w:color="000000" w:sz="8" w:space="0"/>
                    <w:right w:val="single" w:color="000000" w:sz="8" w:space="0"/>
                  </w:tcBorders>
                  <w:noWrap w:val="0"/>
                  <w:vAlign w:val="center"/>
                </w:tcPr>
                <w:p w14:paraId="14EFB8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设备清洗用水</w:t>
                  </w:r>
                </w:p>
              </w:tc>
              <w:tc>
                <w:tcPr>
                  <w:tcW w:w="1101" w:type="dxa"/>
                  <w:tcBorders>
                    <w:top w:val="single" w:color="000000" w:sz="4" w:space="0"/>
                    <w:left w:val="nil"/>
                    <w:bottom w:val="single" w:color="000000" w:sz="8" w:space="0"/>
                    <w:right w:val="single" w:color="000000" w:sz="8" w:space="0"/>
                  </w:tcBorders>
                  <w:noWrap w:val="0"/>
                  <w:vAlign w:val="center"/>
                </w:tcPr>
                <w:p w14:paraId="263E3F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5</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039406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51D1B6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796" w:type="dxa"/>
                  <w:tcBorders>
                    <w:top w:val="single" w:color="000000" w:sz="4" w:space="0"/>
                    <w:left w:val="nil"/>
                    <w:bottom w:val="single" w:color="000000" w:sz="8" w:space="0"/>
                    <w:right w:val="single" w:color="000000" w:sz="8" w:space="0"/>
                  </w:tcBorders>
                  <w:noWrap w:val="0"/>
                  <w:vAlign w:val="center"/>
                </w:tcPr>
                <w:p w14:paraId="507574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4</w:t>
                  </w:r>
                </w:p>
              </w:tc>
              <w:tc>
                <w:tcPr>
                  <w:tcW w:w="986" w:type="dxa"/>
                  <w:tcBorders>
                    <w:top w:val="single" w:color="000000" w:sz="4" w:space="0"/>
                    <w:left w:val="nil"/>
                    <w:bottom w:val="single" w:color="000000" w:sz="8" w:space="0"/>
                    <w:right w:val="single" w:color="000000" w:sz="8" w:space="0"/>
                  </w:tcBorders>
                  <w:noWrap w:val="0"/>
                  <w:vAlign w:val="center"/>
                </w:tcPr>
                <w:p w14:paraId="212492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c>
                <w:tcPr>
                  <w:tcW w:w="865" w:type="dxa"/>
                  <w:tcBorders>
                    <w:top w:val="single" w:color="000000" w:sz="4" w:space="0"/>
                    <w:left w:val="nil"/>
                    <w:bottom w:val="single" w:color="000000" w:sz="8" w:space="0"/>
                    <w:right w:val="nil"/>
                  </w:tcBorders>
                  <w:noWrap w:val="0"/>
                  <w:vAlign w:val="center"/>
                </w:tcPr>
                <w:p w14:paraId="1A8F1B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r>
            <w:tr w14:paraId="4383534B">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shd w:val="clear" w:color="auto" w:fill="auto"/>
                  <w:noWrap w:val="0"/>
                  <w:vAlign w:val="center"/>
                </w:tcPr>
                <w:p w14:paraId="69857B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color w:val="auto"/>
                      <w:kern w:val="2"/>
                      <w:sz w:val="21"/>
                      <w:szCs w:val="21"/>
                      <w:highlight w:val="none"/>
                      <w:lang w:val="en-US" w:eastAsia="zh-CN" w:bidi="ar-SA"/>
                    </w:rPr>
                  </w:pPr>
                  <w:r>
                    <w:rPr>
                      <w:rFonts w:hint="default"/>
                      <w:color w:val="auto"/>
                      <w:sz w:val="21"/>
                      <w:szCs w:val="21"/>
                      <w:highlight w:val="none"/>
                      <w:lang w:val="en-US" w:eastAsia="zh-CN"/>
                    </w:rPr>
                    <w:t>5</w:t>
                  </w:r>
                </w:p>
              </w:tc>
              <w:tc>
                <w:tcPr>
                  <w:tcW w:w="1580" w:type="dxa"/>
                  <w:tcBorders>
                    <w:top w:val="single" w:color="000000" w:sz="4" w:space="0"/>
                    <w:left w:val="nil"/>
                    <w:bottom w:val="single" w:color="000000" w:sz="8" w:space="0"/>
                    <w:right w:val="single" w:color="000000" w:sz="8" w:space="0"/>
                  </w:tcBorders>
                  <w:noWrap w:val="0"/>
                  <w:vAlign w:val="center"/>
                </w:tcPr>
                <w:p w14:paraId="16FDE0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洗车用水</w:t>
                  </w:r>
                </w:p>
              </w:tc>
              <w:tc>
                <w:tcPr>
                  <w:tcW w:w="1101" w:type="dxa"/>
                  <w:tcBorders>
                    <w:top w:val="single" w:color="000000" w:sz="4" w:space="0"/>
                    <w:left w:val="nil"/>
                    <w:bottom w:val="single" w:color="000000" w:sz="8" w:space="0"/>
                    <w:right w:val="single" w:color="000000" w:sz="8" w:space="0"/>
                  </w:tcBorders>
                  <w:noWrap w:val="0"/>
                  <w:vAlign w:val="center"/>
                </w:tcPr>
                <w:p w14:paraId="781BCA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3D4311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7A40E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12</w:t>
                  </w:r>
                </w:p>
              </w:tc>
              <w:tc>
                <w:tcPr>
                  <w:tcW w:w="796" w:type="dxa"/>
                  <w:tcBorders>
                    <w:top w:val="single" w:color="000000" w:sz="4" w:space="0"/>
                    <w:left w:val="nil"/>
                    <w:bottom w:val="single" w:color="000000" w:sz="8" w:space="0"/>
                    <w:right w:val="single" w:color="000000" w:sz="8" w:space="0"/>
                  </w:tcBorders>
                  <w:noWrap w:val="0"/>
                  <w:vAlign w:val="center"/>
                </w:tcPr>
                <w:p w14:paraId="3C78F4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12</w:t>
                  </w:r>
                </w:p>
              </w:tc>
              <w:tc>
                <w:tcPr>
                  <w:tcW w:w="986" w:type="dxa"/>
                  <w:tcBorders>
                    <w:top w:val="single" w:color="000000" w:sz="4" w:space="0"/>
                    <w:left w:val="nil"/>
                    <w:bottom w:val="single" w:color="000000" w:sz="8" w:space="0"/>
                    <w:right w:val="single" w:color="000000" w:sz="8" w:space="0"/>
                  </w:tcBorders>
                  <w:noWrap w:val="0"/>
                  <w:vAlign w:val="center"/>
                </w:tcPr>
                <w:p w14:paraId="0DDA3A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w:t>
                  </w:r>
                </w:p>
              </w:tc>
              <w:tc>
                <w:tcPr>
                  <w:tcW w:w="865" w:type="dxa"/>
                  <w:tcBorders>
                    <w:top w:val="single" w:color="000000" w:sz="4" w:space="0"/>
                    <w:left w:val="nil"/>
                    <w:bottom w:val="single" w:color="000000" w:sz="8" w:space="0"/>
                    <w:right w:val="nil"/>
                  </w:tcBorders>
                  <w:noWrap w:val="0"/>
                  <w:vAlign w:val="center"/>
                </w:tcPr>
                <w:p w14:paraId="1C039D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0</w:t>
                  </w:r>
                </w:p>
              </w:tc>
            </w:tr>
            <w:tr w14:paraId="12A87C2F">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shd w:val="clear" w:color="auto" w:fill="auto"/>
                  <w:noWrap w:val="0"/>
                  <w:vAlign w:val="center"/>
                </w:tcPr>
                <w:p w14:paraId="15CF9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heme="minorBidi"/>
                      <w:color w:val="auto"/>
                      <w:kern w:val="2"/>
                      <w:sz w:val="21"/>
                      <w:szCs w:val="21"/>
                      <w:highlight w:val="none"/>
                      <w:lang w:val="en-US" w:eastAsia="zh-CN" w:bidi="ar-SA"/>
                    </w:rPr>
                  </w:pPr>
                  <w:r>
                    <w:rPr>
                      <w:rFonts w:hint="default"/>
                      <w:color w:val="auto"/>
                      <w:sz w:val="21"/>
                      <w:szCs w:val="21"/>
                      <w:highlight w:val="none"/>
                      <w:lang w:val="en-US" w:eastAsia="zh-CN"/>
                    </w:rPr>
                    <w:t>6</w:t>
                  </w:r>
                </w:p>
              </w:tc>
              <w:tc>
                <w:tcPr>
                  <w:tcW w:w="1580" w:type="dxa"/>
                  <w:tcBorders>
                    <w:top w:val="single" w:color="000000" w:sz="4" w:space="0"/>
                    <w:left w:val="nil"/>
                    <w:bottom w:val="single" w:color="000000" w:sz="8" w:space="0"/>
                    <w:right w:val="single" w:color="000000" w:sz="8" w:space="0"/>
                  </w:tcBorders>
                  <w:noWrap w:val="0"/>
                  <w:vAlign w:val="center"/>
                </w:tcPr>
                <w:p w14:paraId="71A83F9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降尘用水</w:t>
                  </w:r>
                </w:p>
              </w:tc>
              <w:tc>
                <w:tcPr>
                  <w:tcW w:w="1101" w:type="dxa"/>
                  <w:tcBorders>
                    <w:top w:val="single" w:color="000000" w:sz="4" w:space="0"/>
                    <w:left w:val="nil"/>
                    <w:bottom w:val="single" w:color="000000" w:sz="8" w:space="0"/>
                    <w:right w:val="single" w:color="000000" w:sz="8" w:space="0"/>
                  </w:tcBorders>
                  <w:noWrap w:val="0"/>
                  <w:vAlign w:val="center"/>
                </w:tcPr>
                <w:p w14:paraId="223E7E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1.84</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5E8CEB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07F822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8.16</w:t>
                  </w:r>
                </w:p>
              </w:tc>
              <w:tc>
                <w:tcPr>
                  <w:tcW w:w="796" w:type="dxa"/>
                  <w:tcBorders>
                    <w:top w:val="single" w:color="000000" w:sz="4" w:space="0"/>
                    <w:left w:val="nil"/>
                    <w:bottom w:val="single" w:color="000000" w:sz="8" w:space="0"/>
                    <w:right w:val="single" w:color="000000" w:sz="8" w:space="0"/>
                  </w:tcBorders>
                  <w:noWrap w:val="0"/>
                  <w:vAlign w:val="center"/>
                </w:tcPr>
                <w:p w14:paraId="545AD7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986" w:type="dxa"/>
                  <w:tcBorders>
                    <w:top w:val="single" w:color="000000" w:sz="4" w:space="0"/>
                    <w:left w:val="nil"/>
                    <w:bottom w:val="single" w:color="000000" w:sz="8" w:space="0"/>
                    <w:right w:val="single" w:color="000000" w:sz="8" w:space="0"/>
                  </w:tcBorders>
                  <w:noWrap w:val="0"/>
                  <w:vAlign w:val="center"/>
                </w:tcPr>
                <w:p w14:paraId="3365F3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10</w:t>
                  </w:r>
                </w:p>
              </w:tc>
              <w:tc>
                <w:tcPr>
                  <w:tcW w:w="865" w:type="dxa"/>
                  <w:tcBorders>
                    <w:top w:val="single" w:color="000000" w:sz="4" w:space="0"/>
                    <w:left w:val="nil"/>
                    <w:bottom w:val="single" w:color="000000" w:sz="8" w:space="0"/>
                    <w:right w:val="nil"/>
                  </w:tcBorders>
                  <w:noWrap w:val="0"/>
                  <w:vAlign w:val="center"/>
                </w:tcPr>
                <w:p w14:paraId="6F4D0C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r>
            <w:tr w14:paraId="080C4349">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noWrap w:val="0"/>
                  <w:vAlign w:val="center"/>
                </w:tcPr>
                <w:p w14:paraId="39306D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7</w:t>
                  </w:r>
                </w:p>
              </w:tc>
              <w:tc>
                <w:tcPr>
                  <w:tcW w:w="1580" w:type="dxa"/>
                  <w:tcBorders>
                    <w:top w:val="single" w:color="000000" w:sz="4" w:space="0"/>
                    <w:left w:val="nil"/>
                    <w:bottom w:val="single" w:color="000000" w:sz="8" w:space="0"/>
                    <w:right w:val="single" w:color="000000" w:sz="8" w:space="0"/>
                  </w:tcBorders>
                  <w:noWrap w:val="0"/>
                  <w:vAlign w:val="center"/>
                </w:tcPr>
                <w:p w14:paraId="624889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养护用水</w:t>
                  </w:r>
                </w:p>
              </w:tc>
              <w:tc>
                <w:tcPr>
                  <w:tcW w:w="1101" w:type="dxa"/>
                  <w:tcBorders>
                    <w:top w:val="single" w:color="000000" w:sz="4" w:space="0"/>
                    <w:left w:val="nil"/>
                    <w:bottom w:val="single" w:color="000000" w:sz="8" w:space="0"/>
                    <w:right w:val="single" w:color="000000" w:sz="8" w:space="0"/>
                  </w:tcBorders>
                  <w:noWrap w:val="0"/>
                  <w:vAlign w:val="center"/>
                </w:tcPr>
                <w:p w14:paraId="616AD5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0.8</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2C24C9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noWrap w:val="0"/>
                  <w:vAlign w:val="center"/>
                </w:tcPr>
                <w:p w14:paraId="3AD28E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796" w:type="dxa"/>
                  <w:tcBorders>
                    <w:top w:val="single" w:color="000000" w:sz="4" w:space="0"/>
                    <w:left w:val="nil"/>
                    <w:bottom w:val="single" w:color="000000" w:sz="8" w:space="0"/>
                    <w:right w:val="single" w:color="000000" w:sz="8" w:space="0"/>
                  </w:tcBorders>
                  <w:noWrap w:val="0"/>
                  <w:vAlign w:val="center"/>
                </w:tcPr>
                <w:p w14:paraId="1C1C46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0.16</w:t>
                  </w:r>
                </w:p>
              </w:tc>
              <w:tc>
                <w:tcPr>
                  <w:tcW w:w="986" w:type="dxa"/>
                  <w:tcBorders>
                    <w:top w:val="single" w:color="000000" w:sz="4" w:space="0"/>
                    <w:left w:val="nil"/>
                    <w:bottom w:val="single" w:color="000000" w:sz="8" w:space="0"/>
                    <w:right w:val="single" w:color="000000" w:sz="8" w:space="0"/>
                  </w:tcBorders>
                  <w:noWrap w:val="0"/>
                  <w:vAlign w:val="center"/>
                </w:tcPr>
                <w:p w14:paraId="7DA489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0.64</w:t>
                  </w:r>
                </w:p>
              </w:tc>
              <w:tc>
                <w:tcPr>
                  <w:tcW w:w="865" w:type="dxa"/>
                  <w:tcBorders>
                    <w:top w:val="single" w:color="000000" w:sz="4" w:space="0"/>
                    <w:left w:val="nil"/>
                    <w:bottom w:val="single" w:color="000000" w:sz="8" w:space="0"/>
                    <w:right w:val="nil"/>
                  </w:tcBorders>
                  <w:noWrap w:val="0"/>
                  <w:vAlign w:val="center"/>
                </w:tcPr>
                <w:p w14:paraId="277561B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r>
            <w:tr w14:paraId="2001E35E">
              <w:tblPrEx>
                <w:tblCellMar>
                  <w:top w:w="0" w:type="dxa"/>
                  <w:left w:w="108" w:type="dxa"/>
                  <w:bottom w:w="0" w:type="dxa"/>
                  <w:right w:w="108" w:type="dxa"/>
                </w:tblCellMar>
              </w:tblPrEx>
              <w:tc>
                <w:tcPr>
                  <w:tcW w:w="544" w:type="dxa"/>
                  <w:tcBorders>
                    <w:top w:val="single" w:color="000000" w:sz="4" w:space="0"/>
                    <w:left w:val="nil"/>
                    <w:bottom w:val="single" w:color="000000" w:sz="8" w:space="0"/>
                    <w:right w:val="single" w:color="000000" w:sz="8" w:space="0"/>
                  </w:tcBorders>
                  <w:noWrap w:val="0"/>
                  <w:vAlign w:val="center"/>
                </w:tcPr>
                <w:p w14:paraId="3BBDC5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lang w:val="en-US" w:eastAsia="zh-CN"/>
                    </w:rPr>
                    <w:t>8</w:t>
                  </w:r>
                </w:p>
              </w:tc>
              <w:tc>
                <w:tcPr>
                  <w:tcW w:w="1580" w:type="dxa"/>
                  <w:tcBorders>
                    <w:top w:val="single" w:color="000000" w:sz="4" w:space="0"/>
                    <w:left w:val="nil"/>
                    <w:bottom w:val="single" w:color="000000" w:sz="8" w:space="0"/>
                    <w:right w:val="single" w:color="000000" w:sz="8" w:space="0"/>
                  </w:tcBorders>
                  <w:noWrap w:val="0"/>
                  <w:vAlign w:val="center"/>
                </w:tcPr>
                <w:p w14:paraId="2E4761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初期雨水</w:t>
                  </w:r>
                </w:p>
              </w:tc>
              <w:tc>
                <w:tcPr>
                  <w:tcW w:w="1101" w:type="dxa"/>
                  <w:tcBorders>
                    <w:top w:val="single" w:color="000000" w:sz="4" w:space="0"/>
                    <w:left w:val="nil"/>
                    <w:bottom w:val="single" w:color="000000" w:sz="8" w:space="0"/>
                    <w:right w:val="single" w:color="000000" w:sz="8" w:space="0"/>
                  </w:tcBorders>
                  <w:noWrap w:val="0"/>
                  <w:vAlign w:val="center"/>
                </w:tcPr>
                <w:p w14:paraId="73731E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1F97F5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8</w:t>
                  </w:r>
                </w:p>
              </w:tc>
              <w:tc>
                <w:tcPr>
                  <w:tcW w:w="1104" w:type="dxa"/>
                  <w:tcBorders>
                    <w:top w:val="single" w:color="000000" w:sz="4" w:space="0"/>
                    <w:left w:val="nil"/>
                    <w:bottom w:val="single" w:color="000000" w:sz="8" w:space="0"/>
                    <w:right w:val="single" w:color="000000" w:sz="8" w:space="0"/>
                  </w:tcBorders>
                  <w:noWrap w:val="0"/>
                  <w:vAlign w:val="center"/>
                </w:tcPr>
                <w:p w14:paraId="0BF472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796" w:type="dxa"/>
                  <w:tcBorders>
                    <w:top w:val="single" w:color="000000" w:sz="4" w:space="0"/>
                    <w:left w:val="nil"/>
                    <w:bottom w:val="single" w:color="000000" w:sz="8" w:space="0"/>
                    <w:right w:val="single" w:color="000000" w:sz="8" w:space="0"/>
                  </w:tcBorders>
                  <w:noWrap w:val="0"/>
                  <w:vAlign w:val="center"/>
                </w:tcPr>
                <w:p w14:paraId="0373D4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8</w:t>
                  </w:r>
                </w:p>
              </w:tc>
              <w:tc>
                <w:tcPr>
                  <w:tcW w:w="986" w:type="dxa"/>
                  <w:tcBorders>
                    <w:top w:val="single" w:color="000000" w:sz="4" w:space="0"/>
                    <w:left w:val="nil"/>
                    <w:bottom w:val="single" w:color="000000" w:sz="8" w:space="0"/>
                    <w:right w:val="single" w:color="000000" w:sz="8" w:space="0"/>
                  </w:tcBorders>
                  <w:noWrap w:val="0"/>
                  <w:vAlign w:val="center"/>
                </w:tcPr>
                <w:p w14:paraId="141752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c>
                <w:tcPr>
                  <w:tcW w:w="865" w:type="dxa"/>
                  <w:tcBorders>
                    <w:top w:val="single" w:color="000000" w:sz="4" w:space="0"/>
                    <w:left w:val="nil"/>
                    <w:bottom w:val="single" w:color="000000" w:sz="8" w:space="0"/>
                    <w:right w:val="nil"/>
                  </w:tcBorders>
                  <w:noWrap w:val="0"/>
                  <w:vAlign w:val="center"/>
                </w:tcPr>
                <w:p w14:paraId="17A509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w:t>
                  </w:r>
                </w:p>
              </w:tc>
            </w:tr>
            <w:tr w14:paraId="27B3E117">
              <w:tblPrEx>
                <w:tblCellMar>
                  <w:top w:w="0" w:type="dxa"/>
                  <w:left w:w="108" w:type="dxa"/>
                  <w:bottom w:w="0" w:type="dxa"/>
                  <w:right w:w="108" w:type="dxa"/>
                </w:tblCellMar>
              </w:tblPrEx>
              <w:tc>
                <w:tcPr>
                  <w:tcW w:w="2124" w:type="dxa"/>
                  <w:gridSpan w:val="2"/>
                  <w:tcBorders>
                    <w:top w:val="single" w:color="000000" w:sz="4" w:space="0"/>
                    <w:left w:val="nil"/>
                    <w:bottom w:val="single" w:color="000000" w:sz="8" w:space="0"/>
                    <w:right w:val="single" w:color="000000" w:sz="8" w:space="0"/>
                  </w:tcBorders>
                  <w:noWrap w:val="0"/>
                  <w:vAlign w:val="center"/>
                </w:tcPr>
                <w:p w14:paraId="6C90A6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小计</w:t>
                  </w:r>
                </w:p>
              </w:tc>
              <w:tc>
                <w:tcPr>
                  <w:tcW w:w="1101" w:type="dxa"/>
                  <w:tcBorders>
                    <w:top w:val="single" w:color="000000" w:sz="4" w:space="0"/>
                    <w:left w:val="nil"/>
                    <w:bottom w:val="single" w:color="000000" w:sz="8" w:space="0"/>
                    <w:right w:val="single" w:color="000000" w:sz="8" w:space="0"/>
                  </w:tcBorders>
                  <w:noWrap w:val="0"/>
                  <w:vAlign w:val="center"/>
                </w:tcPr>
                <w:p w14:paraId="6147C2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45.7</w:t>
                  </w:r>
                </w:p>
              </w:tc>
              <w:tc>
                <w:tcPr>
                  <w:tcW w:w="1104" w:type="dxa"/>
                  <w:tcBorders>
                    <w:top w:val="single" w:color="000000" w:sz="4" w:space="0"/>
                    <w:left w:val="nil"/>
                    <w:bottom w:val="single" w:color="000000" w:sz="8" w:space="0"/>
                    <w:right w:val="single" w:color="000000" w:sz="8" w:space="0"/>
                  </w:tcBorders>
                  <w:shd w:val="clear" w:color="auto" w:fill="auto"/>
                  <w:noWrap w:val="0"/>
                  <w:vAlign w:val="center"/>
                </w:tcPr>
                <w:p w14:paraId="5E63B13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65.33</w:t>
                  </w:r>
                </w:p>
              </w:tc>
              <w:tc>
                <w:tcPr>
                  <w:tcW w:w="1104" w:type="dxa"/>
                  <w:tcBorders>
                    <w:top w:val="single" w:color="000000" w:sz="4" w:space="0"/>
                    <w:left w:val="nil"/>
                    <w:bottom w:val="single" w:color="000000" w:sz="8" w:space="0"/>
                    <w:right w:val="single" w:color="000000" w:sz="8" w:space="0"/>
                  </w:tcBorders>
                  <w:noWrap w:val="0"/>
                  <w:vAlign w:val="center"/>
                </w:tcPr>
                <w:p w14:paraId="59F3F2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70.03</w:t>
                  </w:r>
                </w:p>
              </w:tc>
              <w:tc>
                <w:tcPr>
                  <w:tcW w:w="796" w:type="dxa"/>
                  <w:tcBorders>
                    <w:top w:val="single" w:color="000000" w:sz="4" w:space="0"/>
                    <w:left w:val="nil"/>
                    <w:bottom w:val="single" w:color="000000" w:sz="8" w:space="0"/>
                    <w:right w:val="single" w:color="000000" w:sz="8" w:space="0"/>
                  </w:tcBorders>
                  <w:noWrap w:val="0"/>
                  <w:vAlign w:val="center"/>
                </w:tcPr>
                <w:p w14:paraId="2AD9A63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70.03</w:t>
                  </w:r>
                </w:p>
              </w:tc>
              <w:tc>
                <w:tcPr>
                  <w:tcW w:w="986" w:type="dxa"/>
                  <w:tcBorders>
                    <w:top w:val="single" w:color="000000" w:sz="4" w:space="0"/>
                    <w:left w:val="nil"/>
                    <w:bottom w:val="single" w:color="000000" w:sz="8" w:space="0"/>
                    <w:right w:val="single" w:color="000000" w:sz="8" w:space="0"/>
                  </w:tcBorders>
                  <w:noWrap w:val="0"/>
                  <w:vAlign w:val="center"/>
                </w:tcPr>
                <w:p w14:paraId="232B43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109.75</w:t>
                  </w:r>
                </w:p>
              </w:tc>
              <w:tc>
                <w:tcPr>
                  <w:tcW w:w="865" w:type="dxa"/>
                  <w:tcBorders>
                    <w:top w:val="single" w:color="000000" w:sz="4" w:space="0"/>
                    <w:left w:val="nil"/>
                    <w:bottom w:val="single" w:color="000000" w:sz="8" w:space="0"/>
                    <w:right w:val="nil"/>
                  </w:tcBorders>
                  <w:noWrap w:val="0"/>
                  <w:vAlign w:val="center"/>
                </w:tcPr>
                <w:p w14:paraId="6AB2882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1.28</w:t>
                  </w:r>
                </w:p>
              </w:tc>
            </w:tr>
            <w:tr w14:paraId="2835E427">
              <w:tblPrEx>
                <w:tblCellMar>
                  <w:top w:w="0" w:type="dxa"/>
                  <w:left w:w="108" w:type="dxa"/>
                  <w:bottom w:w="0" w:type="dxa"/>
                  <w:right w:w="108" w:type="dxa"/>
                </w:tblCellMar>
              </w:tblPrEx>
              <w:tc>
                <w:tcPr>
                  <w:tcW w:w="2124" w:type="dxa"/>
                  <w:gridSpan w:val="2"/>
                  <w:tcBorders>
                    <w:top w:val="single" w:color="auto" w:sz="4" w:space="0"/>
                    <w:left w:val="nil"/>
                    <w:bottom w:val="single" w:color="000000" w:sz="12" w:space="0"/>
                    <w:right w:val="single" w:color="000000" w:sz="8" w:space="0"/>
                  </w:tcBorders>
                  <w:noWrap w:val="0"/>
                  <w:vAlign w:val="center"/>
                </w:tcPr>
                <w:p w14:paraId="291E27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rPr>
                    <w:t>总计</w:t>
                  </w:r>
                </w:p>
              </w:tc>
              <w:tc>
                <w:tcPr>
                  <w:tcW w:w="3309" w:type="dxa"/>
                  <w:gridSpan w:val="3"/>
                  <w:tcBorders>
                    <w:top w:val="single" w:color="auto" w:sz="4" w:space="0"/>
                    <w:left w:val="nil"/>
                    <w:bottom w:val="single" w:color="000000" w:sz="12" w:space="0"/>
                    <w:right w:val="single" w:color="000000" w:sz="8" w:space="0"/>
                  </w:tcBorders>
                  <w:noWrap w:val="0"/>
                  <w:vAlign w:val="center"/>
                </w:tcPr>
                <w:p w14:paraId="42CC0C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181.06</w:t>
                  </w:r>
                </w:p>
              </w:tc>
              <w:tc>
                <w:tcPr>
                  <w:tcW w:w="2647" w:type="dxa"/>
                  <w:gridSpan w:val="3"/>
                  <w:tcBorders>
                    <w:top w:val="single" w:color="auto" w:sz="4" w:space="0"/>
                    <w:left w:val="nil"/>
                    <w:bottom w:val="single" w:color="000000" w:sz="12" w:space="0"/>
                    <w:right w:val="nil"/>
                  </w:tcBorders>
                  <w:noWrap w:val="0"/>
                  <w:vAlign w:val="center"/>
                </w:tcPr>
                <w:p w14:paraId="5781AB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181.06</w:t>
                  </w:r>
                </w:p>
              </w:tc>
            </w:tr>
          </w:tbl>
          <w:p w14:paraId="3011E565">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lang w:val="en-US" w:eastAsia="zh-CN"/>
              </w:rPr>
            </w:pPr>
            <w:r>
              <w:rPr>
                <w:rFonts w:hint="default" w:ascii="Times New Roman" w:hAnsi="Times New Roman" w:cs="Times New Roman"/>
                <w:color w:val="FF0000"/>
                <w:highlight w:val="none"/>
                <w:lang w:val="en-US" w:eastAsia="zh-CN"/>
              </w:rPr>
              <w:t>由表2-</w:t>
            </w:r>
            <w:r>
              <w:rPr>
                <w:rFonts w:hint="eastAsia" w:cs="Times New Roman"/>
                <w:color w:val="FF0000"/>
                <w:highlight w:val="none"/>
                <w:lang w:val="en-US" w:eastAsia="zh-CN"/>
              </w:rPr>
              <w:t>18</w:t>
            </w:r>
            <w:r>
              <w:rPr>
                <w:rFonts w:hint="default" w:ascii="Times New Roman" w:hAnsi="Times New Roman" w:cs="Times New Roman"/>
                <w:color w:val="FF0000"/>
                <w:highlight w:val="none"/>
                <w:lang w:val="en-US" w:eastAsia="zh-CN"/>
              </w:rPr>
              <w:t>和图2-2可知，本项目总用水量</w:t>
            </w:r>
            <w:r>
              <w:rPr>
                <w:rFonts w:hint="eastAsia" w:cs="Times New Roman"/>
                <w:color w:val="FF0000"/>
                <w:highlight w:val="none"/>
                <w:lang w:val="en-US" w:eastAsia="zh-CN"/>
              </w:rPr>
              <w:t>181.06</w:t>
            </w:r>
            <w:r>
              <w:rPr>
                <w:rFonts w:hint="default" w:ascii="Times New Roman" w:hAnsi="Times New Roman" w:cs="Times New Roman"/>
                <w:color w:val="FF0000"/>
                <w:highlight w:val="none"/>
                <w:lang w:val="en-US" w:eastAsia="zh-CN"/>
              </w:rPr>
              <w:t>t/d，其中新鲜水用量</w:t>
            </w:r>
            <w:r>
              <w:rPr>
                <w:rFonts w:hint="eastAsia" w:cs="Times New Roman"/>
                <w:color w:val="FF0000"/>
                <w:highlight w:val="none"/>
                <w:lang w:val="en-US" w:eastAsia="zh-CN"/>
              </w:rPr>
              <w:t>45.7</w:t>
            </w:r>
            <w:r>
              <w:rPr>
                <w:rFonts w:hint="default" w:ascii="Times New Roman" w:hAnsi="Times New Roman" w:cs="Times New Roman"/>
                <w:color w:val="FF0000"/>
                <w:highlight w:val="none"/>
                <w:lang w:val="en-US" w:eastAsia="zh-CN"/>
              </w:rPr>
              <w:t>t/d，渗滤液</w:t>
            </w:r>
            <w:r>
              <w:rPr>
                <w:rFonts w:hint="eastAsia" w:cs="Times New Roman"/>
                <w:color w:val="FF0000"/>
                <w:highlight w:val="none"/>
                <w:lang w:val="en-US" w:eastAsia="zh-CN"/>
              </w:rPr>
              <w:t>57.33</w:t>
            </w:r>
            <w:r>
              <w:rPr>
                <w:rFonts w:hint="default" w:ascii="Times New Roman" w:hAnsi="Times New Roman" w:cs="Times New Roman"/>
                <w:color w:val="FF0000"/>
                <w:highlight w:val="none"/>
                <w:lang w:val="en-US" w:eastAsia="zh-CN"/>
              </w:rPr>
              <w:t>t/d，初期雨水</w:t>
            </w:r>
            <w:r>
              <w:rPr>
                <w:rFonts w:hint="eastAsia" w:cs="Times New Roman"/>
                <w:color w:val="FF0000"/>
                <w:highlight w:val="none"/>
                <w:lang w:val="en-US" w:eastAsia="zh-CN"/>
              </w:rPr>
              <w:t>8</w:t>
            </w:r>
            <w:r>
              <w:rPr>
                <w:rFonts w:hint="default" w:ascii="Times New Roman" w:hAnsi="Times New Roman" w:cs="Times New Roman"/>
                <w:color w:val="FF0000"/>
                <w:highlight w:val="none"/>
                <w:lang w:val="en-US" w:eastAsia="zh-CN"/>
              </w:rPr>
              <w:t>t/d，</w:t>
            </w:r>
            <w:r>
              <w:rPr>
                <w:rFonts w:hint="eastAsia" w:cs="Times New Roman"/>
                <w:color w:val="FF0000"/>
                <w:highlight w:val="none"/>
                <w:lang w:val="en-US" w:eastAsia="zh-CN"/>
              </w:rPr>
              <w:t>回用</w:t>
            </w:r>
            <w:r>
              <w:rPr>
                <w:rFonts w:hint="default" w:ascii="Times New Roman" w:hAnsi="Times New Roman" w:cs="Times New Roman"/>
                <w:color w:val="FF0000"/>
                <w:highlight w:val="none"/>
                <w:lang w:val="en-US" w:eastAsia="zh-CN"/>
              </w:rPr>
              <w:t>水量</w:t>
            </w:r>
            <w:r>
              <w:rPr>
                <w:rFonts w:hint="eastAsia" w:cs="Times New Roman"/>
                <w:color w:val="FF0000"/>
                <w:highlight w:val="none"/>
                <w:lang w:val="en-US" w:eastAsia="zh-CN"/>
              </w:rPr>
              <w:t>70.03</w:t>
            </w:r>
            <w:r>
              <w:rPr>
                <w:rFonts w:hint="default" w:ascii="Times New Roman" w:hAnsi="Times New Roman" w:cs="Times New Roman"/>
                <w:color w:val="FF0000"/>
                <w:highlight w:val="none"/>
                <w:lang w:val="en-US" w:eastAsia="zh-CN"/>
              </w:rPr>
              <w:t>t/d</w:t>
            </w:r>
            <w:r>
              <w:rPr>
                <w:rFonts w:hint="default" w:ascii="Times New Roman" w:hAnsi="Times New Roman" w:cs="Times New Roman"/>
                <w:color w:val="auto"/>
                <w:highlight w:val="none"/>
                <w:lang w:val="en-US" w:eastAsia="zh-CN"/>
              </w:rPr>
              <w:t>，生活污水排放水量为</w:t>
            </w:r>
            <w:r>
              <w:rPr>
                <w:rFonts w:hint="eastAsia" w:cs="Times New Roman"/>
                <w:color w:val="auto"/>
                <w:highlight w:val="none"/>
                <w:lang w:val="en-US" w:eastAsia="zh-CN"/>
              </w:rPr>
              <w:t>1.28</w:t>
            </w:r>
            <w:r>
              <w:rPr>
                <w:rFonts w:hint="default" w:ascii="Times New Roman" w:hAnsi="Times New Roman" w:cs="Times New Roman"/>
                <w:color w:val="auto"/>
                <w:highlight w:val="none"/>
                <w:lang w:val="en-US" w:eastAsia="zh-CN"/>
              </w:rPr>
              <w:t>t/d。</w:t>
            </w:r>
          </w:p>
          <w:p w14:paraId="74D2451A">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rPr>
            </w:pPr>
            <w:r>
              <w:rPr>
                <w:rFonts w:hint="default" w:ascii="Times New Roman" w:hAnsi="Times New Roman" w:cs="Times New Roman"/>
                <w:b/>
                <w:bCs w:val="0"/>
                <w:color w:val="auto"/>
                <w:highlight w:val="none"/>
                <w:lang w:val="en-US" w:eastAsia="zh-CN"/>
              </w:rPr>
              <w:t>9</w:t>
            </w:r>
            <w:r>
              <w:rPr>
                <w:rFonts w:hint="default" w:ascii="Times New Roman" w:hAnsi="Times New Roman" w:cs="Times New Roman"/>
                <w:b/>
                <w:bCs w:val="0"/>
                <w:color w:val="auto"/>
                <w:highlight w:val="none"/>
              </w:rPr>
              <w:t>、厂区平面布置</w:t>
            </w:r>
          </w:p>
          <w:p w14:paraId="0189495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本着结合项目用地的自然条件，合理利用土地，便于各功能区之间的联系，缩短物料厂区运输距离，方便管理和有利生产的总体布置原则，根据各功能区的不同特点，采用分区布置方式。</w:t>
            </w:r>
          </w:p>
          <w:p w14:paraId="27EF7E3F">
            <w:pPr>
              <w:keepNext w:val="0"/>
              <w:keepLines w:val="0"/>
              <w:suppressLineNumbers w:val="0"/>
              <w:bidi w:val="0"/>
              <w:spacing w:before="0" w:beforeAutospacing="0" w:after="0" w:afterAutospacing="0"/>
              <w:ind w:left="0" w:right="0"/>
              <w:rPr>
                <w:rFonts w:hint="default" w:ascii="Times New Roman" w:hAnsi="Times New Roman" w:cs="Times New Roman"/>
                <w:bCs/>
                <w:color w:val="auto"/>
                <w:szCs w:val="21"/>
                <w:highlight w:val="none"/>
              </w:rPr>
            </w:pPr>
            <w:r>
              <w:rPr>
                <w:rFonts w:hint="default"/>
                <w:color w:val="auto"/>
                <w:highlight w:val="none"/>
                <w:lang w:val="en-US" w:eastAsia="zh-CN"/>
              </w:rPr>
              <w:t>原料仓库位于</w:t>
            </w:r>
            <w:r>
              <w:rPr>
                <w:rFonts w:hint="eastAsia"/>
                <w:color w:val="auto"/>
                <w:highlight w:val="none"/>
                <w:lang w:val="en-US" w:eastAsia="zh-CN"/>
              </w:rPr>
              <w:t>2#</w:t>
            </w:r>
            <w:r>
              <w:rPr>
                <w:rFonts w:hint="default"/>
                <w:color w:val="auto"/>
                <w:highlight w:val="none"/>
                <w:lang w:val="en-US" w:eastAsia="zh-CN"/>
              </w:rPr>
              <w:t>厂房</w:t>
            </w:r>
            <w:r>
              <w:rPr>
                <w:rFonts w:hint="eastAsia"/>
                <w:color w:val="auto"/>
                <w:highlight w:val="none"/>
                <w:lang w:val="en-US" w:eastAsia="zh-CN"/>
              </w:rPr>
              <w:t>北</w:t>
            </w:r>
            <w:r>
              <w:rPr>
                <w:rFonts w:hint="default"/>
                <w:color w:val="auto"/>
                <w:highlight w:val="none"/>
                <w:lang w:val="en-US" w:eastAsia="zh-CN"/>
              </w:rPr>
              <w:t>侧，</w:t>
            </w:r>
            <w:r>
              <w:rPr>
                <w:rFonts w:hint="eastAsia"/>
                <w:color w:val="auto"/>
                <w:highlight w:val="none"/>
                <w:lang w:val="en-US" w:eastAsia="zh-CN"/>
              </w:rPr>
              <w:t>入口为东北侧，</w:t>
            </w:r>
            <w:r>
              <w:rPr>
                <w:rFonts w:hint="default"/>
                <w:color w:val="auto"/>
                <w:highlight w:val="none"/>
                <w:lang w:val="en-US" w:eastAsia="zh-CN"/>
              </w:rPr>
              <w:t>靠近路边，便于</w:t>
            </w:r>
            <w:r>
              <w:rPr>
                <w:rFonts w:hint="eastAsia"/>
                <w:color w:val="auto"/>
                <w:highlight w:val="none"/>
                <w:lang w:val="en-US" w:eastAsia="zh-CN"/>
              </w:rPr>
              <w:t>原料</w:t>
            </w:r>
            <w:r>
              <w:rPr>
                <w:rFonts w:hint="default"/>
                <w:color w:val="auto"/>
                <w:highlight w:val="none"/>
                <w:lang w:val="en-US" w:eastAsia="zh-CN"/>
              </w:rPr>
              <w:t>的运输，同时，</w:t>
            </w:r>
            <w:r>
              <w:rPr>
                <w:rFonts w:hint="eastAsia"/>
                <w:color w:val="auto"/>
                <w:highlight w:val="none"/>
                <w:lang w:val="en-US" w:eastAsia="zh-CN"/>
              </w:rPr>
              <w:t>原料仓库自北向南依次为搅拌区、压制区、养护区，</w:t>
            </w:r>
            <w:r>
              <w:rPr>
                <w:rFonts w:hint="default"/>
                <w:color w:val="auto"/>
                <w:highlight w:val="none"/>
                <w:lang w:val="en-US" w:eastAsia="zh-CN"/>
              </w:rPr>
              <w:t>原料输送</w:t>
            </w:r>
            <w:r>
              <w:rPr>
                <w:rFonts w:hint="eastAsia"/>
                <w:color w:val="auto"/>
                <w:highlight w:val="none"/>
                <w:lang w:val="en-US" w:eastAsia="zh-CN"/>
              </w:rPr>
              <w:t>带</w:t>
            </w:r>
            <w:r>
              <w:rPr>
                <w:rFonts w:hint="default"/>
                <w:color w:val="auto"/>
                <w:highlight w:val="none"/>
                <w:lang w:val="en-US" w:eastAsia="zh-CN"/>
              </w:rPr>
              <w:t>位于原料堆棚</w:t>
            </w:r>
            <w:r>
              <w:rPr>
                <w:rFonts w:hint="eastAsia"/>
                <w:color w:val="auto"/>
                <w:highlight w:val="none"/>
                <w:lang w:val="en-US" w:eastAsia="zh-CN"/>
              </w:rPr>
              <w:t>南</w:t>
            </w:r>
            <w:r>
              <w:rPr>
                <w:rFonts w:hint="default"/>
                <w:color w:val="auto"/>
                <w:highlight w:val="none"/>
                <w:lang w:val="en-US" w:eastAsia="zh-CN"/>
              </w:rPr>
              <w:t>部，靠近生产</w:t>
            </w:r>
            <w:r>
              <w:rPr>
                <w:rFonts w:hint="eastAsia"/>
                <w:color w:val="auto"/>
                <w:highlight w:val="none"/>
                <w:lang w:val="en-US" w:eastAsia="zh-CN"/>
              </w:rPr>
              <w:t>区</w:t>
            </w:r>
            <w:r>
              <w:rPr>
                <w:rFonts w:hint="default"/>
                <w:color w:val="auto"/>
                <w:highlight w:val="none"/>
                <w:lang w:val="en-US" w:eastAsia="zh-CN"/>
              </w:rPr>
              <w:t>，最大程度减短输送距离。成品</w:t>
            </w:r>
            <w:r>
              <w:rPr>
                <w:rFonts w:hint="eastAsia"/>
                <w:color w:val="auto"/>
                <w:highlight w:val="none"/>
                <w:lang w:val="en-US" w:eastAsia="zh-CN"/>
              </w:rPr>
              <w:t>区</w:t>
            </w:r>
            <w:r>
              <w:rPr>
                <w:rFonts w:hint="default"/>
                <w:color w:val="auto"/>
                <w:highlight w:val="none"/>
                <w:lang w:val="en-US" w:eastAsia="zh-CN"/>
              </w:rPr>
              <w:t>位于厂房</w:t>
            </w:r>
            <w:r>
              <w:rPr>
                <w:rFonts w:hint="eastAsia"/>
                <w:color w:val="auto"/>
                <w:highlight w:val="none"/>
                <w:lang w:val="en-US" w:eastAsia="zh-CN"/>
              </w:rPr>
              <w:t>东</w:t>
            </w:r>
            <w:r>
              <w:rPr>
                <w:rFonts w:hint="default"/>
                <w:color w:val="auto"/>
                <w:highlight w:val="none"/>
                <w:lang w:val="en-US" w:eastAsia="zh-CN"/>
              </w:rPr>
              <w:t>侧，方便生产成品储存，同时，成品</w:t>
            </w:r>
            <w:r>
              <w:rPr>
                <w:rFonts w:hint="eastAsia"/>
                <w:color w:val="auto"/>
                <w:highlight w:val="none"/>
                <w:lang w:val="en-US" w:eastAsia="zh-CN"/>
              </w:rPr>
              <w:t>区</w:t>
            </w:r>
            <w:r>
              <w:rPr>
                <w:rFonts w:hint="default"/>
                <w:color w:val="auto"/>
                <w:highlight w:val="none"/>
                <w:lang w:val="en-US" w:eastAsia="zh-CN"/>
              </w:rPr>
              <w:t>靠近路口，便于产品的外运。项目各功能区内设施布置紧凑，各建筑物、构筑物的外形规整：功能区布置符合生产流程、操作要求和使用功能。本项目生活办公区</w:t>
            </w:r>
            <w:r>
              <w:rPr>
                <w:rFonts w:hint="eastAsia"/>
                <w:color w:val="auto"/>
                <w:highlight w:val="none"/>
                <w:lang w:val="en-US" w:eastAsia="zh-CN"/>
              </w:rPr>
              <w:t>依托现有工程，</w:t>
            </w:r>
            <w:r>
              <w:rPr>
                <w:rFonts w:hint="default"/>
                <w:color w:val="auto"/>
                <w:highlight w:val="none"/>
                <w:lang w:val="en-US" w:eastAsia="zh-CN"/>
              </w:rPr>
              <w:t>位于厂区</w:t>
            </w:r>
            <w:r>
              <w:rPr>
                <w:rFonts w:hint="eastAsia"/>
                <w:color w:val="auto"/>
                <w:highlight w:val="none"/>
                <w:lang w:val="en-US" w:eastAsia="zh-CN"/>
              </w:rPr>
              <w:t>西北</w:t>
            </w:r>
            <w:r>
              <w:rPr>
                <w:rFonts w:hint="default"/>
                <w:color w:val="auto"/>
                <w:highlight w:val="none"/>
                <w:lang w:val="en-US" w:eastAsia="zh-CN"/>
              </w:rPr>
              <w:t>，与生产车间有一定的距离，可减少噪声对职工的影响，同时，其不处于项目所在地加工区主导风向的下风向，从环保角度分析布置较合理。本项目总平面布置在满足消防、安全、卫生要求的前提下，总平面布局功能分明、工艺流程顺畅、运输及物流合理、生产管理方便，同时结构紧凑、最大限度节约空间，项目平面布置合理</w:t>
            </w:r>
            <w:r>
              <w:rPr>
                <w:rFonts w:hint="default"/>
                <w:color w:val="auto"/>
                <w:highlight w:val="none"/>
              </w:rPr>
              <w:t>，布局方整，便捷性较好，有利于货物进出。</w:t>
            </w:r>
          </w:p>
        </w:tc>
      </w:tr>
      <w:tr w14:paraId="5AA9B43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5" w:hRule="atLeast"/>
          <w:jc w:val="center"/>
        </w:trPr>
        <w:tc>
          <w:tcPr>
            <w:tcW w:w="823" w:type="dxa"/>
            <w:noWrap w:val="0"/>
            <w:vAlign w:val="center"/>
          </w:tcPr>
          <w:p w14:paraId="45192C1F">
            <w:pPr>
              <w:pStyle w:val="22"/>
              <w:keepNext w:val="0"/>
              <w:keepLines w:val="0"/>
              <w:suppressLineNumbers w:val="0"/>
              <w:adjustRightInd w:val="0"/>
              <w:snapToGrid w:val="0"/>
              <w:spacing w:before="0" w:beforeAutospacing="0" w:after="0" w:afterAutospacing="0"/>
              <w:ind w:left="0" w:leftChars="0" w:right="0" w:firstLine="0" w:firstLineChars="0"/>
              <w:jc w:val="both"/>
              <w:rPr>
                <w:rFonts w:hint="default" w:ascii="Times New Roman" w:hAnsi="Times New Roman" w:cs="Times New Roman"/>
                <w:color w:val="auto"/>
                <w:sz w:val="21"/>
                <w:szCs w:val="21"/>
                <w:highlight w:val="none"/>
              </w:rPr>
            </w:pPr>
            <w:r>
              <w:rPr>
                <w:rFonts w:hint="default" w:ascii="Times New Roman" w:hAnsi="Times New Roman" w:cs="Times New Roman"/>
                <w:color w:val="auto"/>
                <w:szCs w:val="24"/>
                <w:highlight w:val="none"/>
              </w:rPr>
              <w:t>工艺流程和产排污环节</w:t>
            </w:r>
          </w:p>
        </w:tc>
        <w:tc>
          <w:tcPr>
            <w:tcW w:w="8161" w:type="dxa"/>
            <w:noWrap w:val="0"/>
            <w:vAlign w:val="top"/>
          </w:tcPr>
          <w:p w14:paraId="5CFB9DA8">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rPr>
            </w:pPr>
            <w:r>
              <w:rPr>
                <w:rFonts w:hint="default" w:ascii="Times New Roman" w:hAnsi="Times New Roman" w:cs="Times New Roman"/>
                <w:b/>
                <w:bCs w:val="0"/>
                <w:color w:val="auto"/>
                <w:highlight w:val="none"/>
                <w:lang w:val="en-US" w:eastAsia="zh-CN"/>
              </w:rPr>
              <w:t>一、</w:t>
            </w:r>
            <w:r>
              <w:rPr>
                <w:rFonts w:hint="default" w:ascii="Times New Roman" w:hAnsi="Times New Roman" w:cs="Times New Roman"/>
                <w:b/>
                <w:bCs w:val="0"/>
                <w:color w:val="auto"/>
                <w:highlight w:val="none"/>
              </w:rPr>
              <w:t>施工期</w:t>
            </w:r>
            <w:r>
              <w:rPr>
                <w:rFonts w:hint="default" w:ascii="Times New Roman" w:hAnsi="Times New Roman" w:cs="Times New Roman"/>
                <w:b/>
                <w:bCs w:val="0"/>
                <w:color w:val="auto"/>
                <w:highlight w:val="none"/>
                <w:lang w:val="en-US" w:eastAsia="zh-CN"/>
              </w:rPr>
              <w:t>工艺流程及产污环节</w:t>
            </w:r>
          </w:p>
          <w:p w14:paraId="02E8341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本项目租赁已建空置厂房进行生产，本项目不涉及土建工程，仅为设备安装</w:t>
            </w:r>
            <w:r>
              <w:rPr>
                <w:rFonts w:hint="eastAsia"/>
                <w:color w:val="auto"/>
                <w:highlight w:val="none"/>
                <w:lang w:eastAsia="zh-CN"/>
              </w:rPr>
              <w:t>，</w:t>
            </w:r>
            <w:r>
              <w:rPr>
                <w:rFonts w:hint="default" w:ascii="Times New Roman" w:hAnsi="Times New Roman" w:eastAsia="宋体" w:cs="Times New Roman"/>
                <w:color w:val="auto"/>
                <w:sz w:val="24"/>
                <w:highlight w:val="none"/>
              </w:rPr>
              <w:t>产生的污染物主要为施工噪声、废弃材料和生活垃圾。</w:t>
            </w:r>
          </w:p>
          <w:p w14:paraId="49DA41FC">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lang w:val="en-US" w:eastAsia="zh-CN"/>
              </w:rPr>
              <w:t>二、</w:t>
            </w:r>
            <w:r>
              <w:rPr>
                <w:rFonts w:hint="default"/>
                <w:b/>
                <w:bCs/>
                <w:color w:val="auto"/>
                <w:highlight w:val="none"/>
              </w:rPr>
              <w:t>营运期</w:t>
            </w:r>
          </w:p>
          <w:p w14:paraId="3DB9AE45">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lang w:val="en-US" w:eastAsia="zh-CN"/>
              </w:rPr>
              <w:t>1、</w:t>
            </w:r>
            <w:r>
              <w:rPr>
                <w:rFonts w:hint="default"/>
                <w:b/>
                <w:bCs/>
                <w:color w:val="auto"/>
                <w:highlight w:val="none"/>
              </w:rPr>
              <w:t>生产工艺流程及产污节点图</w:t>
            </w:r>
          </w:p>
          <w:p w14:paraId="38EF231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（1）</w:t>
            </w:r>
            <w:r>
              <w:rPr>
                <w:rFonts w:hint="eastAsia"/>
                <w:color w:val="auto"/>
                <w:highlight w:val="none"/>
                <w:lang w:val="en-US" w:eastAsia="zh-CN"/>
              </w:rPr>
              <w:t>掺合料</w:t>
            </w:r>
            <w:r>
              <w:rPr>
                <w:rFonts w:hint="default"/>
                <w:color w:val="auto"/>
                <w:highlight w:val="none"/>
              </w:rPr>
              <w:t>生产工艺流程</w:t>
            </w:r>
          </w:p>
          <w:p w14:paraId="47A8924E">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object>
                <v:shape id="_x0000_i1026" o:spt="75" type="#_x0000_t75" style="height:133.85pt;width:199.35pt;" o:ole="t" filled="f" o:preferrelative="t" stroked="f" coordsize="21600,21600">
                  <v:path/>
                  <v:fill on="f" focussize="0,0"/>
                  <v:stroke on="f"/>
                  <v:imagedata r:id="rId13" o:title=""/>
                  <o:lock v:ext="edit" aspectratio="f"/>
                  <w10:wrap type="none"/>
                  <w10:anchorlock/>
                </v:shape>
                <o:OLEObject Type="Embed" ProgID="Visio.Drawing.15" ShapeID="_x0000_i1026" DrawAspect="Content" ObjectID="_1468075726" r:id="rId12">
                  <o:LockedField>false</o:LockedField>
                </o:OLEObject>
              </w:object>
            </w:r>
          </w:p>
          <w:p w14:paraId="5D6190DA">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图2-</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 </w:t>
            </w:r>
            <w:r>
              <w:rPr>
                <w:rFonts w:hint="eastAsia" w:cs="Times New Roman"/>
                <w:color w:val="auto"/>
                <w:highlight w:val="none"/>
                <w:lang w:eastAsia="zh-CN"/>
              </w:rPr>
              <w:t>掺合料</w:t>
            </w:r>
            <w:r>
              <w:rPr>
                <w:rFonts w:hint="default" w:ascii="Times New Roman" w:hAnsi="Times New Roman" w:cs="Times New Roman"/>
                <w:color w:val="auto"/>
                <w:highlight w:val="none"/>
              </w:rPr>
              <w:t>生产工艺流程图</w:t>
            </w:r>
          </w:p>
          <w:p w14:paraId="42C61DA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工艺流程简述：</w:t>
            </w:r>
          </w:p>
          <w:p w14:paraId="341D856E">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①</w:t>
            </w:r>
            <w:r>
              <w:rPr>
                <w:rFonts w:hint="eastAsia"/>
                <w:color w:val="auto"/>
                <w:highlight w:val="none"/>
                <w:lang w:eastAsia="zh-CN"/>
              </w:rPr>
              <w:t>配料系统</w:t>
            </w:r>
          </w:p>
          <w:p w14:paraId="7D05EC11">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锂渣入厂后暂存于锂渣仓库，通过自然风干至</w:t>
            </w:r>
            <w:r>
              <w:rPr>
                <w:rFonts w:hint="default"/>
                <w:color w:val="FF0000"/>
                <w:highlight w:val="none"/>
                <w:lang w:val="en-US" w:eastAsia="zh-CN"/>
              </w:rPr>
              <w:t>含水率为16%</w:t>
            </w:r>
            <w:r>
              <w:rPr>
                <w:rFonts w:hint="default"/>
                <w:color w:val="auto"/>
                <w:highlight w:val="none"/>
                <w:lang w:val="en-US" w:eastAsia="zh-CN"/>
              </w:rPr>
              <w:t>后使用于生产；粉煤灰经专用罐车运输进厂后直接卸料至料仓内，卸料时通过管道以负压吸入料斗，再以压缩空气通过管道输送至料仓，</w:t>
            </w:r>
            <w:r>
              <w:rPr>
                <w:rFonts w:hint="eastAsia"/>
                <w:color w:val="auto"/>
                <w:highlight w:val="none"/>
                <w:lang w:val="en-US" w:eastAsia="zh-CN"/>
              </w:rPr>
              <w:t>石膏粉</w:t>
            </w:r>
            <w:r>
              <w:rPr>
                <w:rFonts w:hint="default"/>
                <w:color w:val="auto"/>
                <w:highlight w:val="none"/>
                <w:lang w:val="en-US" w:eastAsia="zh-CN"/>
              </w:rPr>
              <w:t>、粉煤灰、</w:t>
            </w:r>
            <w:r>
              <w:rPr>
                <w:rFonts w:hint="eastAsia"/>
                <w:color w:val="auto"/>
                <w:highlight w:val="none"/>
                <w:lang w:val="en-US" w:eastAsia="zh-CN"/>
              </w:rPr>
              <w:t>碎石、</w:t>
            </w:r>
            <w:r>
              <w:rPr>
                <w:rFonts w:hint="default"/>
                <w:color w:val="auto"/>
                <w:highlight w:val="none"/>
                <w:lang w:val="en-US" w:eastAsia="zh-CN"/>
              </w:rPr>
              <w:t>螯合剂、抑碱剂入厂后直接暂存于原料仓库。</w:t>
            </w:r>
            <w:r>
              <w:rPr>
                <w:rFonts w:hint="default"/>
                <w:color w:val="auto"/>
                <w:highlight w:val="none"/>
              </w:rPr>
              <w:t>原料锂渣（掺合料对原料粒径要求较低，锂渣无需进行破碎）、</w:t>
            </w:r>
            <w:r>
              <w:rPr>
                <w:rFonts w:hint="eastAsia"/>
                <w:color w:val="auto"/>
                <w:highlight w:val="none"/>
                <w:lang w:eastAsia="zh-CN"/>
              </w:rPr>
              <w:t>石膏</w:t>
            </w:r>
            <w:r>
              <w:rPr>
                <w:rFonts w:hint="default"/>
                <w:color w:val="auto"/>
                <w:highlight w:val="none"/>
              </w:rPr>
              <w:t>粉和硅粉进入配料系统，建设单位拟选用全自动电子配料系统，可根据配比要求自动完成配料程序。石粉和硅粉通过管道密闭输送，计量后通过放料阀加入搅拌机内；锂渣通过铲车运至料仓口通过皮带密闭输送至搅拌机内</w:t>
            </w:r>
            <w:r>
              <w:rPr>
                <w:rFonts w:hint="eastAsia"/>
                <w:color w:val="auto"/>
                <w:highlight w:val="none"/>
                <w:lang w:eastAsia="zh-CN"/>
              </w:rPr>
              <w:t>。</w:t>
            </w:r>
            <w:r>
              <w:rPr>
                <w:rFonts w:hint="default"/>
                <w:color w:val="auto"/>
                <w:highlight w:val="none"/>
                <w:lang w:val="en-US" w:eastAsia="zh-CN"/>
              </w:rPr>
              <w:t>此</w:t>
            </w:r>
            <w:r>
              <w:rPr>
                <w:rFonts w:hint="eastAsia"/>
                <w:color w:val="auto"/>
                <w:highlight w:val="none"/>
                <w:lang w:val="en-US" w:eastAsia="zh-CN"/>
              </w:rPr>
              <w:t>处</w:t>
            </w:r>
            <w:r>
              <w:rPr>
                <w:rFonts w:hint="default"/>
                <w:color w:val="auto"/>
                <w:highlight w:val="none"/>
                <w:lang w:val="en-US" w:eastAsia="zh-CN"/>
              </w:rPr>
              <w:t>产生污染物主要为颗粒物</w:t>
            </w:r>
            <w:r>
              <w:rPr>
                <w:rFonts w:hint="eastAsia"/>
                <w:color w:val="auto"/>
                <w:highlight w:val="none"/>
                <w:lang w:val="en-US" w:eastAsia="zh-CN"/>
              </w:rPr>
              <w:t>、废包装材料</w:t>
            </w:r>
            <w:r>
              <w:rPr>
                <w:rFonts w:hint="default"/>
                <w:color w:val="auto"/>
                <w:highlight w:val="none"/>
                <w:lang w:val="en-US" w:eastAsia="zh-CN"/>
              </w:rPr>
              <w:t>和设备噪声。</w:t>
            </w:r>
          </w:p>
          <w:p w14:paraId="6BA3613D">
            <w:pPr>
              <w:keepNext w:val="0"/>
              <w:keepLines w:val="0"/>
              <w:suppressLineNumbers w:val="0"/>
              <w:bidi w:val="0"/>
              <w:spacing w:before="0" w:beforeAutospacing="0" w:after="0" w:afterAutospacing="0"/>
              <w:ind w:left="0" w:right="0"/>
              <w:rPr>
                <w:rFonts w:hint="default"/>
                <w:color w:val="auto"/>
                <w:highlight w:val="none"/>
                <w:lang w:eastAsia="zh-CN"/>
              </w:rPr>
            </w:pPr>
            <w:r>
              <w:rPr>
                <w:rFonts w:hint="default"/>
                <w:color w:val="auto"/>
                <w:highlight w:val="none"/>
              </w:rPr>
              <w:t>②</w:t>
            </w:r>
            <w:r>
              <w:rPr>
                <w:rFonts w:hint="default"/>
                <w:color w:val="auto"/>
                <w:highlight w:val="none"/>
                <w:lang w:val="en-US" w:eastAsia="zh-CN"/>
              </w:rPr>
              <w:t>搅拌</w:t>
            </w:r>
          </w:p>
          <w:p w14:paraId="109C039D">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先将锂渣</w:t>
            </w:r>
            <w:r>
              <w:rPr>
                <w:rFonts w:hint="default"/>
                <w:color w:val="auto"/>
                <w:highlight w:val="none"/>
                <w:lang w:val="en-US" w:eastAsia="zh-CN"/>
              </w:rPr>
              <w:t>和螯合剂</w:t>
            </w:r>
            <w:r>
              <w:rPr>
                <w:rFonts w:hint="default"/>
                <w:color w:val="FF0000"/>
                <w:highlight w:val="none"/>
                <w:lang w:val="en-US" w:eastAsia="zh-CN"/>
              </w:rPr>
              <w:t>按照99.5：0.5比例</w:t>
            </w:r>
            <w:r>
              <w:rPr>
                <w:rFonts w:hint="default"/>
                <w:color w:val="auto"/>
                <w:highlight w:val="none"/>
                <w:lang w:val="en-US" w:eastAsia="zh-CN"/>
              </w:rPr>
              <w:t>通过密闭皮带输送机输送至搅拌机搅拌，</w:t>
            </w:r>
            <w:r>
              <w:rPr>
                <w:rFonts w:hint="default"/>
                <w:color w:val="FF0000"/>
                <w:highlight w:val="none"/>
                <w:lang w:val="en-US" w:eastAsia="zh-CN"/>
              </w:rPr>
              <w:t>搅拌时间为5分钟</w:t>
            </w:r>
            <w:r>
              <w:rPr>
                <w:rFonts w:hint="eastAsia"/>
                <w:color w:val="auto"/>
                <w:highlight w:val="none"/>
                <w:lang w:val="en-US" w:eastAsia="zh-CN"/>
              </w:rPr>
              <w:t>。</w:t>
            </w:r>
            <w:r>
              <w:rPr>
                <w:rFonts w:hint="default"/>
                <w:color w:val="FF0000"/>
              </w:rPr>
              <w:t>项目通过添加</w:t>
            </w:r>
            <w:bookmarkStart w:id="95" w:name="OLE_LINK13"/>
            <w:r>
              <w:rPr>
                <w:rFonts w:hint="default"/>
                <w:color w:val="FF0000"/>
              </w:rPr>
              <w:t>螯合剂</w:t>
            </w:r>
            <w:bookmarkEnd w:id="95"/>
            <w:r>
              <w:rPr>
                <w:rFonts w:hint="default"/>
                <w:color w:val="FF0000"/>
              </w:rPr>
              <w:t>对锂渣中主要元素铍、铊等进行螯合，</w:t>
            </w:r>
            <w:r>
              <w:rPr>
                <w:rFonts w:hint="eastAsia"/>
                <w:color w:val="FF0000"/>
                <w:lang w:eastAsia="zh-CN"/>
              </w:rPr>
              <w:t>提高锂渣中重金属的稳定性，降低锂渣中</w:t>
            </w:r>
            <w:r>
              <w:rPr>
                <w:rFonts w:hint="default"/>
                <w:color w:val="FF0000"/>
              </w:rPr>
              <w:t>Be、T1、氟化物</w:t>
            </w:r>
            <w:r>
              <w:rPr>
                <w:rFonts w:hint="eastAsia"/>
                <w:color w:val="FF0000"/>
                <w:lang w:eastAsia="zh-CN"/>
              </w:rPr>
              <w:t>的</w:t>
            </w:r>
            <w:r>
              <w:rPr>
                <w:rFonts w:hint="default"/>
                <w:color w:val="FF0000"/>
              </w:rPr>
              <w:t>浸出毒性</w:t>
            </w:r>
            <w:r>
              <w:rPr>
                <w:rFonts w:hint="eastAsia"/>
                <w:color w:val="FF0000"/>
                <w:lang w:eastAsia="zh-CN"/>
              </w:rPr>
              <w:t>。</w:t>
            </w:r>
            <w:r>
              <w:rPr>
                <w:rFonts w:hint="eastAsia"/>
                <w:color w:val="auto"/>
                <w:highlight w:val="none"/>
                <w:lang w:val="en-US" w:eastAsia="zh-CN"/>
              </w:rPr>
              <w:t>与螯合剂混合后的锂渣</w:t>
            </w:r>
            <w:r>
              <w:rPr>
                <w:rFonts w:hint="default"/>
                <w:color w:val="auto"/>
                <w:highlight w:val="none"/>
                <w:lang w:val="en-US" w:eastAsia="zh-CN"/>
              </w:rPr>
              <w:t>再</w:t>
            </w:r>
            <w:r>
              <w:rPr>
                <w:rFonts w:hint="eastAsia"/>
                <w:color w:val="auto"/>
                <w:highlight w:val="none"/>
                <w:lang w:val="en-US" w:eastAsia="zh-CN"/>
              </w:rPr>
              <w:t>与石膏粉</w:t>
            </w:r>
            <w:r>
              <w:rPr>
                <w:rFonts w:hint="default"/>
                <w:color w:val="auto"/>
                <w:highlight w:val="none"/>
                <w:lang w:val="en-US" w:eastAsia="zh-CN"/>
              </w:rPr>
              <w:t>、粉煤灰、</w:t>
            </w:r>
            <w:r>
              <w:rPr>
                <w:rFonts w:hint="eastAsia"/>
                <w:color w:val="auto"/>
                <w:highlight w:val="none"/>
                <w:lang w:val="en-US" w:eastAsia="zh-CN"/>
              </w:rPr>
              <w:t>碎石、</w:t>
            </w:r>
            <w:r>
              <w:rPr>
                <w:rFonts w:hint="default"/>
                <w:color w:val="auto"/>
                <w:highlight w:val="none"/>
                <w:lang w:val="en-US" w:eastAsia="zh-CN"/>
              </w:rPr>
              <w:t>抑碱剂</w:t>
            </w:r>
            <w:r>
              <w:rPr>
                <w:rFonts w:hint="default"/>
                <w:color w:val="FF0000"/>
                <w:highlight w:val="none"/>
                <w:lang w:val="en-US" w:eastAsia="zh-CN"/>
              </w:rPr>
              <w:t>按</w:t>
            </w:r>
            <w:r>
              <w:rPr>
                <w:rFonts w:hint="eastAsia"/>
                <w:color w:val="FF0000"/>
                <w:highlight w:val="none"/>
                <w:lang w:val="en-US" w:eastAsia="zh-CN"/>
              </w:rPr>
              <w:t>42.24：9.83：14.75：31.95：1.23</w:t>
            </w:r>
            <w:r>
              <w:rPr>
                <w:rFonts w:hint="default"/>
                <w:color w:val="FF0000"/>
                <w:highlight w:val="none"/>
                <w:lang w:val="en-US" w:eastAsia="zh-CN"/>
              </w:rPr>
              <w:t>的比例</w:t>
            </w:r>
            <w:r>
              <w:rPr>
                <w:rFonts w:hint="default"/>
                <w:color w:val="auto"/>
                <w:highlight w:val="none"/>
                <w:lang w:val="en-US" w:eastAsia="zh-CN"/>
              </w:rPr>
              <w:t>通搅拌机搅拌，</w:t>
            </w:r>
            <w:r>
              <w:rPr>
                <w:rFonts w:hint="default"/>
                <w:color w:val="FF0000"/>
                <w:highlight w:val="none"/>
                <w:lang w:val="en-US" w:eastAsia="zh-CN"/>
              </w:rPr>
              <w:t>时间≥5分钟，</w:t>
            </w:r>
            <w:r>
              <w:rPr>
                <w:rFonts w:hint="default"/>
                <w:color w:val="auto"/>
                <w:highlight w:val="none"/>
                <w:lang w:val="en-US" w:eastAsia="zh-CN"/>
              </w:rPr>
              <w:t>确保物料充分混合均匀。</w:t>
            </w:r>
            <w:r>
              <w:rPr>
                <w:rFonts w:hint="default"/>
                <w:color w:val="auto"/>
                <w:highlight w:val="none"/>
              </w:rPr>
              <w:t>此工序产生的污染物主要</w:t>
            </w:r>
            <w:r>
              <w:rPr>
                <w:rFonts w:hint="default"/>
                <w:color w:val="auto"/>
                <w:highlight w:val="none"/>
                <w:lang w:val="en-US" w:eastAsia="zh-CN"/>
              </w:rPr>
              <w:t>为颗粒物和设备噪声。</w:t>
            </w:r>
          </w:p>
          <w:p w14:paraId="4777AA9C">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rPr>
              <w:t>③</w:t>
            </w:r>
            <w:r>
              <w:rPr>
                <w:rFonts w:hint="eastAsia"/>
                <w:color w:val="auto"/>
                <w:highlight w:val="none"/>
                <w:lang w:val="en-US" w:eastAsia="zh-CN"/>
              </w:rPr>
              <w:t>装车</w:t>
            </w:r>
          </w:p>
          <w:p w14:paraId="1B6C4D2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lang w:val="en-US" w:eastAsia="zh-CN"/>
              </w:rPr>
              <w:t>将搅拌好的物料</w:t>
            </w:r>
            <w:r>
              <w:rPr>
                <w:rFonts w:hint="default"/>
                <w:color w:val="auto"/>
                <w:highlight w:val="none"/>
              </w:rPr>
              <w:t>经</w:t>
            </w:r>
            <w:r>
              <w:rPr>
                <w:rFonts w:hint="default"/>
                <w:color w:val="auto"/>
                <w:highlight w:val="none"/>
                <w:lang w:val="en-US" w:eastAsia="zh-CN"/>
              </w:rPr>
              <w:t>密闭皮带输送机</w:t>
            </w:r>
            <w:r>
              <w:rPr>
                <w:rFonts w:hint="default"/>
                <w:color w:val="auto"/>
                <w:highlight w:val="none"/>
              </w:rPr>
              <w:t>输送</w:t>
            </w:r>
            <w:r>
              <w:rPr>
                <w:rFonts w:hint="eastAsia"/>
                <w:color w:val="auto"/>
                <w:highlight w:val="none"/>
                <w:lang w:eastAsia="zh-CN"/>
              </w:rPr>
              <w:t>至</w:t>
            </w:r>
            <w:r>
              <w:rPr>
                <w:rFonts w:hint="default"/>
                <w:color w:val="auto"/>
                <w:highlight w:val="none"/>
                <w:lang w:val="en-US" w:eastAsia="zh-CN"/>
              </w:rPr>
              <w:t>货车，</w:t>
            </w:r>
            <w:r>
              <w:rPr>
                <w:rFonts w:hint="eastAsia"/>
                <w:color w:val="auto"/>
                <w:highlight w:val="none"/>
                <w:lang w:val="en-US" w:eastAsia="zh-CN"/>
              </w:rPr>
              <w:t>运送</w:t>
            </w:r>
            <w:r>
              <w:rPr>
                <w:rFonts w:hint="default"/>
                <w:color w:val="auto"/>
                <w:highlight w:val="none"/>
                <w:lang w:val="en-US" w:eastAsia="zh-CN"/>
              </w:rPr>
              <w:t>至施工现场</w:t>
            </w:r>
            <w:r>
              <w:rPr>
                <w:rFonts w:hint="eastAsia"/>
                <w:color w:val="auto"/>
                <w:highlight w:val="none"/>
                <w:lang w:val="en-US" w:eastAsia="zh-CN"/>
              </w:rPr>
              <w:t>。此工序产生粉尘和噪声</w:t>
            </w:r>
            <w:r>
              <w:rPr>
                <w:rFonts w:hint="default"/>
                <w:color w:val="auto"/>
                <w:highlight w:val="none"/>
              </w:rPr>
              <w:t>。</w:t>
            </w:r>
          </w:p>
          <w:p w14:paraId="3C4B749B">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w:t>
            </w:r>
            <w:r>
              <w:rPr>
                <w:rFonts w:hint="eastAsia"/>
                <w:color w:val="auto"/>
                <w:highlight w:val="none"/>
                <w:lang w:val="en-US" w:eastAsia="zh-CN"/>
              </w:rPr>
              <w:t>2</w:t>
            </w:r>
            <w:r>
              <w:rPr>
                <w:rFonts w:hint="default"/>
                <w:color w:val="auto"/>
                <w:highlight w:val="none"/>
                <w:lang w:val="en-US" w:eastAsia="zh-CN"/>
              </w:rPr>
              <w:t>）环保</w:t>
            </w:r>
            <w:r>
              <w:rPr>
                <w:rFonts w:hint="eastAsia"/>
                <w:color w:val="auto"/>
                <w:highlight w:val="none"/>
                <w:lang w:val="en-US" w:eastAsia="zh-CN"/>
              </w:rPr>
              <w:t>免烧</w:t>
            </w:r>
            <w:r>
              <w:rPr>
                <w:rFonts w:hint="default"/>
                <w:color w:val="auto"/>
                <w:highlight w:val="none"/>
                <w:lang w:val="en-US" w:eastAsia="zh-CN"/>
              </w:rPr>
              <w:t>砖工艺</w:t>
            </w:r>
          </w:p>
          <w:p w14:paraId="7E702BC1">
            <w:pPr>
              <w:pStyle w:val="7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object>
                <v:shape id="_x0000_i1027" o:spt="75" type="#_x0000_t75" style="height:200.05pt;width:237.15pt;" o:ole="t" filled="f" o:preferrelative="t" stroked="f" coordsize="21600,21600">
                  <v:path/>
                  <v:fill on="f" focussize="0,0"/>
                  <v:stroke on="f"/>
                  <v:imagedata r:id="rId15" o:title=""/>
                  <o:lock v:ext="edit" aspectratio="f"/>
                  <w10:wrap type="none"/>
                  <w10:anchorlock/>
                </v:shape>
                <o:OLEObject Type="Embed" ProgID="Visio.Drawing.15" ShapeID="_x0000_i1027" DrawAspect="Content" ObjectID="_1468075727" r:id="rId14">
                  <o:LockedField>false</o:LockedField>
                </o:OLEObject>
              </w:object>
            </w:r>
          </w:p>
          <w:p w14:paraId="28544A9B">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图2-</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val="en-US" w:eastAsia="zh-CN"/>
              </w:rPr>
              <w:t>环保砖</w:t>
            </w:r>
            <w:r>
              <w:rPr>
                <w:rFonts w:hint="default" w:ascii="Times New Roman" w:hAnsi="Times New Roman" w:cs="Times New Roman"/>
                <w:color w:val="auto"/>
                <w:highlight w:val="none"/>
              </w:rPr>
              <w:t>工艺流程图</w:t>
            </w:r>
          </w:p>
          <w:p w14:paraId="2CDD5C5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工艺流程简述：</w:t>
            </w:r>
          </w:p>
          <w:p w14:paraId="5CDC10F6">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①</w:t>
            </w:r>
            <w:r>
              <w:rPr>
                <w:rFonts w:hint="eastAsia"/>
                <w:color w:val="auto"/>
                <w:highlight w:val="none"/>
                <w:lang w:eastAsia="zh-CN"/>
              </w:rPr>
              <w:t>锂渣破碎</w:t>
            </w:r>
          </w:p>
          <w:p w14:paraId="4B2D151F">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锂渣入厂后暂存于锂渣仓库，通过自然风干至含水率为16%后再使用于生产</w:t>
            </w:r>
            <w:r>
              <w:rPr>
                <w:rFonts w:hint="default"/>
                <w:color w:val="auto"/>
                <w:highlight w:val="none"/>
              </w:rPr>
              <w:t>锂渣储存于原料仓库，因其易结块，需破碎后配料。建设单位拟通过铲车将锂渣运至配料机的料仓口，经密闭式传送带输送至破碎机进行破碎，破碎机自带筛分系统确保锂渣粒径小于2mm后，存放于料仓内。筛选出不符合标准的重新进入破碎机破碎，破碎筛选过程中产生粉尘、设备噪声</w:t>
            </w:r>
            <w:r>
              <w:rPr>
                <w:rFonts w:hint="default"/>
                <w:color w:val="auto"/>
                <w:highlight w:val="none"/>
                <w:lang w:val="en-US" w:eastAsia="zh-CN"/>
              </w:rPr>
              <w:t>。</w:t>
            </w:r>
          </w:p>
          <w:p w14:paraId="566D6E2E">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rPr>
              <w:t>②</w:t>
            </w:r>
            <w:r>
              <w:rPr>
                <w:rFonts w:hint="eastAsia"/>
                <w:color w:val="auto"/>
                <w:highlight w:val="none"/>
                <w:lang w:eastAsia="zh-CN"/>
              </w:rPr>
              <w:t>配料搅拌</w:t>
            </w:r>
          </w:p>
          <w:p w14:paraId="5948C451">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eastAsia="zh-CN"/>
              </w:rPr>
              <w:t>经破碎后</w:t>
            </w:r>
            <w:r>
              <w:rPr>
                <w:rFonts w:hint="default"/>
                <w:color w:val="auto"/>
                <w:highlight w:val="none"/>
              </w:rPr>
              <w:t>的锂渣</w:t>
            </w:r>
            <w:r>
              <w:rPr>
                <w:rFonts w:hint="eastAsia"/>
                <w:color w:val="auto"/>
                <w:highlight w:val="none"/>
                <w:lang w:eastAsia="zh-CN"/>
              </w:rPr>
              <w:t>、粉煤灰、硅粉、氧化铝粉</w:t>
            </w:r>
            <w:r>
              <w:rPr>
                <w:rFonts w:hint="default"/>
                <w:color w:val="auto"/>
                <w:highlight w:val="none"/>
              </w:rPr>
              <w:t>和水泥进入配料系统，建设单位拟选用全自动电子配料系统，可根据配比要求自动完成配料程序。</w:t>
            </w:r>
            <w:r>
              <w:rPr>
                <w:rFonts w:hint="eastAsia"/>
                <w:color w:val="auto"/>
                <w:highlight w:val="none"/>
                <w:lang w:eastAsia="zh-CN"/>
              </w:rPr>
              <w:t>各类原料由铲车及铲车运送到进料口</w:t>
            </w:r>
            <w:r>
              <w:rPr>
                <w:rFonts w:hint="default"/>
                <w:color w:val="auto"/>
                <w:highlight w:val="none"/>
              </w:rPr>
              <w:t>经皮带输送机分别计量后通过密闭运输皮带送至搅拌机。水泥经螺旋输送机计量后经密闭管道送入搅拌机内。同时水泵抽入水称计量后由增压泵抽出，经</w:t>
            </w:r>
            <w:r>
              <w:rPr>
                <w:rFonts w:hint="eastAsia"/>
                <w:color w:val="auto"/>
                <w:highlight w:val="none"/>
                <w:lang w:eastAsia="zh-CN"/>
              </w:rPr>
              <w:t>管道泵</w:t>
            </w:r>
            <w:r>
              <w:rPr>
                <w:rFonts w:hint="default"/>
                <w:color w:val="auto"/>
                <w:highlight w:val="none"/>
              </w:rPr>
              <w:t>入搅拌机。锂渣</w:t>
            </w:r>
            <w:r>
              <w:rPr>
                <w:rFonts w:hint="default"/>
                <w:color w:val="auto"/>
                <w:highlight w:val="none"/>
                <w:lang w:val="en-US" w:eastAsia="zh-CN"/>
              </w:rPr>
              <w:t>和螯合剂按照99.5：0.5比例通过密闭皮带输送机输送至搅拌机搅拌，</w:t>
            </w:r>
            <w:r>
              <w:rPr>
                <w:rFonts w:hint="default"/>
                <w:color w:val="FF0000"/>
                <w:highlight w:val="none"/>
                <w:lang w:val="en-US" w:eastAsia="zh-CN"/>
              </w:rPr>
              <w:t>搅拌时间为5分钟</w:t>
            </w:r>
            <w:r>
              <w:rPr>
                <w:rFonts w:hint="eastAsia"/>
                <w:color w:val="FF0000"/>
                <w:highlight w:val="none"/>
                <w:lang w:val="en-US" w:eastAsia="zh-CN"/>
              </w:rPr>
              <w:t>。</w:t>
            </w:r>
            <w:r>
              <w:rPr>
                <w:rFonts w:hint="eastAsia"/>
                <w:color w:val="auto"/>
                <w:highlight w:val="none"/>
                <w:lang w:eastAsia="zh-CN"/>
              </w:rPr>
              <w:t>剩余</w:t>
            </w:r>
            <w:r>
              <w:rPr>
                <w:rFonts w:hint="default"/>
                <w:color w:val="auto"/>
                <w:highlight w:val="none"/>
              </w:rPr>
              <w:t>物料按照一定的配比，搅拌过程加入少量水，</w:t>
            </w:r>
            <w:r>
              <w:rPr>
                <w:rFonts w:hint="eastAsia"/>
                <w:color w:val="auto"/>
                <w:highlight w:val="none"/>
                <w:lang w:eastAsia="zh-CN"/>
              </w:rPr>
              <w:t>与螯合剂搅拌后的</w:t>
            </w:r>
            <w:r>
              <w:rPr>
                <w:rFonts w:hint="default"/>
                <w:color w:val="auto"/>
                <w:highlight w:val="none"/>
              </w:rPr>
              <w:t>锂渣</w:t>
            </w:r>
            <w:r>
              <w:rPr>
                <w:rFonts w:hint="eastAsia"/>
                <w:color w:val="auto"/>
                <w:highlight w:val="none"/>
                <w:lang w:eastAsia="zh-CN"/>
              </w:rPr>
              <w:t>与粉煤灰、硅粉、氧化铝粉</w:t>
            </w:r>
            <w:r>
              <w:rPr>
                <w:rFonts w:hint="default"/>
                <w:color w:val="auto"/>
                <w:highlight w:val="none"/>
              </w:rPr>
              <w:t>、水泥、</w:t>
            </w:r>
            <w:r>
              <w:rPr>
                <w:rFonts w:hint="eastAsia"/>
                <w:color w:val="auto"/>
                <w:highlight w:val="none"/>
                <w:lang w:eastAsia="zh-CN"/>
              </w:rPr>
              <w:t>固化剂、</w:t>
            </w:r>
            <w:r>
              <w:rPr>
                <w:rFonts w:hint="default"/>
                <w:color w:val="auto"/>
                <w:highlight w:val="none"/>
              </w:rPr>
              <w:t>水</w:t>
            </w:r>
            <w:r>
              <w:rPr>
                <w:rFonts w:hint="default"/>
                <w:color w:val="FF0000"/>
                <w:highlight w:val="none"/>
              </w:rPr>
              <w:t>配比按照</w:t>
            </w:r>
            <w:r>
              <w:rPr>
                <w:rFonts w:hint="eastAsia"/>
                <w:color w:val="FF0000"/>
                <w:highlight w:val="none"/>
                <w:lang w:val="en-US" w:eastAsia="zh-CN"/>
              </w:rPr>
              <w:t>51</w:t>
            </w:r>
            <w:r>
              <w:rPr>
                <w:rFonts w:hint="default"/>
                <w:color w:val="FF0000"/>
                <w:highlight w:val="none"/>
              </w:rPr>
              <w:t>：</w:t>
            </w:r>
            <w:r>
              <w:rPr>
                <w:rFonts w:hint="eastAsia"/>
                <w:color w:val="FF0000"/>
                <w:highlight w:val="none"/>
                <w:lang w:val="en-US" w:eastAsia="zh-CN"/>
              </w:rPr>
              <w:t>14.7</w:t>
            </w:r>
            <w:r>
              <w:rPr>
                <w:rFonts w:hint="default"/>
                <w:color w:val="FF0000"/>
                <w:highlight w:val="none"/>
              </w:rPr>
              <w:t>：</w:t>
            </w:r>
            <w:r>
              <w:rPr>
                <w:rFonts w:hint="eastAsia"/>
                <w:color w:val="FF0000"/>
                <w:highlight w:val="none"/>
                <w:lang w:val="en-US" w:eastAsia="zh-CN"/>
              </w:rPr>
              <w:t>4.9</w:t>
            </w:r>
            <w:r>
              <w:rPr>
                <w:rFonts w:hint="default"/>
                <w:color w:val="FF0000"/>
                <w:highlight w:val="none"/>
              </w:rPr>
              <w:t>：</w:t>
            </w:r>
            <w:r>
              <w:rPr>
                <w:rFonts w:hint="eastAsia"/>
                <w:color w:val="FF0000"/>
                <w:highlight w:val="none"/>
                <w:lang w:val="en-US" w:eastAsia="zh-CN"/>
              </w:rPr>
              <w:t>4.9</w:t>
            </w:r>
            <w:r>
              <w:rPr>
                <w:rFonts w:hint="eastAsia"/>
                <w:color w:val="FF0000"/>
                <w:highlight w:val="none"/>
                <w:lang w:eastAsia="zh-CN"/>
              </w:rPr>
              <w:t>：</w:t>
            </w:r>
            <w:r>
              <w:rPr>
                <w:rFonts w:hint="eastAsia"/>
                <w:color w:val="FF0000"/>
                <w:highlight w:val="none"/>
                <w:lang w:val="en-US" w:eastAsia="zh-CN"/>
              </w:rPr>
              <w:t>14.7</w:t>
            </w:r>
            <w:r>
              <w:rPr>
                <w:rFonts w:hint="eastAsia"/>
                <w:color w:val="FF0000"/>
                <w:highlight w:val="none"/>
                <w:lang w:eastAsia="zh-CN"/>
              </w:rPr>
              <w:t>：</w:t>
            </w:r>
            <w:r>
              <w:rPr>
                <w:rFonts w:hint="eastAsia"/>
                <w:color w:val="FF0000"/>
                <w:highlight w:val="none"/>
                <w:lang w:val="en-US" w:eastAsia="zh-CN"/>
              </w:rPr>
              <w:t>4.9：4.9</w:t>
            </w:r>
            <w:r>
              <w:rPr>
                <w:rFonts w:hint="default"/>
                <w:color w:val="FF0000"/>
                <w:highlight w:val="none"/>
              </w:rPr>
              <w:t>，</w:t>
            </w:r>
            <w:r>
              <w:rPr>
                <w:rFonts w:hint="default"/>
                <w:color w:val="auto"/>
                <w:highlight w:val="none"/>
              </w:rPr>
              <w:t>通过计量后投入搅拌机内进行搅拌，采用电脑控制，从而保证</w:t>
            </w:r>
            <w:r>
              <w:rPr>
                <w:rFonts w:hint="eastAsia"/>
                <w:color w:val="auto"/>
                <w:highlight w:val="none"/>
                <w:lang w:eastAsia="zh-CN"/>
              </w:rPr>
              <w:t>砖块</w:t>
            </w:r>
            <w:r>
              <w:rPr>
                <w:rFonts w:hint="default"/>
                <w:color w:val="auto"/>
                <w:highlight w:val="none"/>
              </w:rPr>
              <w:t>的质量。搅拌机定期用清水进行内部冲洗，产生废水经沉淀池处理后回用于搅拌工序，不外排。此过程产生设备噪声以及上料、转运粉尘、搅拌粉尘</w:t>
            </w:r>
            <w:r>
              <w:rPr>
                <w:rFonts w:hint="eastAsia"/>
                <w:color w:val="auto"/>
                <w:highlight w:val="none"/>
                <w:lang w:eastAsia="zh-CN"/>
              </w:rPr>
              <w:t>、废包装袋</w:t>
            </w:r>
            <w:r>
              <w:rPr>
                <w:rFonts w:hint="default"/>
                <w:color w:val="auto"/>
                <w:highlight w:val="none"/>
              </w:rPr>
              <w:t>。</w:t>
            </w:r>
          </w:p>
          <w:p w14:paraId="489D3BAF">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③</w:t>
            </w:r>
            <w:r>
              <w:rPr>
                <w:rFonts w:hint="eastAsia"/>
                <w:color w:val="auto"/>
                <w:highlight w:val="none"/>
                <w:lang w:eastAsia="zh-CN"/>
              </w:rPr>
              <w:t>打散、静压成型</w:t>
            </w:r>
          </w:p>
          <w:p w14:paraId="162313A7">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搅拌好的坯料经皮带输送机送入打散机中把料打松散，随后进入静压机中</w:t>
            </w:r>
            <w:r>
              <w:rPr>
                <w:rFonts w:hint="eastAsia"/>
                <w:color w:val="auto"/>
                <w:highlight w:val="none"/>
                <w:lang w:eastAsia="zh-CN"/>
              </w:rPr>
              <w:t>，</w:t>
            </w:r>
            <w:r>
              <w:rPr>
                <w:rFonts w:hint="default"/>
                <w:color w:val="auto"/>
                <w:highlight w:val="none"/>
              </w:rPr>
              <w:t>坯料进入静压机的布料小车，布料小车向前把坯料布满整个</w:t>
            </w:r>
            <w:r>
              <w:rPr>
                <w:rFonts w:hint="eastAsia"/>
                <w:color w:val="auto"/>
                <w:highlight w:val="none"/>
                <w:lang w:eastAsia="zh-CN"/>
              </w:rPr>
              <w:t>制砖</w:t>
            </w:r>
            <w:r>
              <w:rPr>
                <w:rFonts w:hint="default"/>
                <w:color w:val="auto"/>
                <w:highlight w:val="none"/>
              </w:rPr>
              <w:t>模具内，然后利用液压机产生的高压压出坯料中的空气，由于压力强，减少了压缩空气造成的坯料回弹膨胀，提高了砖坯的密实度和强度。</w:t>
            </w:r>
            <w:r>
              <w:rPr>
                <w:rFonts w:hint="eastAsia"/>
                <w:color w:val="FF0000"/>
                <w:highlight w:val="none"/>
                <w:lang w:eastAsia="zh-CN"/>
              </w:rPr>
              <w:t>粉煤灰、硅粉等工业废渣含有较高的氧化硅，氧化铝，经原料混合后，充分水化形成硅，铝型玻璃体，这种玻璃体与水化后的氧化钙化合，产生化学反应，称之为“火山灰反应”，在固化剂的作用下，随时间的延续反应，逐渐凝固，形成一种高强度的网络结构</w:t>
            </w:r>
            <w:r>
              <w:rPr>
                <w:rFonts w:hint="default"/>
                <w:color w:val="auto"/>
                <w:highlight w:val="none"/>
              </w:rPr>
              <w:t>。静压机自动压出砖坯，砖坯从模具上脱落出来以后落在托板上。</w:t>
            </w:r>
            <w:r>
              <w:rPr>
                <w:rFonts w:hint="eastAsia"/>
                <w:color w:val="auto"/>
                <w:highlight w:val="none"/>
                <w:lang w:eastAsia="zh-CN"/>
              </w:rPr>
              <w:t>此工序产生粉尘和噪声。</w:t>
            </w:r>
          </w:p>
          <w:p w14:paraId="6BD7ED9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④</w:t>
            </w:r>
            <w:r>
              <w:rPr>
                <w:rFonts w:hint="default"/>
                <w:color w:val="auto"/>
                <w:highlight w:val="none"/>
              </w:rPr>
              <w:t>养护</w:t>
            </w:r>
          </w:p>
          <w:p w14:paraId="714DA5C0">
            <w:pPr>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color w:val="auto"/>
                <w:highlight w:val="none"/>
              </w:rPr>
              <w:t>托板上的砖坯经输送带进入码坯机中自动码坯后利用打包机自动捆扎打包，打包后通过叉车运至泡水机内进行泡水养护，使得水分在产品表面和内部均匀扩散，提高成品质量；养护区浇水养护3天后，再进行自然养护</w:t>
            </w:r>
            <w:r>
              <w:rPr>
                <w:rFonts w:hint="default"/>
                <w:color w:val="auto"/>
                <w:highlight w:val="none"/>
                <w:lang w:val="en-US" w:eastAsia="zh-CN"/>
              </w:rPr>
              <w:t>4</w:t>
            </w:r>
            <w:r>
              <w:rPr>
                <w:rFonts w:hint="default"/>
                <w:color w:val="auto"/>
                <w:highlight w:val="none"/>
              </w:rPr>
              <w:t>天，经养护后的产品在产品待售区进一步自然蒸发待售。养护区四周设有导流槽，养护废水通过导流槽进入沉淀池内，沉淀后回用于</w:t>
            </w:r>
            <w:r>
              <w:rPr>
                <w:rFonts w:hint="eastAsia"/>
                <w:color w:val="auto"/>
                <w:highlight w:val="none"/>
                <w:lang w:eastAsia="zh-CN"/>
              </w:rPr>
              <w:t>抑尘洒水</w:t>
            </w:r>
            <w:r>
              <w:rPr>
                <w:rFonts w:hint="eastAsia"/>
                <w:color w:val="auto"/>
                <w:highlight w:val="none"/>
                <w:lang w:val="en-US" w:eastAsia="zh-CN"/>
              </w:rPr>
              <w:t>不外排</w:t>
            </w:r>
            <w:r>
              <w:rPr>
                <w:rFonts w:hint="default" w:ascii="Times New Roman" w:hAnsi="Times New Roman" w:cs="Times New Roman"/>
                <w:color w:val="auto"/>
                <w:highlight w:val="none"/>
              </w:rPr>
              <w:t>。</w:t>
            </w:r>
          </w:p>
          <w:p w14:paraId="795FA052">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lang w:val="en-US" w:eastAsia="zh-CN"/>
              </w:rPr>
            </w:pPr>
            <w:r>
              <w:rPr>
                <w:rFonts w:hint="default" w:ascii="Times New Roman" w:hAnsi="Times New Roman" w:cs="Times New Roman"/>
                <w:b/>
                <w:bCs w:val="0"/>
                <w:color w:val="auto"/>
                <w:highlight w:val="none"/>
                <w:lang w:val="en-US" w:eastAsia="zh-CN"/>
              </w:rPr>
              <w:t>2、物料平衡</w:t>
            </w:r>
          </w:p>
          <w:p w14:paraId="25650FD5">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项目物料平衡表（t/a）</w:t>
            </w:r>
          </w:p>
          <w:tbl>
            <w:tblPr>
              <w:tblStyle w:val="25"/>
              <w:tblW w:w="8120" w:type="dxa"/>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610"/>
              <w:gridCol w:w="1658"/>
              <w:gridCol w:w="1683"/>
              <w:gridCol w:w="1959"/>
              <w:gridCol w:w="2210"/>
            </w:tblGrid>
            <w:tr w14:paraId="2B7E18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29" w:hRule="atLeast"/>
                <w:jc w:val="center"/>
              </w:trPr>
              <w:tc>
                <w:tcPr>
                  <w:tcW w:w="8120" w:type="dxa"/>
                  <w:gridSpan w:val="5"/>
                  <w:tcBorders>
                    <w:tl2br w:val="nil"/>
                    <w:tr2bl w:val="nil"/>
                  </w:tcBorders>
                  <w:shd w:val="clear" w:color="auto" w:fill="auto"/>
                  <w:vAlign w:val="center"/>
                </w:tcPr>
                <w:p w14:paraId="6CD29E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掺合料物料平衡</w:t>
                  </w:r>
                </w:p>
              </w:tc>
            </w:tr>
            <w:tr w14:paraId="58FB4EB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vMerge w:val="restart"/>
                  <w:tcBorders>
                    <w:tl2br w:val="nil"/>
                    <w:tr2bl w:val="nil"/>
                  </w:tcBorders>
                  <w:shd w:val="clear" w:color="auto" w:fill="auto"/>
                  <w:vAlign w:val="center"/>
                </w:tcPr>
                <w:p w14:paraId="114DC2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序号</w:t>
                  </w:r>
                </w:p>
              </w:tc>
              <w:tc>
                <w:tcPr>
                  <w:tcW w:w="3341" w:type="dxa"/>
                  <w:gridSpan w:val="2"/>
                  <w:tcBorders>
                    <w:tl2br w:val="nil"/>
                    <w:tr2bl w:val="nil"/>
                  </w:tcBorders>
                  <w:shd w:val="clear" w:color="auto" w:fill="auto"/>
                  <w:vAlign w:val="center"/>
                </w:tcPr>
                <w:p w14:paraId="04104C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投入</w:t>
                  </w:r>
                </w:p>
              </w:tc>
              <w:tc>
                <w:tcPr>
                  <w:tcW w:w="4169" w:type="dxa"/>
                  <w:gridSpan w:val="2"/>
                  <w:tcBorders>
                    <w:tl2br w:val="nil"/>
                    <w:tr2bl w:val="nil"/>
                  </w:tcBorders>
                  <w:shd w:val="clear" w:color="auto" w:fill="auto"/>
                  <w:vAlign w:val="center"/>
                </w:tcPr>
                <w:p w14:paraId="1B6E9E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产出</w:t>
                  </w:r>
                </w:p>
              </w:tc>
            </w:tr>
            <w:tr w14:paraId="590F143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vMerge w:val="continue"/>
                  <w:tcBorders>
                    <w:tl2br w:val="nil"/>
                    <w:tr2bl w:val="nil"/>
                  </w:tcBorders>
                  <w:shd w:val="clear" w:color="auto" w:fill="auto"/>
                  <w:vAlign w:val="center"/>
                </w:tcPr>
                <w:p w14:paraId="50C0EB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5FF3D0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名称</w:t>
                  </w:r>
                </w:p>
              </w:tc>
              <w:tc>
                <w:tcPr>
                  <w:tcW w:w="1683" w:type="dxa"/>
                  <w:tcBorders>
                    <w:tl2br w:val="nil"/>
                    <w:tr2bl w:val="nil"/>
                  </w:tcBorders>
                  <w:shd w:val="clear" w:color="auto" w:fill="auto"/>
                  <w:noWrap/>
                  <w:vAlign w:val="center"/>
                </w:tcPr>
                <w:p w14:paraId="0E416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数量</w:t>
                  </w:r>
                </w:p>
              </w:tc>
              <w:tc>
                <w:tcPr>
                  <w:tcW w:w="1959" w:type="dxa"/>
                  <w:tcBorders>
                    <w:tl2br w:val="nil"/>
                    <w:tr2bl w:val="nil"/>
                  </w:tcBorders>
                  <w:shd w:val="clear" w:color="auto" w:fill="auto"/>
                  <w:noWrap/>
                  <w:vAlign w:val="center"/>
                </w:tcPr>
                <w:p w14:paraId="6E387C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color w:val="FF0000"/>
                      <w:kern w:val="2"/>
                      <w:sz w:val="21"/>
                      <w:szCs w:val="21"/>
                      <w:highlight w:val="none"/>
                      <w:lang w:val="en-US" w:eastAsia="zh-CN" w:bidi="ar-SA"/>
                    </w:rPr>
                  </w:pPr>
                  <w:r>
                    <w:rPr>
                      <w:rFonts w:hint="eastAsia"/>
                      <w:color w:val="FF0000"/>
                      <w:sz w:val="21"/>
                      <w:szCs w:val="21"/>
                      <w:highlight w:val="none"/>
                      <w:lang w:val="en-US" w:eastAsia="zh-CN"/>
                    </w:rPr>
                    <w:t>名称</w:t>
                  </w:r>
                </w:p>
              </w:tc>
              <w:tc>
                <w:tcPr>
                  <w:tcW w:w="2210" w:type="dxa"/>
                  <w:tcBorders>
                    <w:tl2br w:val="nil"/>
                    <w:tr2bl w:val="nil"/>
                  </w:tcBorders>
                  <w:shd w:val="clear" w:color="auto" w:fill="auto"/>
                  <w:vAlign w:val="center"/>
                </w:tcPr>
                <w:p w14:paraId="6B5A98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heme="minorBidi"/>
                      <w:color w:val="FF0000"/>
                      <w:kern w:val="2"/>
                      <w:sz w:val="21"/>
                      <w:szCs w:val="21"/>
                      <w:highlight w:val="none"/>
                      <w:lang w:val="en-US" w:eastAsia="zh-CN" w:bidi="ar-SA"/>
                    </w:rPr>
                  </w:pPr>
                  <w:r>
                    <w:rPr>
                      <w:rFonts w:hint="eastAsia"/>
                      <w:color w:val="FF0000"/>
                      <w:sz w:val="21"/>
                      <w:szCs w:val="21"/>
                      <w:highlight w:val="none"/>
                      <w:lang w:val="en-US" w:eastAsia="zh-CN"/>
                    </w:rPr>
                    <w:t>数量</w:t>
                  </w:r>
                </w:p>
              </w:tc>
            </w:tr>
            <w:tr w14:paraId="44258FC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0BF77BA7">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45D2A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锂渣</w:t>
                  </w:r>
                </w:p>
              </w:tc>
              <w:tc>
                <w:tcPr>
                  <w:tcW w:w="1683" w:type="dxa"/>
                  <w:tcBorders>
                    <w:tl2br w:val="nil"/>
                    <w:tr2bl w:val="nil"/>
                  </w:tcBorders>
                  <w:shd w:val="clear" w:color="auto" w:fill="auto"/>
                  <w:noWrap/>
                  <w:vAlign w:val="center"/>
                </w:tcPr>
                <w:p w14:paraId="0A13B4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171000</w:t>
                  </w:r>
                </w:p>
              </w:tc>
              <w:tc>
                <w:tcPr>
                  <w:tcW w:w="1959" w:type="dxa"/>
                  <w:tcBorders>
                    <w:tl2br w:val="nil"/>
                    <w:tr2bl w:val="nil"/>
                  </w:tcBorders>
                  <w:shd w:val="clear" w:color="auto" w:fill="auto"/>
                  <w:noWrap/>
                  <w:vAlign w:val="center"/>
                </w:tcPr>
                <w:p w14:paraId="749D29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掺合料</w:t>
                  </w:r>
                </w:p>
              </w:tc>
              <w:tc>
                <w:tcPr>
                  <w:tcW w:w="2210" w:type="dxa"/>
                  <w:tcBorders>
                    <w:tl2br w:val="nil"/>
                    <w:tr2bl w:val="nil"/>
                  </w:tcBorders>
                  <w:shd w:val="clear" w:color="auto" w:fill="auto"/>
                  <w:vAlign w:val="center"/>
                </w:tcPr>
                <w:p w14:paraId="1725D7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400000</w:t>
                  </w:r>
                </w:p>
              </w:tc>
            </w:tr>
            <w:tr w14:paraId="595B46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4491A6B6">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4C8FF3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粉煤灰</w:t>
                  </w:r>
                </w:p>
              </w:tc>
              <w:tc>
                <w:tcPr>
                  <w:tcW w:w="1683" w:type="dxa"/>
                  <w:tcBorders>
                    <w:tl2br w:val="nil"/>
                    <w:tr2bl w:val="nil"/>
                  </w:tcBorders>
                  <w:shd w:val="clear" w:color="auto" w:fill="auto"/>
                  <w:noWrap/>
                  <w:vAlign w:val="center"/>
                </w:tcPr>
                <w:p w14:paraId="383555D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60000</w:t>
                  </w:r>
                </w:p>
              </w:tc>
              <w:tc>
                <w:tcPr>
                  <w:tcW w:w="1959" w:type="dxa"/>
                  <w:tcBorders>
                    <w:tl2br w:val="nil"/>
                    <w:tr2bl w:val="nil"/>
                  </w:tcBorders>
                  <w:shd w:val="clear" w:color="auto" w:fill="auto"/>
                  <w:noWrap/>
                  <w:vAlign w:val="center"/>
                </w:tcPr>
                <w:p w14:paraId="7BF0DF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水分蒸发及损耗</w:t>
                  </w:r>
                </w:p>
              </w:tc>
              <w:tc>
                <w:tcPr>
                  <w:tcW w:w="2210" w:type="dxa"/>
                  <w:tcBorders>
                    <w:tl2br w:val="nil"/>
                    <w:tr2bl w:val="nil"/>
                  </w:tcBorders>
                  <w:shd w:val="clear" w:color="auto" w:fill="auto"/>
                  <w:vAlign w:val="center"/>
                </w:tcPr>
                <w:p w14:paraId="0B3E6E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6837.797</w:t>
                  </w:r>
                </w:p>
              </w:tc>
            </w:tr>
            <w:tr w14:paraId="15BDD8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6C1203DC">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424B07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石膏粉</w:t>
                  </w:r>
                </w:p>
              </w:tc>
              <w:tc>
                <w:tcPr>
                  <w:tcW w:w="1683" w:type="dxa"/>
                  <w:tcBorders>
                    <w:tl2br w:val="nil"/>
                    <w:tr2bl w:val="nil"/>
                  </w:tcBorders>
                  <w:shd w:val="clear" w:color="auto" w:fill="auto"/>
                  <w:noWrap/>
                  <w:vAlign w:val="center"/>
                </w:tcPr>
                <w:p w14:paraId="26D0AE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40000</w:t>
                  </w:r>
                </w:p>
              </w:tc>
              <w:tc>
                <w:tcPr>
                  <w:tcW w:w="1959" w:type="dxa"/>
                  <w:tcBorders>
                    <w:tl2br w:val="nil"/>
                    <w:tr2bl w:val="nil"/>
                  </w:tcBorders>
                  <w:shd w:val="clear" w:color="auto" w:fill="auto"/>
                  <w:noWrap/>
                  <w:vAlign w:val="center"/>
                </w:tcPr>
                <w:p w14:paraId="30F9FA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不合格品</w:t>
                  </w:r>
                </w:p>
              </w:tc>
              <w:tc>
                <w:tcPr>
                  <w:tcW w:w="2210" w:type="dxa"/>
                  <w:tcBorders>
                    <w:tl2br w:val="nil"/>
                    <w:tr2bl w:val="nil"/>
                  </w:tcBorders>
                  <w:shd w:val="clear" w:color="auto" w:fill="auto"/>
                  <w:vAlign w:val="center"/>
                </w:tcPr>
                <w:p w14:paraId="642110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20</w:t>
                  </w:r>
                </w:p>
              </w:tc>
            </w:tr>
            <w:tr w14:paraId="5C4282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15DF51A0">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44FF8E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螯合剂</w:t>
                  </w:r>
                </w:p>
              </w:tc>
              <w:tc>
                <w:tcPr>
                  <w:tcW w:w="1683" w:type="dxa"/>
                  <w:tcBorders>
                    <w:tl2br w:val="nil"/>
                    <w:tr2bl w:val="nil"/>
                  </w:tcBorders>
                  <w:shd w:val="clear" w:color="auto" w:fill="auto"/>
                  <w:noWrap/>
                  <w:vAlign w:val="center"/>
                </w:tcPr>
                <w:p w14:paraId="30A78B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859.3</w:t>
                  </w:r>
                </w:p>
              </w:tc>
              <w:tc>
                <w:tcPr>
                  <w:tcW w:w="1959" w:type="dxa"/>
                  <w:tcBorders>
                    <w:tl2br w:val="nil"/>
                    <w:tr2bl w:val="nil"/>
                  </w:tcBorders>
                  <w:shd w:val="clear" w:color="auto" w:fill="auto"/>
                  <w:noWrap/>
                  <w:vAlign w:val="center"/>
                </w:tcPr>
                <w:p w14:paraId="577DF4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沉淀池沉渣</w:t>
                  </w:r>
                </w:p>
              </w:tc>
              <w:tc>
                <w:tcPr>
                  <w:tcW w:w="2210" w:type="dxa"/>
                  <w:tcBorders>
                    <w:tl2br w:val="nil"/>
                    <w:tr2bl w:val="nil"/>
                  </w:tcBorders>
                  <w:shd w:val="clear" w:color="auto" w:fill="auto"/>
                  <w:vAlign w:val="center"/>
                </w:tcPr>
                <w:p w14:paraId="2ACAB0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0.97</w:t>
                  </w:r>
                </w:p>
              </w:tc>
            </w:tr>
            <w:tr w14:paraId="6E5BC3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3ED9A5CD">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3D4C5F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抑碱剂</w:t>
                  </w:r>
                </w:p>
              </w:tc>
              <w:tc>
                <w:tcPr>
                  <w:tcW w:w="1683" w:type="dxa"/>
                  <w:tcBorders>
                    <w:tl2br w:val="nil"/>
                    <w:tr2bl w:val="nil"/>
                  </w:tcBorders>
                  <w:shd w:val="clear" w:color="auto" w:fill="auto"/>
                  <w:noWrap/>
                  <w:vAlign w:val="center"/>
                </w:tcPr>
                <w:p w14:paraId="4C3C3A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5000</w:t>
                  </w:r>
                </w:p>
              </w:tc>
              <w:tc>
                <w:tcPr>
                  <w:tcW w:w="1959" w:type="dxa"/>
                  <w:tcBorders>
                    <w:tl2br w:val="nil"/>
                    <w:tr2bl w:val="nil"/>
                  </w:tcBorders>
                  <w:shd w:val="clear" w:color="auto" w:fill="auto"/>
                  <w:vAlign w:val="center"/>
                </w:tcPr>
                <w:p w14:paraId="5EA4E1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收集的粉尘</w:t>
                  </w:r>
                </w:p>
              </w:tc>
              <w:tc>
                <w:tcPr>
                  <w:tcW w:w="2210" w:type="dxa"/>
                  <w:tcBorders>
                    <w:tl2br w:val="nil"/>
                    <w:tr2bl w:val="nil"/>
                  </w:tcBorders>
                  <w:shd w:val="clear" w:color="auto" w:fill="auto"/>
                  <w:vAlign w:val="center"/>
                </w:tcPr>
                <w:p w14:paraId="23C69F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77.67</w:t>
                  </w:r>
                </w:p>
              </w:tc>
            </w:tr>
            <w:tr w14:paraId="5FF07E3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50CB9AE4">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20C6076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碎石</w:t>
                  </w:r>
                </w:p>
              </w:tc>
              <w:tc>
                <w:tcPr>
                  <w:tcW w:w="1683" w:type="dxa"/>
                  <w:tcBorders>
                    <w:tl2br w:val="nil"/>
                    <w:tr2bl w:val="nil"/>
                  </w:tcBorders>
                  <w:shd w:val="clear" w:color="auto" w:fill="auto"/>
                  <w:noWrap/>
                  <w:vAlign w:val="center"/>
                </w:tcPr>
                <w:p w14:paraId="241F52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130000</w:t>
                  </w:r>
                </w:p>
              </w:tc>
              <w:tc>
                <w:tcPr>
                  <w:tcW w:w="1959" w:type="dxa"/>
                  <w:tcBorders>
                    <w:tl2br w:val="nil"/>
                    <w:tr2bl w:val="nil"/>
                  </w:tcBorders>
                  <w:shd w:val="clear" w:color="auto" w:fill="auto"/>
                  <w:vAlign w:val="center"/>
                </w:tcPr>
                <w:p w14:paraId="4BBFE7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沉降的粉尘</w:t>
                  </w:r>
                </w:p>
              </w:tc>
              <w:tc>
                <w:tcPr>
                  <w:tcW w:w="2210" w:type="dxa"/>
                  <w:tcBorders>
                    <w:tl2br w:val="nil"/>
                    <w:tr2bl w:val="nil"/>
                  </w:tcBorders>
                  <w:shd w:val="clear" w:color="auto" w:fill="auto"/>
                  <w:noWrap/>
                  <w:vAlign w:val="center"/>
                </w:tcPr>
                <w:p w14:paraId="308F79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24.04</w:t>
                  </w:r>
                </w:p>
              </w:tc>
            </w:tr>
            <w:tr w14:paraId="7E5008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noWrap/>
                  <w:vAlign w:val="center"/>
                </w:tcPr>
                <w:p w14:paraId="7B56543F">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538174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沉淀池沉渣</w:t>
                  </w:r>
                </w:p>
              </w:tc>
              <w:tc>
                <w:tcPr>
                  <w:tcW w:w="1683" w:type="dxa"/>
                  <w:tcBorders>
                    <w:tl2br w:val="nil"/>
                    <w:tr2bl w:val="nil"/>
                  </w:tcBorders>
                  <w:shd w:val="clear" w:color="auto" w:fill="auto"/>
                  <w:noWrap/>
                  <w:vAlign w:val="center"/>
                </w:tcPr>
                <w:p w14:paraId="15317F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0.97</w:t>
                  </w:r>
                </w:p>
              </w:tc>
              <w:tc>
                <w:tcPr>
                  <w:tcW w:w="1959" w:type="dxa"/>
                  <w:tcBorders>
                    <w:tl2br w:val="nil"/>
                    <w:tr2bl w:val="nil"/>
                  </w:tcBorders>
                  <w:shd w:val="clear" w:color="auto" w:fill="auto"/>
                  <w:vAlign w:val="center"/>
                </w:tcPr>
                <w:p w14:paraId="0172E78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排放的粉尘</w:t>
                  </w:r>
                </w:p>
              </w:tc>
              <w:tc>
                <w:tcPr>
                  <w:tcW w:w="2210" w:type="dxa"/>
                  <w:tcBorders>
                    <w:tl2br w:val="nil"/>
                    <w:tr2bl w:val="nil"/>
                  </w:tcBorders>
                  <w:shd w:val="clear" w:color="auto" w:fill="auto"/>
                  <w:noWrap/>
                  <w:vAlign w:val="center"/>
                </w:tcPr>
                <w:p w14:paraId="7E8EE5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1.503</w:t>
                  </w:r>
                </w:p>
              </w:tc>
            </w:tr>
            <w:tr w14:paraId="0B2281B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57B09087">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A0618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收集的粉尘</w:t>
                  </w:r>
                </w:p>
              </w:tc>
              <w:tc>
                <w:tcPr>
                  <w:tcW w:w="1683" w:type="dxa"/>
                  <w:tcBorders>
                    <w:tl2br w:val="nil"/>
                    <w:tr2bl w:val="nil"/>
                  </w:tcBorders>
                  <w:shd w:val="clear" w:color="auto" w:fill="auto"/>
                  <w:noWrap/>
                  <w:vAlign w:val="center"/>
                </w:tcPr>
                <w:p w14:paraId="489208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77.67</w:t>
                  </w:r>
                </w:p>
              </w:tc>
              <w:tc>
                <w:tcPr>
                  <w:tcW w:w="1959" w:type="dxa"/>
                  <w:tcBorders>
                    <w:tl2br w:val="nil"/>
                    <w:tr2bl w:val="nil"/>
                  </w:tcBorders>
                  <w:shd w:val="clear" w:color="auto" w:fill="auto"/>
                  <w:vAlign w:val="center"/>
                </w:tcPr>
                <w:p w14:paraId="44C81A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p>
              </w:tc>
              <w:tc>
                <w:tcPr>
                  <w:tcW w:w="2210" w:type="dxa"/>
                  <w:tcBorders>
                    <w:tl2br w:val="nil"/>
                    <w:tr2bl w:val="nil"/>
                  </w:tcBorders>
                  <w:shd w:val="clear" w:color="auto" w:fill="auto"/>
                  <w:noWrap/>
                  <w:vAlign w:val="center"/>
                </w:tcPr>
                <w:p w14:paraId="7A7F21C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p>
              </w:tc>
            </w:tr>
            <w:tr w14:paraId="5B24AC5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2ECC90C4">
                  <w:pPr>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DEAB5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沉降的粉尘</w:t>
                  </w:r>
                </w:p>
              </w:tc>
              <w:tc>
                <w:tcPr>
                  <w:tcW w:w="1683" w:type="dxa"/>
                  <w:tcBorders>
                    <w:tl2br w:val="nil"/>
                    <w:tr2bl w:val="nil"/>
                  </w:tcBorders>
                  <w:shd w:val="clear" w:color="auto" w:fill="auto"/>
                  <w:noWrap/>
                  <w:vAlign w:val="center"/>
                </w:tcPr>
                <w:p w14:paraId="3B8EAE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24.04</w:t>
                  </w:r>
                </w:p>
              </w:tc>
              <w:tc>
                <w:tcPr>
                  <w:tcW w:w="1959" w:type="dxa"/>
                  <w:tcBorders>
                    <w:tl2br w:val="nil"/>
                    <w:tr2bl w:val="nil"/>
                  </w:tcBorders>
                  <w:shd w:val="clear" w:color="auto" w:fill="auto"/>
                  <w:vAlign w:val="center"/>
                </w:tcPr>
                <w:p w14:paraId="263E71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p>
              </w:tc>
              <w:tc>
                <w:tcPr>
                  <w:tcW w:w="2210" w:type="dxa"/>
                  <w:tcBorders>
                    <w:tl2br w:val="nil"/>
                    <w:tr2bl w:val="nil"/>
                  </w:tcBorders>
                  <w:shd w:val="clear" w:color="auto" w:fill="auto"/>
                  <w:noWrap/>
                  <w:vAlign w:val="center"/>
                </w:tcPr>
                <w:p w14:paraId="2FFA71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p>
              </w:tc>
            </w:tr>
            <w:tr w14:paraId="3CB1C5C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22C573A3">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jc w:val="both"/>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6396256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合计</w:t>
                  </w:r>
                </w:p>
              </w:tc>
              <w:tc>
                <w:tcPr>
                  <w:tcW w:w="1683" w:type="dxa"/>
                  <w:tcBorders>
                    <w:tl2br w:val="nil"/>
                    <w:tr2bl w:val="nil"/>
                  </w:tcBorders>
                  <w:shd w:val="clear" w:color="auto" w:fill="auto"/>
                  <w:noWrap/>
                  <w:vAlign w:val="center"/>
                </w:tcPr>
                <w:p w14:paraId="609E6A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406961.98</w:t>
                  </w:r>
                </w:p>
              </w:tc>
              <w:tc>
                <w:tcPr>
                  <w:tcW w:w="1959" w:type="dxa"/>
                  <w:tcBorders>
                    <w:tl2br w:val="nil"/>
                    <w:tr2bl w:val="nil"/>
                  </w:tcBorders>
                  <w:shd w:val="clear" w:color="auto" w:fill="auto"/>
                  <w:noWrap/>
                  <w:vAlign w:val="center"/>
                </w:tcPr>
                <w:p w14:paraId="1871AB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p>
              </w:tc>
              <w:tc>
                <w:tcPr>
                  <w:tcW w:w="2210" w:type="dxa"/>
                  <w:tcBorders>
                    <w:tl2br w:val="nil"/>
                    <w:tr2bl w:val="nil"/>
                  </w:tcBorders>
                  <w:shd w:val="clear" w:color="auto" w:fill="auto"/>
                  <w:noWrap/>
                  <w:vAlign w:val="center"/>
                </w:tcPr>
                <w:p w14:paraId="07A4B3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406961.98</w:t>
                  </w:r>
                </w:p>
              </w:tc>
            </w:tr>
            <w:tr w14:paraId="7F5EC83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8120" w:type="dxa"/>
                  <w:gridSpan w:val="5"/>
                  <w:tcBorders>
                    <w:tl2br w:val="nil"/>
                    <w:tr2bl w:val="nil"/>
                  </w:tcBorders>
                  <w:shd w:val="clear" w:color="auto" w:fill="auto"/>
                  <w:vAlign w:val="center"/>
                </w:tcPr>
                <w:p w14:paraId="250276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rPr>
                      <w:rFonts w:hint="default" w:ascii="Times New Roman" w:hAnsi="Times New Roman" w:eastAsia="宋体" w:cs="Times New Roman"/>
                      <w:color w:val="FF0000"/>
                      <w:sz w:val="21"/>
                      <w:szCs w:val="21"/>
                      <w:highlight w:val="none"/>
                      <w:lang w:val="en-US" w:eastAsia="zh-CN"/>
                    </w:rPr>
                  </w:pPr>
                  <w:r>
                    <w:rPr>
                      <w:rFonts w:hint="eastAsia"/>
                      <w:color w:val="FF0000"/>
                      <w:sz w:val="21"/>
                      <w:szCs w:val="21"/>
                      <w:highlight w:val="none"/>
                      <w:lang w:val="en-US" w:eastAsia="zh-CN"/>
                    </w:rPr>
                    <w:t>环保免烧砖物料平衡</w:t>
                  </w:r>
                </w:p>
              </w:tc>
            </w:tr>
            <w:tr w14:paraId="3FF207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351002C1">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5E640C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锂渣</w:t>
                  </w:r>
                </w:p>
              </w:tc>
              <w:tc>
                <w:tcPr>
                  <w:tcW w:w="1683" w:type="dxa"/>
                  <w:tcBorders>
                    <w:tl2br w:val="nil"/>
                    <w:tr2bl w:val="nil"/>
                  </w:tcBorders>
                  <w:shd w:val="clear" w:color="auto" w:fill="auto"/>
                  <w:noWrap/>
                  <w:vAlign w:val="center"/>
                </w:tcPr>
                <w:p w14:paraId="04CA64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259000</w:t>
                  </w:r>
                </w:p>
              </w:tc>
              <w:tc>
                <w:tcPr>
                  <w:tcW w:w="1959" w:type="dxa"/>
                  <w:tcBorders>
                    <w:tl2br w:val="nil"/>
                    <w:tr2bl w:val="nil"/>
                  </w:tcBorders>
                  <w:shd w:val="clear" w:color="auto" w:fill="auto"/>
                  <w:noWrap/>
                  <w:vAlign w:val="center"/>
                </w:tcPr>
                <w:p w14:paraId="237508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环保免烧砖</w:t>
                  </w:r>
                </w:p>
              </w:tc>
              <w:tc>
                <w:tcPr>
                  <w:tcW w:w="2210" w:type="dxa"/>
                  <w:tcBorders>
                    <w:tl2br w:val="nil"/>
                    <w:tr2bl w:val="nil"/>
                  </w:tcBorders>
                  <w:shd w:val="clear" w:color="auto" w:fill="auto"/>
                  <w:noWrap/>
                  <w:vAlign w:val="center"/>
                </w:tcPr>
                <w:p w14:paraId="531E3A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500000</w:t>
                  </w:r>
                </w:p>
              </w:tc>
            </w:tr>
            <w:tr w14:paraId="432DCB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790C1743">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noWrap/>
                  <w:vAlign w:val="center"/>
                </w:tcPr>
                <w:p w14:paraId="19B1C8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粉煤灰</w:t>
                  </w:r>
                </w:p>
              </w:tc>
              <w:tc>
                <w:tcPr>
                  <w:tcW w:w="1683" w:type="dxa"/>
                  <w:tcBorders>
                    <w:tl2br w:val="nil"/>
                    <w:tr2bl w:val="nil"/>
                  </w:tcBorders>
                  <w:shd w:val="clear" w:color="auto" w:fill="auto"/>
                  <w:noWrap/>
                  <w:vAlign w:val="center"/>
                </w:tcPr>
                <w:p w14:paraId="64F380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75000</w:t>
                  </w:r>
                </w:p>
              </w:tc>
              <w:tc>
                <w:tcPr>
                  <w:tcW w:w="1959" w:type="dxa"/>
                  <w:tcBorders>
                    <w:tl2br w:val="nil"/>
                    <w:tr2bl w:val="nil"/>
                  </w:tcBorders>
                  <w:shd w:val="clear" w:color="auto" w:fill="auto"/>
                  <w:noWrap/>
                  <w:vAlign w:val="center"/>
                </w:tcPr>
                <w:p w14:paraId="16FDE38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水分蒸发及损耗</w:t>
                  </w:r>
                </w:p>
              </w:tc>
              <w:tc>
                <w:tcPr>
                  <w:tcW w:w="2210" w:type="dxa"/>
                  <w:tcBorders>
                    <w:tl2br w:val="nil"/>
                    <w:tr2bl w:val="nil"/>
                  </w:tcBorders>
                  <w:shd w:val="clear" w:color="auto" w:fill="auto"/>
                  <w:noWrap/>
                  <w:vAlign w:val="center"/>
                </w:tcPr>
                <w:p w14:paraId="0AD882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10269.622</w:t>
                  </w:r>
                </w:p>
              </w:tc>
            </w:tr>
            <w:tr w14:paraId="00EA5B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5D966DE1">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4C1431A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硅粉</w:t>
                  </w:r>
                </w:p>
              </w:tc>
              <w:tc>
                <w:tcPr>
                  <w:tcW w:w="1683" w:type="dxa"/>
                  <w:tcBorders>
                    <w:tl2br w:val="nil"/>
                    <w:tr2bl w:val="nil"/>
                  </w:tcBorders>
                  <w:shd w:val="clear" w:color="auto" w:fill="auto"/>
                  <w:vAlign w:val="center"/>
                </w:tcPr>
                <w:p w14:paraId="788E6FA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25000</w:t>
                  </w:r>
                </w:p>
              </w:tc>
              <w:tc>
                <w:tcPr>
                  <w:tcW w:w="1959" w:type="dxa"/>
                  <w:tcBorders>
                    <w:tl2br w:val="nil"/>
                    <w:tr2bl w:val="nil"/>
                  </w:tcBorders>
                  <w:shd w:val="clear" w:color="auto" w:fill="auto"/>
                  <w:vAlign w:val="center"/>
                </w:tcPr>
                <w:p w14:paraId="16F81F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不合格品</w:t>
                  </w:r>
                </w:p>
              </w:tc>
              <w:tc>
                <w:tcPr>
                  <w:tcW w:w="2210" w:type="dxa"/>
                  <w:tcBorders>
                    <w:tl2br w:val="nil"/>
                    <w:tr2bl w:val="nil"/>
                  </w:tcBorders>
                  <w:shd w:val="clear" w:color="auto" w:fill="auto"/>
                  <w:vAlign w:val="center"/>
                </w:tcPr>
                <w:p w14:paraId="3EE6D2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30</w:t>
                  </w:r>
                </w:p>
              </w:tc>
            </w:tr>
            <w:tr w14:paraId="1332FA9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2428AB3A">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6E5EFD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氧化铝粉</w:t>
                  </w:r>
                </w:p>
              </w:tc>
              <w:tc>
                <w:tcPr>
                  <w:tcW w:w="1683" w:type="dxa"/>
                  <w:tcBorders>
                    <w:tl2br w:val="nil"/>
                    <w:tr2bl w:val="nil"/>
                  </w:tcBorders>
                  <w:shd w:val="clear" w:color="auto" w:fill="auto"/>
                  <w:vAlign w:val="center"/>
                </w:tcPr>
                <w:p w14:paraId="1C0B6D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25000</w:t>
                  </w:r>
                </w:p>
              </w:tc>
              <w:tc>
                <w:tcPr>
                  <w:tcW w:w="1959" w:type="dxa"/>
                  <w:tcBorders>
                    <w:tl2br w:val="nil"/>
                    <w:tr2bl w:val="nil"/>
                  </w:tcBorders>
                  <w:shd w:val="clear" w:color="auto" w:fill="auto"/>
                  <w:vAlign w:val="center"/>
                </w:tcPr>
                <w:p w14:paraId="2AB368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沉淀池沉渣</w:t>
                  </w:r>
                </w:p>
              </w:tc>
              <w:tc>
                <w:tcPr>
                  <w:tcW w:w="2210" w:type="dxa"/>
                  <w:tcBorders>
                    <w:tl2br w:val="nil"/>
                    <w:tr2bl w:val="nil"/>
                  </w:tcBorders>
                  <w:shd w:val="clear" w:color="auto" w:fill="auto"/>
                  <w:vAlign w:val="center"/>
                </w:tcPr>
                <w:p w14:paraId="0A8434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1.21</w:t>
                  </w:r>
                </w:p>
              </w:tc>
            </w:tr>
            <w:tr w14:paraId="01EF33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6F2FF4FA">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014E6A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水泥</w:t>
                  </w:r>
                </w:p>
              </w:tc>
              <w:tc>
                <w:tcPr>
                  <w:tcW w:w="1683" w:type="dxa"/>
                  <w:tcBorders>
                    <w:tl2br w:val="nil"/>
                    <w:tr2bl w:val="nil"/>
                  </w:tcBorders>
                  <w:shd w:val="clear" w:color="auto" w:fill="auto"/>
                  <w:vAlign w:val="center"/>
                </w:tcPr>
                <w:p w14:paraId="480E0F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75000</w:t>
                  </w:r>
                </w:p>
              </w:tc>
              <w:tc>
                <w:tcPr>
                  <w:tcW w:w="1959" w:type="dxa"/>
                  <w:tcBorders>
                    <w:tl2br w:val="nil"/>
                    <w:tr2bl w:val="nil"/>
                  </w:tcBorders>
                  <w:shd w:val="clear" w:color="auto" w:fill="auto"/>
                  <w:vAlign w:val="center"/>
                </w:tcPr>
                <w:p w14:paraId="19DAF2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收集的粉尘</w:t>
                  </w:r>
                </w:p>
              </w:tc>
              <w:tc>
                <w:tcPr>
                  <w:tcW w:w="2210" w:type="dxa"/>
                  <w:tcBorders>
                    <w:tl2br w:val="nil"/>
                    <w:tr2bl w:val="nil"/>
                  </w:tcBorders>
                  <w:shd w:val="clear" w:color="auto" w:fill="auto"/>
                  <w:vAlign w:val="center"/>
                </w:tcPr>
                <w:p w14:paraId="70151F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97.08</w:t>
                  </w:r>
                </w:p>
              </w:tc>
            </w:tr>
            <w:tr w14:paraId="5416BF0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04236A38">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2870BD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螯合剂</w:t>
                  </w:r>
                </w:p>
              </w:tc>
              <w:tc>
                <w:tcPr>
                  <w:tcW w:w="1683" w:type="dxa"/>
                  <w:tcBorders>
                    <w:tl2br w:val="nil"/>
                    <w:tr2bl w:val="nil"/>
                  </w:tcBorders>
                  <w:shd w:val="clear" w:color="auto" w:fill="auto"/>
                  <w:vAlign w:val="center"/>
                </w:tcPr>
                <w:p w14:paraId="467FCA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1301.5</w:t>
                  </w:r>
                </w:p>
              </w:tc>
              <w:tc>
                <w:tcPr>
                  <w:tcW w:w="1959" w:type="dxa"/>
                  <w:tcBorders>
                    <w:tl2br w:val="nil"/>
                    <w:tr2bl w:val="nil"/>
                  </w:tcBorders>
                  <w:shd w:val="clear" w:color="auto" w:fill="auto"/>
                  <w:vAlign w:val="center"/>
                </w:tcPr>
                <w:p w14:paraId="0792D8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沉降的粉尘</w:t>
                  </w:r>
                </w:p>
              </w:tc>
              <w:tc>
                <w:tcPr>
                  <w:tcW w:w="2210" w:type="dxa"/>
                  <w:tcBorders>
                    <w:tl2br w:val="nil"/>
                    <w:tr2bl w:val="nil"/>
                  </w:tcBorders>
                  <w:shd w:val="clear" w:color="auto" w:fill="auto"/>
                  <w:vAlign w:val="center"/>
                </w:tcPr>
                <w:p w14:paraId="5CBA18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30.05</w:t>
                  </w:r>
                </w:p>
              </w:tc>
            </w:tr>
            <w:tr w14:paraId="0BC779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0215795C">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13ADC4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固化剂</w:t>
                  </w:r>
                </w:p>
              </w:tc>
              <w:tc>
                <w:tcPr>
                  <w:tcW w:w="1683" w:type="dxa"/>
                  <w:tcBorders>
                    <w:tl2br w:val="nil"/>
                    <w:tr2bl w:val="nil"/>
                  </w:tcBorders>
                  <w:shd w:val="clear" w:color="auto" w:fill="auto"/>
                  <w:vAlign w:val="center"/>
                </w:tcPr>
                <w:p w14:paraId="74AAB8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25000</w:t>
                  </w:r>
                </w:p>
              </w:tc>
              <w:tc>
                <w:tcPr>
                  <w:tcW w:w="1959" w:type="dxa"/>
                  <w:tcBorders>
                    <w:tl2br w:val="nil"/>
                    <w:tr2bl w:val="nil"/>
                  </w:tcBorders>
                  <w:shd w:val="clear" w:color="auto" w:fill="auto"/>
                  <w:vAlign w:val="center"/>
                </w:tcPr>
                <w:p w14:paraId="132501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排放的粉尘</w:t>
                  </w:r>
                </w:p>
              </w:tc>
              <w:tc>
                <w:tcPr>
                  <w:tcW w:w="2210" w:type="dxa"/>
                  <w:tcBorders>
                    <w:tl2br w:val="nil"/>
                    <w:tr2bl w:val="nil"/>
                  </w:tcBorders>
                  <w:shd w:val="clear" w:color="auto" w:fill="auto"/>
                  <w:vAlign w:val="center"/>
                </w:tcPr>
                <w:p w14:paraId="5683B2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1.878</w:t>
                  </w:r>
                </w:p>
              </w:tc>
            </w:tr>
            <w:tr w14:paraId="53004C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7FCED4AA">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5BAA4F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水</w:t>
                  </w:r>
                </w:p>
              </w:tc>
              <w:tc>
                <w:tcPr>
                  <w:tcW w:w="1683" w:type="dxa"/>
                  <w:tcBorders>
                    <w:tl2br w:val="nil"/>
                    <w:tr2bl w:val="nil"/>
                  </w:tcBorders>
                  <w:shd w:val="clear" w:color="auto" w:fill="auto"/>
                  <w:vAlign w:val="center"/>
                </w:tcPr>
                <w:p w14:paraId="1A60E6E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25000</w:t>
                  </w:r>
                </w:p>
              </w:tc>
              <w:tc>
                <w:tcPr>
                  <w:tcW w:w="1959" w:type="dxa"/>
                  <w:tcBorders>
                    <w:tl2br w:val="nil"/>
                    <w:tr2bl w:val="nil"/>
                  </w:tcBorders>
                  <w:shd w:val="clear" w:color="auto" w:fill="auto"/>
                  <w:vAlign w:val="center"/>
                </w:tcPr>
                <w:p w14:paraId="6A1A2A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2210" w:type="dxa"/>
                  <w:tcBorders>
                    <w:tl2br w:val="nil"/>
                    <w:tr2bl w:val="nil"/>
                  </w:tcBorders>
                  <w:shd w:val="clear" w:color="auto" w:fill="auto"/>
                  <w:vAlign w:val="center"/>
                </w:tcPr>
                <w:p w14:paraId="2DB3BC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14:paraId="77FC75A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304BAACE">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38B446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沉淀池沉渣</w:t>
                  </w:r>
                </w:p>
              </w:tc>
              <w:tc>
                <w:tcPr>
                  <w:tcW w:w="1683" w:type="dxa"/>
                  <w:tcBorders>
                    <w:tl2br w:val="nil"/>
                    <w:tr2bl w:val="nil"/>
                  </w:tcBorders>
                  <w:shd w:val="clear" w:color="auto" w:fill="auto"/>
                  <w:vAlign w:val="center"/>
                </w:tcPr>
                <w:p w14:paraId="66ECA4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1.21</w:t>
                  </w:r>
                </w:p>
              </w:tc>
              <w:tc>
                <w:tcPr>
                  <w:tcW w:w="1959" w:type="dxa"/>
                  <w:tcBorders>
                    <w:tl2br w:val="nil"/>
                    <w:tr2bl w:val="nil"/>
                  </w:tcBorders>
                  <w:shd w:val="clear" w:color="auto" w:fill="auto"/>
                  <w:vAlign w:val="center"/>
                </w:tcPr>
                <w:p w14:paraId="5A8713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2210" w:type="dxa"/>
                  <w:tcBorders>
                    <w:tl2br w:val="nil"/>
                    <w:tr2bl w:val="nil"/>
                  </w:tcBorders>
                  <w:shd w:val="clear" w:color="auto" w:fill="auto"/>
                  <w:vAlign w:val="center"/>
                </w:tcPr>
                <w:p w14:paraId="5DE175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14:paraId="1AE7C2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075F8762">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720FC4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收集的粉尘</w:t>
                  </w:r>
                </w:p>
              </w:tc>
              <w:tc>
                <w:tcPr>
                  <w:tcW w:w="1683" w:type="dxa"/>
                  <w:tcBorders>
                    <w:tl2br w:val="nil"/>
                    <w:tr2bl w:val="nil"/>
                  </w:tcBorders>
                  <w:shd w:val="clear" w:color="auto" w:fill="auto"/>
                  <w:vAlign w:val="center"/>
                </w:tcPr>
                <w:p w14:paraId="1B812D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97.08</w:t>
                  </w:r>
                </w:p>
              </w:tc>
              <w:tc>
                <w:tcPr>
                  <w:tcW w:w="1959" w:type="dxa"/>
                  <w:tcBorders>
                    <w:tl2br w:val="nil"/>
                    <w:tr2bl w:val="nil"/>
                  </w:tcBorders>
                  <w:shd w:val="clear" w:color="auto" w:fill="auto"/>
                  <w:vAlign w:val="center"/>
                </w:tcPr>
                <w:p w14:paraId="7865B0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2210" w:type="dxa"/>
                  <w:tcBorders>
                    <w:tl2br w:val="nil"/>
                    <w:tr2bl w:val="nil"/>
                  </w:tcBorders>
                  <w:shd w:val="clear" w:color="auto" w:fill="auto"/>
                  <w:vAlign w:val="center"/>
                </w:tcPr>
                <w:p w14:paraId="71935C1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14:paraId="37358E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08" w:hRule="atLeast"/>
                <w:jc w:val="center"/>
              </w:trPr>
              <w:tc>
                <w:tcPr>
                  <w:tcW w:w="610" w:type="dxa"/>
                  <w:tcBorders>
                    <w:tl2br w:val="nil"/>
                    <w:tr2bl w:val="nil"/>
                  </w:tcBorders>
                  <w:shd w:val="clear" w:color="auto" w:fill="auto"/>
                  <w:vAlign w:val="center"/>
                </w:tcPr>
                <w:p w14:paraId="610C57CF">
                  <w:pPr>
                    <w:keepNext w:val="0"/>
                    <w:keepLines w:val="0"/>
                    <w:pageBreakBefore w:val="0"/>
                    <w:widowControl w:val="0"/>
                    <w:numPr>
                      <w:ilvl w:val="0"/>
                      <w:numId w:val="14"/>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72D76E9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沉降的粉尘</w:t>
                  </w:r>
                </w:p>
              </w:tc>
              <w:tc>
                <w:tcPr>
                  <w:tcW w:w="1683" w:type="dxa"/>
                  <w:tcBorders>
                    <w:tl2br w:val="nil"/>
                    <w:tr2bl w:val="nil"/>
                  </w:tcBorders>
                  <w:shd w:val="clear" w:color="auto" w:fill="auto"/>
                  <w:vAlign w:val="center"/>
                </w:tcPr>
                <w:p w14:paraId="74A2E0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30.05</w:t>
                  </w:r>
                </w:p>
              </w:tc>
              <w:tc>
                <w:tcPr>
                  <w:tcW w:w="1959" w:type="dxa"/>
                  <w:tcBorders>
                    <w:tl2br w:val="nil"/>
                    <w:tr2bl w:val="nil"/>
                  </w:tcBorders>
                  <w:shd w:val="clear" w:color="auto" w:fill="auto"/>
                  <w:vAlign w:val="center"/>
                </w:tcPr>
                <w:p w14:paraId="2AD2A4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2210" w:type="dxa"/>
                  <w:tcBorders>
                    <w:tl2br w:val="nil"/>
                    <w:tr2bl w:val="nil"/>
                  </w:tcBorders>
                  <w:shd w:val="clear" w:color="auto" w:fill="auto"/>
                  <w:vAlign w:val="center"/>
                </w:tcPr>
                <w:p w14:paraId="6B633F0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14:paraId="43B06F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40" w:hRule="atLeast"/>
                <w:jc w:val="center"/>
              </w:trPr>
              <w:tc>
                <w:tcPr>
                  <w:tcW w:w="610" w:type="dxa"/>
                  <w:tcBorders>
                    <w:tl2br w:val="nil"/>
                    <w:tr2bl w:val="nil"/>
                  </w:tcBorders>
                  <w:shd w:val="clear" w:color="auto" w:fill="auto"/>
                  <w:vAlign w:val="center"/>
                </w:tcPr>
                <w:p w14:paraId="571EE27C">
                  <w:pPr>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jc w:val="both"/>
                    <w:textAlignment w:val="auto"/>
                    <w:rPr>
                      <w:rFonts w:hint="default" w:ascii="Times New Roman" w:hAnsi="Times New Roman" w:eastAsia="宋体"/>
                      <w:color w:val="FF0000"/>
                      <w:sz w:val="21"/>
                      <w:szCs w:val="21"/>
                      <w:highlight w:val="none"/>
                      <w:lang w:val="en-US" w:eastAsia="zh-CN"/>
                    </w:rPr>
                  </w:pPr>
                </w:p>
              </w:tc>
              <w:tc>
                <w:tcPr>
                  <w:tcW w:w="1658" w:type="dxa"/>
                  <w:tcBorders>
                    <w:tl2br w:val="nil"/>
                    <w:tr2bl w:val="nil"/>
                  </w:tcBorders>
                  <w:shd w:val="clear" w:color="auto" w:fill="auto"/>
                  <w:vAlign w:val="center"/>
                </w:tcPr>
                <w:p w14:paraId="68C909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合计</w:t>
                  </w:r>
                </w:p>
              </w:tc>
              <w:tc>
                <w:tcPr>
                  <w:tcW w:w="1683" w:type="dxa"/>
                  <w:tcBorders>
                    <w:tl2br w:val="nil"/>
                    <w:tr2bl w:val="nil"/>
                  </w:tcBorders>
                  <w:shd w:val="clear" w:color="auto" w:fill="auto"/>
                  <w:vAlign w:val="center"/>
                </w:tcPr>
                <w:p w14:paraId="0CA91C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510429.84</w:t>
                  </w:r>
                </w:p>
              </w:tc>
              <w:tc>
                <w:tcPr>
                  <w:tcW w:w="1959" w:type="dxa"/>
                  <w:tcBorders>
                    <w:tl2br w:val="nil"/>
                    <w:tr2bl w:val="nil"/>
                  </w:tcBorders>
                  <w:shd w:val="clear" w:color="auto" w:fill="auto"/>
                  <w:vAlign w:val="center"/>
                </w:tcPr>
                <w:p w14:paraId="231BFB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合计</w:t>
                  </w:r>
                </w:p>
              </w:tc>
              <w:tc>
                <w:tcPr>
                  <w:tcW w:w="2210" w:type="dxa"/>
                  <w:tcBorders>
                    <w:tl2br w:val="nil"/>
                    <w:tr2bl w:val="nil"/>
                  </w:tcBorders>
                  <w:shd w:val="clear" w:color="auto" w:fill="auto"/>
                  <w:vAlign w:val="center"/>
                </w:tcPr>
                <w:p w14:paraId="0AB6EEA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ascii="Times New Roman" w:hAnsi="Times New Roman" w:eastAsia="宋体" w:cs="Times New Roman"/>
                      <w:i w:val="0"/>
                      <w:iCs w:val="0"/>
                      <w:color w:val="FF0000"/>
                      <w:kern w:val="0"/>
                      <w:sz w:val="21"/>
                      <w:szCs w:val="21"/>
                      <w:u w:val="none"/>
                      <w:lang w:val="en-US" w:eastAsia="zh-CN" w:bidi="ar"/>
                    </w:rPr>
                    <w:t>510429.84</w:t>
                  </w:r>
                </w:p>
              </w:tc>
            </w:tr>
          </w:tbl>
          <w:p w14:paraId="5AE43A6E">
            <w:pPr>
              <w:pStyle w:val="76"/>
              <w:keepNext w:val="0"/>
              <w:keepLines w:val="0"/>
              <w:suppressLineNumbers w:val="0"/>
              <w:bidi w:val="0"/>
              <w:spacing w:before="0" w:beforeAutospacing="0" w:after="0" w:afterAutospacing="0"/>
              <w:ind w:left="0" w:right="0"/>
              <w:rPr>
                <w:rFonts w:hint="default" w:ascii="Times New Roman" w:hAnsi="Times New Roman" w:cs="Times New Roman"/>
                <w:b/>
                <w:bCs w:val="0"/>
                <w:color w:val="auto"/>
                <w:highlight w:val="none"/>
                <w:lang w:val="en-US" w:eastAsia="zh-CN"/>
              </w:rPr>
            </w:pPr>
            <w:r>
              <w:rPr>
                <w:rFonts w:hint="default" w:ascii="Times New Roman" w:hAnsi="Times New Roman" w:cs="Times New Roman"/>
                <w:b/>
                <w:bCs w:val="0"/>
                <w:color w:val="auto"/>
                <w:highlight w:val="none"/>
                <w:lang w:val="en-US" w:eastAsia="zh-CN"/>
              </w:rPr>
              <w:t>3、元素平衡</w:t>
            </w:r>
          </w:p>
          <w:p w14:paraId="2B2034C5">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由于项目粉尘废气处理工序布袋除尘器</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lang w:val="en-US" w:eastAsia="zh-CN"/>
              </w:rPr>
              <w:t>无组织洒水降尘收集的粉尘</w:t>
            </w:r>
            <w:r>
              <w:rPr>
                <w:rFonts w:hint="eastAsia" w:ascii="Times New Roman" w:hAnsi="Times New Roman" w:cs="Times New Roman"/>
                <w:color w:val="auto"/>
                <w:highlight w:val="none"/>
                <w:lang w:val="en-US" w:eastAsia="zh-CN"/>
              </w:rPr>
              <w:t>和沉淀沉渣</w:t>
            </w:r>
            <w:r>
              <w:rPr>
                <w:rFonts w:hint="default" w:ascii="Times New Roman" w:hAnsi="Times New Roman" w:cs="Times New Roman"/>
                <w:color w:val="auto"/>
                <w:highlight w:val="none"/>
                <w:lang w:val="en-US" w:eastAsia="zh-CN"/>
              </w:rPr>
              <w:t>回用于生产，故评价元素平衡不考虑其中的元素量。</w:t>
            </w:r>
          </w:p>
          <w:p w14:paraId="0F5541ED">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项目铊平衡表见下表。</w:t>
            </w:r>
          </w:p>
          <w:p w14:paraId="60BF1037">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项目铊平衡表（t/a）</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53"/>
              <w:gridCol w:w="1036"/>
              <w:gridCol w:w="1123"/>
              <w:gridCol w:w="1019"/>
              <w:gridCol w:w="1306"/>
              <w:gridCol w:w="1019"/>
              <w:gridCol w:w="1424"/>
            </w:tblGrid>
            <w:tr w14:paraId="0470D8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25" w:hRule="atLeast"/>
                <w:jc w:val="center"/>
              </w:trPr>
              <w:tc>
                <w:tcPr>
                  <w:tcW w:w="4331" w:type="dxa"/>
                  <w:gridSpan w:val="4"/>
                  <w:tcBorders>
                    <w:tl2br w:val="nil"/>
                    <w:tr2bl w:val="nil"/>
                  </w:tcBorders>
                  <w:shd w:val="clear" w:color="auto" w:fill="auto"/>
                  <w:vAlign w:val="center"/>
                </w:tcPr>
                <w:p w14:paraId="3697D6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投入</w:t>
                  </w:r>
                </w:p>
              </w:tc>
              <w:tc>
                <w:tcPr>
                  <w:tcW w:w="3749" w:type="dxa"/>
                  <w:gridSpan w:val="3"/>
                  <w:tcBorders>
                    <w:tl2br w:val="nil"/>
                    <w:tr2bl w:val="nil"/>
                  </w:tcBorders>
                  <w:shd w:val="clear" w:color="auto" w:fill="auto"/>
                  <w:vAlign w:val="center"/>
                </w:tcPr>
                <w:p w14:paraId="33BFD0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产出</w:t>
                  </w:r>
                </w:p>
              </w:tc>
            </w:tr>
            <w:tr w14:paraId="1D79EC2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64CA65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36" w:type="dxa"/>
                  <w:tcBorders>
                    <w:tl2br w:val="nil"/>
                    <w:tr2bl w:val="nil"/>
                  </w:tcBorders>
                  <w:shd w:val="clear" w:color="auto" w:fill="auto"/>
                  <w:vAlign w:val="center"/>
                </w:tcPr>
                <w:p w14:paraId="61B74D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123" w:type="dxa"/>
                  <w:tcBorders>
                    <w:tl2br w:val="nil"/>
                    <w:tr2bl w:val="nil"/>
                  </w:tcBorders>
                  <w:shd w:val="clear" w:color="auto" w:fill="auto"/>
                  <w:vAlign w:val="center"/>
                </w:tcPr>
                <w:p w14:paraId="0C2BC6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含量（mg/kg）</w:t>
                  </w:r>
                </w:p>
              </w:tc>
              <w:tc>
                <w:tcPr>
                  <w:tcW w:w="1019" w:type="dxa"/>
                  <w:tcBorders>
                    <w:tl2br w:val="nil"/>
                    <w:tr2bl w:val="nil"/>
                  </w:tcBorders>
                  <w:shd w:val="clear" w:color="auto" w:fill="auto"/>
                  <w:vAlign w:val="center"/>
                </w:tcPr>
                <w:p w14:paraId="18E7BB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c>
                <w:tcPr>
                  <w:tcW w:w="1306" w:type="dxa"/>
                  <w:tcBorders>
                    <w:tl2br w:val="nil"/>
                    <w:tr2bl w:val="nil"/>
                  </w:tcBorders>
                  <w:shd w:val="clear" w:color="auto" w:fill="auto"/>
                  <w:vAlign w:val="center"/>
                </w:tcPr>
                <w:p w14:paraId="592868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19" w:type="dxa"/>
                  <w:tcBorders>
                    <w:tl2br w:val="nil"/>
                    <w:tr2bl w:val="nil"/>
                  </w:tcBorders>
                  <w:shd w:val="clear" w:color="auto" w:fill="auto"/>
                  <w:vAlign w:val="center"/>
                </w:tcPr>
                <w:p w14:paraId="4495F8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424" w:type="dxa"/>
                  <w:tcBorders>
                    <w:tl2br w:val="nil"/>
                    <w:tr2bl w:val="nil"/>
                  </w:tcBorders>
                  <w:shd w:val="clear" w:color="auto" w:fill="auto"/>
                  <w:vAlign w:val="center"/>
                </w:tcPr>
                <w:p w14:paraId="11CC81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r>
            <w:tr w14:paraId="6B0F8CA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300A45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锂渣</w:t>
                  </w:r>
                </w:p>
              </w:tc>
              <w:tc>
                <w:tcPr>
                  <w:tcW w:w="1036" w:type="dxa"/>
                  <w:tcBorders>
                    <w:tl2br w:val="nil"/>
                    <w:tr2bl w:val="nil"/>
                  </w:tcBorders>
                  <w:shd w:val="clear" w:color="auto" w:fill="auto"/>
                  <w:vAlign w:val="center"/>
                </w:tcPr>
                <w:p w14:paraId="0491A9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430000</w:t>
                  </w:r>
                </w:p>
              </w:tc>
              <w:tc>
                <w:tcPr>
                  <w:tcW w:w="1123" w:type="dxa"/>
                  <w:tcBorders>
                    <w:tl2br w:val="nil"/>
                    <w:tr2bl w:val="nil"/>
                  </w:tcBorders>
                  <w:shd w:val="clear" w:color="auto" w:fill="auto"/>
                  <w:vAlign w:val="center"/>
                </w:tcPr>
                <w:p w14:paraId="3094DE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9.34</w:t>
                  </w:r>
                </w:p>
              </w:tc>
              <w:tc>
                <w:tcPr>
                  <w:tcW w:w="1019" w:type="dxa"/>
                  <w:tcBorders>
                    <w:tl2br w:val="nil"/>
                    <w:tr2bl w:val="nil"/>
                  </w:tcBorders>
                  <w:shd w:val="clear" w:color="auto" w:fill="auto"/>
                  <w:vAlign w:val="center"/>
                </w:tcPr>
                <w:p w14:paraId="416FA2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4.0162</w:t>
                  </w:r>
                </w:p>
              </w:tc>
              <w:tc>
                <w:tcPr>
                  <w:tcW w:w="1306" w:type="dxa"/>
                  <w:tcBorders>
                    <w:tl2br w:val="nil"/>
                    <w:tr2bl w:val="nil"/>
                  </w:tcBorders>
                  <w:shd w:val="clear" w:color="auto" w:fill="auto"/>
                  <w:noWrap/>
                  <w:vAlign w:val="center"/>
                </w:tcPr>
                <w:p w14:paraId="2DAC55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环保</w:t>
                  </w:r>
                  <w:r>
                    <w:rPr>
                      <w:rFonts w:hint="eastAsia"/>
                      <w:color w:val="FF0000"/>
                      <w:sz w:val="21"/>
                      <w:szCs w:val="21"/>
                      <w:highlight w:val="none"/>
                      <w:lang w:val="en-US" w:eastAsia="zh-CN"/>
                    </w:rPr>
                    <w:t>免烧</w:t>
                  </w:r>
                  <w:r>
                    <w:rPr>
                      <w:rFonts w:hint="default"/>
                      <w:color w:val="FF0000"/>
                      <w:sz w:val="21"/>
                      <w:szCs w:val="21"/>
                      <w:highlight w:val="none"/>
                      <w:lang w:val="en-US" w:eastAsia="zh-CN"/>
                    </w:rPr>
                    <w:t>砖</w:t>
                  </w:r>
                </w:p>
              </w:tc>
              <w:tc>
                <w:tcPr>
                  <w:tcW w:w="1019" w:type="dxa"/>
                  <w:tcBorders>
                    <w:tl2br w:val="nil"/>
                    <w:tr2bl w:val="nil"/>
                  </w:tcBorders>
                  <w:shd w:val="clear" w:color="auto" w:fill="auto"/>
                  <w:noWrap/>
                  <w:vAlign w:val="center"/>
                </w:tcPr>
                <w:p w14:paraId="042705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50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537ABB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2.4190</w:t>
                  </w:r>
                </w:p>
              </w:tc>
            </w:tr>
            <w:tr w14:paraId="0C26C2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2D3032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1D3FB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1C0B95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45B5F4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330D80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掺合料</w:t>
                  </w:r>
                </w:p>
              </w:tc>
              <w:tc>
                <w:tcPr>
                  <w:tcW w:w="1019" w:type="dxa"/>
                  <w:tcBorders>
                    <w:tl2br w:val="nil"/>
                    <w:tr2bl w:val="nil"/>
                  </w:tcBorders>
                  <w:shd w:val="clear" w:color="auto" w:fill="auto"/>
                  <w:vAlign w:val="center"/>
                </w:tcPr>
                <w:p w14:paraId="4837A2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40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72CCEC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eastAsia="宋体"/>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1.5971</w:t>
                  </w:r>
                </w:p>
              </w:tc>
            </w:tr>
            <w:tr w14:paraId="62146C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08A186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0859AF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20C579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793C3E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2AE819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排放粉尘</w:t>
                  </w:r>
                </w:p>
              </w:tc>
              <w:tc>
                <w:tcPr>
                  <w:tcW w:w="1019" w:type="dxa"/>
                  <w:tcBorders>
                    <w:tl2br w:val="nil"/>
                    <w:tr2bl w:val="nil"/>
                  </w:tcBorders>
                  <w:shd w:val="clear" w:color="auto" w:fill="auto"/>
                  <w:vAlign w:val="center"/>
                </w:tcPr>
                <w:p w14:paraId="3299D9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3.381</w:t>
                  </w:r>
                </w:p>
              </w:tc>
              <w:tc>
                <w:tcPr>
                  <w:tcW w:w="1424" w:type="dxa"/>
                  <w:tcBorders>
                    <w:tl2br w:val="nil"/>
                    <w:tr2bl w:val="nil"/>
                  </w:tcBorders>
                  <w:shd w:val="clear" w:color="auto" w:fill="auto"/>
                  <w:vAlign w:val="center"/>
                </w:tcPr>
                <w:p w14:paraId="65BE9A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21"/>
                      <w:szCs w:val="21"/>
                      <w:highlight w:val="none"/>
                      <w:lang w:val="en-US"/>
                    </w:rPr>
                  </w:pPr>
                  <w:r>
                    <w:rPr>
                      <w:rFonts w:hint="default" w:ascii="Times New Roman" w:hAnsi="Times New Roman" w:eastAsia="宋体" w:cs="Times New Roman"/>
                      <w:i w:val="0"/>
                      <w:iCs w:val="0"/>
                      <w:color w:val="FF0000"/>
                      <w:kern w:val="0"/>
                      <w:sz w:val="21"/>
                      <w:szCs w:val="21"/>
                      <w:highlight w:val="none"/>
                      <w:u w:val="none"/>
                      <w:lang w:val="en-US" w:eastAsia="zh-CN" w:bidi="ar"/>
                    </w:rPr>
                    <w:t>0.0000</w:t>
                  </w:r>
                  <w:r>
                    <w:rPr>
                      <w:rFonts w:hint="eastAsia" w:cs="Times New Roman"/>
                      <w:i w:val="0"/>
                      <w:iCs w:val="0"/>
                      <w:color w:val="FF0000"/>
                      <w:kern w:val="0"/>
                      <w:sz w:val="21"/>
                      <w:szCs w:val="21"/>
                      <w:highlight w:val="none"/>
                      <w:u w:val="none"/>
                      <w:lang w:val="en-US" w:eastAsia="zh-CN" w:bidi="ar"/>
                    </w:rPr>
                    <w:t>32</w:t>
                  </w:r>
                </w:p>
              </w:tc>
            </w:tr>
            <w:tr w14:paraId="7DAC6C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22C697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2B8D43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70BD04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707B15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670F84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不合格品</w:t>
                  </w:r>
                </w:p>
              </w:tc>
              <w:tc>
                <w:tcPr>
                  <w:tcW w:w="1019" w:type="dxa"/>
                  <w:tcBorders>
                    <w:tl2br w:val="nil"/>
                    <w:tr2bl w:val="nil"/>
                  </w:tcBorders>
                  <w:shd w:val="clear" w:color="auto" w:fill="auto"/>
                  <w:vAlign w:val="center"/>
                </w:tcPr>
                <w:p w14:paraId="458BBE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5</w:t>
                  </w:r>
                </w:p>
              </w:tc>
              <w:tc>
                <w:tcPr>
                  <w:tcW w:w="1424" w:type="dxa"/>
                  <w:tcBorders>
                    <w:tl2br w:val="nil"/>
                    <w:tr2bl w:val="nil"/>
                  </w:tcBorders>
                  <w:shd w:val="clear" w:color="auto" w:fill="auto"/>
                  <w:vAlign w:val="center"/>
                </w:tcPr>
                <w:p w14:paraId="634B1A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21"/>
                      <w:szCs w:val="21"/>
                      <w:highlight w:val="none"/>
                    </w:rPr>
                  </w:pPr>
                  <w:r>
                    <w:rPr>
                      <w:rFonts w:hint="default" w:ascii="Times New Roman" w:hAnsi="Times New Roman" w:eastAsia="宋体" w:cs="Times New Roman"/>
                      <w:i w:val="0"/>
                      <w:iCs w:val="0"/>
                      <w:color w:val="FF0000"/>
                      <w:kern w:val="0"/>
                      <w:sz w:val="21"/>
                      <w:szCs w:val="21"/>
                      <w:highlight w:val="none"/>
                      <w:u w:val="none"/>
                      <w:lang w:val="en-US" w:eastAsia="zh-CN" w:bidi="ar"/>
                    </w:rPr>
                    <w:t>0.00005</w:t>
                  </w:r>
                </w:p>
              </w:tc>
            </w:tr>
            <w:tr w14:paraId="216B46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72678A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019" w:type="dxa"/>
                  <w:tcBorders>
                    <w:tl2br w:val="nil"/>
                    <w:tr2bl w:val="nil"/>
                  </w:tcBorders>
                  <w:shd w:val="clear" w:color="auto" w:fill="auto"/>
                  <w:vAlign w:val="center"/>
                </w:tcPr>
                <w:p w14:paraId="7CAD2B23">
                  <w:pPr>
                    <w:keepNext w:val="0"/>
                    <w:keepLines w:val="0"/>
                    <w:pageBreakBefore w:val="0"/>
                    <w:widowControl w:val="0"/>
                    <w:suppressLineNumbers w:val="0"/>
                    <w:tabs>
                      <w:tab w:val="left" w:pos="384"/>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color w:val="FF0000"/>
                      <w:sz w:val="21"/>
                      <w:szCs w:val="21"/>
                      <w:highlight w:val="none"/>
                      <w:lang w:eastAsia="zh-CN"/>
                    </w:rPr>
                  </w:pPr>
                  <w:r>
                    <w:rPr>
                      <w:rFonts w:hint="eastAsia"/>
                      <w:color w:val="FF0000"/>
                      <w:sz w:val="21"/>
                      <w:szCs w:val="21"/>
                      <w:highlight w:val="none"/>
                      <w:lang w:val="en-US" w:eastAsia="zh-CN"/>
                    </w:rPr>
                    <w:t>4.0162</w:t>
                  </w:r>
                </w:p>
              </w:tc>
              <w:tc>
                <w:tcPr>
                  <w:tcW w:w="2325" w:type="dxa"/>
                  <w:gridSpan w:val="2"/>
                  <w:tcBorders>
                    <w:tl2br w:val="nil"/>
                    <w:tr2bl w:val="nil"/>
                  </w:tcBorders>
                  <w:shd w:val="clear" w:color="auto" w:fill="auto"/>
                  <w:vAlign w:val="center"/>
                </w:tcPr>
                <w:p w14:paraId="42D9EF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424" w:type="dxa"/>
                  <w:tcBorders>
                    <w:tl2br w:val="nil"/>
                    <w:tr2bl w:val="nil"/>
                  </w:tcBorders>
                  <w:shd w:val="clear" w:color="auto" w:fill="auto"/>
                  <w:noWrap/>
                  <w:vAlign w:val="center"/>
                </w:tcPr>
                <w:p w14:paraId="32A557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21"/>
                      <w:szCs w:val="21"/>
                      <w:highlight w:val="none"/>
                    </w:rPr>
                  </w:pPr>
                  <w:r>
                    <w:rPr>
                      <w:rFonts w:hint="eastAsia"/>
                      <w:color w:val="FF0000"/>
                      <w:sz w:val="21"/>
                      <w:szCs w:val="21"/>
                      <w:highlight w:val="none"/>
                      <w:lang w:val="en-US" w:eastAsia="zh-CN"/>
                    </w:rPr>
                    <w:t>4.0162</w:t>
                  </w:r>
                </w:p>
              </w:tc>
            </w:tr>
          </w:tbl>
          <w:p w14:paraId="6E8651ED">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项目氟平衡表见下表</w:t>
            </w:r>
            <w:r>
              <w:rPr>
                <w:rFonts w:hint="default" w:ascii="Times New Roman" w:hAnsi="Times New Roman" w:cs="Times New Roman"/>
                <w:color w:val="FF0000"/>
                <w:highlight w:val="none"/>
              </w:rPr>
              <w:t>。</w:t>
            </w:r>
          </w:p>
          <w:p w14:paraId="19AF2479">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项目氟平衡表（t/a）</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67"/>
              <w:gridCol w:w="1022"/>
              <w:gridCol w:w="1123"/>
              <w:gridCol w:w="1019"/>
              <w:gridCol w:w="1306"/>
              <w:gridCol w:w="1019"/>
              <w:gridCol w:w="1424"/>
            </w:tblGrid>
            <w:tr w14:paraId="0272AD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88" w:hRule="atLeast"/>
                <w:jc w:val="center"/>
              </w:trPr>
              <w:tc>
                <w:tcPr>
                  <w:tcW w:w="4331" w:type="dxa"/>
                  <w:gridSpan w:val="4"/>
                  <w:tcBorders>
                    <w:tl2br w:val="nil"/>
                    <w:tr2bl w:val="nil"/>
                  </w:tcBorders>
                  <w:shd w:val="clear" w:color="auto" w:fill="auto"/>
                  <w:vAlign w:val="center"/>
                </w:tcPr>
                <w:p w14:paraId="58182E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投入</w:t>
                  </w:r>
                </w:p>
              </w:tc>
              <w:tc>
                <w:tcPr>
                  <w:tcW w:w="3749" w:type="dxa"/>
                  <w:gridSpan w:val="3"/>
                  <w:tcBorders>
                    <w:tl2br w:val="nil"/>
                    <w:tr2bl w:val="nil"/>
                  </w:tcBorders>
                  <w:shd w:val="clear" w:color="auto" w:fill="auto"/>
                  <w:vAlign w:val="center"/>
                </w:tcPr>
                <w:p w14:paraId="60536C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产出</w:t>
                  </w:r>
                </w:p>
              </w:tc>
            </w:tr>
            <w:tr w14:paraId="38467B9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67" w:type="dxa"/>
                  <w:tcBorders>
                    <w:tl2br w:val="nil"/>
                    <w:tr2bl w:val="nil"/>
                  </w:tcBorders>
                  <w:shd w:val="clear" w:color="auto" w:fill="auto"/>
                  <w:vAlign w:val="center"/>
                </w:tcPr>
                <w:p w14:paraId="67340F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名称</w:t>
                  </w:r>
                </w:p>
              </w:tc>
              <w:tc>
                <w:tcPr>
                  <w:tcW w:w="1022" w:type="dxa"/>
                  <w:tcBorders>
                    <w:tl2br w:val="nil"/>
                    <w:tr2bl w:val="nil"/>
                  </w:tcBorders>
                  <w:shd w:val="clear" w:color="auto" w:fill="auto"/>
                  <w:vAlign w:val="center"/>
                </w:tcPr>
                <w:p w14:paraId="0E77FB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数量（t/a）</w:t>
                  </w:r>
                </w:p>
              </w:tc>
              <w:tc>
                <w:tcPr>
                  <w:tcW w:w="1123" w:type="dxa"/>
                  <w:tcBorders>
                    <w:tl2br w:val="nil"/>
                    <w:tr2bl w:val="nil"/>
                  </w:tcBorders>
                  <w:shd w:val="clear" w:color="auto" w:fill="auto"/>
                  <w:vAlign w:val="center"/>
                </w:tcPr>
                <w:p w14:paraId="115F7C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含量（%）</w:t>
                  </w:r>
                </w:p>
              </w:tc>
              <w:tc>
                <w:tcPr>
                  <w:tcW w:w="1019" w:type="dxa"/>
                  <w:tcBorders>
                    <w:tl2br w:val="nil"/>
                    <w:tr2bl w:val="nil"/>
                  </w:tcBorders>
                  <w:shd w:val="clear" w:color="auto" w:fill="auto"/>
                  <w:vAlign w:val="center"/>
                </w:tcPr>
                <w:p w14:paraId="7F85CC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元素总量（t/a）</w:t>
                  </w:r>
                </w:p>
              </w:tc>
              <w:tc>
                <w:tcPr>
                  <w:tcW w:w="1306" w:type="dxa"/>
                  <w:tcBorders>
                    <w:tl2br w:val="nil"/>
                    <w:tr2bl w:val="nil"/>
                  </w:tcBorders>
                  <w:shd w:val="clear" w:color="auto" w:fill="auto"/>
                  <w:vAlign w:val="center"/>
                </w:tcPr>
                <w:p w14:paraId="2D695F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名称</w:t>
                  </w:r>
                </w:p>
              </w:tc>
              <w:tc>
                <w:tcPr>
                  <w:tcW w:w="1019" w:type="dxa"/>
                  <w:tcBorders>
                    <w:tl2br w:val="nil"/>
                    <w:tr2bl w:val="nil"/>
                  </w:tcBorders>
                  <w:shd w:val="clear" w:color="auto" w:fill="auto"/>
                  <w:vAlign w:val="center"/>
                </w:tcPr>
                <w:p w14:paraId="25ACB7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数量（t/a）</w:t>
                  </w:r>
                </w:p>
              </w:tc>
              <w:tc>
                <w:tcPr>
                  <w:tcW w:w="1424" w:type="dxa"/>
                  <w:tcBorders>
                    <w:tl2br w:val="nil"/>
                    <w:tr2bl w:val="nil"/>
                  </w:tcBorders>
                  <w:shd w:val="clear" w:color="auto" w:fill="auto"/>
                  <w:vAlign w:val="center"/>
                </w:tcPr>
                <w:p w14:paraId="0B2718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元素总量（t/a）</w:t>
                  </w:r>
                </w:p>
              </w:tc>
            </w:tr>
            <w:tr w14:paraId="7699DB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237" w:hRule="atLeast"/>
                <w:jc w:val="center"/>
              </w:trPr>
              <w:tc>
                <w:tcPr>
                  <w:tcW w:w="1167" w:type="dxa"/>
                  <w:tcBorders>
                    <w:tl2br w:val="nil"/>
                    <w:tr2bl w:val="nil"/>
                  </w:tcBorders>
                  <w:shd w:val="clear" w:color="auto" w:fill="auto"/>
                  <w:vAlign w:val="center"/>
                </w:tcPr>
                <w:p w14:paraId="5DCDFD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锂渣</w:t>
                  </w:r>
                </w:p>
              </w:tc>
              <w:tc>
                <w:tcPr>
                  <w:tcW w:w="1022" w:type="dxa"/>
                  <w:tcBorders>
                    <w:tl2br w:val="nil"/>
                    <w:tr2bl w:val="nil"/>
                  </w:tcBorders>
                  <w:shd w:val="clear" w:color="auto" w:fill="auto"/>
                  <w:vAlign w:val="center"/>
                </w:tcPr>
                <w:p w14:paraId="5405292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430000</w:t>
                  </w:r>
                </w:p>
              </w:tc>
              <w:tc>
                <w:tcPr>
                  <w:tcW w:w="1123" w:type="dxa"/>
                  <w:tcBorders>
                    <w:tl2br w:val="nil"/>
                    <w:tr2bl w:val="nil"/>
                  </w:tcBorders>
                  <w:shd w:val="clear" w:color="auto" w:fill="auto"/>
                  <w:vAlign w:val="center"/>
                </w:tcPr>
                <w:p w14:paraId="18FD52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3.5</w:t>
                  </w:r>
                </w:p>
              </w:tc>
              <w:tc>
                <w:tcPr>
                  <w:tcW w:w="1019" w:type="dxa"/>
                  <w:tcBorders>
                    <w:tl2br w:val="nil"/>
                    <w:tr2bl w:val="nil"/>
                  </w:tcBorders>
                  <w:shd w:val="clear" w:color="auto" w:fill="auto"/>
                  <w:vAlign w:val="center"/>
                </w:tcPr>
                <w:p w14:paraId="2B73634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8041</w:t>
                  </w:r>
                </w:p>
              </w:tc>
              <w:tc>
                <w:tcPr>
                  <w:tcW w:w="1306" w:type="dxa"/>
                  <w:tcBorders>
                    <w:tl2br w:val="nil"/>
                    <w:tr2bl w:val="nil"/>
                  </w:tcBorders>
                  <w:shd w:val="clear" w:color="auto" w:fill="auto"/>
                  <w:noWrap/>
                  <w:vAlign w:val="center"/>
                </w:tcPr>
                <w:p w14:paraId="793C9E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环保砖</w:t>
                  </w:r>
                </w:p>
              </w:tc>
              <w:tc>
                <w:tcPr>
                  <w:tcW w:w="1019" w:type="dxa"/>
                  <w:tcBorders>
                    <w:tl2br w:val="nil"/>
                    <w:tr2bl w:val="nil"/>
                  </w:tcBorders>
                  <w:shd w:val="clear" w:color="auto" w:fill="auto"/>
                  <w:noWrap/>
                  <w:vAlign w:val="center"/>
                </w:tcPr>
                <w:p w14:paraId="66465C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500000</w:t>
                  </w:r>
                </w:p>
              </w:tc>
              <w:tc>
                <w:tcPr>
                  <w:tcW w:w="1424" w:type="dxa"/>
                  <w:tcBorders>
                    <w:tl2br w:val="nil"/>
                    <w:tr2bl w:val="nil"/>
                  </w:tcBorders>
                  <w:shd w:val="clear" w:color="auto" w:fill="auto"/>
                  <w:noWrap/>
                  <w:vAlign w:val="center"/>
                </w:tcPr>
                <w:p w14:paraId="09C2D21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2"/>
                      <w:szCs w:val="22"/>
                      <w:u w:val="none"/>
                      <w:lang w:val="en-US" w:eastAsia="zh-CN" w:bidi="ar"/>
                    </w:rPr>
                    <w:t>4843.237</w:t>
                  </w:r>
                </w:p>
              </w:tc>
            </w:tr>
            <w:tr w14:paraId="3CFF7F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67" w:type="dxa"/>
                  <w:tcBorders>
                    <w:tl2br w:val="nil"/>
                    <w:tr2bl w:val="nil"/>
                  </w:tcBorders>
                  <w:shd w:val="clear" w:color="auto" w:fill="auto"/>
                  <w:vAlign w:val="center"/>
                </w:tcPr>
                <w:p w14:paraId="50AF1A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22" w:type="dxa"/>
                  <w:tcBorders>
                    <w:tl2br w:val="nil"/>
                    <w:tr2bl w:val="nil"/>
                  </w:tcBorders>
                  <w:shd w:val="clear" w:color="auto" w:fill="auto"/>
                  <w:vAlign w:val="center"/>
                </w:tcPr>
                <w:p w14:paraId="151BBC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123" w:type="dxa"/>
                  <w:tcBorders>
                    <w:tl2br w:val="nil"/>
                    <w:tr2bl w:val="nil"/>
                  </w:tcBorders>
                  <w:shd w:val="clear" w:color="auto" w:fill="auto"/>
                  <w:vAlign w:val="center"/>
                </w:tcPr>
                <w:p w14:paraId="541DBC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19" w:type="dxa"/>
                  <w:tcBorders>
                    <w:tl2br w:val="nil"/>
                    <w:tr2bl w:val="nil"/>
                  </w:tcBorders>
                  <w:shd w:val="clear" w:color="auto" w:fill="auto"/>
                  <w:vAlign w:val="center"/>
                </w:tcPr>
                <w:p w14:paraId="4386B8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306" w:type="dxa"/>
                  <w:tcBorders>
                    <w:tl2br w:val="nil"/>
                    <w:tr2bl w:val="nil"/>
                  </w:tcBorders>
                  <w:shd w:val="clear" w:color="auto" w:fill="auto"/>
                  <w:vAlign w:val="center"/>
                </w:tcPr>
                <w:p w14:paraId="595A6E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掺合料</w:t>
                  </w:r>
                </w:p>
              </w:tc>
              <w:tc>
                <w:tcPr>
                  <w:tcW w:w="1019" w:type="dxa"/>
                  <w:tcBorders>
                    <w:tl2br w:val="nil"/>
                    <w:tr2bl w:val="nil"/>
                  </w:tcBorders>
                  <w:shd w:val="clear" w:color="auto" w:fill="auto"/>
                  <w:vAlign w:val="center"/>
                </w:tcPr>
                <w:p w14:paraId="0E7DD3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400000</w:t>
                  </w:r>
                </w:p>
              </w:tc>
              <w:tc>
                <w:tcPr>
                  <w:tcW w:w="1424" w:type="dxa"/>
                  <w:tcBorders>
                    <w:tl2br w:val="nil"/>
                    <w:tr2bl w:val="nil"/>
                  </w:tcBorders>
                  <w:shd w:val="clear" w:color="auto" w:fill="auto"/>
                  <w:noWrap/>
                  <w:vAlign w:val="center"/>
                </w:tcPr>
                <w:p w14:paraId="7959F5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2"/>
                      <w:szCs w:val="22"/>
                      <w:u w:val="none"/>
                      <w:lang w:val="en-US" w:eastAsia="zh-CN" w:bidi="ar"/>
                    </w:rPr>
                    <w:t>3197.606</w:t>
                  </w:r>
                </w:p>
              </w:tc>
            </w:tr>
            <w:tr w14:paraId="09A29FB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67" w:type="dxa"/>
                  <w:tcBorders>
                    <w:tl2br w:val="nil"/>
                    <w:tr2bl w:val="nil"/>
                  </w:tcBorders>
                  <w:shd w:val="clear" w:color="auto" w:fill="auto"/>
                  <w:vAlign w:val="center"/>
                </w:tcPr>
                <w:p w14:paraId="31F0B0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22" w:type="dxa"/>
                  <w:tcBorders>
                    <w:tl2br w:val="nil"/>
                    <w:tr2bl w:val="nil"/>
                  </w:tcBorders>
                  <w:shd w:val="clear" w:color="auto" w:fill="auto"/>
                  <w:vAlign w:val="center"/>
                </w:tcPr>
                <w:p w14:paraId="1F0A846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123" w:type="dxa"/>
                  <w:tcBorders>
                    <w:tl2br w:val="nil"/>
                    <w:tr2bl w:val="nil"/>
                  </w:tcBorders>
                  <w:shd w:val="clear" w:color="auto" w:fill="auto"/>
                  <w:vAlign w:val="center"/>
                </w:tcPr>
                <w:p w14:paraId="08DB70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19" w:type="dxa"/>
                  <w:tcBorders>
                    <w:tl2br w:val="nil"/>
                    <w:tr2bl w:val="nil"/>
                  </w:tcBorders>
                  <w:shd w:val="clear" w:color="auto" w:fill="auto"/>
                  <w:vAlign w:val="center"/>
                </w:tcPr>
                <w:p w14:paraId="2F9620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306" w:type="dxa"/>
                  <w:tcBorders>
                    <w:tl2br w:val="nil"/>
                    <w:tr2bl w:val="nil"/>
                  </w:tcBorders>
                  <w:shd w:val="clear" w:color="auto" w:fill="auto"/>
                  <w:vAlign w:val="center"/>
                </w:tcPr>
                <w:p w14:paraId="5F882F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排放粉尘</w:t>
                  </w:r>
                </w:p>
              </w:tc>
              <w:tc>
                <w:tcPr>
                  <w:tcW w:w="1019" w:type="dxa"/>
                  <w:tcBorders>
                    <w:tl2br w:val="nil"/>
                    <w:tr2bl w:val="nil"/>
                  </w:tcBorders>
                  <w:shd w:val="clear" w:color="auto" w:fill="auto"/>
                  <w:vAlign w:val="center"/>
                </w:tcPr>
                <w:p w14:paraId="22D4CF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1.956</w:t>
                  </w:r>
                </w:p>
              </w:tc>
              <w:tc>
                <w:tcPr>
                  <w:tcW w:w="1424" w:type="dxa"/>
                  <w:tcBorders>
                    <w:tl2br w:val="nil"/>
                    <w:tr2bl w:val="nil"/>
                  </w:tcBorders>
                  <w:shd w:val="clear" w:color="auto" w:fill="auto"/>
                  <w:vAlign w:val="center"/>
                </w:tcPr>
                <w:p w14:paraId="5117FE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2"/>
                      <w:szCs w:val="22"/>
                      <w:u w:val="none"/>
                      <w:lang w:val="en-US" w:eastAsia="zh-CN" w:bidi="ar"/>
                    </w:rPr>
                    <w:t>0.063</w:t>
                  </w:r>
                </w:p>
              </w:tc>
            </w:tr>
            <w:tr w14:paraId="0FB97A6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67" w:type="dxa"/>
                  <w:tcBorders>
                    <w:tl2br w:val="nil"/>
                    <w:tr2bl w:val="nil"/>
                  </w:tcBorders>
                  <w:shd w:val="clear" w:color="auto" w:fill="auto"/>
                  <w:vAlign w:val="center"/>
                </w:tcPr>
                <w:p w14:paraId="585EF3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22" w:type="dxa"/>
                  <w:tcBorders>
                    <w:tl2br w:val="nil"/>
                    <w:tr2bl w:val="nil"/>
                  </w:tcBorders>
                  <w:shd w:val="clear" w:color="auto" w:fill="auto"/>
                  <w:vAlign w:val="center"/>
                </w:tcPr>
                <w:p w14:paraId="5DCB05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123" w:type="dxa"/>
                  <w:tcBorders>
                    <w:tl2br w:val="nil"/>
                    <w:tr2bl w:val="nil"/>
                  </w:tcBorders>
                  <w:shd w:val="clear" w:color="auto" w:fill="auto"/>
                  <w:vAlign w:val="center"/>
                </w:tcPr>
                <w:p w14:paraId="673308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019" w:type="dxa"/>
                  <w:tcBorders>
                    <w:tl2br w:val="nil"/>
                    <w:tr2bl w:val="nil"/>
                  </w:tcBorders>
                  <w:shd w:val="clear" w:color="auto" w:fill="auto"/>
                  <w:vAlign w:val="center"/>
                </w:tcPr>
                <w:p w14:paraId="073194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p>
              </w:tc>
              <w:tc>
                <w:tcPr>
                  <w:tcW w:w="1306" w:type="dxa"/>
                  <w:tcBorders>
                    <w:tl2br w:val="nil"/>
                    <w:tr2bl w:val="nil"/>
                  </w:tcBorders>
                  <w:shd w:val="clear" w:color="auto" w:fill="auto"/>
                  <w:vAlign w:val="center"/>
                </w:tcPr>
                <w:p w14:paraId="0310BC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不合格品</w:t>
                  </w:r>
                </w:p>
              </w:tc>
              <w:tc>
                <w:tcPr>
                  <w:tcW w:w="1019" w:type="dxa"/>
                  <w:tcBorders>
                    <w:tl2br w:val="nil"/>
                    <w:tr2bl w:val="nil"/>
                  </w:tcBorders>
                  <w:shd w:val="clear" w:color="auto" w:fill="auto"/>
                  <w:vAlign w:val="center"/>
                </w:tcPr>
                <w:p w14:paraId="128636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5</w:t>
                  </w:r>
                </w:p>
              </w:tc>
              <w:tc>
                <w:tcPr>
                  <w:tcW w:w="1424" w:type="dxa"/>
                  <w:tcBorders>
                    <w:tl2br w:val="nil"/>
                    <w:tr2bl w:val="nil"/>
                  </w:tcBorders>
                  <w:shd w:val="clear" w:color="auto" w:fill="auto"/>
                  <w:vAlign w:val="center"/>
                </w:tcPr>
                <w:p w14:paraId="6ADE48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2"/>
                      <w:szCs w:val="22"/>
                      <w:u w:val="none"/>
                      <w:lang w:val="en-US" w:eastAsia="zh-CN" w:bidi="ar"/>
                    </w:rPr>
                    <w:t>0.094</w:t>
                  </w:r>
                </w:p>
              </w:tc>
            </w:tr>
            <w:tr w14:paraId="3D42D7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68B4DC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合计</w:t>
                  </w:r>
                </w:p>
              </w:tc>
              <w:tc>
                <w:tcPr>
                  <w:tcW w:w="1019" w:type="dxa"/>
                  <w:tcBorders>
                    <w:tl2br w:val="nil"/>
                    <w:tr2bl w:val="nil"/>
                  </w:tcBorders>
                  <w:shd w:val="clear" w:color="auto" w:fill="auto"/>
                  <w:vAlign w:val="center"/>
                </w:tcPr>
                <w:p w14:paraId="623FB9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olor w:val="FF0000"/>
                      <w:sz w:val="21"/>
                      <w:szCs w:val="21"/>
                      <w:highlight w:val="none"/>
                      <w:lang w:val="en-US" w:eastAsia="zh-CN"/>
                    </w:rPr>
                  </w:pPr>
                  <w:r>
                    <w:rPr>
                      <w:rFonts w:hint="eastAsia"/>
                      <w:color w:val="FF0000"/>
                      <w:sz w:val="21"/>
                      <w:szCs w:val="21"/>
                      <w:highlight w:val="none"/>
                      <w:lang w:val="en-US" w:eastAsia="zh-CN"/>
                    </w:rPr>
                    <w:t>8041</w:t>
                  </w:r>
                </w:p>
              </w:tc>
              <w:tc>
                <w:tcPr>
                  <w:tcW w:w="2325" w:type="dxa"/>
                  <w:gridSpan w:val="2"/>
                  <w:tcBorders>
                    <w:tl2br w:val="nil"/>
                    <w:tr2bl w:val="nil"/>
                  </w:tcBorders>
                  <w:shd w:val="clear" w:color="auto" w:fill="auto"/>
                  <w:vAlign w:val="center"/>
                </w:tcPr>
                <w:p w14:paraId="3DD130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olor w:val="FF0000"/>
                      <w:sz w:val="21"/>
                      <w:szCs w:val="21"/>
                      <w:highlight w:val="none"/>
                      <w:lang w:val="en-US" w:eastAsia="zh-CN"/>
                    </w:rPr>
                  </w:pPr>
                  <w:r>
                    <w:rPr>
                      <w:rFonts w:hint="default" w:ascii="Times New Roman" w:hAnsi="Times New Roman" w:eastAsia="宋体"/>
                      <w:color w:val="FF0000"/>
                      <w:sz w:val="21"/>
                      <w:szCs w:val="21"/>
                      <w:highlight w:val="none"/>
                      <w:lang w:val="en-US" w:eastAsia="zh-CN"/>
                    </w:rPr>
                    <w:t>合计</w:t>
                  </w:r>
                </w:p>
              </w:tc>
              <w:tc>
                <w:tcPr>
                  <w:tcW w:w="1424" w:type="dxa"/>
                  <w:tcBorders>
                    <w:tl2br w:val="nil"/>
                    <w:tr2bl w:val="nil"/>
                  </w:tcBorders>
                  <w:shd w:val="clear" w:color="auto" w:fill="auto"/>
                  <w:noWrap/>
                  <w:vAlign w:val="center"/>
                </w:tcPr>
                <w:p w14:paraId="2F11B64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2"/>
                      <w:szCs w:val="22"/>
                      <w:u w:val="none"/>
                      <w:lang w:val="en-US" w:eastAsia="zh-CN" w:bidi="ar"/>
                    </w:rPr>
                    <w:t>8041.000</w:t>
                  </w:r>
                </w:p>
              </w:tc>
            </w:tr>
          </w:tbl>
          <w:p w14:paraId="0AAD5EFD">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项目</w:t>
            </w:r>
            <w:r>
              <w:rPr>
                <w:rFonts w:hint="eastAsia" w:ascii="Times New Roman" w:hAnsi="Times New Roman" w:cs="Times New Roman"/>
                <w:color w:val="FF0000"/>
                <w:highlight w:val="none"/>
                <w:lang w:val="en-US" w:eastAsia="zh-CN"/>
              </w:rPr>
              <w:t>硫</w:t>
            </w:r>
            <w:r>
              <w:rPr>
                <w:rFonts w:hint="default" w:ascii="Times New Roman" w:hAnsi="Times New Roman" w:cs="Times New Roman"/>
                <w:color w:val="FF0000"/>
                <w:highlight w:val="none"/>
                <w:lang w:val="en-US" w:eastAsia="zh-CN"/>
              </w:rPr>
              <w:t>平衡表见下表。</w:t>
            </w:r>
          </w:p>
          <w:p w14:paraId="56FC5373">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项目</w:t>
            </w:r>
            <w:r>
              <w:rPr>
                <w:rFonts w:hint="eastAsia" w:ascii="Times New Roman" w:hAnsi="Times New Roman" w:eastAsia="宋体" w:cs="Times New Roman"/>
                <w:color w:val="FF0000"/>
                <w:sz w:val="21"/>
                <w:szCs w:val="21"/>
                <w:highlight w:val="none"/>
                <w:lang w:val="en-US" w:eastAsia="zh-CN"/>
              </w:rPr>
              <w:t>硫</w:t>
            </w:r>
            <w:r>
              <w:rPr>
                <w:rFonts w:hint="default" w:ascii="Times New Roman" w:hAnsi="Times New Roman" w:eastAsia="宋体" w:cs="Times New Roman"/>
                <w:color w:val="FF0000"/>
                <w:sz w:val="21"/>
                <w:szCs w:val="21"/>
                <w:highlight w:val="none"/>
                <w:lang w:val="en-US" w:eastAsia="zh-CN"/>
              </w:rPr>
              <w:t>平衡表（t/a）</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53"/>
              <w:gridCol w:w="1036"/>
              <w:gridCol w:w="1123"/>
              <w:gridCol w:w="1019"/>
              <w:gridCol w:w="1306"/>
              <w:gridCol w:w="1019"/>
              <w:gridCol w:w="1424"/>
            </w:tblGrid>
            <w:tr w14:paraId="51647DD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402" w:hRule="atLeast"/>
                <w:jc w:val="center"/>
              </w:trPr>
              <w:tc>
                <w:tcPr>
                  <w:tcW w:w="4331" w:type="dxa"/>
                  <w:gridSpan w:val="4"/>
                  <w:tcBorders>
                    <w:tl2br w:val="nil"/>
                    <w:tr2bl w:val="nil"/>
                  </w:tcBorders>
                  <w:shd w:val="clear" w:color="auto" w:fill="auto"/>
                  <w:vAlign w:val="center"/>
                </w:tcPr>
                <w:p w14:paraId="38628C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投入</w:t>
                  </w:r>
                </w:p>
              </w:tc>
              <w:tc>
                <w:tcPr>
                  <w:tcW w:w="3749" w:type="dxa"/>
                  <w:gridSpan w:val="3"/>
                  <w:tcBorders>
                    <w:tl2br w:val="nil"/>
                    <w:tr2bl w:val="nil"/>
                  </w:tcBorders>
                  <w:shd w:val="clear" w:color="auto" w:fill="auto"/>
                  <w:vAlign w:val="center"/>
                </w:tcPr>
                <w:p w14:paraId="4ACF3D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产出</w:t>
                  </w:r>
                </w:p>
              </w:tc>
            </w:tr>
            <w:tr w14:paraId="533949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736222D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36" w:type="dxa"/>
                  <w:tcBorders>
                    <w:tl2br w:val="nil"/>
                    <w:tr2bl w:val="nil"/>
                  </w:tcBorders>
                  <w:shd w:val="clear" w:color="auto" w:fill="auto"/>
                  <w:vAlign w:val="center"/>
                </w:tcPr>
                <w:p w14:paraId="0A0379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123" w:type="dxa"/>
                  <w:tcBorders>
                    <w:tl2br w:val="nil"/>
                    <w:tr2bl w:val="nil"/>
                  </w:tcBorders>
                  <w:shd w:val="clear" w:color="auto" w:fill="auto"/>
                  <w:vAlign w:val="center"/>
                </w:tcPr>
                <w:p w14:paraId="51698A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ascii="Times New Roman" w:hAnsi="Times New Roman" w:eastAsia="宋体"/>
                      <w:color w:val="FF0000"/>
                      <w:sz w:val="21"/>
                      <w:szCs w:val="21"/>
                      <w:highlight w:val="none"/>
                      <w:lang w:val="en-US" w:eastAsia="zh-CN"/>
                    </w:rPr>
                    <w:t>含量（%）</w:t>
                  </w:r>
                </w:p>
              </w:tc>
              <w:tc>
                <w:tcPr>
                  <w:tcW w:w="1019" w:type="dxa"/>
                  <w:tcBorders>
                    <w:tl2br w:val="nil"/>
                    <w:tr2bl w:val="nil"/>
                  </w:tcBorders>
                  <w:shd w:val="clear" w:color="auto" w:fill="auto"/>
                  <w:vAlign w:val="center"/>
                </w:tcPr>
                <w:p w14:paraId="7D02E3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c>
                <w:tcPr>
                  <w:tcW w:w="1306" w:type="dxa"/>
                  <w:tcBorders>
                    <w:tl2br w:val="nil"/>
                    <w:tr2bl w:val="nil"/>
                  </w:tcBorders>
                  <w:shd w:val="clear" w:color="auto" w:fill="auto"/>
                  <w:vAlign w:val="center"/>
                </w:tcPr>
                <w:p w14:paraId="780933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19" w:type="dxa"/>
                  <w:tcBorders>
                    <w:tl2br w:val="nil"/>
                    <w:tr2bl w:val="nil"/>
                  </w:tcBorders>
                  <w:shd w:val="clear" w:color="auto" w:fill="auto"/>
                  <w:vAlign w:val="center"/>
                </w:tcPr>
                <w:p w14:paraId="7C1AC3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424" w:type="dxa"/>
                  <w:tcBorders>
                    <w:tl2br w:val="nil"/>
                    <w:tr2bl w:val="nil"/>
                  </w:tcBorders>
                  <w:shd w:val="clear" w:color="auto" w:fill="auto"/>
                  <w:vAlign w:val="center"/>
                </w:tcPr>
                <w:p w14:paraId="3A8E28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r>
            <w:tr w14:paraId="732946E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6FACF2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锂渣</w:t>
                  </w:r>
                </w:p>
              </w:tc>
              <w:tc>
                <w:tcPr>
                  <w:tcW w:w="1036" w:type="dxa"/>
                  <w:tcBorders>
                    <w:tl2br w:val="nil"/>
                    <w:tr2bl w:val="nil"/>
                  </w:tcBorders>
                  <w:shd w:val="clear" w:color="auto" w:fill="auto"/>
                  <w:vAlign w:val="center"/>
                </w:tcPr>
                <w:p w14:paraId="245192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430000</w:t>
                  </w:r>
                </w:p>
              </w:tc>
              <w:tc>
                <w:tcPr>
                  <w:tcW w:w="1123" w:type="dxa"/>
                  <w:tcBorders>
                    <w:tl2br w:val="nil"/>
                    <w:tr2bl w:val="nil"/>
                  </w:tcBorders>
                  <w:shd w:val="clear" w:color="auto" w:fill="auto"/>
                  <w:vAlign w:val="center"/>
                </w:tcPr>
                <w:p w14:paraId="2E987E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9.34</w:t>
                  </w:r>
                </w:p>
              </w:tc>
              <w:tc>
                <w:tcPr>
                  <w:tcW w:w="1019" w:type="dxa"/>
                  <w:tcBorders>
                    <w:tl2br w:val="nil"/>
                    <w:tr2bl w:val="nil"/>
                  </w:tcBorders>
                  <w:shd w:val="clear" w:color="auto" w:fill="auto"/>
                  <w:vAlign w:val="center"/>
                </w:tcPr>
                <w:p w14:paraId="621A40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4.0162</w:t>
                  </w:r>
                </w:p>
              </w:tc>
              <w:tc>
                <w:tcPr>
                  <w:tcW w:w="1306" w:type="dxa"/>
                  <w:tcBorders>
                    <w:tl2br w:val="nil"/>
                    <w:tr2bl w:val="nil"/>
                  </w:tcBorders>
                  <w:shd w:val="clear" w:color="auto" w:fill="auto"/>
                  <w:noWrap/>
                  <w:vAlign w:val="center"/>
                </w:tcPr>
                <w:p w14:paraId="7CBE24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环保</w:t>
                  </w:r>
                  <w:r>
                    <w:rPr>
                      <w:rFonts w:hint="eastAsia"/>
                      <w:color w:val="FF0000"/>
                      <w:sz w:val="21"/>
                      <w:szCs w:val="21"/>
                      <w:highlight w:val="none"/>
                      <w:lang w:val="en-US" w:eastAsia="zh-CN"/>
                    </w:rPr>
                    <w:t>免烧</w:t>
                  </w:r>
                  <w:r>
                    <w:rPr>
                      <w:rFonts w:hint="default"/>
                      <w:color w:val="FF0000"/>
                      <w:sz w:val="21"/>
                      <w:szCs w:val="21"/>
                      <w:highlight w:val="none"/>
                      <w:lang w:val="en-US" w:eastAsia="zh-CN"/>
                    </w:rPr>
                    <w:t>砖</w:t>
                  </w:r>
                </w:p>
              </w:tc>
              <w:tc>
                <w:tcPr>
                  <w:tcW w:w="1019" w:type="dxa"/>
                  <w:tcBorders>
                    <w:tl2br w:val="nil"/>
                    <w:tr2bl w:val="nil"/>
                  </w:tcBorders>
                  <w:shd w:val="clear" w:color="auto" w:fill="auto"/>
                  <w:noWrap/>
                  <w:vAlign w:val="center"/>
                </w:tcPr>
                <w:p w14:paraId="4C10D8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50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032E47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9064.882</w:t>
                  </w:r>
                </w:p>
              </w:tc>
            </w:tr>
            <w:tr w14:paraId="7C2937F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067BD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704CFD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30D24B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11BC4B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00ADDD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掺合料</w:t>
                  </w:r>
                </w:p>
              </w:tc>
              <w:tc>
                <w:tcPr>
                  <w:tcW w:w="1019" w:type="dxa"/>
                  <w:tcBorders>
                    <w:tl2br w:val="nil"/>
                    <w:tr2bl w:val="nil"/>
                  </w:tcBorders>
                  <w:shd w:val="clear" w:color="auto" w:fill="auto"/>
                  <w:vAlign w:val="center"/>
                </w:tcPr>
                <w:p w14:paraId="6F11DA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40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7B8751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5984.825</w:t>
                  </w:r>
                </w:p>
              </w:tc>
            </w:tr>
            <w:tr w14:paraId="411732C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4C4DB1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7F135B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2F5ED7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173595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6BD0FA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排放粉尘</w:t>
                  </w:r>
                </w:p>
              </w:tc>
              <w:tc>
                <w:tcPr>
                  <w:tcW w:w="1019" w:type="dxa"/>
                  <w:tcBorders>
                    <w:tl2br w:val="nil"/>
                    <w:tr2bl w:val="nil"/>
                  </w:tcBorders>
                  <w:shd w:val="clear" w:color="auto" w:fill="auto"/>
                  <w:vAlign w:val="center"/>
                </w:tcPr>
                <w:p w14:paraId="2923F2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1.956</w:t>
                  </w:r>
                </w:p>
              </w:tc>
              <w:tc>
                <w:tcPr>
                  <w:tcW w:w="1424" w:type="dxa"/>
                  <w:tcBorders>
                    <w:tl2br w:val="nil"/>
                    <w:tr2bl w:val="nil"/>
                  </w:tcBorders>
                  <w:shd w:val="clear" w:color="auto" w:fill="auto"/>
                  <w:vAlign w:val="center"/>
                </w:tcPr>
                <w:p w14:paraId="6A5610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0.118</w:t>
                  </w:r>
                </w:p>
              </w:tc>
            </w:tr>
            <w:tr w14:paraId="0EC51CD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51DF49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07C8ED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52ABB9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139C4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62AF42A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不合格品</w:t>
                  </w:r>
                </w:p>
              </w:tc>
              <w:tc>
                <w:tcPr>
                  <w:tcW w:w="1019" w:type="dxa"/>
                  <w:tcBorders>
                    <w:tl2br w:val="nil"/>
                    <w:tr2bl w:val="nil"/>
                  </w:tcBorders>
                  <w:shd w:val="clear" w:color="auto" w:fill="auto"/>
                  <w:vAlign w:val="center"/>
                </w:tcPr>
                <w:p w14:paraId="4E557A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5</w:t>
                  </w:r>
                </w:p>
              </w:tc>
              <w:tc>
                <w:tcPr>
                  <w:tcW w:w="1424" w:type="dxa"/>
                  <w:tcBorders>
                    <w:tl2br w:val="nil"/>
                    <w:tr2bl w:val="nil"/>
                  </w:tcBorders>
                  <w:shd w:val="clear" w:color="auto" w:fill="auto"/>
                  <w:vAlign w:val="center"/>
                </w:tcPr>
                <w:p w14:paraId="02650CF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0.175</w:t>
                  </w:r>
                </w:p>
              </w:tc>
            </w:tr>
            <w:tr w14:paraId="25DE63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6BDE9C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019" w:type="dxa"/>
                  <w:tcBorders>
                    <w:tl2br w:val="nil"/>
                    <w:tr2bl w:val="nil"/>
                  </w:tcBorders>
                  <w:shd w:val="clear" w:color="auto" w:fill="auto"/>
                  <w:vAlign w:val="center"/>
                </w:tcPr>
                <w:p w14:paraId="5ABC5405">
                  <w:pPr>
                    <w:keepNext w:val="0"/>
                    <w:keepLines w:val="0"/>
                    <w:pageBreakBefore w:val="0"/>
                    <w:widowControl w:val="0"/>
                    <w:suppressLineNumbers w:val="0"/>
                    <w:tabs>
                      <w:tab w:val="left" w:pos="384"/>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15050</w:t>
                  </w:r>
                </w:p>
              </w:tc>
              <w:tc>
                <w:tcPr>
                  <w:tcW w:w="1306" w:type="dxa"/>
                  <w:tcBorders>
                    <w:tl2br w:val="nil"/>
                    <w:tr2bl w:val="nil"/>
                  </w:tcBorders>
                  <w:shd w:val="clear" w:color="auto" w:fill="auto"/>
                  <w:vAlign w:val="center"/>
                </w:tcPr>
                <w:p w14:paraId="01FD97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019" w:type="dxa"/>
                  <w:tcBorders>
                    <w:tl2br w:val="nil"/>
                    <w:tr2bl w:val="nil"/>
                  </w:tcBorders>
                  <w:shd w:val="clear" w:color="auto" w:fill="auto"/>
                  <w:vAlign w:val="center"/>
                </w:tcPr>
                <w:p w14:paraId="7F3985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424" w:type="dxa"/>
                  <w:tcBorders>
                    <w:tl2br w:val="nil"/>
                    <w:tr2bl w:val="nil"/>
                  </w:tcBorders>
                  <w:shd w:val="clear" w:color="auto" w:fill="auto"/>
                  <w:noWrap/>
                  <w:vAlign w:val="center"/>
                </w:tcPr>
                <w:p w14:paraId="51AF0E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15050</w:t>
                  </w:r>
                </w:p>
              </w:tc>
            </w:tr>
          </w:tbl>
          <w:p w14:paraId="3A01E455">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项目</w:t>
            </w:r>
            <w:r>
              <w:rPr>
                <w:rFonts w:hint="eastAsia" w:ascii="Times New Roman" w:hAnsi="Times New Roman" w:cs="Times New Roman"/>
                <w:color w:val="FF0000"/>
                <w:highlight w:val="none"/>
                <w:lang w:val="en-US" w:eastAsia="zh-CN"/>
              </w:rPr>
              <w:t>锌</w:t>
            </w:r>
            <w:r>
              <w:rPr>
                <w:rFonts w:hint="default" w:ascii="Times New Roman" w:hAnsi="Times New Roman" w:cs="Times New Roman"/>
                <w:color w:val="FF0000"/>
                <w:highlight w:val="none"/>
                <w:lang w:val="en-US" w:eastAsia="zh-CN"/>
              </w:rPr>
              <w:t>平衡表见下表。</w:t>
            </w:r>
          </w:p>
          <w:p w14:paraId="59B26ADF">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项目</w:t>
            </w:r>
            <w:r>
              <w:rPr>
                <w:rFonts w:hint="eastAsia" w:ascii="Times New Roman" w:hAnsi="Times New Roman" w:eastAsia="宋体" w:cs="Times New Roman"/>
                <w:color w:val="FF0000"/>
                <w:sz w:val="21"/>
                <w:szCs w:val="21"/>
                <w:highlight w:val="none"/>
                <w:lang w:val="en-US" w:eastAsia="zh-CN"/>
              </w:rPr>
              <w:t>锌</w:t>
            </w:r>
            <w:r>
              <w:rPr>
                <w:rFonts w:hint="default" w:ascii="Times New Roman" w:hAnsi="Times New Roman" w:eastAsia="宋体" w:cs="Times New Roman"/>
                <w:color w:val="FF0000"/>
                <w:sz w:val="21"/>
                <w:szCs w:val="21"/>
                <w:highlight w:val="none"/>
                <w:lang w:val="en-US" w:eastAsia="zh-CN"/>
              </w:rPr>
              <w:t>平衡表（t/a）</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53"/>
              <w:gridCol w:w="1036"/>
              <w:gridCol w:w="1123"/>
              <w:gridCol w:w="1019"/>
              <w:gridCol w:w="1306"/>
              <w:gridCol w:w="1019"/>
              <w:gridCol w:w="1424"/>
            </w:tblGrid>
            <w:tr w14:paraId="0CA71D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522" w:hRule="atLeast"/>
                <w:jc w:val="center"/>
              </w:trPr>
              <w:tc>
                <w:tcPr>
                  <w:tcW w:w="4331" w:type="dxa"/>
                  <w:gridSpan w:val="4"/>
                  <w:tcBorders>
                    <w:tl2br w:val="nil"/>
                    <w:tr2bl w:val="nil"/>
                  </w:tcBorders>
                  <w:shd w:val="clear" w:color="auto" w:fill="auto"/>
                  <w:vAlign w:val="center"/>
                </w:tcPr>
                <w:p w14:paraId="38E6CE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投入</w:t>
                  </w:r>
                </w:p>
              </w:tc>
              <w:tc>
                <w:tcPr>
                  <w:tcW w:w="3749" w:type="dxa"/>
                  <w:gridSpan w:val="3"/>
                  <w:tcBorders>
                    <w:tl2br w:val="nil"/>
                    <w:tr2bl w:val="nil"/>
                  </w:tcBorders>
                  <w:shd w:val="clear" w:color="auto" w:fill="auto"/>
                  <w:vAlign w:val="center"/>
                </w:tcPr>
                <w:p w14:paraId="0AF0C6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产出</w:t>
                  </w:r>
                </w:p>
              </w:tc>
            </w:tr>
            <w:tr w14:paraId="6D72BB5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1ACF16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36" w:type="dxa"/>
                  <w:tcBorders>
                    <w:tl2br w:val="nil"/>
                    <w:tr2bl w:val="nil"/>
                  </w:tcBorders>
                  <w:shd w:val="clear" w:color="auto" w:fill="auto"/>
                  <w:vAlign w:val="center"/>
                </w:tcPr>
                <w:p w14:paraId="12F225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123" w:type="dxa"/>
                  <w:tcBorders>
                    <w:tl2br w:val="nil"/>
                    <w:tr2bl w:val="nil"/>
                  </w:tcBorders>
                  <w:shd w:val="clear" w:color="auto" w:fill="auto"/>
                  <w:vAlign w:val="center"/>
                </w:tcPr>
                <w:p w14:paraId="4EC3E0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ascii="Times New Roman" w:hAnsi="Times New Roman" w:eastAsia="宋体"/>
                      <w:color w:val="FF0000"/>
                      <w:sz w:val="21"/>
                      <w:szCs w:val="21"/>
                      <w:highlight w:val="none"/>
                      <w:lang w:val="en-US" w:eastAsia="zh-CN"/>
                    </w:rPr>
                    <w:t>含量（%）</w:t>
                  </w:r>
                  <w:r>
                    <w:rPr>
                      <w:rFonts w:hint="default"/>
                      <w:color w:val="FF0000"/>
                      <w:sz w:val="21"/>
                      <w:szCs w:val="21"/>
                      <w:highlight w:val="none"/>
                      <w:lang w:val="en-US" w:eastAsia="zh-CN"/>
                    </w:rPr>
                    <w:t>）</w:t>
                  </w:r>
                </w:p>
              </w:tc>
              <w:tc>
                <w:tcPr>
                  <w:tcW w:w="1019" w:type="dxa"/>
                  <w:tcBorders>
                    <w:tl2br w:val="nil"/>
                    <w:tr2bl w:val="nil"/>
                  </w:tcBorders>
                  <w:shd w:val="clear" w:color="auto" w:fill="auto"/>
                  <w:vAlign w:val="center"/>
                </w:tcPr>
                <w:p w14:paraId="2EEF31A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c>
                <w:tcPr>
                  <w:tcW w:w="1306" w:type="dxa"/>
                  <w:tcBorders>
                    <w:tl2br w:val="nil"/>
                    <w:tr2bl w:val="nil"/>
                  </w:tcBorders>
                  <w:shd w:val="clear" w:color="auto" w:fill="auto"/>
                  <w:vAlign w:val="center"/>
                </w:tcPr>
                <w:p w14:paraId="2FCA9D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19" w:type="dxa"/>
                  <w:tcBorders>
                    <w:tl2br w:val="nil"/>
                    <w:tr2bl w:val="nil"/>
                  </w:tcBorders>
                  <w:shd w:val="clear" w:color="auto" w:fill="auto"/>
                  <w:vAlign w:val="center"/>
                </w:tcPr>
                <w:p w14:paraId="30EAC6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424" w:type="dxa"/>
                  <w:tcBorders>
                    <w:tl2br w:val="nil"/>
                    <w:tr2bl w:val="nil"/>
                  </w:tcBorders>
                  <w:shd w:val="clear" w:color="auto" w:fill="auto"/>
                  <w:vAlign w:val="center"/>
                </w:tcPr>
                <w:p w14:paraId="5F4358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r>
            <w:tr w14:paraId="20F62B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10D1AF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锂渣</w:t>
                  </w:r>
                </w:p>
              </w:tc>
              <w:tc>
                <w:tcPr>
                  <w:tcW w:w="1036" w:type="dxa"/>
                  <w:tcBorders>
                    <w:tl2br w:val="nil"/>
                    <w:tr2bl w:val="nil"/>
                  </w:tcBorders>
                  <w:shd w:val="clear" w:color="auto" w:fill="auto"/>
                  <w:vAlign w:val="center"/>
                </w:tcPr>
                <w:p w14:paraId="14AE35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430000</w:t>
                  </w:r>
                </w:p>
              </w:tc>
              <w:tc>
                <w:tcPr>
                  <w:tcW w:w="1123" w:type="dxa"/>
                  <w:tcBorders>
                    <w:tl2br w:val="nil"/>
                    <w:tr2bl w:val="nil"/>
                  </w:tcBorders>
                  <w:shd w:val="clear" w:color="auto" w:fill="auto"/>
                  <w:vAlign w:val="center"/>
                </w:tcPr>
                <w:p w14:paraId="514130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0.0482</w:t>
                  </w:r>
                </w:p>
              </w:tc>
              <w:tc>
                <w:tcPr>
                  <w:tcW w:w="1019" w:type="dxa"/>
                  <w:tcBorders>
                    <w:tl2br w:val="nil"/>
                    <w:tr2bl w:val="nil"/>
                  </w:tcBorders>
                  <w:shd w:val="clear" w:color="auto" w:fill="auto"/>
                  <w:vAlign w:val="center"/>
                </w:tcPr>
                <w:p w14:paraId="21D1D7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4.0162</w:t>
                  </w:r>
                </w:p>
              </w:tc>
              <w:tc>
                <w:tcPr>
                  <w:tcW w:w="1306" w:type="dxa"/>
                  <w:tcBorders>
                    <w:tl2br w:val="nil"/>
                    <w:tr2bl w:val="nil"/>
                  </w:tcBorders>
                  <w:shd w:val="clear" w:color="auto" w:fill="auto"/>
                  <w:noWrap/>
                  <w:vAlign w:val="center"/>
                </w:tcPr>
                <w:p w14:paraId="176050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环保</w:t>
                  </w:r>
                  <w:r>
                    <w:rPr>
                      <w:rFonts w:hint="eastAsia"/>
                      <w:color w:val="FF0000"/>
                      <w:sz w:val="21"/>
                      <w:szCs w:val="21"/>
                      <w:highlight w:val="none"/>
                      <w:lang w:val="en-US" w:eastAsia="zh-CN"/>
                    </w:rPr>
                    <w:t>免烧</w:t>
                  </w:r>
                  <w:r>
                    <w:rPr>
                      <w:rFonts w:hint="default"/>
                      <w:color w:val="FF0000"/>
                      <w:sz w:val="21"/>
                      <w:szCs w:val="21"/>
                      <w:highlight w:val="none"/>
                      <w:lang w:val="en-US" w:eastAsia="zh-CN"/>
                    </w:rPr>
                    <w:t>砖</w:t>
                  </w:r>
                </w:p>
              </w:tc>
              <w:tc>
                <w:tcPr>
                  <w:tcW w:w="1019" w:type="dxa"/>
                  <w:tcBorders>
                    <w:tl2br w:val="nil"/>
                    <w:tr2bl w:val="nil"/>
                  </w:tcBorders>
                  <w:shd w:val="clear" w:color="auto" w:fill="auto"/>
                  <w:noWrap/>
                  <w:vAlign w:val="center"/>
                </w:tcPr>
                <w:p w14:paraId="6DA5A7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50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4D5E18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124.836</w:t>
                  </w:r>
                </w:p>
              </w:tc>
            </w:tr>
            <w:tr w14:paraId="447394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263BF0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618FED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791AA0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46FD04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5ADDC3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掺合料</w:t>
                  </w:r>
                </w:p>
              </w:tc>
              <w:tc>
                <w:tcPr>
                  <w:tcW w:w="1019" w:type="dxa"/>
                  <w:tcBorders>
                    <w:tl2br w:val="nil"/>
                    <w:tr2bl w:val="nil"/>
                  </w:tcBorders>
                  <w:shd w:val="clear" w:color="auto" w:fill="auto"/>
                  <w:vAlign w:val="center"/>
                </w:tcPr>
                <w:p w14:paraId="0427586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40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6BB9ED4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82.42</w:t>
                  </w:r>
                </w:p>
              </w:tc>
            </w:tr>
            <w:tr w14:paraId="782793A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39A002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020C61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0A9376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6D3CF5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4CB00C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排放粉尘</w:t>
                  </w:r>
                </w:p>
              </w:tc>
              <w:tc>
                <w:tcPr>
                  <w:tcW w:w="1019" w:type="dxa"/>
                  <w:tcBorders>
                    <w:tl2br w:val="nil"/>
                    <w:tr2bl w:val="nil"/>
                  </w:tcBorders>
                  <w:shd w:val="clear" w:color="auto" w:fill="auto"/>
                  <w:vAlign w:val="center"/>
                </w:tcPr>
                <w:p w14:paraId="03DB15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1.956</w:t>
                  </w:r>
                </w:p>
              </w:tc>
              <w:tc>
                <w:tcPr>
                  <w:tcW w:w="1424" w:type="dxa"/>
                  <w:tcBorders>
                    <w:tl2br w:val="nil"/>
                    <w:tr2bl w:val="nil"/>
                  </w:tcBorders>
                  <w:shd w:val="clear" w:color="auto" w:fill="auto"/>
                  <w:vAlign w:val="center"/>
                </w:tcPr>
                <w:p w14:paraId="60FEE2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0.0016</w:t>
                  </w:r>
                </w:p>
              </w:tc>
            </w:tr>
            <w:tr w14:paraId="1AEDBB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71E527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4DB749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1BB93A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77FEC6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7B49BFF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不合格品</w:t>
                  </w:r>
                </w:p>
              </w:tc>
              <w:tc>
                <w:tcPr>
                  <w:tcW w:w="1019" w:type="dxa"/>
                  <w:tcBorders>
                    <w:tl2br w:val="nil"/>
                    <w:tr2bl w:val="nil"/>
                  </w:tcBorders>
                  <w:shd w:val="clear" w:color="auto" w:fill="auto"/>
                  <w:vAlign w:val="center"/>
                </w:tcPr>
                <w:p w14:paraId="46A45A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5</w:t>
                  </w:r>
                </w:p>
              </w:tc>
              <w:tc>
                <w:tcPr>
                  <w:tcW w:w="1424" w:type="dxa"/>
                  <w:tcBorders>
                    <w:tl2br w:val="nil"/>
                    <w:tr2bl w:val="nil"/>
                  </w:tcBorders>
                  <w:shd w:val="clear" w:color="auto" w:fill="auto"/>
                  <w:vAlign w:val="center"/>
                </w:tcPr>
                <w:p w14:paraId="20894E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0.0024</w:t>
                  </w:r>
                </w:p>
              </w:tc>
            </w:tr>
            <w:tr w14:paraId="7CFE35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15CAC0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019" w:type="dxa"/>
                  <w:tcBorders>
                    <w:tl2br w:val="nil"/>
                    <w:tr2bl w:val="nil"/>
                  </w:tcBorders>
                  <w:shd w:val="clear" w:color="auto" w:fill="auto"/>
                  <w:vAlign w:val="center"/>
                </w:tcPr>
                <w:p w14:paraId="7440C5BA">
                  <w:pPr>
                    <w:keepNext w:val="0"/>
                    <w:keepLines w:val="0"/>
                    <w:pageBreakBefore w:val="0"/>
                    <w:widowControl w:val="0"/>
                    <w:suppressLineNumbers w:val="0"/>
                    <w:tabs>
                      <w:tab w:val="left" w:pos="384"/>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207.26</w:t>
                  </w:r>
                </w:p>
              </w:tc>
              <w:tc>
                <w:tcPr>
                  <w:tcW w:w="2325" w:type="dxa"/>
                  <w:gridSpan w:val="2"/>
                  <w:tcBorders>
                    <w:tl2br w:val="nil"/>
                    <w:tr2bl w:val="nil"/>
                  </w:tcBorders>
                  <w:shd w:val="clear" w:color="auto" w:fill="auto"/>
                  <w:vAlign w:val="center"/>
                </w:tcPr>
                <w:p w14:paraId="4165A1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424" w:type="dxa"/>
                  <w:tcBorders>
                    <w:tl2br w:val="nil"/>
                    <w:tr2bl w:val="nil"/>
                  </w:tcBorders>
                  <w:shd w:val="clear" w:color="auto" w:fill="auto"/>
                  <w:noWrap/>
                  <w:vAlign w:val="center"/>
                </w:tcPr>
                <w:p w14:paraId="0D2DCC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207.26</w:t>
                  </w:r>
                </w:p>
              </w:tc>
            </w:tr>
          </w:tbl>
          <w:p w14:paraId="08D91F64">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lang w:val="en-US" w:eastAsia="zh-CN"/>
              </w:rPr>
            </w:pPr>
          </w:p>
          <w:p w14:paraId="415693B3">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lang w:val="en-US" w:eastAsia="zh-CN"/>
              </w:rPr>
            </w:pPr>
          </w:p>
          <w:p w14:paraId="2EE2736F">
            <w:pPr>
              <w:pStyle w:val="76"/>
              <w:keepNext w:val="0"/>
              <w:keepLines w:val="0"/>
              <w:suppressLineNumbers w:val="0"/>
              <w:bidi w:val="0"/>
              <w:spacing w:before="0" w:beforeAutospacing="0" w:after="0" w:afterAutospacing="0"/>
              <w:ind w:left="0" w:right="0"/>
              <w:rPr>
                <w:rFonts w:hint="default" w:ascii="Times New Roman" w:hAnsi="Times New Roman" w:cs="Times New Roman"/>
                <w:color w:val="FF0000"/>
                <w:highlight w:val="none"/>
              </w:rPr>
            </w:pPr>
            <w:r>
              <w:rPr>
                <w:rFonts w:hint="default" w:ascii="Times New Roman" w:hAnsi="Times New Roman" w:cs="Times New Roman"/>
                <w:color w:val="FF0000"/>
                <w:highlight w:val="none"/>
                <w:lang w:val="en-US" w:eastAsia="zh-CN"/>
              </w:rPr>
              <w:t>项目</w:t>
            </w:r>
            <w:r>
              <w:rPr>
                <w:rFonts w:hint="eastAsia" w:ascii="Times New Roman" w:hAnsi="Times New Roman" w:cs="Times New Roman"/>
                <w:color w:val="FF0000"/>
                <w:highlight w:val="none"/>
                <w:lang w:val="en-US" w:eastAsia="zh-CN"/>
              </w:rPr>
              <w:t>锰</w:t>
            </w:r>
            <w:r>
              <w:rPr>
                <w:rFonts w:hint="default" w:ascii="Times New Roman" w:hAnsi="Times New Roman" w:cs="Times New Roman"/>
                <w:color w:val="FF0000"/>
                <w:highlight w:val="none"/>
                <w:lang w:val="en-US" w:eastAsia="zh-CN"/>
              </w:rPr>
              <w:t>平衡表见下表。</w:t>
            </w:r>
          </w:p>
          <w:p w14:paraId="4721342A">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0" w:beforeLines="0" w:beforeAutospacing="0" w:after="0" w:afterLines="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宋体" w:cs="Times New Roman"/>
                <w:color w:val="FF0000"/>
                <w:sz w:val="21"/>
                <w:szCs w:val="21"/>
                <w:highlight w:val="none"/>
                <w:lang w:val="en-US" w:eastAsia="zh-CN"/>
              </w:rPr>
              <w:t>项目</w:t>
            </w:r>
            <w:r>
              <w:rPr>
                <w:rFonts w:hint="eastAsia" w:ascii="Times New Roman" w:hAnsi="Times New Roman" w:eastAsia="宋体" w:cs="Times New Roman"/>
                <w:color w:val="FF0000"/>
                <w:sz w:val="21"/>
                <w:szCs w:val="21"/>
                <w:highlight w:val="none"/>
                <w:lang w:val="en-US" w:eastAsia="zh-CN"/>
              </w:rPr>
              <w:t>锰</w:t>
            </w:r>
            <w:r>
              <w:rPr>
                <w:rFonts w:hint="default" w:ascii="Times New Roman" w:hAnsi="Times New Roman" w:eastAsia="宋体" w:cs="Times New Roman"/>
                <w:color w:val="FF0000"/>
                <w:sz w:val="21"/>
                <w:szCs w:val="21"/>
                <w:highlight w:val="none"/>
                <w:lang w:val="en-US" w:eastAsia="zh-CN"/>
              </w:rPr>
              <w:t>平衡表（t/a）</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108" w:type="dxa"/>
                <w:bottom w:w="0" w:type="dxa"/>
                <w:right w:w="108" w:type="dxa"/>
              </w:tblCellMar>
            </w:tblPr>
            <w:tblGrid>
              <w:gridCol w:w="1153"/>
              <w:gridCol w:w="1036"/>
              <w:gridCol w:w="1123"/>
              <w:gridCol w:w="1019"/>
              <w:gridCol w:w="1306"/>
              <w:gridCol w:w="1019"/>
              <w:gridCol w:w="1424"/>
            </w:tblGrid>
            <w:tr w14:paraId="635C43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372" w:hRule="atLeast"/>
                <w:jc w:val="center"/>
              </w:trPr>
              <w:tc>
                <w:tcPr>
                  <w:tcW w:w="4331" w:type="dxa"/>
                  <w:gridSpan w:val="4"/>
                  <w:tcBorders>
                    <w:tl2br w:val="nil"/>
                    <w:tr2bl w:val="nil"/>
                  </w:tcBorders>
                  <w:shd w:val="clear" w:color="auto" w:fill="auto"/>
                  <w:vAlign w:val="center"/>
                </w:tcPr>
                <w:p w14:paraId="48DF07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投入</w:t>
                  </w:r>
                </w:p>
              </w:tc>
              <w:tc>
                <w:tcPr>
                  <w:tcW w:w="3749" w:type="dxa"/>
                  <w:gridSpan w:val="3"/>
                  <w:tcBorders>
                    <w:tl2br w:val="nil"/>
                    <w:tr2bl w:val="nil"/>
                  </w:tcBorders>
                  <w:shd w:val="clear" w:color="auto" w:fill="auto"/>
                  <w:vAlign w:val="center"/>
                </w:tcPr>
                <w:p w14:paraId="6809FC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产出</w:t>
                  </w:r>
                </w:p>
              </w:tc>
            </w:tr>
            <w:tr w14:paraId="120B84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1C29E3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36" w:type="dxa"/>
                  <w:tcBorders>
                    <w:tl2br w:val="nil"/>
                    <w:tr2bl w:val="nil"/>
                  </w:tcBorders>
                  <w:shd w:val="clear" w:color="auto" w:fill="auto"/>
                  <w:vAlign w:val="center"/>
                </w:tcPr>
                <w:p w14:paraId="57DFD4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123" w:type="dxa"/>
                  <w:tcBorders>
                    <w:tl2br w:val="nil"/>
                    <w:tr2bl w:val="nil"/>
                  </w:tcBorders>
                  <w:shd w:val="clear" w:color="auto" w:fill="auto"/>
                  <w:vAlign w:val="center"/>
                </w:tcPr>
                <w:p w14:paraId="769B6A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ascii="Times New Roman" w:hAnsi="Times New Roman" w:eastAsia="宋体"/>
                      <w:color w:val="FF0000"/>
                      <w:sz w:val="21"/>
                      <w:szCs w:val="21"/>
                      <w:highlight w:val="none"/>
                      <w:lang w:val="en-US" w:eastAsia="zh-CN"/>
                    </w:rPr>
                    <w:t>含量（%）</w:t>
                  </w:r>
                </w:p>
              </w:tc>
              <w:tc>
                <w:tcPr>
                  <w:tcW w:w="1019" w:type="dxa"/>
                  <w:tcBorders>
                    <w:tl2br w:val="nil"/>
                    <w:tr2bl w:val="nil"/>
                  </w:tcBorders>
                  <w:shd w:val="clear" w:color="auto" w:fill="auto"/>
                  <w:vAlign w:val="center"/>
                </w:tcPr>
                <w:p w14:paraId="124E65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c>
                <w:tcPr>
                  <w:tcW w:w="1306" w:type="dxa"/>
                  <w:tcBorders>
                    <w:tl2br w:val="nil"/>
                    <w:tr2bl w:val="nil"/>
                  </w:tcBorders>
                  <w:shd w:val="clear" w:color="auto" w:fill="auto"/>
                  <w:vAlign w:val="center"/>
                </w:tcPr>
                <w:p w14:paraId="297731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名称</w:t>
                  </w:r>
                </w:p>
              </w:tc>
              <w:tc>
                <w:tcPr>
                  <w:tcW w:w="1019" w:type="dxa"/>
                  <w:tcBorders>
                    <w:tl2br w:val="nil"/>
                    <w:tr2bl w:val="nil"/>
                  </w:tcBorders>
                  <w:shd w:val="clear" w:color="auto" w:fill="auto"/>
                  <w:vAlign w:val="center"/>
                </w:tcPr>
                <w:p w14:paraId="68AA6E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数量（t/a）</w:t>
                  </w:r>
                </w:p>
              </w:tc>
              <w:tc>
                <w:tcPr>
                  <w:tcW w:w="1424" w:type="dxa"/>
                  <w:tcBorders>
                    <w:tl2br w:val="nil"/>
                    <w:tr2bl w:val="nil"/>
                  </w:tcBorders>
                  <w:shd w:val="clear" w:color="auto" w:fill="auto"/>
                  <w:vAlign w:val="center"/>
                </w:tcPr>
                <w:p w14:paraId="168AC1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元素总量（t/a）</w:t>
                  </w:r>
                </w:p>
              </w:tc>
            </w:tr>
            <w:tr w14:paraId="1DB31C6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0A2045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锂渣</w:t>
                  </w:r>
                </w:p>
              </w:tc>
              <w:tc>
                <w:tcPr>
                  <w:tcW w:w="1036" w:type="dxa"/>
                  <w:tcBorders>
                    <w:tl2br w:val="nil"/>
                    <w:tr2bl w:val="nil"/>
                  </w:tcBorders>
                  <w:shd w:val="clear" w:color="auto" w:fill="auto"/>
                  <w:vAlign w:val="center"/>
                </w:tcPr>
                <w:p w14:paraId="0BD768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430000</w:t>
                  </w:r>
                </w:p>
              </w:tc>
              <w:tc>
                <w:tcPr>
                  <w:tcW w:w="1123" w:type="dxa"/>
                  <w:tcBorders>
                    <w:tl2br w:val="nil"/>
                    <w:tr2bl w:val="nil"/>
                  </w:tcBorders>
                  <w:shd w:val="clear" w:color="auto" w:fill="auto"/>
                  <w:vAlign w:val="center"/>
                </w:tcPr>
                <w:p w14:paraId="560841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0.325</w:t>
                  </w:r>
                </w:p>
              </w:tc>
              <w:tc>
                <w:tcPr>
                  <w:tcW w:w="1019" w:type="dxa"/>
                  <w:tcBorders>
                    <w:tl2br w:val="nil"/>
                    <w:tr2bl w:val="nil"/>
                  </w:tcBorders>
                  <w:shd w:val="clear" w:color="auto" w:fill="auto"/>
                  <w:vAlign w:val="center"/>
                </w:tcPr>
                <w:p w14:paraId="01D033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4.0162</w:t>
                  </w:r>
                </w:p>
              </w:tc>
              <w:tc>
                <w:tcPr>
                  <w:tcW w:w="1306" w:type="dxa"/>
                  <w:tcBorders>
                    <w:tl2br w:val="nil"/>
                    <w:tr2bl w:val="nil"/>
                  </w:tcBorders>
                  <w:shd w:val="clear" w:color="auto" w:fill="auto"/>
                  <w:noWrap/>
                  <w:vAlign w:val="center"/>
                </w:tcPr>
                <w:p w14:paraId="6847CCF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default"/>
                      <w:color w:val="FF0000"/>
                      <w:sz w:val="21"/>
                      <w:szCs w:val="21"/>
                      <w:highlight w:val="none"/>
                      <w:lang w:val="en-US" w:eastAsia="zh-CN"/>
                    </w:rPr>
                    <w:t>环保</w:t>
                  </w:r>
                  <w:r>
                    <w:rPr>
                      <w:rFonts w:hint="eastAsia"/>
                      <w:color w:val="FF0000"/>
                      <w:sz w:val="21"/>
                      <w:szCs w:val="21"/>
                      <w:highlight w:val="none"/>
                      <w:lang w:val="en-US" w:eastAsia="zh-CN"/>
                    </w:rPr>
                    <w:t>免烧</w:t>
                  </w:r>
                  <w:r>
                    <w:rPr>
                      <w:rFonts w:hint="default"/>
                      <w:color w:val="FF0000"/>
                      <w:sz w:val="21"/>
                      <w:szCs w:val="21"/>
                      <w:highlight w:val="none"/>
                      <w:lang w:val="en-US" w:eastAsia="zh-CN"/>
                    </w:rPr>
                    <w:t>砖</w:t>
                  </w:r>
                </w:p>
              </w:tc>
              <w:tc>
                <w:tcPr>
                  <w:tcW w:w="1019" w:type="dxa"/>
                  <w:tcBorders>
                    <w:tl2br w:val="nil"/>
                    <w:tr2bl w:val="nil"/>
                  </w:tcBorders>
                  <w:shd w:val="clear" w:color="auto" w:fill="auto"/>
                  <w:noWrap/>
                  <w:vAlign w:val="center"/>
                </w:tcPr>
                <w:p w14:paraId="5E7D76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50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6458A8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841.739</w:t>
                  </w:r>
                </w:p>
              </w:tc>
            </w:tr>
            <w:tr w14:paraId="6B9194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0FB99C5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7EB9EF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1AF7C1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0D7619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2A82B4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掺合料</w:t>
                  </w:r>
                </w:p>
              </w:tc>
              <w:tc>
                <w:tcPr>
                  <w:tcW w:w="1019" w:type="dxa"/>
                  <w:tcBorders>
                    <w:tl2br w:val="nil"/>
                    <w:tr2bl w:val="nil"/>
                  </w:tcBorders>
                  <w:shd w:val="clear" w:color="auto" w:fill="auto"/>
                  <w:vAlign w:val="center"/>
                </w:tcPr>
                <w:p w14:paraId="448CE4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eastAsia"/>
                      <w:color w:val="FF0000"/>
                      <w:sz w:val="21"/>
                      <w:szCs w:val="21"/>
                      <w:highlight w:val="none"/>
                      <w:lang w:val="en-US" w:eastAsia="zh-CN"/>
                    </w:rPr>
                    <w:t>40</w:t>
                  </w:r>
                  <w:r>
                    <w:rPr>
                      <w:rFonts w:hint="default"/>
                      <w:color w:val="FF0000"/>
                      <w:sz w:val="21"/>
                      <w:szCs w:val="21"/>
                      <w:highlight w:val="none"/>
                      <w:lang w:val="en-US" w:eastAsia="zh-CN"/>
                    </w:rPr>
                    <w:t>0000</w:t>
                  </w:r>
                </w:p>
              </w:tc>
              <w:tc>
                <w:tcPr>
                  <w:tcW w:w="1424" w:type="dxa"/>
                  <w:tcBorders>
                    <w:tl2br w:val="nil"/>
                    <w:tr2bl w:val="nil"/>
                  </w:tcBorders>
                  <w:shd w:val="clear" w:color="auto" w:fill="auto"/>
                  <w:noWrap/>
                  <w:vAlign w:val="center"/>
                </w:tcPr>
                <w:p w14:paraId="40B6CE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555.7338</w:t>
                  </w:r>
                </w:p>
              </w:tc>
            </w:tr>
            <w:tr w14:paraId="4A78D4D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3ED5EA6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091257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04B421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270330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4AAB987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排放粉尘</w:t>
                  </w:r>
                </w:p>
              </w:tc>
              <w:tc>
                <w:tcPr>
                  <w:tcW w:w="1019" w:type="dxa"/>
                  <w:tcBorders>
                    <w:tl2br w:val="nil"/>
                    <w:tr2bl w:val="nil"/>
                  </w:tcBorders>
                  <w:shd w:val="clear" w:color="auto" w:fill="auto"/>
                  <w:vAlign w:val="center"/>
                </w:tcPr>
                <w:p w14:paraId="0E0CD9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rPr>
                  </w:pPr>
                  <w:r>
                    <w:rPr>
                      <w:rFonts w:hint="eastAsia"/>
                      <w:color w:val="FF0000"/>
                      <w:sz w:val="21"/>
                      <w:szCs w:val="21"/>
                      <w:highlight w:val="none"/>
                      <w:lang w:val="en-US" w:eastAsia="zh-CN"/>
                    </w:rPr>
                    <w:t>1.956</w:t>
                  </w:r>
                </w:p>
              </w:tc>
              <w:tc>
                <w:tcPr>
                  <w:tcW w:w="1424" w:type="dxa"/>
                  <w:tcBorders>
                    <w:tl2br w:val="nil"/>
                    <w:tr2bl w:val="nil"/>
                  </w:tcBorders>
                  <w:shd w:val="clear" w:color="auto" w:fill="auto"/>
                  <w:vAlign w:val="center"/>
                </w:tcPr>
                <w:p w14:paraId="4F343D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0.011</w:t>
                  </w:r>
                </w:p>
              </w:tc>
            </w:tr>
            <w:tr w14:paraId="532E04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1153" w:type="dxa"/>
                  <w:tcBorders>
                    <w:tl2br w:val="nil"/>
                    <w:tr2bl w:val="nil"/>
                  </w:tcBorders>
                  <w:shd w:val="clear" w:color="auto" w:fill="auto"/>
                  <w:vAlign w:val="center"/>
                </w:tcPr>
                <w:p w14:paraId="656693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36" w:type="dxa"/>
                  <w:tcBorders>
                    <w:tl2br w:val="nil"/>
                    <w:tr2bl w:val="nil"/>
                  </w:tcBorders>
                  <w:shd w:val="clear" w:color="auto" w:fill="auto"/>
                  <w:vAlign w:val="center"/>
                </w:tcPr>
                <w:p w14:paraId="338C85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123" w:type="dxa"/>
                  <w:tcBorders>
                    <w:tl2br w:val="nil"/>
                    <w:tr2bl w:val="nil"/>
                  </w:tcBorders>
                  <w:shd w:val="clear" w:color="auto" w:fill="auto"/>
                  <w:vAlign w:val="center"/>
                </w:tcPr>
                <w:p w14:paraId="4993C9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019" w:type="dxa"/>
                  <w:tcBorders>
                    <w:tl2br w:val="nil"/>
                    <w:tr2bl w:val="nil"/>
                  </w:tcBorders>
                  <w:shd w:val="clear" w:color="auto" w:fill="auto"/>
                  <w:vAlign w:val="center"/>
                </w:tcPr>
                <w:p w14:paraId="3AC5F7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p>
              </w:tc>
              <w:tc>
                <w:tcPr>
                  <w:tcW w:w="1306" w:type="dxa"/>
                  <w:tcBorders>
                    <w:tl2br w:val="nil"/>
                    <w:tr2bl w:val="nil"/>
                  </w:tcBorders>
                  <w:shd w:val="clear" w:color="auto" w:fill="auto"/>
                  <w:vAlign w:val="center"/>
                </w:tcPr>
                <w:p w14:paraId="08BA9B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不合格品</w:t>
                  </w:r>
                </w:p>
              </w:tc>
              <w:tc>
                <w:tcPr>
                  <w:tcW w:w="1019" w:type="dxa"/>
                  <w:tcBorders>
                    <w:tl2br w:val="nil"/>
                    <w:tr2bl w:val="nil"/>
                  </w:tcBorders>
                  <w:shd w:val="clear" w:color="auto" w:fill="auto"/>
                  <w:vAlign w:val="center"/>
                </w:tcPr>
                <w:p w14:paraId="034BB2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5</w:t>
                  </w:r>
                </w:p>
              </w:tc>
              <w:tc>
                <w:tcPr>
                  <w:tcW w:w="1424" w:type="dxa"/>
                  <w:tcBorders>
                    <w:tl2br w:val="nil"/>
                    <w:tr2bl w:val="nil"/>
                  </w:tcBorders>
                  <w:shd w:val="clear" w:color="auto" w:fill="auto"/>
                  <w:vAlign w:val="center"/>
                </w:tcPr>
                <w:p w14:paraId="1FA18E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0.0162</w:t>
                  </w:r>
                </w:p>
              </w:tc>
            </w:tr>
            <w:tr w14:paraId="1DA898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0" w:hRule="atLeast"/>
                <w:jc w:val="center"/>
              </w:trPr>
              <w:tc>
                <w:tcPr>
                  <w:tcW w:w="3312" w:type="dxa"/>
                  <w:gridSpan w:val="3"/>
                  <w:tcBorders>
                    <w:tl2br w:val="nil"/>
                    <w:tr2bl w:val="nil"/>
                  </w:tcBorders>
                  <w:shd w:val="clear" w:color="auto" w:fill="auto"/>
                  <w:vAlign w:val="center"/>
                </w:tcPr>
                <w:p w14:paraId="3C745C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019" w:type="dxa"/>
                  <w:tcBorders>
                    <w:tl2br w:val="nil"/>
                    <w:tr2bl w:val="nil"/>
                  </w:tcBorders>
                  <w:shd w:val="clear" w:color="auto" w:fill="auto"/>
                  <w:vAlign w:val="center"/>
                </w:tcPr>
                <w:p w14:paraId="55F78BC0">
                  <w:pPr>
                    <w:keepNext w:val="0"/>
                    <w:keepLines w:val="0"/>
                    <w:pageBreakBefore w:val="0"/>
                    <w:widowControl w:val="0"/>
                    <w:suppressLineNumbers w:val="0"/>
                    <w:tabs>
                      <w:tab w:val="left" w:pos="384"/>
                    </w:tabs>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1397.5</w:t>
                  </w:r>
                </w:p>
              </w:tc>
              <w:tc>
                <w:tcPr>
                  <w:tcW w:w="2325" w:type="dxa"/>
                  <w:gridSpan w:val="2"/>
                  <w:tcBorders>
                    <w:tl2br w:val="nil"/>
                    <w:tr2bl w:val="nil"/>
                  </w:tcBorders>
                  <w:shd w:val="clear" w:color="auto" w:fill="auto"/>
                  <w:vAlign w:val="center"/>
                </w:tcPr>
                <w:p w14:paraId="47C7221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lang w:val="en-US" w:eastAsia="zh-CN"/>
                    </w:rPr>
                    <w:t>合计</w:t>
                  </w:r>
                </w:p>
              </w:tc>
              <w:tc>
                <w:tcPr>
                  <w:tcW w:w="1424" w:type="dxa"/>
                  <w:tcBorders>
                    <w:tl2br w:val="nil"/>
                    <w:tr2bl w:val="nil"/>
                  </w:tcBorders>
                  <w:shd w:val="clear" w:color="auto" w:fill="auto"/>
                  <w:noWrap/>
                  <w:vAlign w:val="center"/>
                </w:tcPr>
                <w:p w14:paraId="4763F9E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1397.5</w:t>
                  </w:r>
                </w:p>
              </w:tc>
            </w:tr>
          </w:tbl>
          <w:p w14:paraId="30B76C74">
            <w:pPr>
              <w:keepNext w:val="0"/>
              <w:keepLines w:val="0"/>
              <w:numPr>
                <w:ilvl w:val="0"/>
                <w:numId w:val="0"/>
              </w:numPr>
              <w:suppressLineNumbers w:val="0"/>
              <w:bidi w:val="0"/>
              <w:spacing w:before="0" w:beforeAutospacing="0" w:after="0" w:afterAutospacing="0"/>
              <w:ind w:left="0" w:leftChars="0" w:right="0" w:rightChars="0" w:firstLine="482" w:firstLineChars="200"/>
              <w:rPr>
                <w:rFonts w:hint="default"/>
                <w:b/>
                <w:bCs/>
                <w:color w:val="auto"/>
                <w:highlight w:val="none"/>
                <w:lang w:val="en-US" w:eastAsia="zh-CN"/>
              </w:rPr>
            </w:pPr>
            <w:r>
              <w:rPr>
                <w:rFonts w:hint="eastAsia" w:cstheme="minorBidi"/>
                <w:b/>
                <w:bCs/>
                <w:color w:val="auto"/>
                <w:kern w:val="2"/>
                <w:sz w:val="24"/>
                <w:szCs w:val="24"/>
                <w:highlight w:val="none"/>
                <w:lang w:val="en-US" w:eastAsia="zh-CN" w:bidi="ar-SA"/>
              </w:rPr>
              <w:t>4</w:t>
            </w:r>
            <w:r>
              <w:rPr>
                <w:rFonts w:hint="default" w:ascii="Times New Roman" w:hAnsi="Times New Roman" w:eastAsia="宋体" w:cstheme="minorBidi"/>
                <w:b/>
                <w:bCs/>
                <w:color w:val="auto"/>
                <w:kern w:val="2"/>
                <w:sz w:val="24"/>
                <w:szCs w:val="24"/>
                <w:highlight w:val="none"/>
                <w:lang w:val="en-US" w:eastAsia="zh-CN" w:bidi="ar-SA"/>
              </w:rPr>
              <w:t>、</w:t>
            </w:r>
            <w:r>
              <w:rPr>
                <w:rFonts w:hint="default"/>
                <w:b/>
                <w:bCs/>
                <w:color w:val="auto"/>
                <w:highlight w:val="none"/>
                <w:lang w:val="en-US" w:eastAsia="zh-CN"/>
              </w:rPr>
              <w:t>产污环节说明</w:t>
            </w:r>
          </w:p>
          <w:p w14:paraId="73CD5B9B">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lang w:val="en-US" w:eastAsia="zh-CN"/>
              </w:rPr>
              <w:t>项目产污环节一览表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864"/>
              <w:gridCol w:w="763"/>
              <w:gridCol w:w="2350"/>
              <w:gridCol w:w="4100"/>
            </w:tblGrid>
            <w:tr w14:paraId="2FFC9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04" w:hRule="atLeast"/>
                <w:jc w:val="center"/>
              </w:trPr>
              <w:tc>
                <w:tcPr>
                  <w:tcW w:w="1007" w:type="pct"/>
                  <w:gridSpan w:val="2"/>
                  <w:tcBorders>
                    <w:tl2br w:val="nil"/>
                    <w:tr2bl w:val="nil"/>
                  </w:tcBorders>
                  <w:shd w:val="clear" w:color="auto" w:fill="auto"/>
                  <w:noWrap w:val="0"/>
                  <w:vAlign w:val="center"/>
                </w:tcPr>
                <w:p w14:paraId="27CE97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污染类别</w:t>
                  </w:r>
                </w:p>
              </w:tc>
              <w:tc>
                <w:tcPr>
                  <w:tcW w:w="1454" w:type="pct"/>
                  <w:tcBorders>
                    <w:tl2br w:val="nil"/>
                    <w:tr2bl w:val="nil"/>
                  </w:tcBorders>
                  <w:shd w:val="clear" w:color="auto" w:fill="auto"/>
                  <w:noWrap w:val="0"/>
                  <w:vAlign w:val="center"/>
                </w:tcPr>
                <w:p w14:paraId="54F452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来源</w:t>
                  </w:r>
                </w:p>
              </w:tc>
              <w:tc>
                <w:tcPr>
                  <w:tcW w:w="2538" w:type="pct"/>
                  <w:tcBorders>
                    <w:tl2br w:val="nil"/>
                    <w:tr2bl w:val="nil"/>
                  </w:tcBorders>
                  <w:shd w:val="clear" w:color="auto" w:fill="auto"/>
                  <w:noWrap w:val="0"/>
                  <w:vAlign w:val="center"/>
                </w:tcPr>
                <w:p w14:paraId="02E664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污染物种类</w:t>
                  </w:r>
                </w:p>
              </w:tc>
            </w:tr>
            <w:tr w14:paraId="26D4D2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79" w:hRule="atLeast"/>
                <w:jc w:val="center"/>
              </w:trPr>
              <w:tc>
                <w:tcPr>
                  <w:tcW w:w="534" w:type="pct"/>
                  <w:vMerge w:val="restart"/>
                  <w:tcBorders>
                    <w:tl2br w:val="nil"/>
                    <w:tr2bl w:val="nil"/>
                  </w:tcBorders>
                  <w:shd w:val="clear" w:color="auto" w:fill="auto"/>
                  <w:noWrap w:val="0"/>
                  <w:vAlign w:val="center"/>
                </w:tcPr>
                <w:p w14:paraId="7D4E3F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营运期</w:t>
                  </w:r>
                </w:p>
              </w:tc>
              <w:tc>
                <w:tcPr>
                  <w:tcW w:w="472" w:type="pct"/>
                  <w:tcBorders>
                    <w:tl2br w:val="nil"/>
                    <w:tr2bl w:val="nil"/>
                  </w:tcBorders>
                  <w:shd w:val="clear" w:color="auto" w:fill="auto"/>
                  <w:noWrap w:val="0"/>
                  <w:vAlign w:val="center"/>
                </w:tcPr>
                <w:p w14:paraId="6DADB7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highlight w:val="none"/>
                    </w:rPr>
                    <w:t>废气</w:t>
                  </w:r>
                </w:p>
              </w:tc>
              <w:tc>
                <w:tcPr>
                  <w:tcW w:w="1454" w:type="pct"/>
                  <w:tcBorders>
                    <w:tl2br w:val="nil"/>
                    <w:tr2bl w:val="nil"/>
                  </w:tcBorders>
                  <w:shd w:val="clear" w:color="auto" w:fill="auto"/>
                  <w:noWrap w:val="0"/>
                  <w:vAlign w:val="center"/>
                </w:tcPr>
                <w:p w14:paraId="21CD1B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储运、投料、料仓、搅拌、破碎、运输废气</w:t>
                  </w:r>
                </w:p>
              </w:tc>
              <w:tc>
                <w:tcPr>
                  <w:tcW w:w="2538" w:type="pct"/>
                  <w:tcBorders>
                    <w:tl2br w:val="nil"/>
                    <w:tr2bl w:val="nil"/>
                  </w:tcBorders>
                  <w:shd w:val="clear" w:color="auto" w:fill="auto"/>
                  <w:noWrap w:val="0"/>
                  <w:vAlign w:val="center"/>
                </w:tcPr>
                <w:p w14:paraId="1B084A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颗粒物</w:t>
                  </w:r>
                  <w:r>
                    <w:rPr>
                      <w:rFonts w:hint="eastAsia" w:cs="Times New Roman"/>
                      <w:color w:val="auto"/>
                      <w:highlight w:val="none"/>
                      <w:lang w:val="en-US" w:eastAsia="zh-CN"/>
                    </w:rPr>
                    <w:t>、氟化物、铊及其化合物</w:t>
                  </w:r>
                </w:p>
              </w:tc>
            </w:tr>
            <w:tr w14:paraId="618925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74CB6B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restart"/>
                  <w:tcBorders>
                    <w:tl2br w:val="nil"/>
                    <w:tr2bl w:val="nil"/>
                  </w:tcBorders>
                  <w:shd w:val="clear" w:color="auto" w:fill="auto"/>
                  <w:noWrap w:val="0"/>
                  <w:vAlign w:val="center"/>
                </w:tcPr>
                <w:p w14:paraId="06676D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废水</w:t>
                  </w:r>
                </w:p>
              </w:tc>
              <w:tc>
                <w:tcPr>
                  <w:tcW w:w="1454" w:type="pct"/>
                  <w:tcBorders>
                    <w:tl2br w:val="nil"/>
                    <w:tr2bl w:val="nil"/>
                  </w:tcBorders>
                  <w:shd w:val="clear" w:color="auto" w:fill="auto"/>
                  <w:noWrap w:val="0"/>
                  <w:vAlign w:val="center"/>
                </w:tcPr>
                <w:p w14:paraId="2F9E8D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生活污水</w:t>
                  </w:r>
                </w:p>
              </w:tc>
              <w:tc>
                <w:tcPr>
                  <w:tcW w:w="2538" w:type="pct"/>
                  <w:tcBorders>
                    <w:tl2br w:val="nil"/>
                    <w:tr2bl w:val="nil"/>
                  </w:tcBorders>
                  <w:shd w:val="clear" w:color="auto" w:fill="auto"/>
                  <w:noWrap w:val="0"/>
                  <w:vAlign w:val="center"/>
                </w:tcPr>
                <w:p w14:paraId="2B8DA8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COD</w:t>
                  </w:r>
                  <w:r>
                    <w:rPr>
                      <w:rFonts w:hint="default" w:ascii="Times New Roman" w:hAnsi="Times New Roman" w:cs="Times New Roman"/>
                      <w:color w:val="auto"/>
                      <w:highlight w:val="none"/>
                      <w:vertAlign w:val="subscript"/>
                      <w:lang w:val="en-US" w:eastAsia="zh-CN"/>
                    </w:rPr>
                    <w:t>C</w:t>
                  </w:r>
                  <w:r>
                    <w:rPr>
                      <w:rFonts w:hint="default" w:ascii="Times New Roman" w:hAnsi="Times New Roman" w:cs="Times New Roman"/>
                      <w:color w:val="auto"/>
                      <w:highlight w:val="none"/>
                      <w:vertAlign w:val="subscript"/>
                    </w:rPr>
                    <w:t>r</w:t>
                  </w:r>
                  <w:r>
                    <w:rPr>
                      <w:rFonts w:hint="default" w:ascii="Times New Roman" w:hAnsi="Times New Roman" w:cs="Times New Roman"/>
                      <w:color w:val="auto"/>
                      <w:highlight w:val="none"/>
                    </w:rPr>
                    <w:t>、BOD</w:t>
                  </w:r>
                  <w:r>
                    <w:rPr>
                      <w:rFonts w:hint="default" w:ascii="Times New Roman" w:hAnsi="Times New Roman" w:cs="Times New Roman"/>
                      <w:color w:val="auto"/>
                      <w:highlight w:val="none"/>
                      <w:vertAlign w:val="subscript"/>
                    </w:rPr>
                    <w:t>5</w:t>
                  </w:r>
                  <w:r>
                    <w:rPr>
                      <w:rFonts w:hint="default" w:ascii="Times New Roman" w:hAnsi="Times New Roman" w:cs="Times New Roman"/>
                      <w:color w:val="auto"/>
                      <w:highlight w:val="none"/>
                    </w:rPr>
                    <w:t>、SS、NH</w:t>
                  </w:r>
                  <w:r>
                    <w:rPr>
                      <w:rFonts w:hint="default" w:ascii="Times New Roman" w:hAnsi="Times New Roman" w:cs="Times New Roman"/>
                      <w:color w:val="auto"/>
                      <w:highlight w:val="none"/>
                      <w:vertAlign w:val="subscript"/>
                    </w:rPr>
                    <w:t>3</w:t>
                  </w:r>
                  <w:r>
                    <w:rPr>
                      <w:rFonts w:hint="default" w:ascii="Times New Roman" w:hAnsi="Times New Roman" w:cs="Times New Roman"/>
                      <w:color w:val="auto"/>
                      <w:highlight w:val="none"/>
                    </w:rPr>
                    <w:t>-N、TP</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TN、动植物油</w:t>
                  </w:r>
                </w:p>
              </w:tc>
            </w:tr>
            <w:tr w14:paraId="4B587B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cantSplit/>
                <w:trHeight w:val="90" w:hRule="atLeast"/>
                <w:jc w:val="center"/>
              </w:trPr>
              <w:tc>
                <w:tcPr>
                  <w:tcW w:w="534" w:type="pct"/>
                  <w:vMerge w:val="continue"/>
                  <w:tcBorders>
                    <w:tl2br w:val="nil"/>
                    <w:tr2bl w:val="nil"/>
                  </w:tcBorders>
                  <w:shd w:val="clear" w:color="auto" w:fill="auto"/>
                  <w:noWrap w:val="0"/>
                  <w:vAlign w:val="center"/>
                </w:tcPr>
                <w:p w14:paraId="03C5CC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71FBE5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73D6B3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rPr>
                  </w:pPr>
                  <w:r>
                    <w:rPr>
                      <w:rFonts w:hint="eastAsia" w:cs="Times New Roman"/>
                      <w:color w:val="auto"/>
                      <w:highlight w:val="none"/>
                      <w:lang w:val="en-US" w:eastAsia="zh-CN"/>
                    </w:rPr>
                    <w:t>洗车用水</w:t>
                  </w:r>
                </w:p>
              </w:tc>
              <w:tc>
                <w:tcPr>
                  <w:tcW w:w="2538" w:type="pct"/>
                  <w:tcBorders>
                    <w:tl2br w:val="nil"/>
                    <w:tr2bl w:val="nil"/>
                  </w:tcBorders>
                  <w:shd w:val="clear" w:color="auto" w:fill="auto"/>
                  <w:noWrap w:val="0"/>
                  <w:vAlign w:val="center"/>
                </w:tcPr>
                <w:p w14:paraId="7B05FE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pH、</w:t>
                  </w:r>
                  <w:r>
                    <w:rPr>
                      <w:rFonts w:hint="default" w:ascii="Times New Roman" w:hAnsi="Times New Roman" w:cs="Times New Roman"/>
                      <w:color w:val="auto"/>
                      <w:highlight w:val="none"/>
                    </w:rPr>
                    <w:t>COD</w:t>
                  </w:r>
                  <w:r>
                    <w:rPr>
                      <w:rFonts w:hint="default" w:ascii="Times New Roman" w:hAnsi="Times New Roman" w:eastAsia="宋体" w:cs="Times New Roman"/>
                      <w:color w:val="auto"/>
                      <w:highlight w:val="none"/>
                      <w:vertAlign w:val="subscript"/>
                      <w:lang w:val="en-US" w:eastAsia="zh-CN"/>
                    </w:rPr>
                    <w:t>C</w:t>
                  </w:r>
                  <w:r>
                    <w:rPr>
                      <w:rFonts w:hint="default" w:ascii="Times New Roman" w:hAnsi="Times New Roman" w:cs="Times New Roman"/>
                      <w:color w:val="auto"/>
                      <w:highlight w:val="none"/>
                      <w:vertAlign w:val="subscript"/>
                    </w:rPr>
                    <w:t>r</w:t>
                  </w:r>
                  <w:r>
                    <w:rPr>
                      <w:rFonts w:hint="default" w:ascii="Times New Roman" w:hAnsi="Times New Roman" w:cs="Times New Roman"/>
                      <w:color w:val="auto"/>
                      <w:highlight w:val="none"/>
                      <w:lang w:val="en-US" w:eastAsia="zh-CN"/>
                    </w:rPr>
                    <w:t>、SS、铊、铍、氟等</w:t>
                  </w:r>
                </w:p>
              </w:tc>
            </w:tr>
            <w:tr w14:paraId="4FB5F9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5EE5CD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34DAE5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444ADF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养护用水</w:t>
                  </w:r>
                </w:p>
              </w:tc>
              <w:tc>
                <w:tcPr>
                  <w:tcW w:w="2538" w:type="pct"/>
                  <w:tcBorders>
                    <w:tl2br w:val="nil"/>
                    <w:tr2bl w:val="nil"/>
                  </w:tcBorders>
                  <w:shd w:val="clear" w:color="auto" w:fill="auto"/>
                  <w:noWrap w:val="0"/>
                  <w:vAlign w:val="center"/>
                </w:tcPr>
                <w:p w14:paraId="3F99CE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SS</w:t>
                  </w:r>
                </w:p>
              </w:tc>
            </w:tr>
            <w:tr w14:paraId="0D97DF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90" w:hRule="atLeast"/>
                <w:jc w:val="center"/>
              </w:trPr>
              <w:tc>
                <w:tcPr>
                  <w:tcW w:w="534" w:type="pct"/>
                  <w:vMerge w:val="continue"/>
                  <w:tcBorders>
                    <w:tl2br w:val="nil"/>
                    <w:tr2bl w:val="nil"/>
                  </w:tcBorders>
                  <w:shd w:val="clear" w:color="auto" w:fill="auto"/>
                  <w:noWrap w:val="0"/>
                  <w:vAlign w:val="center"/>
                </w:tcPr>
                <w:p w14:paraId="7FA5B8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2F1A30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548BDF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初期雨水</w:t>
                  </w:r>
                </w:p>
              </w:tc>
              <w:tc>
                <w:tcPr>
                  <w:tcW w:w="2538" w:type="pct"/>
                  <w:tcBorders>
                    <w:tl2br w:val="nil"/>
                    <w:tr2bl w:val="nil"/>
                  </w:tcBorders>
                  <w:shd w:val="clear" w:color="auto" w:fill="auto"/>
                  <w:noWrap w:val="0"/>
                  <w:vAlign w:val="center"/>
                </w:tcPr>
                <w:p w14:paraId="3E7246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pH、</w:t>
                  </w:r>
                  <w:r>
                    <w:rPr>
                      <w:rFonts w:hint="default" w:ascii="Times New Roman" w:hAnsi="Times New Roman" w:cs="Times New Roman"/>
                      <w:color w:val="auto"/>
                      <w:highlight w:val="none"/>
                    </w:rPr>
                    <w:t>COD</w:t>
                  </w:r>
                  <w:r>
                    <w:rPr>
                      <w:rFonts w:hint="default" w:ascii="Times New Roman" w:hAnsi="Times New Roman" w:eastAsia="宋体" w:cs="Times New Roman"/>
                      <w:color w:val="auto"/>
                      <w:highlight w:val="none"/>
                      <w:vertAlign w:val="subscript"/>
                      <w:lang w:val="en-US" w:eastAsia="zh-CN"/>
                    </w:rPr>
                    <w:t>C</w:t>
                  </w:r>
                  <w:r>
                    <w:rPr>
                      <w:rFonts w:hint="default" w:ascii="Times New Roman" w:hAnsi="Times New Roman" w:cs="Times New Roman"/>
                      <w:color w:val="auto"/>
                      <w:highlight w:val="none"/>
                      <w:vertAlign w:val="subscript"/>
                    </w:rPr>
                    <w:t>r</w:t>
                  </w:r>
                  <w:r>
                    <w:rPr>
                      <w:rFonts w:hint="default" w:ascii="Times New Roman" w:hAnsi="Times New Roman" w:cs="Times New Roman"/>
                      <w:color w:val="auto"/>
                      <w:highlight w:val="none"/>
                      <w:lang w:val="en-US" w:eastAsia="zh-CN"/>
                    </w:rPr>
                    <w:t>、SS、氨氮、铊、铍、氟等</w:t>
                  </w:r>
                </w:p>
              </w:tc>
            </w:tr>
            <w:tr w14:paraId="7321361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84" w:hRule="atLeast"/>
                <w:jc w:val="center"/>
              </w:trPr>
              <w:tc>
                <w:tcPr>
                  <w:tcW w:w="534" w:type="pct"/>
                  <w:vMerge w:val="continue"/>
                  <w:tcBorders>
                    <w:tl2br w:val="nil"/>
                    <w:tr2bl w:val="nil"/>
                  </w:tcBorders>
                  <w:shd w:val="clear" w:color="auto" w:fill="auto"/>
                  <w:noWrap w:val="0"/>
                  <w:vAlign w:val="center"/>
                </w:tcPr>
                <w:p w14:paraId="6058A7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tcBorders>
                    <w:tl2br w:val="nil"/>
                    <w:tr2bl w:val="nil"/>
                  </w:tcBorders>
                  <w:shd w:val="clear" w:color="auto" w:fill="auto"/>
                  <w:noWrap w:val="0"/>
                  <w:vAlign w:val="center"/>
                </w:tcPr>
                <w:p w14:paraId="4F0B54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噪声</w:t>
                  </w:r>
                </w:p>
              </w:tc>
              <w:tc>
                <w:tcPr>
                  <w:tcW w:w="1454" w:type="pct"/>
                  <w:tcBorders>
                    <w:tl2br w:val="nil"/>
                    <w:tr2bl w:val="nil"/>
                  </w:tcBorders>
                  <w:shd w:val="clear" w:color="auto" w:fill="auto"/>
                  <w:noWrap w:val="0"/>
                  <w:vAlign w:val="center"/>
                </w:tcPr>
                <w:p w14:paraId="3C3FE9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生产设备噪声</w:t>
                  </w:r>
                </w:p>
              </w:tc>
              <w:tc>
                <w:tcPr>
                  <w:tcW w:w="2538" w:type="pct"/>
                  <w:tcBorders>
                    <w:tl2br w:val="nil"/>
                    <w:tr2bl w:val="nil"/>
                  </w:tcBorders>
                  <w:shd w:val="clear" w:color="auto" w:fill="auto"/>
                  <w:noWrap w:val="0"/>
                  <w:vAlign w:val="center"/>
                </w:tcPr>
                <w:p w14:paraId="3DC0CD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等效连续A声级</w:t>
                  </w:r>
                </w:p>
              </w:tc>
            </w:tr>
            <w:tr w14:paraId="3045ED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cantSplit/>
                <w:trHeight w:val="90" w:hRule="atLeast"/>
                <w:jc w:val="center"/>
              </w:trPr>
              <w:tc>
                <w:tcPr>
                  <w:tcW w:w="534" w:type="pct"/>
                  <w:vMerge w:val="continue"/>
                  <w:tcBorders>
                    <w:tl2br w:val="nil"/>
                    <w:tr2bl w:val="nil"/>
                  </w:tcBorders>
                  <w:shd w:val="clear" w:color="auto" w:fill="auto"/>
                  <w:noWrap w:val="0"/>
                  <w:vAlign w:val="center"/>
                </w:tcPr>
                <w:p w14:paraId="12917C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restart"/>
                  <w:tcBorders>
                    <w:tl2br w:val="nil"/>
                    <w:tr2bl w:val="nil"/>
                  </w:tcBorders>
                  <w:shd w:val="clear" w:color="auto" w:fill="auto"/>
                  <w:noWrap w:val="0"/>
                  <w:vAlign w:val="center"/>
                </w:tcPr>
                <w:p w14:paraId="09FCCC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固废</w:t>
                  </w:r>
                </w:p>
              </w:tc>
              <w:tc>
                <w:tcPr>
                  <w:tcW w:w="1454" w:type="pct"/>
                  <w:tcBorders>
                    <w:tl2br w:val="nil"/>
                    <w:tr2bl w:val="nil"/>
                  </w:tcBorders>
                  <w:shd w:val="clear" w:color="auto" w:fill="auto"/>
                  <w:noWrap w:val="0"/>
                  <w:vAlign w:val="center"/>
                </w:tcPr>
                <w:p w14:paraId="127C76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生活办公</w:t>
                  </w:r>
                </w:p>
              </w:tc>
              <w:tc>
                <w:tcPr>
                  <w:tcW w:w="2538" w:type="pct"/>
                  <w:tcBorders>
                    <w:tl2br w:val="nil"/>
                    <w:tr2bl w:val="nil"/>
                  </w:tcBorders>
                  <w:shd w:val="clear" w:color="auto" w:fill="auto"/>
                  <w:noWrap w:val="0"/>
                  <w:vAlign w:val="center"/>
                </w:tcPr>
                <w:p w14:paraId="648F32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生活垃圾</w:t>
                  </w:r>
                </w:p>
              </w:tc>
            </w:tr>
            <w:tr w14:paraId="75255C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1921F3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066E64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15F28B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生产过程</w:t>
                  </w:r>
                </w:p>
              </w:tc>
              <w:tc>
                <w:tcPr>
                  <w:tcW w:w="2538" w:type="pct"/>
                  <w:tcBorders>
                    <w:tl2br w:val="nil"/>
                    <w:tr2bl w:val="nil"/>
                  </w:tcBorders>
                  <w:shd w:val="clear" w:color="auto" w:fill="auto"/>
                  <w:noWrap w:val="0"/>
                  <w:vAlign w:val="center"/>
                </w:tcPr>
                <w:p w14:paraId="5EEBF8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废包装材料、不合格品</w:t>
                  </w:r>
                </w:p>
              </w:tc>
            </w:tr>
            <w:tr w14:paraId="6E23AB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723C17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6F899D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27E3C0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环保措施</w:t>
                  </w:r>
                </w:p>
              </w:tc>
              <w:tc>
                <w:tcPr>
                  <w:tcW w:w="2538" w:type="pct"/>
                  <w:tcBorders>
                    <w:tl2br w:val="nil"/>
                    <w:tr2bl w:val="nil"/>
                  </w:tcBorders>
                  <w:shd w:val="clear" w:color="auto" w:fill="auto"/>
                  <w:noWrap w:val="0"/>
                  <w:vAlign w:val="center"/>
                </w:tcPr>
                <w:p w14:paraId="53DFDF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废布袋、收集粉尘、沉淀沉渣</w:t>
                  </w:r>
                </w:p>
              </w:tc>
            </w:tr>
            <w:tr w14:paraId="7400A3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314" w:hRule="atLeast"/>
                <w:jc w:val="center"/>
              </w:trPr>
              <w:tc>
                <w:tcPr>
                  <w:tcW w:w="534" w:type="pct"/>
                  <w:vMerge w:val="continue"/>
                  <w:tcBorders>
                    <w:tl2br w:val="nil"/>
                    <w:tr2bl w:val="nil"/>
                  </w:tcBorders>
                  <w:shd w:val="clear" w:color="auto" w:fill="auto"/>
                  <w:noWrap w:val="0"/>
                  <w:vAlign w:val="center"/>
                </w:tcPr>
                <w:p w14:paraId="7FB7E8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472" w:type="pct"/>
                  <w:vMerge w:val="continue"/>
                  <w:tcBorders>
                    <w:tl2br w:val="nil"/>
                    <w:tr2bl w:val="nil"/>
                  </w:tcBorders>
                  <w:shd w:val="clear" w:color="auto" w:fill="auto"/>
                  <w:noWrap w:val="0"/>
                  <w:vAlign w:val="center"/>
                </w:tcPr>
                <w:p w14:paraId="398638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rPr>
                  </w:pPr>
                </w:p>
              </w:tc>
              <w:tc>
                <w:tcPr>
                  <w:tcW w:w="1454" w:type="pct"/>
                  <w:tcBorders>
                    <w:tl2br w:val="nil"/>
                    <w:tr2bl w:val="nil"/>
                  </w:tcBorders>
                  <w:shd w:val="clear" w:color="auto" w:fill="auto"/>
                  <w:noWrap w:val="0"/>
                  <w:vAlign w:val="center"/>
                </w:tcPr>
                <w:p w14:paraId="630456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设备维修</w:t>
                  </w:r>
                </w:p>
              </w:tc>
              <w:tc>
                <w:tcPr>
                  <w:tcW w:w="2538" w:type="pct"/>
                  <w:tcBorders>
                    <w:tl2br w:val="nil"/>
                    <w:tr2bl w:val="nil"/>
                  </w:tcBorders>
                  <w:shd w:val="clear" w:color="auto" w:fill="auto"/>
                  <w:noWrap w:val="0"/>
                  <w:vAlign w:val="center"/>
                </w:tcPr>
                <w:p w14:paraId="4D83F6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废</w:t>
                  </w:r>
                  <w:r>
                    <w:rPr>
                      <w:rFonts w:hint="eastAsia" w:cs="Times New Roman"/>
                      <w:color w:val="auto"/>
                      <w:highlight w:val="none"/>
                      <w:lang w:val="en-US" w:eastAsia="zh-CN"/>
                    </w:rPr>
                    <w:t>机油</w:t>
                  </w:r>
                  <w:r>
                    <w:rPr>
                      <w:rFonts w:hint="default" w:ascii="Times New Roman" w:hAnsi="Times New Roman" w:cs="Times New Roman"/>
                      <w:color w:val="auto"/>
                      <w:highlight w:val="none"/>
                      <w:lang w:val="en-US" w:eastAsia="zh-CN"/>
                    </w:rPr>
                    <w:t>及废</w:t>
                  </w:r>
                  <w:r>
                    <w:rPr>
                      <w:rFonts w:hint="eastAsia" w:cs="Times New Roman"/>
                      <w:color w:val="auto"/>
                      <w:highlight w:val="none"/>
                      <w:lang w:val="en-US" w:eastAsia="zh-CN"/>
                    </w:rPr>
                    <w:t>机油</w:t>
                  </w:r>
                  <w:r>
                    <w:rPr>
                      <w:rFonts w:hint="default" w:ascii="Times New Roman" w:hAnsi="Times New Roman" w:cs="Times New Roman"/>
                      <w:color w:val="auto"/>
                      <w:highlight w:val="none"/>
                      <w:lang w:val="en-US" w:eastAsia="zh-CN"/>
                    </w:rPr>
                    <w:t>桶、废含油抹布</w:t>
                  </w:r>
                  <w:r>
                    <w:rPr>
                      <w:rFonts w:hint="eastAsia" w:cs="Times New Roman"/>
                      <w:color w:val="auto"/>
                      <w:highlight w:val="none"/>
                      <w:lang w:val="en-US" w:eastAsia="zh-CN"/>
                    </w:rPr>
                    <w:t>及劳保用品</w:t>
                  </w:r>
                </w:p>
              </w:tc>
            </w:tr>
          </w:tbl>
          <w:p w14:paraId="168D05EB">
            <w:pPr>
              <w:keepNext w:val="0"/>
              <w:keepLines w:val="0"/>
              <w:numPr>
                <w:ilvl w:val="0"/>
                <w:numId w:val="0"/>
              </w:numPr>
              <w:suppressLineNumbers w:val="0"/>
              <w:bidi w:val="0"/>
              <w:spacing w:before="0" w:beforeAutospacing="0" w:after="0" w:afterAutospacing="0"/>
              <w:ind w:left="0" w:right="0"/>
              <w:rPr>
                <w:rFonts w:hint="default"/>
                <w:b/>
                <w:bCs/>
                <w:color w:val="auto"/>
                <w:highlight w:val="none"/>
                <w:lang w:val="en-US" w:eastAsia="zh-CN"/>
              </w:rPr>
            </w:pPr>
          </w:p>
          <w:p w14:paraId="2B24B68C">
            <w:pPr>
              <w:keepNext w:val="0"/>
              <w:keepLines w:val="0"/>
              <w:suppressLineNumbers w:val="0"/>
              <w:spacing w:before="0" w:beforeAutospacing="0" w:after="0" w:afterAutospacing="0"/>
              <w:ind w:left="0" w:right="0"/>
              <w:rPr>
                <w:rFonts w:hint="default" w:ascii="Times New Roman" w:hAnsi="Times New Roman" w:cs="Times New Roman"/>
                <w:color w:val="auto"/>
                <w:highlight w:val="none"/>
              </w:rPr>
            </w:pPr>
          </w:p>
          <w:p w14:paraId="7408C112">
            <w:pPr>
              <w:pStyle w:val="5"/>
              <w:suppressLineNumbers w:val="0"/>
              <w:spacing w:beforeAutospacing="0" w:afterAutospacing="0"/>
              <w:ind w:left="0" w:right="0"/>
              <w:rPr>
                <w:rFonts w:hint="default" w:ascii="Times New Roman" w:hAnsi="Times New Roman" w:cs="Times New Roman"/>
                <w:color w:val="auto"/>
                <w:highlight w:val="none"/>
              </w:rPr>
            </w:pPr>
          </w:p>
          <w:p w14:paraId="7E995206">
            <w:pPr>
              <w:keepNext w:val="0"/>
              <w:keepLines w:val="0"/>
              <w:suppressLineNumbers w:val="0"/>
              <w:spacing w:before="0" w:beforeAutospacing="0" w:after="0" w:afterAutospacing="0"/>
              <w:ind w:left="0" w:right="0"/>
              <w:rPr>
                <w:rFonts w:hint="default"/>
              </w:rPr>
            </w:pPr>
          </w:p>
        </w:tc>
      </w:tr>
      <w:tr w14:paraId="676FC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32" w:hRule="atLeast"/>
          <w:jc w:val="center"/>
        </w:trPr>
        <w:tc>
          <w:tcPr>
            <w:tcW w:w="823" w:type="dxa"/>
            <w:noWrap w:val="0"/>
            <w:vAlign w:val="center"/>
          </w:tcPr>
          <w:p w14:paraId="39B853A6">
            <w:pPr>
              <w:pStyle w:val="77"/>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与项目有关的原有环境污染问题</w:t>
            </w:r>
          </w:p>
        </w:tc>
        <w:tc>
          <w:tcPr>
            <w:tcW w:w="8161" w:type="dxa"/>
            <w:noWrap w:val="0"/>
            <w:vAlign w:val="top"/>
          </w:tcPr>
          <w:p w14:paraId="42304DC4">
            <w:pPr>
              <w:pStyle w:val="122"/>
              <w:keepNext w:val="0"/>
              <w:keepLines w:val="0"/>
              <w:pageBreakBefore w:val="0"/>
              <w:widowControl w:val="0"/>
              <w:suppressLineNumbers w:val="0"/>
              <w:kinsoku/>
              <w:wordWrap/>
              <w:overflowPunct/>
              <w:topLinePunct w:val="0"/>
              <w:autoSpaceDE/>
              <w:autoSpaceDN/>
              <w:bidi w:val="0"/>
              <w:spacing w:before="0" w:beforeAutospacing="0" w:after="0" w:afterAutospacing="0" w:line="360" w:lineRule="auto"/>
              <w:ind w:left="0" w:right="0" w:firstLine="482"/>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1、现有项目环保手续情况</w:t>
            </w:r>
          </w:p>
          <w:p w14:paraId="2901AE7A">
            <w:pPr>
              <w:pStyle w:val="9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建设单位现有项目审批情况及环保竣工验收情况详见下表。</w:t>
            </w:r>
          </w:p>
          <w:p w14:paraId="2EBD813F">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企业环保手续情况</w:t>
            </w:r>
          </w:p>
          <w:tbl>
            <w:tblPr>
              <w:tblStyle w:val="25"/>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3426"/>
              <w:gridCol w:w="2339"/>
              <w:gridCol w:w="2312"/>
            </w:tblGrid>
            <w:tr w14:paraId="70685B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20" w:type="pct"/>
                  <w:noWrap w:val="0"/>
                  <w:vAlign w:val="center"/>
                </w:tcPr>
                <w:p w14:paraId="6FF7704F">
                  <w:pPr>
                    <w:pStyle w:val="40"/>
                    <w:keepNext w:val="0"/>
                    <w:keepLines w:val="0"/>
                    <w:suppressLineNumbers w:val="0"/>
                    <w:spacing w:before="0" w:beforeAutospacing="0" w:after="0" w:afterAutospacing="0"/>
                    <w:ind w:left="0" w:right="0"/>
                    <w:rPr>
                      <w:rFonts w:hint="eastAsia" w:eastAsia="宋体"/>
                      <w:b/>
                      <w:bCs/>
                      <w:color w:val="auto"/>
                      <w:highlight w:val="none"/>
                      <w:lang w:eastAsia="zh-CN"/>
                    </w:rPr>
                  </w:pPr>
                  <w:r>
                    <w:rPr>
                      <w:rFonts w:hint="eastAsia"/>
                      <w:b/>
                      <w:bCs/>
                      <w:color w:val="auto"/>
                      <w:highlight w:val="none"/>
                      <w:lang w:eastAsia="zh-CN"/>
                    </w:rPr>
                    <w:t>环保手续</w:t>
                  </w:r>
                </w:p>
              </w:tc>
              <w:tc>
                <w:tcPr>
                  <w:tcW w:w="1447" w:type="pct"/>
                  <w:noWrap w:val="0"/>
                  <w:vAlign w:val="center"/>
                </w:tcPr>
                <w:p w14:paraId="26DF0082">
                  <w:pPr>
                    <w:pStyle w:val="40"/>
                    <w:keepNext w:val="0"/>
                    <w:keepLines w:val="0"/>
                    <w:suppressLineNumbers w:val="0"/>
                    <w:spacing w:before="0" w:beforeAutospacing="0" w:after="0" w:afterAutospacing="0"/>
                    <w:ind w:left="0" w:right="0"/>
                    <w:rPr>
                      <w:rFonts w:hint="default"/>
                      <w:b/>
                      <w:bCs/>
                      <w:color w:val="auto"/>
                      <w:highlight w:val="none"/>
                    </w:rPr>
                  </w:pPr>
                  <w:r>
                    <w:rPr>
                      <w:rFonts w:hint="eastAsia"/>
                      <w:b/>
                      <w:bCs/>
                      <w:color w:val="auto"/>
                      <w:highlight w:val="none"/>
                    </w:rPr>
                    <w:t>审批</w:t>
                  </w:r>
                  <w:r>
                    <w:rPr>
                      <w:rFonts w:hint="eastAsia"/>
                      <w:b/>
                      <w:bCs/>
                      <w:color w:val="auto"/>
                      <w:highlight w:val="none"/>
                      <w:lang w:val="en-US" w:eastAsia="zh-CN"/>
                    </w:rPr>
                    <w:t>单位及</w:t>
                  </w:r>
                  <w:r>
                    <w:rPr>
                      <w:rFonts w:hint="eastAsia"/>
                      <w:b/>
                      <w:bCs/>
                      <w:color w:val="auto"/>
                      <w:highlight w:val="none"/>
                    </w:rPr>
                    <w:t>文号</w:t>
                  </w:r>
                </w:p>
              </w:tc>
              <w:tc>
                <w:tcPr>
                  <w:tcW w:w="1431" w:type="pct"/>
                  <w:noWrap w:val="0"/>
                  <w:vAlign w:val="center"/>
                </w:tcPr>
                <w:p w14:paraId="3471927E">
                  <w:pPr>
                    <w:pStyle w:val="40"/>
                    <w:keepNext w:val="0"/>
                    <w:keepLines w:val="0"/>
                    <w:suppressLineNumbers w:val="0"/>
                    <w:spacing w:before="0" w:beforeAutospacing="0" w:after="0" w:afterAutospacing="0"/>
                    <w:ind w:left="0" w:right="0"/>
                    <w:rPr>
                      <w:rFonts w:hint="eastAsia" w:eastAsia="宋体"/>
                      <w:b/>
                      <w:bCs/>
                      <w:color w:val="auto"/>
                      <w:highlight w:val="none"/>
                      <w:lang w:eastAsia="zh-CN"/>
                    </w:rPr>
                  </w:pPr>
                  <w:r>
                    <w:rPr>
                      <w:rFonts w:hint="eastAsia"/>
                      <w:b/>
                      <w:bCs/>
                      <w:color w:val="auto"/>
                      <w:highlight w:val="none"/>
                      <w:lang w:eastAsia="zh-CN"/>
                    </w:rPr>
                    <w:t>时间</w:t>
                  </w:r>
                </w:p>
              </w:tc>
            </w:tr>
            <w:tr w14:paraId="6D669DD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20" w:type="pct"/>
                  <w:noWrap w:val="0"/>
                  <w:vAlign w:val="center"/>
                </w:tcPr>
                <w:p w14:paraId="2FFC8286">
                  <w:pPr>
                    <w:pStyle w:val="40"/>
                    <w:keepNext w:val="0"/>
                    <w:keepLines w:val="0"/>
                    <w:suppressLineNumbers w:val="0"/>
                    <w:spacing w:before="0" w:beforeAutospacing="0" w:after="0" w:afterAutospacing="0"/>
                    <w:ind w:left="0" w:right="0"/>
                    <w:rPr>
                      <w:rFonts w:hint="eastAsia" w:eastAsia="宋体" w:cs="Times New Roman"/>
                      <w:color w:val="auto"/>
                      <w:highlight w:val="none"/>
                      <w:lang w:eastAsia="zh-CN"/>
                    </w:rPr>
                  </w:pPr>
                  <w:r>
                    <w:rPr>
                      <w:rFonts w:hint="eastAsia" w:cs="Times New Roman"/>
                      <w:color w:val="auto"/>
                      <w:highlight w:val="none"/>
                      <w:lang w:eastAsia="zh-CN"/>
                    </w:rPr>
                    <w:t>《高安市环鑫环保科技有限公司年处理60万吨一般固废资源再生利用项目</w:t>
                  </w:r>
                  <w:r>
                    <w:rPr>
                      <w:rFonts w:hint="eastAsia" w:cs="Times New Roman"/>
                      <w:color w:val="auto"/>
                      <w:highlight w:val="none"/>
                    </w:rPr>
                    <w:t>环境影响报告表</w:t>
                  </w:r>
                  <w:r>
                    <w:rPr>
                      <w:rFonts w:hint="eastAsia" w:cs="Times New Roman"/>
                      <w:color w:val="auto"/>
                      <w:highlight w:val="none"/>
                      <w:lang w:eastAsia="zh-CN"/>
                    </w:rPr>
                    <w:t>》</w:t>
                  </w:r>
                </w:p>
              </w:tc>
              <w:tc>
                <w:tcPr>
                  <w:tcW w:w="1447" w:type="pct"/>
                  <w:noWrap w:val="0"/>
                  <w:vAlign w:val="center"/>
                </w:tcPr>
                <w:p w14:paraId="4900D1DE">
                  <w:pPr>
                    <w:pStyle w:val="40"/>
                    <w:keepNext w:val="0"/>
                    <w:keepLines w:val="0"/>
                    <w:suppressLineNumbers w:val="0"/>
                    <w:spacing w:before="0" w:beforeAutospacing="0" w:after="0" w:afterAutospacing="0"/>
                    <w:ind w:left="0" w:right="0"/>
                    <w:rPr>
                      <w:rFonts w:hint="default" w:cs="Times New Roman"/>
                      <w:color w:val="auto"/>
                      <w:highlight w:val="none"/>
                    </w:rPr>
                  </w:pPr>
                  <w:r>
                    <w:rPr>
                      <w:rFonts w:hint="eastAsia" w:cs="Times New Roman"/>
                      <w:color w:val="auto"/>
                      <w:highlight w:val="none"/>
                      <w:lang w:eastAsia="zh-CN"/>
                    </w:rPr>
                    <w:t>宜春市高安生态环境局，高环评字〔20</w:t>
                  </w:r>
                  <w:r>
                    <w:rPr>
                      <w:rFonts w:hint="eastAsia" w:cs="Times New Roman"/>
                      <w:color w:val="auto"/>
                      <w:highlight w:val="none"/>
                      <w:lang w:val="en-US" w:eastAsia="zh-CN"/>
                    </w:rPr>
                    <w:t>25</w:t>
                  </w:r>
                  <w:r>
                    <w:rPr>
                      <w:rFonts w:hint="eastAsia" w:cs="Times New Roman"/>
                      <w:color w:val="auto"/>
                      <w:highlight w:val="none"/>
                      <w:lang w:eastAsia="zh-CN"/>
                    </w:rPr>
                    <w:t>〕</w:t>
                  </w:r>
                  <w:r>
                    <w:rPr>
                      <w:rFonts w:hint="eastAsia" w:cs="Times New Roman"/>
                      <w:color w:val="auto"/>
                      <w:highlight w:val="none"/>
                      <w:lang w:val="en-US" w:eastAsia="zh-CN"/>
                    </w:rPr>
                    <w:t>46</w:t>
                  </w:r>
                  <w:r>
                    <w:rPr>
                      <w:rFonts w:hint="eastAsia" w:cs="Times New Roman"/>
                      <w:color w:val="auto"/>
                      <w:highlight w:val="none"/>
                      <w:lang w:eastAsia="zh-CN"/>
                    </w:rPr>
                    <w:t>号</w:t>
                  </w:r>
                </w:p>
              </w:tc>
              <w:tc>
                <w:tcPr>
                  <w:tcW w:w="1431" w:type="pct"/>
                  <w:noWrap w:val="0"/>
                  <w:vAlign w:val="center"/>
                </w:tcPr>
                <w:p w14:paraId="24AA7C42">
                  <w:pPr>
                    <w:pStyle w:val="40"/>
                    <w:keepNext w:val="0"/>
                    <w:keepLines w:val="0"/>
                    <w:suppressLineNumbers w:val="0"/>
                    <w:spacing w:before="0" w:beforeAutospacing="0" w:after="0" w:afterAutospacing="0"/>
                    <w:ind w:left="0" w:right="0"/>
                    <w:rPr>
                      <w:rFonts w:hint="default" w:eastAsia="宋体" w:cs="Times New Roman"/>
                      <w:color w:val="auto"/>
                      <w:highlight w:val="none"/>
                      <w:lang w:val="en-US" w:eastAsia="zh-CN"/>
                    </w:rPr>
                  </w:pPr>
                  <w:r>
                    <w:rPr>
                      <w:rFonts w:hint="eastAsia" w:cs="Times New Roman"/>
                      <w:color w:val="auto"/>
                      <w:highlight w:val="none"/>
                      <w:lang w:val="en-US" w:eastAsia="zh-CN"/>
                    </w:rPr>
                    <w:t>2025年8月14日</w:t>
                  </w:r>
                </w:p>
              </w:tc>
            </w:tr>
            <w:tr w14:paraId="324EA7D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20" w:type="pct"/>
                  <w:shd w:val="clear" w:color="auto" w:fill="auto"/>
                  <w:noWrap w:val="0"/>
                  <w:vAlign w:val="center"/>
                </w:tcPr>
                <w:p w14:paraId="372A5E27">
                  <w:pPr>
                    <w:pStyle w:val="40"/>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highlight w:val="none"/>
                      <w:lang w:val="en-US" w:eastAsia="zh-CN" w:bidi="ar-SA"/>
                    </w:rPr>
                  </w:pPr>
                  <w:r>
                    <w:rPr>
                      <w:rFonts w:hint="eastAsia" w:cs="Times New Roman"/>
                      <w:color w:val="auto"/>
                      <w:highlight w:val="none"/>
                      <w:lang w:eastAsia="zh-CN"/>
                    </w:rPr>
                    <w:t>排污许可证</w:t>
                  </w:r>
                </w:p>
              </w:tc>
              <w:tc>
                <w:tcPr>
                  <w:tcW w:w="1447" w:type="pct"/>
                  <w:shd w:val="clear" w:color="auto" w:fill="auto"/>
                  <w:noWrap w:val="0"/>
                  <w:vAlign w:val="center"/>
                </w:tcPr>
                <w:p w14:paraId="3CAB1DB2">
                  <w:pPr>
                    <w:pStyle w:val="40"/>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0"/>
                      <w:highlight w:val="none"/>
                      <w:lang w:val="en-US" w:eastAsia="zh-CN" w:bidi="ar-SA"/>
                    </w:rPr>
                  </w:pPr>
                  <w:r>
                    <w:rPr>
                      <w:rFonts w:hint="default" w:cs="Times New Roman"/>
                      <w:color w:val="auto"/>
                      <w:highlight w:val="none"/>
                      <w:lang w:val="en-US"/>
                    </w:rPr>
                    <w:t>91360983MAELP6T331001U</w:t>
                  </w:r>
                </w:p>
              </w:tc>
              <w:tc>
                <w:tcPr>
                  <w:tcW w:w="1431" w:type="pct"/>
                  <w:shd w:val="clear" w:color="auto" w:fill="auto"/>
                  <w:noWrap w:val="0"/>
                  <w:vAlign w:val="center"/>
                </w:tcPr>
                <w:p w14:paraId="6C609839">
                  <w:pPr>
                    <w:pStyle w:val="40"/>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0"/>
                      <w:highlight w:val="none"/>
                      <w:lang w:val="en-US" w:eastAsia="zh-CN" w:bidi="ar-SA"/>
                    </w:rPr>
                  </w:pPr>
                  <w:r>
                    <w:rPr>
                      <w:rFonts w:hint="eastAsia" w:cs="Times New Roman"/>
                      <w:color w:val="auto"/>
                      <w:highlight w:val="none"/>
                      <w:lang w:val="en-US" w:eastAsia="zh-CN"/>
                    </w:rPr>
                    <w:t>2025年9月8日取得排污许可证，有效期至2030年9月7日</w:t>
                  </w:r>
                </w:p>
              </w:tc>
            </w:tr>
            <w:tr w14:paraId="1FD03A6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2120" w:type="pct"/>
                  <w:shd w:val="clear" w:color="auto" w:fill="auto"/>
                  <w:noWrap w:val="0"/>
                  <w:vAlign w:val="center"/>
                </w:tcPr>
                <w:p w14:paraId="368F3713">
                  <w:pPr>
                    <w:pStyle w:val="40"/>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kern w:val="2"/>
                      <w:sz w:val="21"/>
                      <w:szCs w:val="20"/>
                      <w:highlight w:val="none"/>
                      <w:lang w:val="en-US" w:eastAsia="zh-CN" w:bidi="ar-SA"/>
                    </w:rPr>
                  </w:pPr>
                  <w:r>
                    <w:rPr>
                      <w:rFonts w:hint="eastAsia" w:cs="Times New Roman"/>
                      <w:color w:val="auto"/>
                      <w:highlight w:val="none"/>
                      <w:lang w:eastAsia="zh-CN"/>
                    </w:rPr>
                    <w:t>《高安市环鑫环保科技有限公司年处理60万吨一般固废资源再生利用项目竣工环境保护验收监测报告表》</w:t>
                  </w:r>
                </w:p>
              </w:tc>
              <w:tc>
                <w:tcPr>
                  <w:tcW w:w="1447" w:type="pct"/>
                  <w:shd w:val="clear" w:color="auto" w:fill="auto"/>
                  <w:noWrap w:val="0"/>
                  <w:vAlign w:val="center"/>
                </w:tcPr>
                <w:p w14:paraId="7815ED33">
                  <w:pPr>
                    <w:pStyle w:val="40"/>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0"/>
                      <w:highlight w:val="none"/>
                      <w:lang w:val="en-US" w:eastAsia="zh-CN" w:bidi="ar-SA"/>
                    </w:rPr>
                  </w:pPr>
                  <w:r>
                    <w:rPr>
                      <w:rFonts w:hint="eastAsia" w:cs="Times New Roman"/>
                      <w:color w:val="auto"/>
                      <w:highlight w:val="none"/>
                      <w:lang w:val="en-US" w:eastAsia="zh-CN"/>
                    </w:rPr>
                    <w:t>企业自主验收</w:t>
                  </w:r>
                </w:p>
              </w:tc>
              <w:tc>
                <w:tcPr>
                  <w:tcW w:w="1431" w:type="pct"/>
                  <w:shd w:val="clear" w:color="auto" w:fill="auto"/>
                  <w:noWrap w:val="0"/>
                  <w:vAlign w:val="center"/>
                </w:tcPr>
                <w:p w14:paraId="6A120CDC">
                  <w:pPr>
                    <w:pStyle w:val="40"/>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0"/>
                      <w:highlight w:val="none"/>
                      <w:lang w:val="en-US" w:eastAsia="zh-CN" w:bidi="ar-SA"/>
                    </w:rPr>
                  </w:pPr>
                  <w:r>
                    <w:rPr>
                      <w:rFonts w:hint="eastAsia" w:eastAsia="宋体" w:cs="Times New Roman"/>
                      <w:color w:val="auto"/>
                      <w:highlight w:val="none"/>
                      <w:lang w:val="en-US" w:eastAsia="zh-CN"/>
                    </w:rPr>
                    <w:t>正在验收</w:t>
                  </w:r>
                </w:p>
              </w:tc>
            </w:tr>
          </w:tbl>
          <w:p w14:paraId="4B569833">
            <w:pPr>
              <w:pStyle w:val="122"/>
              <w:keepNext w:val="0"/>
              <w:keepLines w:val="0"/>
              <w:pageBreakBefore w:val="0"/>
              <w:widowControl w:val="0"/>
              <w:numPr>
                <w:ilvl w:val="0"/>
                <w:numId w:val="0"/>
              </w:numPr>
              <w:suppressLineNumbers w:val="0"/>
              <w:kinsoku/>
              <w:wordWrap/>
              <w:overflowPunct/>
              <w:topLinePunct w:val="0"/>
              <w:autoSpaceDE/>
              <w:autoSpaceDN/>
              <w:bidi w:val="0"/>
              <w:spacing w:before="0" w:beforeAutospacing="0" w:after="0" w:afterAutospacing="0" w:line="360" w:lineRule="auto"/>
              <w:ind w:left="0" w:leftChars="0" w:right="0" w:rightChars="0" w:firstLine="482" w:firstLineChars="200"/>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lang w:val="en-US" w:eastAsia="zh-CN" w:bidi="ar-SA"/>
              </w:rPr>
              <w:t>2、</w:t>
            </w:r>
            <w:r>
              <w:rPr>
                <w:rFonts w:hint="eastAsia" w:ascii="Times New Roman" w:hAnsi="Times New Roman" w:eastAsia="宋体" w:cs="Times New Roman"/>
                <w:b/>
                <w:bCs/>
                <w:color w:val="auto"/>
                <w:kern w:val="2"/>
                <w:sz w:val="24"/>
                <w:szCs w:val="24"/>
                <w:highlight w:val="none"/>
                <w:lang w:val="en-US" w:eastAsia="zh-CN" w:bidi="ar-SA"/>
              </w:rPr>
              <w:t>现有项目工艺流程</w:t>
            </w:r>
          </w:p>
          <w:p w14:paraId="77775886">
            <w:pPr>
              <w:pStyle w:val="113"/>
              <w:keepNext/>
              <w:keepLines w:val="0"/>
              <w:pageBreakBefore w:val="0"/>
              <w:widowControl w:val="0"/>
              <w:suppressLineNumbers w:val="0"/>
              <w:kinsoku/>
              <w:wordWrap/>
              <w:overflowPunct w:val="0"/>
              <w:topLinePunct w:val="0"/>
              <w:autoSpaceDE/>
              <w:autoSpaceDN/>
              <w:bidi w:val="0"/>
              <w:adjustRightInd/>
              <w:snapToGrid w:val="0"/>
              <w:spacing w:beforeAutospacing="0" w:afterAutospacing="0" w:line="240" w:lineRule="auto"/>
              <w:ind w:left="431" w:right="0" w:firstLine="0" w:firstLineChars="0"/>
              <w:jc w:val="left"/>
              <w:textAlignment w:val="auto"/>
              <w:rPr>
                <w:rFonts w:hint="default"/>
                <w:color w:val="auto"/>
                <w:highlight w:val="none"/>
              </w:rPr>
            </w:pPr>
            <w:r>
              <w:rPr>
                <w:rFonts w:hint="default"/>
                <w:color w:val="auto"/>
                <w:highlight w:val="none"/>
              </w:rPr>
              <w:drawing>
                <wp:inline distT="0" distB="0" distL="0" distR="0">
                  <wp:extent cx="4856480" cy="5025390"/>
                  <wp:effectExtent l="0" t="0" r="1270" b="3810"/>
                  <wp:docPr id="2908817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0881725" name="图片 1"/>
                          <pic:cNvPicPr>
                            <a:picLocks noChangeAspect="1"/>
                          </pic:cNvPicPr>
                        </pic:nvPicPr>
                        <pic:blipFill>
                          <a:blip r:embed="rId16"/>
                          <a:stretch>
                            <a:fillRect/>
                          </a:stretch>
                        </pic:blipFill>
                        <pic:spPr>
                          <a:xfrm>
                            <a:off x="0" y="0"/>
                            <a:ext cx="4856480" cy="5025390"/>
                          </a:xfrm>
                          <a:prstGeom prst="rect">
                            <a:avLst/>
                          </a:prstGeom>
                        </pic:spPr>
                      </pic:pic>
                    </a:graphicData>
                  </a:graphic>
                </wp:inline>
              </w:drawing>
            </w:r>
          </w:p>
          <w:p w14:paraId="5C9F72AE">
            <w:pPr>
              <w:pStyle w:val="113"/>
              <w:keepLines w:val="0"/>
              <w:suppressLineNumbers w:val="0"/>
              <w:spacing w:beforeAutospacing="0" w:afterAutospacing="0"/>
              <w:ind w:right="0"/>
              <w:rPr>
                <w:rFonts w:hint="default"/>
                <w:color w:val="auto"/>
                <w:highlight w:val="none"/>
              </w:rPr>
            </w:pPr>
            <w:r>
              <w:rPr>
                <w:rFonts w:hint="default"/>
                <w:color w:val="auto"/>
                <w:highlight w:val="none"/>
              </w:rPr>
              <w:t>图2-2  运营期工艺流程及产污节点图</w:t>
            </w:r>
          </w:p>
          <w:p w14:paraId="40CF3D1F">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工艺流程简述：</w:t>
            </w:r>
          </w:p>
          <w:p w14:paraId="4FDC574E">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（1）卸料</w:t>
            </w:r>
          </w:p>
          <w:p w14:paraId="63A05F65">
            <w:pPr>
              <w:pStyle w:val="1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项目原料锂渣进厂后运往原料区堆放，暂存过程会有少量渗滤液产生，此工序产生污染物主要为装卸粉尘G1、锂渣渗滤液W1、噪声N。</w:t>
            </w:r>
          </w:p>
          <w:p w14:paraId="47AB5FB4">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（2）喂料</w:t>
            </w:r>
          </w:p>
          <w:p w14:paraId="4ECD6410">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锂渣经喂料机喂料后送至粉碎机。此工序产生污染物主要为喂料粉尘G2、噪声N。</w:t>
            </w:r>
          </w:p>
          <w:p w14:paraId="29323F56">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（3）粉碎</w:t>
            </w:r>
          </w:p>
          <w:p w14:paraId="3A248E97">
            <w:pPr>
              <w:pStyle w:val="1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结块的原料锂渣经密闭皮带输送至粉碎机进行密闭粉碎，将结块的锂渣打散，破碎后进入球磨阶段；未结块的锂渣直接进入球磨机，此工序产生污染物主要为粉碎粉尘</w:t>
            </w:r>
            <w:bookmarkStart w:id="96" w:name="OLE_LINK16"/>
            <w:r>
              <w:rPr>
                <w:rFonts w:hint="default"/>
                <w:color w:val="auto"/>
                <w:highlight w:val="none"/>
              </w:rPr>
              <w:t>G</w:t>
            </w:r>
            <w:bookmarkEnd w:id="96"/>
            <w:r>
              <w:rPr>
                <w:rFonts w:hint="default"/>
                <w:color w:val="auto"/>
                <w:highlight w:val="none"/>
              </w:rPr>
              <w:t>3、噪声N。</w:t>
            </w:r>
          </w:p>
          <w:p w14:paraId="62926E13">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（4）球磨</w:t>
            </w:r>
          </w:p>
          <w:p w14:paraId="5C92F989">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粉碎后的物料通过密闭皮带输送至球磨机进行精细研磨，采用湿法球磨，加入水进行球磨，液体介质是水和循环的含锂溶液，球磨过程的锂渣和水的质量比为1：0.2，</w:t>
            </w:r>
            <w:r>
              <w:rPr>
                <w:rStyle w:val="119"/>
                <w:rFonts w:hint="default"/>
                <w:color w:val="auto"/>
                <w:highlight w:val="none"/>
              </w:rPr>
              <w:t>浆料含水率控制在30~35%，</w:t>
            </w:r>
            <w:r>
              <w:rPr>
                <w:rFonts w:hint="default"/>
                <w:color w:val="auto"/>
                <w:highlight w:val="none"/>
              </w:rPr>
              <w:t>此过程为密闭过程，湿法球磨无粉尘产生，此工序产生污染物主要为噪声N。</w:t>
            </w:r>
          </w:p>
          <w:p w14:paraId="26F34502">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（5）调浆</w:t>
            </w:r>
          </w:p>
          <w:p w14:paraId="6AF68484">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经球磨后的物料经管道输送至料罐内，按比例（锂渣1：螯合剂0.02）加入螯合剂进行调浆，调浆过程一边可使锂、钾等化合物充分溶解于水中。一边鳌合剂与游离的铍、铊发生沉淀，形成难溶解的铍络合物和铊络合物沉淀。原理：浸出过程中加入铊、铍螯合剂，螯合剂与游离的铍、铊发生沉淀，形成难溶解的铍络合物和铊络合物沉淀，该络合物性质稳定，不易被溶解或置换出来，从而达到除铊、铍的目的，降低尾渣的浸出毒性。</w:t>
            </w:r>
          </w:p>
          <w:p w14:paraId="2345CB36">
            <w:pPr>
              <w:keepNext w:val="0"/>
              <w:keepLines w:val="0"/>
              <w:suppressLineNumbers w:val="0"/>
              <w:spacing w:before="0" w:beforeAutospacing="0" w:after="0" w:afterAutospacing="0" w:line="360" w:lineRule="auto"/>
              <w:ind w:left="0" w:right="0"/>
              <w:jc w:val="center"/>
              <w:rPr>
                <w:rFonts w:hint="default"/>
                <w:color w:val="auto"/>
                <w:sz w:val="24"/>
                <w:szCs w:val="32"/>
                <w:highlight w:val="none"/>
              </w:rPr>
            </w:pPr>
            <w:r>
              <w:rPr>
                <w:rFonts w:hint="default"/>
                <w:color w:val="auto"/>
                <w:position w:val="16"/>
                <w:sz w:val="24"/>
                <w:szCs w:val="32"/>
                <w:highlight w:val="none"/>
              </w:rPr>
              <w:t>R</w:t>
            </w:r>
            <w:r>
              <w:rPr>
                <w:rFonts w:hint="default"/>
                <w:color w:val="auto"/>
                <w:position w:val="24"/>
                <w:sz w:val="24"/>
                <w:szCs w:val="32"/>
                <w:highlight w:val="none"/>
              </w:rPr>
              <w:t>x</w:t>
            </w:r>
            <w:r>
              <w:rPr>
                <w:rFonts w:hint="default"/>
                <w:color w:val="auto"/>
                <w:spacing w:val="10"/>
                <w:position w:val="24"/>
                <w:sz w:val="24"/>
                <w:szCs w:val="32"/>
                <w:highlight w:val="none"/>
              </w:rPr>
              <w:t>-</w:t>
            </w:r>
            <w:r>
              <w:rPr>
                <w:rFonts w:hint="default"/>
                <w:color w:val="auto"/>
                <w:spacing w:val="10"/>
                <w:position w:val="16"/>
                <w:sz w:val="24"/>
                <w:szCs w:val="32"/>
                <w:highlight w:val="none"/>
              </w:rPr>
              <w:t>+</w:t>
            </w:r>
            <w:r>
              <w:rPr>
                <w:rFonts w:hint="default"/>
                <w:color w:val="auto"/>
                <w:position w:val="16"/>
                <w:sz w:val="24"/>
                <w:szCs w:val="32"/>
                <w:highlight w:val="none"/>
              </w:rPr>
              <w:t>XTl</w:t>
            </w:r>
            <w:r>
              <w:rPr>
                <w:rFonts w:hint="default"/>
                <w:color w:val="auto"/>
                <w:spacing w:val="10"/>
                <w:position w:val="24"/>
                <w:sz w:val="24"/>
                <w:szCs w:val="32"/>
                <w:highlight w:val="none"/>
                <w:vertAlign w:val="superscript"/>
              </w:rPr>
              <w:t>3</w:t>
            </w:r>
            <w:r>
              <w:rPr>
                <w:rFonts w:hint="default"/>
                <w:color w:val="auto"/>
                <w:spacing w:val="5"/>
                <w:position w:val="24"/>
                <w:sz w:val="24"/>
                <w:szCs w:val="32"/>
                <w:highlight w:val="none"/>
                <w:vertAlign w:val="superscript"/>
              </w:rPr>
              <w:t>+</w:t>
            </w:r>
            <w:r>
              <w:rPr>
                <w:rFonts w:hint="default"/>
                <w:color w:val="auto"/>
                <w:spacing w:val="5"/>
                <w:position w:val="16"/>
                <w:sz w:val="24"/>
                <w:szCs w:val="32"/>
                <w:highlight w:val="none"/>
              </w:rPr>
              <w:t>→</w:t>
            </w:r>
            <w:r>
              <w:rPr>
                <w:rFonts w:hint="default"/>
                <w:color w:val="auto"/>
                <w:position w:val="16"/>
                <w:sz w:val="24"/>
                <w:szCs w:val="32"/>
                <w:highlight w:val="none"/>
              </w:rPr>
              <w:t>Tl</w:t>
            </w:r>
            <w:r>
              <w:rPr>
                <w:rFonts w:hint="default"/>
                <w:color w:val="auto"/>
                <w:position w:val="14"/>
                <w:sz w:val="24"/>
                <w:szCs w:val="32"/>
                <w:highlight w:val="none"/>
              </w:rPr>
              <w:t>x</w:t>
            </w:r>
            <w:r>
              <w:rPr>
                <w:rFonts w:hint="default"/>
                <w:color w:val="auto"/>
                <w:position w:val="16"/>
                <w:sz w:val="24"/>
                <w:szCs w:val="32"/>
                <w:highlight w:val="none"/>
              </w:rPr>
              <w:t>R</w:t>
            </w:r>
            <w:r>
              <w:rPr>
                <w:rFonts w:hint="default"/>
                <w:color w:val="auto"/>
                <w:spacing w:val="5"/>
                <w:position w:val="16"/>
                <w:sz w:val="24"/>
                <w:szCs w:val="32"/>
                <w:highlight w:val="none"/>
              </w:rPr>
              <w:t>↓（</w:t>
            </w:r>
            <w:r>
              <w:rPr>
                <w:rFonts w:hint="default"/>
                <w:color w:val="auto"/>
                <w:position w:val="16"/>
                <w:sz w:val="24"/>
                <w:szCs w:val="32"/>
                <w:highlight w:val="none"/>
              </w:rPr>
              <w:t>R</w:t>
            </w:r>
            <w:r>
              <w:rPr>
                <w:rFonts w:hint="default"/>
                <w:color w:val="auto"/>
                <w:spacing w:val="5"/>
                <w:position w:val="16"/>
                <w:sz w:val="24"/>
                <w:szCs w:val="32"/>
                <w:highlight w:val="none"/>
              </w:rPr>
              <w:t>代表重金属捕捉剂的络合阴离子基团）</w:t>
            </w:r>
          </w:p>
          <w:p w14:paraId="4791A6B7">
            <w:pPr>
              <w:keepNext w:val="0"/>
              <w:keepLines w:val="0"/>
              <w:suppressLineNumbers w:val="0"/>
              <w:spacing w:before="0" w:beforeAutospacing="0" w:after="0" w:afterAutospacing="0" w:line="360" w:lineRule="auto"/>
              <w:ind w:left="0" w:right="0"/>
              <w:jc w:val="center"/>
              <w:rPr>
                <w:rFonts w:hint="default"/>
                <w:color w:val="auto"/>
                <w:spacing w:val="5"/>
                <w:position w:val="16"/>
                <w:sz w:val="24"/>
                <w:szCs w:val="32"/>
                <w:highlight w:val="none"/>
              </w:rPr>
            </w:pPr>
            <w:r>
              <w:rPr>
                <w:rFonts w:hint="default"/>
                <w:color w:val="auto"/>
                <w:position w:val="16"/>
                <w:sz w:val="24"/>
                <w:szCs w:val="32"/>
                <w:highlight w:val="none"/>
              </w:rPr>
              <w:t>R</w:t>
            </w:r>
            <w:r>
              <w:rPr>
                <w:rFonts w:hint="default"/>
                <w:color w:val="auto"/>
                <w:position w:val="24"/>
                <w:sz w:val="24"/>
                <w:szCs w:val="32"/>
                <w:highlight w:val="none"/>
              </w:rPr>
              <w:t>x</w:t>
            </w:r>
            <w:r>
              <w:rPr>
                <w:rFonts w:hint="default"/>
                <w:color w:val="auto"/>
                <w:spacing w:val="10"/>
                <w:position w:val="24"/>
                <w:sz w:val="24"/>
                <w:szCs w:val="32"/>
                <w:highlight w:val="none"/>
              </w:rPr>
              <w:t>-</w:t>
            </w:r>
            <w:r>
              <w:rPr>
                <w:rFonts w:hint="default"/>
                <w:color w:val="auto"/>
                <w:spacing w:val="10"/>
                <w:position w:val="16"/>
                <w:sz w:val="24"/>
                <w:szCs w:val="32"/>
                <w:highlight w:val="none"/>
              </w:rPr>
              <w:t>+</w:t>
            </w:r>
            <w:r>
              <w:rPr>
                <w:rFonts w:hint="default"/>
                <w:color w:val="auto"/>
                <w:position w:val="16"/>
                <w:sz w:val="24"/>
                <w:szCs w:val="32"/>
                <w:highlight w:val="none"/>
              </w:rPr>
              <w:t>XBe</w:t>
            </w:r>
            <w:r>
              <w:rPr>
                <w:rFonts w:hint="default"/>
                <w:color w:val="auto"/>
                <w:spacing w:val="10"/>
                <w:position w:val="24"/>
                <w:sz w:val="24"/>
                <w:szCs w:val="32"/>
                <w:highlight w:val="none"/>
                <w:vertAlign w:val="superscript"/>
              </w:rPr>
              <w:t>2</w:t>
            </w:r>
            <w:r>
              <w:rPr>
                <w:rFonts w:hint="default"/>
                <w:color w:val="auto"/>
                <w:spacing w:val="5"/>
                <w:position w:val="24"/>
                <w:sz w:val="24"/>
                <w:szCs w:val="32"/>
                <w:highlight w:val="none"/>
                <w:vertAlign w:val="superscript"/>
              </w:rPr>
              <w:t>+</w:t>
            </w:r>
            <w:r>
              <w:rPr>
                <w:rFonts w:hint="default"/>
                <w:color w:val="auto"/>
                <w:spacing w:val="5"/>
                <w:position w:val="16"/>
                <w:sz w:val="24"/>
                <w:szCs w:val="32"/>
                <w:highlight w:val="none"/>
              </w:rPr>
              <w:t>→</w:t>
            </w:r>
            <w:r>
              <w:rPr>
                <w:rFonts w:hint="default"/>
                <w:color w:val="auto"/>
                <w:position w:val="16"/>
                <w:sz w:val="24"/>
                <w:szCs w:val="32"/>
                <w:highlight w:val="none"/>
              </w:rPr>
              <w:t>Tl</w:t>
            </w:r>
            <w:r>
              <w:rPr>
                <w:rFonts w:hint="default"/>
                <w:color w:val="auto"/>
                <w:position w:val="14"/>
                <w:sz w:val="24"/>
                <w:szCs w:val="32"/>
                <w:highlight w:val="none"/>
              </w:rPr>
              <w:t>x</w:t>
            </w:r>
            <w:r>
              <w:rPr>
                <w:rFonts w:hint="default"/>
                <w:color w:val="auto"/>
                <w:position w:val="16"/>
                <w:sz w:val="24"/>
                <w:szCs w:val="32"/>
                <w:highlight w:val="none"/>
              </w:rPr>
              <w:t>Be</w:t>
            </w:r>
            <w:r>
              <w:rPr>
                <w:rFonts w:hint="default"/>
                <w:color w:val="auto"/>
                <w:spacing w:val="5"/>
                <w:position w:val="16"/>
                <w:sz w:val="24"/>
                <w:szCs w:val="32"/>
                <w:highlight w:val="none"/>
              </w:rPr>
              <w:t>↓（</w:t>
            </w:r>
            <w:r>
              <w:rPr>
                <w:rFonts w:hint="default"/>
                <w:color w:val="auto"/>
                <w:position w:val="16"/>
                <w:sz w:val="24"/>
                <w:szCs w:val="32"/>
                <w:highlight w:val="none"/>
              </w:rPr>
              <w:t>R</w:t>
            </w:r>
            <w:r>
              <w:rPr>
                <w:rFonts w:hint="default"/>
                <w:color w:val="auto"/>
                <w:spacing w:val="5"/>
                <w:position w:val="16"/>
                <w:sz w:val="24"/>
                <w:szCs w:val="32"/>
                <w:highlight w:val="none"/>
              </w:rPr>
              <w:t>代表重金属捕捉剂的络合阴离子基团）</w:t>
            </w:r>
          </w:p>
          <w:p w14:paraId="7C7A6EE6">
            <w:pPr>
              <w:pStyle w:val="121"/>
              <w:keepNext w:val="0"/>
              <w:keepLines w:val="0"/>
              <w:suppressLineNumbers w:val="0"/>
              <w:spacing w:before="0" w:beforeAutospacing="0" w:after="0" w:afterAutospacing="0"/>
              <w:ind w:left="0" w:right="0"/>
              <w:rPr>
                <w:rFonts w:hint="default"/>
                <w:color w:val="auto"/>
                <w:highlight w:val="none"/>
              </w:rPr>
            </w:pPr>
            <w:bookmarkStart w:id="97" w:name="OLE_LINK14"/>
            <w:r>
              <w:rPr>
                <w:rFonts w:hint="default"/>
                <w:color w:val="auto"/>
                <w:highlight w:val="none"/>
              </w:rPr>
              <w:t>此工序产生污染物主要为</w:t>
            </w:r>
            <w:bookmarkEnd w:id="97"/>
            <w:bookmarkStart w:id="98" w:name="OLE_LINK15"/>
            <w:r>
              <w:rPr>
                <w:rFonts w:hint="default"/>
                <w:color w:val="auto"/>
                <w:highlight w:val="none"/>
              </w:rPr>
              <w:t>噪声N。</w:t>
            </w:r>
          </w:p>
          <w:bookmarkEnd w:id="98"/>
          <w:p w14:paraId="0BD30F1C">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（6）过滤</w:t>
            </w:r>
          </w:p>
          <w:p w14:paraId="65DF1A98">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经调浆后的溶液通过密闭管道运输至过滤机过滤，得到水洗渣（含水率为25%）。</w:t>
            </w:r>
            <w:bookmarkStart w:id="99" w:name="OLE_LINK17"/>
            <w:r>
              <w:rPr>
                <w:rFonts w:hint="default"/>
                <w:color w:val="auto"/>
                <w:highlight w:val="none"/>
              </w:rPr>
              <w:t>此工序产生污染物主要为</w:t>
            </w:r>
            <w:bookmarkEnd w:id="99"/>
            <w:r>
              <w:rPr>
                <w:rFonts w:hint="default"/>
                <w:color w:val="auto"/>
                <w:highlight w:val="none"/>
              </w:rPr>
              <w:t>噪声N。</w:t>
            </w:r>
          </w:p>
          <w:p w14:paraId="653301AC">
            <w:pPr>
              <w:pStyle w:val="1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（7）烘干</w:t>
            </w:r>
          </w:p>
          <w:p w14:paraId="12A108AF">
            <w:pPr>
              <w:pStyle w:val="121"/>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水洗渣经密闭皮带输送进入烘干炉，烘干使用天然气作为燃料，将燃料燃烧产生的热量加热空气通过循环系统送入烘道内进行间接加热，燃烧烟气不接触物料，</w:t>
            </w:r>
            <w:r>
              <w:rPr>
                <w:rStyle w:val="119"/>
                <w:rFonts w:hint="default"/>
                <w:color w:val="auto"/>
                <w:highlight w:val="none"/>
              </w:rPr>
              <w:t>烘干温度为100℃~120℃，</w:t>
            </w:r>
            <w:r>
              <w:rPr>
                <w:rFonts w:hint="default"/>
                <w:color w:val="auto"/>
                <w:highlight w:val="none"/>
              </w:rPr>
              <w:t>烘干时间为1.5h。</w:t>
            </w:r>
            <w:r>
              <w:rPr>
                <w:rStyle w:val="119"/>
                <w:rFonts w:hint="default"/>
                <w:color w:val="auto"/>
                <w:highlight w:val="none"/>
              </w:rPr>
              <w:t>烘干后得到产品固化尾渣含水率为5%。烘干后堆放至产品区，后外售。</w:t>
            </w:r>
            <w:r>
              <w:rPr>
                <w:rFonts w:hint="default"/>
                <w:color w:val="auto"/>
                <w:highlight w:val="none"/>
              </w:rPr>
              <w:t>此工序产生污染物主要为烘干粉尘G4、天然气燃烧烟气G5、产品装运粉尘G6、噪声N。</w:t>
            </w:r>
          </w:p>
          <w:p w14:paraId="0ED92DE5">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（8）投料、除杂</w:t>
            </w:r>
          </w:p>
          <w:p w14:paraId="3CC260E4">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将石灰、碳酸钠等投入过滤后的溶液中进行除杂，与溶液中的其他钙、镁、氟化物等杂质进行反应生成沉淀。先加入石灰（CaO）与氟离子反应生成氟化钙沉淀，再加入碳酸钠除去多余的钙离子和镁离子，生成碳酸钙和碳酸镁沉淀，然后通过压滤后，达到除杂的目的。</w:t>
            </w:r>
            <w:r>
              <w:rPr>
                <w:rFonts w:hint="default"/>
                <w:color w:val="auto"/>
                <w:kern w:val="0"/>
                <w:highlight w:val="none"/>
                <w:lang w:bidi="ar"/>
              </w:rPr>
              <w:t>采购的石灰的氧化钙含量为90%，碳酸钠的含量99.8%。</w:t>
            </w:r>
            <w:bookmarkStart w:id="100" w:name="OLE_LINK23"/>
            <w:r>
              <w:rPr>
                <w:rFonts w:hint="default"/>
                <w:color w:val="auto"/>
                <w:highlight w:val="none"/>
              </w:rPr>
              <w:t>此工序产生污染物主要为</w:t>
            </w:r>
            <w:bookmarkEnd w:id="100"/>
            <w:r>
              <w:rPr>
                <w:rFonts w:hint="default"/>
                <w:color w:val="auto"/>
                <w:highlight w:val="none"/>
              </w:rPr>
              <w:t>辅料投料粉尘</w:t>
            </w:r>
            <w:bookmarkStart w:id="101" w:name="OLE_LINK24"/>
            <w:r>
              <w:rPr>
                <w:rFonts w:hint="default"/>
                <w:color w:val="auto"/>
                <w:highlight w:val="none"/>
              </w:rPr>
              <w:t>G</w:t>
            </w:r>
            <w:bookmarkEnd w:id="101"/>
            <w:r>
              <w:rPr>
                <w:rFonts w:hint="default"/>
                <w:color w:val="auto"/>
                <w:highlight w:val="none"/>
              </w:rPr>
              <w:t>7、废包装材料S1。</w:t>
            </w:r>
          </w:p>
          <w:p w14:paraId="080BD53C">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该过程的反应方程为：</w:t>
            </w:r>
          </w:p>
          <w:p w14:paraId="4900206F">
            <w:pPr>
              <w:keepNext w:val="0"/>
              <w:keepLines w:val="0"/>
              <w:suppressLineNumbers w:val="0"/>
              <w:spacing w:before="0" w:beforeAutospacing="0" w:after="0" w:afterAutospacing="0" w:line="360" w:lineRule="auto"/>
              <w:ind w:left="0" w:right="0"/>
              <w:jc w:val="center"/>
              <w:rPr>
                <w:rFonts w:hint="default"/>
                <w:color w:val="auto"/>
                <w:sz w:val="24"/>
                <w:highlight w:val="none"/>
                <w:vertAlign w:val="superscript"/>
              </w:rPr>
            </w:pPr>
            <w:r>
              <w:rPr>
                <w:rFonts w:hint="default"/>
                <w:color w:val="auto"/>
                <w:sz w:val="24"/>
                <w:highlight w:val="none"/>
              </w:rPr>
              <w:t>CaO+F</w:t>
            </w:r>
            <w:r>
              <w:rPr>
                <w:rFonts w:hint="default"/>
                <w:color w:val="auto"/>
                <w:sz w:val="24"/>
                <w:highlight w:val="none"/>
                <w:vertAlign w:val="superscript"/>
              </w:rPr>
              <w:t>-</w:t>
            </w:r>
            <w:r>
              <w:rPr>
                <w:rFonts w:hint="default"/>
                <w:color w:val="auto"/>
                <w:sz w:val="24"/>
                <w:highlight w:val="none"/>
              </w:rPr>
              <w:t>+H</w:t>
            </w:r>
            <w:r>
              <w:rPr>
                <w:rFonts w:hint="default"/>
                <w:color w:val="auto"/>
                <w:sz w:val="24"/>
                <w:highlight w:val="none"/>
                <w:vertAlign w:val="subscript"/>
              </w:rPr>
              <w:t>2</w:t>
            </w:r>
            <w:r>
              <w:rPr>
                <w:rFonts w:hint="default"/>
                <w:color w:val="auto"/>
                <w:sz w:val="24"/>
                <w:highlight w:val="none"/>
              </w:rPr>
              <w:t>O=CaF</w:t>
            </w:r>
            <w:r>
              <w:rPr>
                <w:rFonts w:hint="default"/>
                <w:color w:val="auto"/>
                <w:sz w:val="24"/>
                <w:highlight w:val="none"/>
                <w:vertAlign w:val="subscript"/>
              </w:rPr>
              <w:t>2</w:t>
            </w:r>
            <w:r>
              <w:rPr>
                <w:rFonts w:hint="default"/>
                <w:color w:val="auto"/>
                <w:sz w:val="24"/>
                <w:highlight w:val="none"/>
              </w:rPr>
              <w:t>↓+2OH</w:t>
            </w:r>
            <w:r>
              <w:rPr>
                <w:rFonts w:hint="default"/>
                <w:color w:val="auto"/>
                <w:sz w:val="24"/>
                <w:highlight w:val="none"/>
                <w:vertAlign w:val="superscript"/>
              </w:rPr>
              <w:t>-</w:t>
            </w:r>
          </w:p>
          <w:p w14:paraId="24E920A9">
            <w:pPr>
              <w:keepNext w:val="0"/>
              <w:keepLines w:val="0"/>
              <w:suppressLineNumbers w:val="0"/>
              <w:spacing w:before="0" w:beforeAutospacing="0" w:after="0" w:afterAutospacing="0" w:line="360" w:lineRule="auto"/>
              <w:ind w:left="0" w:right="0"/>
              <w:jc w:val="center"/>
              <w:rPr>
                <w:rFonts w:hint="default"/>
                <w:color w:val="auto"/>
                <w:sz w:val="24"/>
                <w:highlight w:val="none"/>
              </w:rPr>
            </w:pPr>
            <w:r>
              <w:rPr>
                <w:rFonts w:hint="default"/>
                <w:color w:val="auto"/>
                <w:sz w:val="24"/>
                <w:highlight w:val="none"/>
              </w:rPr>
              <w:t>CO</w:t>
            </w:r>
            <w:r>
              <w:rPr>
                <w:rFonts w:hint="default"/>
                <w:color w:val="auto"/>
                <w:sz w:val="24"/>
                <w:highlight w:val="none"/>
                <w:vertAlign w:val="subscript"/>
              </w:rPr>
              <w:t>3</w:t>
            </w:r>
            <w:r>
              <w:rPr>
                <w:rFonts w:hint="default"/>
                <w:color w:val="auto"/>
                <w:sz w:val="24"/>
                <w:highlight w:val="none"/>
                <w:vertAlign w:val="superscript"/>
              </w:rPr>
              <w:t>2-</w:t>
            </w:r>
            <w:r>
              <w:rPr>
                <w:rFonts w:hint="default"/>
                <w:color w:val="auto"/>
                <w:sz w:val="24"/>
                <w:highlight w:val="none"/>
              </w:rPr>
              <w:t>+Ca</w:t>
            </w:r>
            <w:r>
              <w:rPr>
                <w:rFonts w:hint="default"/>
                <w:color w:val="auto"/>
                <w:sz w:val="24"/>
                <w:highlight w:val="none"/>
                <w:vertAlign w:val="superscript"/>
              </w:rPr>
              <w:t>2+</w:t>
            </w:r>
            <w:r>
              <w:rPr>
                <w:rFonts w:hint="default"/>
                <w:color w:val="auto"/>
                <w:sz w:val="24"/>
                <w:highlight w:val="none"/>
              </w:rPr>
              <w:t>=CaCO</w:t>
            </w:r>
            <w:r>
              <w:rPr>
                <w:rFonts w:hint="default"/>
                <w:color w:val="auto"/>
                <w:sz w:val="24"/>
                <w:highlight w:val="none"/>
                <w:vertAlign w:val="subscript"/>
              </w:rPr>
              <w:t>3</w:t>
            </w:r>
            <w:r>
              <w:rPr>
                <w:rFonts w:hint="default"/>
                <w:color w:val="auto"/>
                <w:sz w:val="24"/>
                <w:highlight w:val="none"/>
              </w:rPr>
              <w:t>↓</w:t>
            </w:r>
          </w:p>
          <w:p w14:paraId="1E96C12C">
            <w:pPr>
              <w:keepNext w:val="0"/>
              <w:keepLines w:val="0"/>
              <w:suppressLineNumbers w:val="0"/>
              <w:spacing w:before="0" w:beforeAutospacing="0" w:after="0" w:afterAutospacing="0" w:line="360" w:lineRule="auto"/>
              <w:ind w:left="0" w:right="0"/>
              <w:jc w:val="center"/>
              <w:rPr>
                <w:rFonts w:hint="default"/>
                <w:color w:val="auto"/>
                <w:sz w:val="24"/>
                <w:highlight w:val="none"/>
              </w:rPr>
            </w:pPr>
            <w:r>
              <w:rPr>
                <w:rFonts w:hint="default"/>
                <w:color w:val="auto"/>
                <w:sz w:val="24"/>
                <w:highlight w:val="none"/>
              </w:rPr>
              <w:t>CO</w:t>
            </w:r>
            <w:r>
              <w:rPr>
                <w:rFonts w:hint="default"/>
                <w:color w:val="auto"/>
                <w:sz w:val="24"/>
                <w:highlight w:val="none"/>
                <w:vertAlign w:val="subscript"/>
              </w:rPr>
              <w:t>3</w:t>
            </w:r>
            <w:r>
              <w:rPr>
                <w:rFonts w:hint="default"/>
                <w:color w:val="auto"/>
                <w:sz w:val="24"/>
                <w:highlight w:val="none"/>
                <w:vertAlign w:val="superscript"/>
              </w:rPr>
              <w:t>2-</w:t>
            </w:r>
            <w:r>
              <w:rPr>
                <w:rFonts w:hint="default"/>
                <w:color w:val="auto"/>
                <w:sz w:val="24"/>
                <w:highlight w:val="none"/>
              </w:rPr>
              <w:t>+Mg</w:t>
            </w:r>
            <w:r>
              <w:rPr>
                <w:rFonts w:hint="default"/>
                <w:color w:val="auto"/>
                <w:sz w:val="24"/>
                <w:highlight w:val="none"/>
                <w:vertAlign w:val="superscript"/>
              </w:rPr>
              <w:t>2+</w:t>
            </w:r>
            <w:r>
              <w:rPr>
                <w:rFonts w:hint="default"/>
                <w:color w:val="auto"/>
                <w:sz w:val="24"/>
                <w:highlight w:val="none"/>
              </w:rPr>
              <w:t>=MgCO</w:t>
            </w:r>
            <w:r>
              <w:rPr>
                <w:rFonts w:hint="default"/>
                <w:color w:val="auto"/>
                <w:sz w:val="24"/>
                <w:highlight w:val="none"/>
                <w:vertAlign w:val="subscript"/>
              </w:rPr>
              <w:t>3</w:t>
            </w:r>
            <w:r>
              <w:rPr>
                <w:rFonts w:hint="default"/>
                <w:color w:val="auto"/>
                <w:sz w:val="24"/>
                <w:highlight w:val="none"/>
              </w:rPr>
              <w:t>↓</w:t>
            </w:r>
          </w:p>
          <w:p w14:paraId="353F1B75">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（9）压滤</w:t>
            </w:r>
          </w:p>
          <w:p w14:paraId="1019361F">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对含杂质沉淀的溶液通过压滤机进行压滤，上清液为产品含锂溶液，含锂溶液会进入球磨阶段进行循环，循环至含锂溶液中的锂浓度约为7g/L时并达到企业标准时生成产品含锂溶液，可以用作下游碳酸锂行业，项目不设储罐，经槽罐车直接外运至厂外。此工序产生污染物主要为</w:t>
            </w:r>
            <w:bookmarkStart w:id="102" w:name="OLE_LINK31"/>
            <w:r>
              <w:rPr>
                <w:rFonts w:hint="default"/>
                <w:color w:val="auto"/>
                <w:highlight w:val="none"/>
              </w:rPr>
              <w:t>废滤布S2、除杂渣S</w:t>
            </w:r>
            <w:bookmarkEnd w:id="102"/>
            <w:r>
              <w:rPr>
                <w:rFonts w:hint="default"/>
                <w:color w:val="auto"/>
                <w:highlight w:val="none"/>
              </w:rPr>
              <w:t>3、噪声N。</w:t>
            </w:r>
          </w:p>
          <w:p w14:paraId="5ED60AEB">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现有项目</w:t>
            </w:r>
            <w:r>
              <w:rPr>
                <w:rFonts w:hint="default" w:ascii="Times New Roman" w:hAnsi="Times New Roman" w:eastAsia="宋体" w:cs="Times New Roman"/>
                <w:color w:val="auto"/>
                <w:sz w:val="21"/>
                <w:szCs w:val="21"/>
                <w:highlight w:val="none"/>
                <w:lang w:val="en-US" w:eastAsia="zh-CN"/>
              </w:rPr>
              <w:t>主要污染物</w:t>
            </w:r>
            <w:r>
              <w:rPr>
                <w:rFonts w:hint="eastAsia" w:ascii="Times New Roman" w:hAnsi="Times New Roman" w:eastAsia="宋体" w:cs="Times New Roman"/>
                <w:color w:val="auto"/>
                <w:sz w:val="21"/>
                <w:szCs w:val="21"/>
                <w:highlight w:val="none"/>
                <w:lang w:val="en-US" w:eastAsia="zh-CN"/>
              </w:rPr>
              <w:t>分析</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3"/>
              <w:gridCol w:w="844"/>
              <w:gridCol w:w="1885"/>
              <w:gridCol w:w="2976"/>
              <w:gridCol w:w="1652"/>
            </w:tblGrid>
            <w:tr w14:paraId="1FE0865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567" w:type="dxa"/>
                  <w:gridSpan w:val="2"/>
                  <w:vAlign w:val="center"/>
                </w:tcPr>
                <w:p w14:paraId="31AC737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3" w:name="_Toc4313"/>
                  <w:r>
                    <w:rPr>
                      <w:rFonts w:hint="default"/>
                      <w:color w:val="auto"/>
                      <w:highlight w:val="none"/>
                    </w:rPr>
                    <w:t>主要污染源</w:t>
                  </w:r>
                  <w:bookmarkEnd w:id="103"/>
                </w:p>
              </w:tc>
              <w:tc>
                <w:tcPr>
                  <w:tcW w:w="1885" w:type="dxa"/>
                  <w:vAlign w:val="center"/>
                </w:tcPr>
                <w:p w14:paraId="3FD73DC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4" w:name="_Toc17359"/>
                  <w:r>
                    <w:rPr>
                      <w:rFonts w:hint="default"/>
                      <w:color w:val="auto"/>
                      <w:highlight w:val="none"/>
                    </w:rPr>
                    <w:t>来源</w:t>
                  </w:r>
                  <w:bookmarkEnd w:id="104"/>
                </w:p>
              </w:tc>
              <w:tc>
                <w:tcPr>
                  <w:tcW w:w="2976" w:type="dxa"/>
                  <w:vAlign w:val="center"/>
                </w:tcPr>
                <w:p w14:paraId="3F68E98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5" w:name="_Toc21256"/>
                  <w:r>
                    <w:rPr>
                      <w:rFonts w:hint="default"/>
                      <w:color w:val="auto"/>
                      <w:highlight w:val="none"/>
                    </w:rPr>
                    <w:t>污染物名称</w:t>
                  </w:r>
                  <w:bookmarkEnd w:id="105"/>
                </w:p>
              </w:tc>
              <w:tc>
                <w:tcPr>
                  <w:tcW w:w="1652" w:type="dxa"/>
                  <w:vAlign w:val="center"/>
                </w:tcPr>
                <w:p w14:paraId="36D4E1A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6" w:name="_Toc3390"/>
                  <w:r>
                    <w:rPr>
                      <w:rFonts w:hint="default"/>
                      <w:color w:val="auto"/>
                      <w:highlight w:val="none"/>
                    </w:rPr>
                    <w:t>排放方式</w:t>
                  </w:r>
                  <w:bookmarkEnd w:id="106"/>
                </w:p>
              </w:tc>
            </w:tr>
            <w:tr w14:paraId="088E7CA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restart"/>
                  <w:vAlign w:val="center"/>
                </w:tcPr>
                <w:p w14:paraId="17E600B9">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7" w:name="_Toc18024"/>
                  <w:r>
                    <w:rPr>
                      <w:rFonts w:hint="default"/>
                      <w:color w:val="auto"/>
                      <w:highlight w:val="none"/>
                    </w:rPr>
                    <w:t>运营期</w:t>
                  </w:r>
                  <w:bookmarkEnd w:id="107"/>
                </w:p>
              </w:tc>
              <w:tc>
                <w:tcPr>
                  <w:tcW w:w="844" w:type="dxa"/>
                  <w:vMerge w:val="restart"/>
                  <w:vAlign w:val="center"/>
                </w:tcPr>
                <w:p w14:paraId="6DB68A2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08" w:name="_Toc17717"/>
                  <w:r>
                    <w:rPr>
                      <w:rFonts w:hint="default"/>
                      <w:color w:val="auto"/>
                      <w:highlight w:val="none"/>
                    </w:rPr>
                    <w:t>废气</w:t>
                  </w:r>
                  <w:bookmarkEnd w:id="108"/>
                </w:p>
              </w:tc>
              <w:tc>
                <w:tcPr>
                  <w:tcW w:w="1885" w:type="dxa"/>
                  <w:vAlign w:val="center"/>
                </w:tcPr>
                <w:p w14:paraId="0EDDF46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09" w:name="_Toc25824"/>
                  <w:r>
                    <w:rPr>
                      <w:rFonts w:hint="default"/>
                      <w:color w:val="auto"/>
                      <w:highlight w:val="none"/>
                    </w:rPr>
                    <w:t>装卸粉尘G1</w:t>
                  </w:r>
                  <w:bookmarkEnd w:id="109"/>
                </w:p>
              </w:tc>
              <w:tc>
                <w:tcPr>
                  <w:tcW w:w="2976" w:type="dxa"/>
                  <w:vAlign w:val="center"/>
                </w:tcPr>
                <w:p w14:paraId="73F6A46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10" w:name="_Toc8408"/>
                  <w:r>
                    <w:rPr>
                      <w:rFonts w:hint="default"/>
                      <w:color w:val="auto"/>
                      <w:highlight w:val="none"/>
                    </w:rPr>
                    <w:t>颗粒物</w:t>
                  </w:r>
                  <w:bookmarkEnd w:id="110"/>
                </w:p>
              </w:tc>
              <w:tc>
                <w:tcPr>
                  <w:tcW w:w="1652" w:type="dxa"/>
                  <w:vAlign w:val="center"/>
                </w:tcPr>
                <w:p w14:paraId="580D129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11" w:name="_Toc3699"/>
                  <w:r>
                    <w:rPr>
                      <w:rFonts w:hint="default"/>
                      <w:color w:val="auto"/>
                      <w:highlight w:val="none"/>
                    </w:rPr>
                    <w:t>无组织</w:t>
                  </w:r>
                  <w:bookmarkEnd w:id="111"/>
                </w:p>
              </w:tc>
            </w:tr>
            <w:tr w14:paraId="237C161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438C81D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005E4E1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3CE72758">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2" w:name="_Toc18891"/>
                  <w:r>
                    <w:rPr>
                      <w:rFonts w:hint="default"/>
                      <w:color w:val="auto"/>
                      <w:highlight w:val="none"/>
                    </w:rPr>
                    <w:t>喂料粉尘G2</w:t>
                  </w:r>
                  <w:bookmarkEnd w:id="112"/>
                </w:p>
              </w:tc>
              <w:tc>
                <w:tcPr>
                  <w:tcW w:w="2976" w:type="dxa"/>
                  <w:vAlign w:val="center"/>
                </w:tcPr>
                <w:p w14:paraId="0ADD2407">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3" w:name="_Toc4410"/>
                  <w:r>
                    <w:rPr>
                      <w:rFonts w:hint="default"/>
                      <w:color w:val="auto"/>
                      <w:highlight w:val="none"/>
                    </w:rPr>
                    <w:t>颗粒物</w:t>
                  </w:r>
                  <w:bookmarkEnd w:id="113"/>
                </w:p>
              </w:tc>
              <w:tc>
                <w:tcPr>
                  <w:tcW w:w="1652" w:type="dxa"/>
                  <w:vAlign w:val="center"/>
                </w:tcPr>
                <w:p w14:paraId="60BBE63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4" w:name="_Toc31930"/>
                  <w:r>
                    <w:rPr>
                      <w:rFonts w:hint="default"/>
                      <w:color w:val="auto"/>
                      <w:highlight w:val="none"/>
                    </w:rPr>
                    <w:t>有组织+无组织</w:t>
                  </w:r>
                  <w:bookmarkEnd w:id="114"/>
                </w:p>
              </w:tc>
            </w:tr>
            <w:tr w14:paraId="374E99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4F2A211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1E43BE3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27E4A4B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5" w:name="OLE_LINK34"/>
                  <w:bookmarkStart w:id="116" w:name="_Toc10814"/>
                  <w:r>
                    <w:rPr>
                      <w:rFonts w:hint="default"/>
                      <w:color w:val="auto"/>
                      <w:highlight w:val="none"/>
                    </w:rPr>
                    <w:t>粉碎</w:t>
                  </w:r>
                  <w:bookmarkEnd w:id="115"/>
                  <w:r>
                    <w:rPr>
                      <w:rFonts w:hint="default"/>
                      <w:color w:val="auto"/>
                      <w:highlight w:val="none"/>
                    </w:rPr>
                    <w:t>粉尘G3</w:t>
                  </w:r>
                  <w:bookmarkEnd w:id="116"/>
                </w:p>
              </w:tc>
              <w:tc>
                <w:tcPr>
                  <w:tcW w:w="2976" w:type="dxa"/>
                  <w:vAlign w:val="center"/>
                </w:tcPr>
                <w:p w14:paraId="0990A3F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7" w:name="_Toc29013"/>
                  <w:bookmarkStart w:id="118" w:name="OLE_LINK33"/>
                  <w:r>
                    <w:rPr>
                      <w:rFonts w:hint="default"/>
                      <w:color w:val="auto"/>
                      <w:highlight w:val="none"/>
                    </w:rPr>
                    <w:t>颗粒物</w:t>
                  </w:r>
                  <w:bookmarkEnd w:id="117"/>
                  <w:bookmarkEnd w:id="118"/>
                </w:p>
              </w:tc>
              <w:tc>
                <w:tcPr>
                  <w:tcW w:w="1652" w:type="dxa"/>
                  <w:vAlign w:val="center"/>
                </w:tcPr>
                <w:p w14:paraId="0CEE917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19" w:name="_Toc3606"/>
                  <w:r>
                    <w:rPr>
                      <w:rFonts w:hint="default"/>
                      <w:color w:val="auto"/>
                      <w:highlight w:val="none"/>
                    </w:rPr>
                    <w:t>有组织</w:t>
                  </w:r>
                  <w:bookmarkEnd w:id="119"/>
                </w:p>
              </w:tc>
            </w:tr>
            <w:tr w14:paraId="1679842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4045794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444A1A2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69D9BB4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0" w:name="_Toc32498"/>
                  <w:r>
                    <w:rPr>
                      <w:rFonts w:hint="default"/>
                      <w:color w:val="auto"/>
                      <w:highlight w:val="none"/>
                    </w:rPr>
                    <w:t>烘干</w:t>
                  </w:r>
                  <w:bookmarkStart w:id="121" w:name="OLE_LINK67"/>
                  <w:r>
                    <w:rPr>
                      <w:rFonts w:hint="default"/>
                      <w:color w:val="auto"/>
                      <w:highlight w:val="none"/>
                    </w:rPr>
                    <w:t>粉尘</w:t>
                  </w:r>
                  <w:bookmarkEnd w:id="121"/>
                  <w:r>
                    <w:rPr>
                      <w:rFonts w:hint="default"/>
                      <w:color w:val="auto"/>
                      <w:highlight w:val="none"/>
                    </w:rPr>
                    <w:t>G4</w:t>
                  </w:r>
                  <w:bookmarkEnd w:id="120"/>
                </w:p>
              </w:tc>
              <w:tc>
                <w:tcPr>
                  <w:tcW w:w="2976" w:type="dxa"/>
                  <w:vAlign w:val="center"/>
                </w:tcPr>
                <w:p w14:paraId="60F1A732">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2" w:name="_Toc16241"/>
                  <w:r>
                    <w:rPr>
                      <w:rFonts w:hint="default"/>
                      <w:color w:val="auto"/>
                      <w:highlight w:val="none"/>
                    </w:rPr>
                    <w:t>颗粒物</w:t>
                  </w:r>
                  <w:bookmarkEnd w:id="122"/>
                </w:p>
              </w:tc>
              <w:tc>
                <w:tcPr>
                  <w:tcW w:w="1652" w:type="dxa"/>
                  <w:vAlign w:val="center"/>
                </w:tcPr>
                <w:p w14:paraId="31A8094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3" w:name="_Toc19312"/>
                  <w:r>
                    <w:rPr>
                      <w:rFonts w:hint="default"/>
                      <w:color w:val="auto"/>
                      <w:highlight w:val="none"/>
                    </w:rPr>
                    <w:t>有组织+无组织</w:t>
                  </w:r>
                  <w:bookmarkEnd w:id="123"/>
                </w:p>
              </w:tc>
            </w:tr>
            <w:tr w14:paraId="116CFA5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22A7CA7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1A0E758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37BF3DB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4" w:name="_Toc27379"/>
                  <w:r>
                    <w:rPr>
                      <w:rFonts w:hint="default"/>
                      <w:color w:val="auto"/>
                      <w:highlight w:val="none"/>
                    </w:rPr>
                    <w:t>天然气燃烧烟气G5</w:t>
                  </w:r>
                  <w:bookmarkEnd w:id="124"/>
                </w:p>
              </w:tc>
              <w:tc>
                <w:tcPr>
                  <w:tcW w:w="2976" w:type="dxa"/>
                  <w:vAlign w:val="center"/>
                </w:tcPr>
                <w:p w14:paraId="3EAE88F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5" w:name="_Toc32278"/>
                  <w:r>
                    <w:rPr>
                      <w:rFonts w:hint="default"/>
                      <w:color w:val="auto"/>
                      <w:highlight w:val="none"/>
                    </w:rPr>
                    <w:t>烟尘、二氧化硫、氮氧化物</w:t>
                  </w:r>
                  <w:bookmarkEnd w:id="125"/>
                </w:p>
              </w:tc>
              <w:tc>
                <w:tcPr>
                  <w:tcW w:w="1652" w:type="dxa"/>
                  <w:vAlign w:val="center"/>
                </w:tcPr>
                <w:p w14:paraId="48CA3C02">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6" w:name="_Toc31512"/>
                  <w:r>
                    <w:rPr>
                      <w:rFonts w:hint="default"/>
                      <w:color w:val="auto"/>
                      <w:highlight w:val="none"/>
                    </w:rPr>
                    <w:t>有组织+无组织</w:t>
                  </w:r>
                  <w:bookmarkEnd w:id="126"/>
                </w:p>
              </w:tc>
            </w:tr>
            <w:tr w14:paraId="2E33D08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618B9AE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43C21C48">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08C3CEE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7" w:name="_Toc32385"/>
                  <w:r>
                    <w:rPr>
                      <w:rFonts w:hint="default"/>
                      <w:color w:val="auto"/>
                      <w:highlight w:val="none"/>
                    </w:rPr>
                    <w:t>产品装运粉尘G6</w:t>
                  </w:r>
                  <w:bookmarkEnd w:id="127"/>
                </w:p>
              </w:tc>
              <w:tc>
                <w:tcPr>
                  <w:tcW w:w="2976" w:type="dxa"/>
                  <w:vAlign w:val="center"/>
                </w:tcPr>
                <w:p w14:paraId="5AE41D3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8" w:name="_Toc27631"/>
                  <w:r>
                    <w:rPr>
                      <w:rFonts w:hint="default"/>
                      <w:color w:val="auto"/>
                      <w:highlight w:val="none"/>
                    </w:rPr>
                    <w:t>颗粒物</w:t>
                  </w:r>
                  <w:bookmarkEnd w:id="128"/>
                </w:p>
              </w:tc>
              <w:tc>
                <w:tcPr>
                  <w:tcW w:w="1652" w:type="dxa"/>
                  <w:vAlign w:val="center"/>
                </w:tcPr>
                <w:p w14:paraId="7C42EAB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29" w:name="_Toc18393"/>
                  <w:r>
                    <w:rPr>
                      <w:rFonts w:hint="default"/>
                      <w:color w:val="auto"/>
                      <w:highlight w:val="none"/>
                    </w:rPr>
                    <w:t>无组织</w:t>
                  </w:r>
                  <w:bookmarkEnd w:id="129"/>
                </w:p>
              </w:tc>
            </w:tr>
            <w:tr w14:paraId="68407AD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6B8AC5D7">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45D4AD96">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0B141D4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30" w:name="_Toc26093"/>
                  <w:r>
                    <w:rPr>
                      <w:rFonts w:hint="default"/>
                      <w:color w:val="auto"/>
                      <w:highlight w:val="none"/>
                    </w:rPr>
                    <w:t>辅料投料粉尘G7</w:t>
                  </w:r>
                  <w:bookmarkEnd w:id="130"/>
                </w:p>
              </w:tc>
              <w:tc>
                <w:tcPr>
                  <w:tcW w:w="2976" w:type="dxa"/>
                  <w:vAlign w:val="center"/>
                </w:tcPr>
                <w:p w14:paraId="1DB4C33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31" w:name="_Toc23275"/>
                  <w:r>
                    <w:rPr>
                      <w:rFonts w:hint="default"/>
                      <w:color w:val="auto"/>
                      <w:highlight w:val="none"/>
                    </w:rPr>
                    <w:t>颗粒物</w:t>
                  </w:r>
                  <w:bookmarkEnd w:id="131"/>
                </w:p>
              </w:tc>
              <w:tc>
                <w:tcPr>
                  <w:tcW w:w="1652" w:type="dxa"/>
                  <w:vAlign w:val="center"/>
                </w:tcPr>
                <w:p w14:paraId="3AB2610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32" w:name="OLE_LINK32"/>
                  <w:bookmarkStart w:id="133" w:name="_Toc8239"/>
                  <w:r>
                    <w:rPr>
                      <w:rFonts w:hint="default"/>
                      <w:color w:val="auto"/>
                      <w:highlight w:val="none"/>
                    </w:rPr>
                    <w:t>有组织</w:t>
                  </w:r>
                  <w:bookmarkEnd w:id="132"/>
                  <w:r>
                    <w:rPr>
                      <w:rFonts w:hint="default"/>
                      <w:color w:val="auto"/>
                      <w:highlight w:val="none"/>
                    </w:rPr>
                    <w:t>+无组织</w:t>
                  </w:r>
                  <w:bookmarkEnd w:id="133"/>
                </w:p>
              </w:tc>
            </w:tr>
            <w:tr w14:paraId="3BF6F2D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6F1A585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restart"/>
                  <w:vAlign w:val="center"/>
                </w:tcPr>
                <w:p w14:paraId="60BD1EA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34" w:name="_Toc28123"/>
                  <w:r>
                    <w:rPr>
                      <w:rFonts w:hint="default"/>
                      <w:color w:val="auto"/>
                      <w:highlight w:val="none"/>
                    </w:rPr>
                    <w:t>废水</w:t>
                  </w:r>
                  <w:bookmarkEnd w:id="134"/>
                </w:p>
              </w:tc>
              <w:tc>
                <w:tcPr>
                  <w:tcW w:w="1885" w:type="dxa"/>
                  <w:vAlign w:val="center"/>
                </w:tcPr>
                <w:p w14:paraId="524F084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35" w:name="_Toc19930"/>
                  <w:r>
                    <w:rPr>
                      <w:rFonts w:hint="default"/>
                      <w:color w:val="auto"/>
                      <w:highlight w:val="none"/>
                    </w:rPr>
                    <w:t>生活污水</w:t>
                  </w:r>
                  <w:bookmarkEnd w:id="135"/>
                </w:p>
              </w:tc>
              <w:tc>
                <w:tcPr>
                  <w:tcW w:w="2976" w:type="dxa"/>
                  <w:vAlign w:val="center"/>
                </w:tcPr>
                <w:p w14:paraId="3CFC4F93">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36" w:name="_Toc11909"/>
                  <w:r>
                    <w:rPr>
                      <w:rFonts w:hint="default"/>
                      <w:color w:val="auto"/>
                      <w:highlight w:val="none"/>
                    </w:rPr>
                    <w:t>pH、</w:t>
                  </w:r>
                  <w:bookmarkStart w:id="137" w:name="OLE_LINK130"/>
                  <w:r>
                    <w:rPr>
                      <w:rFonts w:hint="default"/>
                      <w:color w:val="auto"/>
                      <w:highlight w:val="none"/>
                    </w:rPr>
                    <w:t>COD、BOD</w:t>
                  </w:r>
                  <w:r>
                    <w:rPr>
                      <w:rFonts w:hint="default"/>
                      <w:color w:val="auto"/>
                      <w:highlight w:val="none"/>
                      <w:vertAlign w:val="subscript"/>
                    </w:rPr>
                    <w:t>5</w:t>
                  </w:r>
                  <w:r>
                    <w:rPr>
                      <w:rFonts w:hint="default"/>
                      <w:color w:val="auto"/>
                      <w:highlight w:val="none"/>
                    </w:rPr>
                    <w:t>、SS</w:t>
                  </w:r>
                  <w:bookmarkEnd w:id="137"/>
                  <w:r>
                    <w:rPr>
                      <w:rFonts w:hint="default"/>
                      <w:color w:val="auto"/>
                      <w:highlight w:val="none"/>
                    </w:rPr>
                    <w:t>、NH</w:t>
                  </w:r>
                  <w:r>
                    <w:rPr>
                      <w:rFonts w:hint="default"/>
                      <w:color w:val="auto"/>
                      <w:highlight w:val="none"/>
                      <w:vertAlign w:val="subscript"/>
                    </w:rPr>
                    <w:t>3</w:t>
                  </w:r>
                  <w:r>
                    <w:rPr>
                      <w:rFonts w:hint="default"/>
                      <w:color w:val="auto"/>
                      <w:highlight w:val="none"/>
                    </w:rPr>
                    <w:t>-N、TP、TN、动植物油</w:t>
                  </w:r>
                  <w:bookmarkEnd w:id="136"/>
                </w:p>
              </w:tc>
              <w:tc>
                <w:tcPr>
                  <w:tcW w:w="1652" w:type="dxa"/>
                  <w:vAlign w:val="center"/>
                </w:tcPr>
                <w:p w14:paraId="3685897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38" w:name="_Toc14209"/>
                  <w:r>
                    <w:rPr>
                      <w:rFonts w:hint="default"/>
                      <w:color w:val="auto"/>
                      <w:highlight w:val="none"/>
                    </w:rPr>
                    <w:t>间断</w:t>
                  </w:r>
                  <w:bookmarkEnd w:id="138"/>
                </w:p>
              </w:tc>
            </w:tr>
            <w:tr w14:paraId="6171C95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367DCB3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12E8AF0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038E868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39" w:name="_Toc21702"/>
                  <w:r>
                    <w:rPr>
                      <w:rFonts w:hint="default"/>
                      <w:color w:val="auto"/>
                      <w:highlight w:val="none"/>
                    </w:rPr>
                    <w:t>车辆冲洗废水</w:t>
                  </w:r>
                  <w:bookmarkEnd w:id="139"/>
                </w:p>
              </w:tc>
              <w:tc>
                <w:tcPr>
                  <w:tcW w:w="2976" w:type="dxa"/>
                  <w:vAlign w:val="center"/>
                </w:tcPr>
                <w:p w14:paraId="0DCC396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40" w:name="_Toc26810"/>
                  <w:r>
                    <w:rPr>
                      <w:rFonts w:hint="default"/>
                      <w:color w:val="auto"/>
                      <w:highlight w:val="none"/>
                    </w:rPr>
                    <w:t>COD、BOD</w:t>
                  </w:r>
                  <w:r>
                    <w:rPr>
                      <w:rFonts w:hint="default"/>
                      <w:color w:val="auto"/>
                      <w:highlight w:val="none"/>
                      <w:vertAlign w:val="subscript"/>
                    </w:rPr>
                    <w:t>5</w:t>
                  </w:r>
                  <w:r>
                    <w:rPr>
                      <w:rFonts w:hint="default"/>
                      <w:color w:val="auto"/>
                      <w:highlight w:val="none"/>
                    </w:rPr>
                    <w:t>、SS</w:t>
                  </w:r>
                  <w:bookmarkEnd w:id="140"/>
                </w:p>
              </w:tc>
              <w:tc>
                <w:tcPr>
                  <w:tcW w:w="1652" w:type="dxa"/>
                  <w:vAlign w:val="center"/>
                </w:tcPr>
                <w:p w14:paraId="6EC39D2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41" w:name="_Toc27723"/>
                  <w:r>
                    <w:rPr>
                      <w:rFonts w:hint="default"/>
                      <w:color w:val="auto"/>
                      <w:highlight w:val="none"/>
                    </w:rPr>
                    <w:t>不外排</w:t>
                  </w:r>
                  <w:bookmarkEnd w:id="141"/>
                </w:p>
              </w:tc>
            </w:tr>
            <w:tr w14:paraId="37929A8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7CAB5BA0">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54E70548">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3DC2743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42" w:name="_Toc23360"/>
                  <w:r>
                    <w:rPr>
                      <w:rFonts w:hint="default"/>
                      <w:color w:val="auto"/>
                      <w:highlight w:val="none"/>
                    </w:rPr>
                    <w:t>锂渣渗滤液W1</w:t>
                  </w:r>
                  <w:bookmarkEnd w:id="142"/>
                </w:p>
              </w:tc>
              <w:tc>
                <w:tcPr>
                  <w:tcW w:w="2976" w:type="dxa"/>
                  <w:vAlign w:val="center"/>
                </w:tcPr>
                <w:p w14:paraId="67F26D9A">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43" w:name="_Toc14742"/>
                  <w:r>
                    <w:rPr>
                      <w:rFonts w:hint="default"/>
                      <w:color w:val="auto"/>
                      <w:highlight w:val="none"/>
                    </w:rPr>
                    <w:t>pH、COD、BOD</w:t>
                  </w:r>
                  <w:r>
                    <w:rPr>
                      <w:rFonts w:hint="default"/>
                      <w:color w:val="auto"/>
                      <w:highlight w:val="none"/>
                      <w:vertAlign w:val="subscript"/>
                    </w:rPr>
                    <w:t>5</w:t>
                  </w:r>
                  <w:r>
                    <w:rPr>
                      <w:rFonts w:hint="default"/>
                      <w:color w:val="auto"/>
                      <w:highlight w:val="none"/>
                    </w:rPr>
                    <w:t>、SS、铊、铍等</w:t>
                  </w:r>
                  <w:bookmarkEnd w:id="143"/>
                </w:p>
              </w:tc>
              <w:tc>
                <w:tcPr>
                  <w:tcW w:w="1652" w:type="dxa"/>
                  <w:vAlign w:val="center"/>
                </w:tcPr>
                <w:p w14:paraId="5A63892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44" w:name="OLE_LINK131"/>
                  <w:bookmarkStart w:id="145" w:name="_Toc5216"/>
                  <w:r>
                    <w:rPr>
                      <w:rFonts w:hint="default"/>
                      <w:color w:val="auto"/>
                      <w:highlight w:val="none"/>
                    </w:rPr>
                    <w:t>不外排</w:t>
                  </w:r>
                  <w:bookmarkEnd w:id="144"/>
                  <w:bookmarkEnd w:id="145"/>
                </w:p>
              </w:tc>
            </w:tr>
            <w:tr w14:paraId="4E199D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0BCE274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Align w:val="center"/>
                </w:tcPr>
                <w:p w14:paraId="7EC6739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46" w:name="_Toc31827"/>
                  <w:r>
                    <w:rPr>
                      <w:rFonts w:hint="default"/>
                      <w:color w:val="auto"/>
                      <w:highlight w:val="none"/>
                    </w:rPr>
                    <w:t>噪声</w:t>
                  </w:r>
                  <w:bookmarkEnd w:id="146"/>
                </w:p>
              </w:tc>
              <w:tc>
                <w:tcPr>
                  <w:tcW w:w="1885" w:type="dxa"/>
                  <w:vAlign w:val="center"/>
                </w:tcPr>
                <w:p w14:paraId="1E4E222F">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47" w:name="_Toc3705"/>
                  <w:r>
                    <w:rPr>
                      <w:rFonts w:hint="default"/>
                      <w:color w:val="auto"/>
                      <w:highlight w:val="none"/>
                    </w:rPr>
                    <w:t>机械设备运行</w:t>
                  </w:r>
                  <w:bookmarkEnd w:id="147"/>
                </w:p>
              </w:tc>
              <w:tc>
                <w:tcPr>
                  <w:tcW w:w="2976" w:type="dxa"/>
                  <w:vAlign w:val="center"/>
                </w:tcPr>
                <w:p w14:paraId="368217F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48" w:name="_Toc8504"/>
                  <w:r>
                    <w:rPr>
                      <w:rFonts w:hint="default"/>
                      <w:color w:val="auto"/>
                      <w:highlight w:val="none"/>
                    </w:rPr>
                    <w:t>噪声</w:t>
                  </w:r>
                  <w:bookmarkEnd w:id="148"/>
                </w:p>
              </w:tc>
              <w:tc>
                <w:tcPr>
                  <w:tcW w:w="1652" w:type="dxa"/>
                  <w:vAlign w:val="center"/>
                </w:tcPr>
                <w:p w14:paraId="37DDABE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49" w:name="_Toc22490"/>
                  <w:r>
                    <w:rPr>
                      <w:rFonts w:hint="default"/>
                      <w:color w:val="auto"/>
                      <w:highlight w:val="none"/>
                    </w:rPr>
                    <w:t>间断</w:t>
                  </w:r>
                  <w:bookmarkEnd w:id="149"/>
                </w:p>
              </w:tc>
            </w:tr>
            <w:tr w14:paraId="53B0FE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47BA5CB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restart"/>
                  <w:vAlign w:val="center"/>
                </w:tcPr>
                <w:p w14:paraId="538459D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0" w:name="_Toc18435"/>
                  <w:r>
                    <w:rPr>
                      <w:rFonts w:hint="default"/>
                      <w:color w:val="auto"/>
                      <w:highlight w:val="none"/>
                    </w:rPr>
                    <w:t>固废</w:t>
                  </w:r>
                  <w:bookmarkEnd w:id="150"/>
                </w:p>
              </w:tc>
              <w:tc>
                <w:tcPr>
                  <w:tcW w:w="1885" w:type="dxa"/>
                  <w:vAlign w:val="center"/>
                </w:tcPr>
                <w:p w14:paraId="1778244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1" w:name="_Toc22859"/>
                  <w:r>
                    <w:rPr>
                      <w:rFonts w:hint="default"/>
                      <w:color w:val="auto"/>
                      <w:highlight w:val="none"/>
                    </w:rPr>
                    <w:t>员工生活</w:t>
                  </w:r>
                  <w:bookmarkEnd w:id="151"/>
                </w:p>
              </w:tc>
              <w:tc>
                <w:tcPr>
                  <w:tcW w:w="2976" w:type="dxa"/>
                  <w:vAlign w:val="center"/>
                </w:tcPr>
                <w:p w14:paraId="7714FCC7">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2" w:name="_Toc26199"/>
                  <w:r>
                    <w:rPr>
                      <w:rFonts w:hint="default"/>
                      <w:color w:val="auto"/>
                      <w:highlight w:val="none"/>
                    </w:rPr>
                    <w:t>生活垃圾</w:t>
                  </w:r>
                  <w:bookmarkEnd w:id="152"/>
                </w:p>
              </w:tc>
              <w:tc>
                <w:tcPr>
                  <w:tcW w:w="1652" w:type="dxa"/>
                  <w:vAlign w:val="center"/>
                </w:tcPr>
                <w:p w14:paraId="7B324C96">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3" w:name="_Toc2550"/>
                  <w:r>
                    <w:rPr>
                      <w:rFonts w:hint="default"/>
                      <w:color w:val="auto"/>
                      <w:highlight w:val="none"/>
                    </w:rPr>
                    <w:t>间断</w:t>
                  </w:r>
                  <w:bookmarkEnd w:id="153"/>
                </w:p>
              </w:tc>
            </w:tr>
            <w:tr w14:paraId="4B7EF11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4828A5CC">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5A6D4B7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2DF5E615">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4" w:name="_Toc22146"/>
                  <w:r>
                    <w:rPr>
                      <w:rFonts w:hint="default"/>
                      <w:color w:val="auto"/>
                      <w:highlight w:val="none"/>
                    </w:rPr>
                    <w:t>一般固体废物</w:t>
                  </w:r>
                  <w:bookmarkEnd w:id="154"/>
                </w:p>
              </w:tc>
              <w:tc>
                <w:tcPr>
                  <w:tcW w:w="2976" w:type="dxa"/>
                  <w:vAlign w:val="center"/>
                </w:tcPr>
                <w:p w14:paraId="4D888E2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55" w:name="_Toc17300"/>
                  <w:r>
                    <w:rPr>
                      <w:rFonts w:hint="default"/>
                      <w:color w:val="auto"/>
                      <w:highlight w:val="none"/>
                    </w:rPr>
                    <w:t>废包装材料S1、废布袋S4、除尘灰</w:t>
                  </w:r>
                  <w:bookmarkStart w:id="156" w:name="OLE_LINK80"/>
                  <w:r>
                    <w:rPr>
                      <w:rFonts w:hint="default"/>
                      <w:color w:val="auto"/>
                      <w:highlight w:val="none"/>
                    </w:rPr>
                    <w:t>S</w:t>
                  </w:r>
                  <w:bookmarkEnd w:id="156"/>
                  <w:r>
                    <w:rPr>
                      <w:rFonts w:hint="default"/>
                      <w:color w:val="auto"/>
                      <w:highlight w:val="none"/>
                    </w:rPr>
                    <w:t>5</w:t>
                  </w:r>
                  <w:bookmarkEnd w:id="155"/>
                </w:p>
              </w:tc>
              <w:tc>
                <w:tcPr>
                  <w:tcW w:w="1652" w:type="dxa"/>
                  <w:vAlign w:val="center"/>
                </w:tcPr>
                <w:p w14:paraId="0AC1E51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7" w:name="_Toc22899"/>
                  <w:r>
                    <w:rPr>
                      <w:rFonts w:hint="default"/>
                      <w:color w:val="auto"/>
                      <w:highlight w:val="none"/>
                    </w:rPr>
                    <w:t>不排放</w:t>
                  </w:r>
                  <w:bookmarkEnd w:id="157"/>
                </w:p>
              </w:tc>
            </w:tr>
            <w:tr w14:paraId="7A45111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3" w:type="dxa"/>
                  <w:vMerge w:val="continue"/>
                  <w:vAlign w:val="center"/>
                </w:tcPr>
                <w:p w14:paraId="5FF490C4">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844" w:type="dxa"/>
                  <w:vMerge w:val="continue"/>
                  <w:vAlign w:val="center"/>
                </w:tcPr>
                <w:p w14:paraId="4462A7FD">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85" w:type="dxa"/>
                  <w:vAlign w:val="center"/>
                </w:tcPr>
                <w:p w14:paraId="17D36742">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58" w:name="_Toc16646"/>
                  <w:r>
                    <w:rPr>
                      <w:rFonts w:hint="default"/>
                      <w:color w:val="auto"/>
                      <w:highlight w:val="none"/>
                    </w:rPr>
                    <w:t>危险废物</w:t>
                  </w:r>
                  <w:bookmarkEnd w:id="158"/>
                </w:p>
              </w:tc>
              <w:tc>
                <w:tcPr>
                  <w:tcW w:w="2976" w:type="dxa"/>
                  <w:vAlign w:val="center"/>
                </w:tcPr>
                <w:p w14:paraId="242D1A5B">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bookmarkStart w:id="159" w:name="_Toc3436"/>
                  <w:r>
                    <w:rPr>
                      <w:rFonts w:hint="default"/>
                      <w:color w:val="auto"/>
                      <w:highlight w:val="none"/>
                    </w:rPr>
                    <w:t>废滤布S2、除杂渣</w:t>
                  </w:r>
                  <w:bookmarkStart w:id="160" w:name="OLE_LINK79"/>
                  <w:r>
                    <w:rPr>
                      <w:rFonts w:hint="default"/>
                      <w:color w:val="auto"/>
                      <w:highlight w:val="none"/>
                    </w:rPr>
                    <w:t>S</w:t>
                  </w:r>
                  <w:bookmarkEnd w:id="160"/>
                  <w:r>
                    <w:rPr>
                      <w:rFonts w:hint="default"/>
                      <w:color w:val="auto"/>
                      <w:highlight w:val="none"/>
                    </w:rPr>
                    <w:t>3、废机油S6、含油劳保用品S7、废活性炭S8、沉淀池污泥S9</w:t>
                  </w:r>
                  <w:bookmarkEnd w:id="159"/>
                </w:p>
              </w:tc>
              <w:tc>
                <w:tcPr>
                  <w:tcW w:w="1652" w:type="dxa"/>
                  <w:vAlign w:val="center"/>
                </w:tcPr>
                <w:p w14:paraId="7158E48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color w:val="auto"/>
                      <w:highlight w:val="none"/>
                    </w:rPr>
                  </w:pPr>
                  <w:bookmarkStart w:id="161" w:name="_Toc25290"/>
                  <w:r>
                    <w:rPr>
                      <w:rFonts w:hint="default"/>
                      <w:color w:val="auto"/>
                      <w:highlight w:val="none"/>
                    </w:rPr>
                    <w:t>不排放</w:t>
                  </w:r>
                  <w:bookmarkEnd w:id="161"/>
                </w:p>
              </w:tc>
            </w:tr>
          </w:tbl>
          <w:p w14:paraId="53EB8F0B">
            <w:pPr>
              <w:pStyle w:val="122"/>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leftChars="0" w:right="0" w:rightChars="0" w:firstLine="482" w:firstLineChars="200"/>
              <w:jc w:val="both"/>
              <w:textAlignment w:val="auto"/>
              <w:rPr>
                <w:rFonts w:hint="eastAsia"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lang w:val="en-US" w:eastAsia="zh-CN" w:bidi="ar-SA"/>
              </w:rPr>
              <w:t>3、</w:t>
            </w:r>
            <w:r>
              <w:rPr>
                <w:rFonts w:hint="eastAsia" w:ascii="Times New Roman" w:hAnsi="Times New Roman" w:eastAsia="宋体" w:cs="Times New Roman"/>
                <w:b/>
                <w:bCs/>
                <w:color w:val="auto"/>
                <w:kern w:val="2"/>
                <w:sz w:val="24"/>
                <w:szCs w:val="24"/>
                <w:highlight w:val="none"/>
                <w:lang w:val="en-US" w:eastAsia="zh-CN" w:bidi="ar-SA"/>
              </w:rPr>
              <w:t>现有项目污染物排放情况</w:t>
            </w:r>
          </w:p>
          <w:p w14:paraId="63C95A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center"/>
              <w:textAlignment w:val="auto"/>
              <w:rPr>
                <w:rFonts w:hint="eastAsia" w:ascii="Times New Roman" w:hAnsi="Times New Roman" w:eastAsia="宋体"/>
                <w:b/>
                <w:bCs/>
                <w:color w:val="auto"/>
                <w:sz w:val="24"/>
                <w:highlight w:val="none"/>
                <w:lang w:eastAsia="zh-CN"/>
              </w:rPr>
            </w:pPr>
            <w:r>
              <w:rPr>
                <w:rFonts w:hint="eastAsia" w:ascii="Times New Roman" w:hAnsi="Times New Roman" w:eastAsia="宋体" w:cs="Times New Roman"/>
                <w:b w:val="0"/>
                <w:bCs w:val="0"/>
                <w:color w:val="auto"/>
                <w:kern w:val="2"/>
                <w:sz w:val="24"/>
                <w:szCs w:val="24"/>
                <w:highlight w:val="none"/>
                <w:lang w:val="en-US" w:eastAsia="zh-CN" w:bidi="ar-SA"/>
              </w:rPr>
              <w:t>根据《</w:t>
            </w:r>
            <w:r>
              <w:rPr>
                <w:rFonts w:hint="eastAsia" w:cs="Times New Roman"/>
                <w:color w:val="auto"/>
                <w:highlight w:val="none"/>
                <w:lang w:eastAsia="zh-CN"/>
              </w:rPr>
              <w:t>高安市环鑫环保科技有限公司年处理60万吨一般固废资源再生利用项目</w:t>
            </w:r>
            <w:r>
              <w:rPr>
                <w:rFonts w:hint="eastAsia" w:cs="Times New Roman"/>
                <w:color w:val="auto"/>
                <w:highlight w:val="none"/>
              </w:rPr>
              <w:t>环境影响报告表</w:t>
            </w:r>
            <w:r>
              <w:rPr>
                <w:rFonts w:hint="eastAsia" w:ascii="Times New Roman" w:hAnsi="Times New Roman" w:eastAsia="宋体" w:cs="Times New Roman"/>
                <w:b w:val="0"/>
                <w:bCs w:val="0"/>
                <w:color w:val="auto"/>
                <w:kern w:val="2"/>
                <w:sz w:val="24"/>
                <w:szCs w:val="24"/>
                <w:highlight w:val="none"/>
                <w:lang w:val="en-US" w:eastAsia="zh-CN" w:bidi="ar-SA"/>
              </w:rPr>
              <w:t>》（2025年8月），现有项目污染物排放情况如下。</w:t>
            </w:r>
          </w:p>
          <w:p w14:paraId="187ABE3C">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 xml:space="preserve"> </w:t>
            </w:r>
            <w:r>
              <w:rPr>
                <w:rFonts w:hint="eastAsia" w:ascii="Times New Roman" w:hAnsi="Times New Roman" w:eastAsia="宋体" w:cs="Times New Roman"/>
                <w:color w:val="auto"/>
                <w:sz w:val="21"/>
                <w:szCs w:val="21"/>
                <w:highlight w:val="none"/>
                <w:lang w:val="en-US" w:eastAsia="zh-CN"/>
              </w:rPr>
              <w:t>现有项目全厂污染物排放情况</w:t>
            </w:r>
          </w:p>
          <w:tbl>
            <w:tblPr>
              <w:tblStyle w:val="25"/>
              <w:tblW w:w="5000"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678"/>
              <w:gridCol w:w="467"/>
              <w:gridCol w:w="1146"/>
              <w:gridCol w:w="1912"/>
              <w:gridCol w:w="988"/>
              <w:gridCol w:w="978"/>
              <w:gridCol w:w="1911"/>
            </w:tblGrid>
            <w:tr w14:paraId="038CD35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00" w:hRule="atLeast"/>
                <w:jc w:val="center"/>
              </w:trPr>
              <w:tc>
                <w:tcPr>
                  <w:tcW w:w="1417" w:type="pct"/>
                  <w:gridSpan w:val="3"/>
                  <w:noWrap w:val="0"/>
                  <w:vAlign w:val="center"/>
                </w:tcPr>
                <w:p w14:paraId="0DC6A011">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类型</w:t>
                  </w:r>
                </w:p>
              </w:tc>
              <w:tc>
                <w:tcPr>
                  <w:tcW w:w="1183" w:type="pct"/>
                  <w:noWrap w:val="0"/>
                  <w:vAlign w:val="center"/>
                </w:tcPr>
                <w:p w14:paraId="3309EA49">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污染源名称</w:t>
                  </w:r>
                </w:p>
              </w:tc>
              <w:tc>
                <w:tcPr>
                  <w:tcW w:w="1216" w:type="pct"/>
                  <w:gridSpan w:val="2"/>
                  <w:noWrap w:val="0"/>
                  <w:vAlign w:val="center"/>
                </w:tcPr>
                <w:p w14:paraId="3EA0B9A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default" w:cs="Times New Roman"/>
                      <w:color w:val="auto"/>
                      <w:sz w:val="21"/>
                      <w:szCs w:val="21"/>
                      <w:highlight w:val="none"/>
                    </w:rPr>
                    <w:t>排放量</w:t>
                  </w:r>
                  <w:r>
                    <w:rPr>
                      <w:rFonts w:hint="eastAsia" w:cs="Times New Roman"/>
                      <w:color w:val="auto"/>
                      <w:sz w:val="21"/>
                      <w:szCs w:val="21"/>
                      <w:highlight w:val="none"/>
                      <w:lang w:eastAsia="zh-CN"/>
                    </w:rPr>
                    <w:t>（</w:t>
                  </w:r>
                  <w:r>
                    <w:rPr>
                      <w:rFonts w:hint="eastAsia" w:cs="Times New Roman"/>
                      <w:color w:val="auto"/>
                      <w:sz w:val="21"/>
                      <w:szCs w:val="21"/>
                      <w:highlight w:val="none"/>
                      <w:lang w:val="en-US" w:eastAsia="zh-CN"/>
                    </w:rPr>
                    <w:t>t/a</w:t>
                  </w:r>
                  <w:r>
                    <w:rPr>
                      <w:rFonts w:hint="eastAsia" w:cs="Times New Roman"/>
                      <w:color w:val="auto"/>
                      <w:sz w:val="21"/>
                      <w:szCs w:val="21"/>
                      <w:highlight w:val="none"/>
                      <w:lang w:eastAsia="zh-CN"/>
                    </w:rPr>
                    <w:t>）</w:t>
                  </w:r>
                </w:p>
              </w:tc>
              <w:tc>
                <w:tcPr>
                  <w:tcW w:w="1182" w:type="pct"/>
                  <w:noWrap w:val="0"/>
                  <w:vAlign w:val="center"/>
                </w:tcPr>
                <w:p w14:paraId="1C8E5BA4">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lang w:eastAsia="zh-CN"/>
                    </w:rPr>
                    <w:t>处理措施</w:t>
                  </w:r>
                </w:p>
              </w:tc>
            </w:tr>
            <w:tr w14:paraId="7EF25C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restart"/>
                  <w:noWrap w:val="0"/>
                  <w:vAlign w:val="center"/>
                </w:tcPr>
                <w:p w14:paraId="4C43DC71">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废气</w:t>
                  </w:r>
                </w:p>
              </w:tc>
              <w:tc>
                <w:tcPr>
                  <w:tcW w:w="998" w:type="pct"/>
                  <w:gridSpan w:val="2"/>
                  <w:vMerge w:val="restart"/>
                  <w:noWrap w:val="0"/>
                  <w:vAlign w:val="center"/>
                </w:tcPr>
                <w:p w14:paraId="08544B6B">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olor w:val="auto"/>
                      <w:highlight w:val="none"/>
                    </w:rPr>
                    <w:t>喂料粉尘、辅料投料粉尘、粉碎粉尘</w:t>
                  </w:r>
                </w:p>
              </w:tc>
              <w:tc>
                <w:tcPr>
                  <w:tcW w:w="1183" w:type="pct"/>
                  <w:noWrap w:val="0"/>
                  <w:vAlign w:val="center"/>
                </w:tcPr>
                <w:p w14:paraId="6E0AACAB">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eastAsia="宋体" w:cs="Times New Roman"/>
                      <w:color w:val="auto"/>
                      <w:sz w:val="21"/>
                      <w:szCs w:val="21"/>
                      <w:highlight w:val="none"/>
                      <w:lang w:eastAsia="zh-CN"/>
                    </w:rPr>
                    <w:t>颗粒物</w:t>
                  </w:r>
                </w:p>
              </w:tc>
              <w:tc>
                <w:tcPr>
                  <w:tcW w:w="1216" w:type="pct"/>
                  <w:gridSpan w:val="2"/>
                  <w:noWrap w:val="0"/>
                  <w:vAlign w:val="center"/>
                </w:tcPr>
                <w:p w14:paraId="48E48973">
                  <w:pPr>
                    <w:pStyle w:val="114"/>
                    <w:keepNext w:val="0"/>
                    <w:keepLines w:val="0"/>
                    <w:suppressLineNumbers w:val="0"/>
                    <w:spacing w:before="0" w:beforeAutospacing="0" w:after="0" w:afterAutospacing="0"/>
                    <w:ind w:left="0" w:right="0" w:firstLine="0" w:firstLineChars="0"/>
                    <w:rPr>
                      <w:rFonts w:hint="default" w:eastAsia="宋体" w:cs="Times New Roman"/>
                      <w:color w:val="auto"/>
                      <w:sz w:val="21"/>
                      <w:szCs w:val="21"/>
                      <w:highlight w:val="none"/>
                      <w:lang w:val="en-US" w:eastAsia="zh-CN"/>
                    </w:rPr>
                  </w:pPr>
                  <w:bookmarkStart w:id="162" w:name="_Toc10035"/>
                  <w:r>
                    <w:rPr>
                      <w:rFonts w:hint="default"/>
                      <w:color w:val="auto"/>
                      <w:highlight w:val="none"/>
                    </w:rPr>
                    <w:t>1.26</w:t>
                  </w:r>
                  <w:bookmarkEnd w:id="162"/>
                </w:p>
              </w:tc>
              <w:tc>
                <w:tcPr>
                  <w:tcW w:w="1182" w:type="pct"/>
                  <w:vMerge w:val="restart"/>
                  <w:noWrap w:val="0"/>
                  <w:vAlign w:val="center"/>
                </w:tcPr>
                <w:p w14:paraId="771CADA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宋体" w:cs="Times New Roman"/>
                      <w:color w:val="auto"/>
                      <w:sz w:val="21"/>
                      <w:szCs w:val="21"/>
                      <w:highlight w:val="none"/>
                      <w:lang w:val="en-US" w:eastAsia="zh-CN"/>
                    </w:rPr>
                  </w:pPr>
                  <w:r>
                    <w:rPr>
                      <w:rFonts w:hint="eastAsia" w:cs="Times New Roman"/>
                      <w:color w:val="auto"/>
                      <w:sz w:val="21"/>
                      <w:szCs w:val="21"/>
                      <w:highlight w:val="none"/>
                      <w:lang w:eastAsia="zh-CN"/>
                    </w:rPr>
                    <w:t>布袋除尘器</w:t>
                  </w:r>
                  <w:r>
                    <w:rPr>
                      <w:rFonts w:hint="eastAsia" w:cs="Times New Roman"/>
                      <w:color w:val="auto"/>
                      <w:sz w:val="21"/>
                      <w:szCs w:val="21"/>
                      <w:highlight w:val="none"/>
                      <w:lang w:val="en-US" w:eastAsia="zh-CN"/>
                    </w:rPr>
                    <w:t>+DA001排气筒</w:t>
                  </w:r>
                </w:p>
              </w:tc>
            </w:tr>
            <w:tr w14:paraId="3361A97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2A7D159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3854EA06">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1F5AC83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lang w:eastAsia="zh-CN"/>
                    </w:rPr>
                    <w:t>氟化物</w:t>
                  </w:r>
                </w:p>
              </w:tc>
              <w:tc>
                <w:tcPr>
                  <w:tcW w:w="1216" w:type="pct"/>
                  <w:gridSpan w:val="2"/>
                  <w:noWrap w:val="0"/>
                  <w:vAlign w:val="center"/>
                </w:tcPr>
                <w:p w14:paraId="52C44776">
                  <w:pPr>
                    <w:pStyle w:val="114"/>
                    <w:keepNext w:val="0"/>
                    <w:keepLines w:val="0"/>
                    <w:suppressLineNumbers w:val="0"/>
                    <w:spacing w:before="0" w:beforeAutospacing="0" w:after="0" w:afterAutospacing="0"/>
                    <w:ind w:left="0" w:right="0" w:firstLine="0" w:firstLineChars="0"/>
                    <w:rPr>
                      <w:rFonts w:hint="default" w:eastAsia="宋体" w:cs="Times New Roman"/>
                      <w:color w:val="auto"/>
                      <w:sz w:val="21"/>
                      <w:szCs w:val="21"/>
                      <w:highlight w:val="none"/>
                      <w:lang w:val="en-US" w:eastAsia="zh-CN"/>
                    </w:rPr>
                  </w:pPr>
                  <w:bookmarkStart w:id="163" w:name="_Toc28641"/>
                  <w:r>
                    <w:rPr>
                      <w:rFonts w:hint="default"/>
                      <w:color w:val="auto"/>
                      <w:highlight w:val="none"/>
                    </w:rPr>
                    <w:t>0.04</w:t>
                  </w:r>
                  <w:bookmarkEnd w:id="163"/>
                </w:p>
              </w:tc>
              <w:tc>
                <w:tcPr>
                  <w:tcW w:w="1182" w:type="pct"/>
                  <w:vMerge w:val="continue"/>
                  <w:noWrap w:val="0"/>
                  <w:vAlign w:val="center"/>
                </w:tcPr>
                <w:p w14:paraId="1BA1B473">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149A8C0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3721976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restart"/>
                  <w:noWrap w:val="0"/>
                  <w:vAlign w:val="center"/>
                </w:tcPr>
                <w:p w14:paraId="3EA4F50F">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olor w:val="auto"/>
                      <w:highlight w:val="none"/>
                    </w:rPr>
                    <w:t>烘干粉尘、天然气燃烧烟气</w:t>
                  </w:r>
                </w:p>
              </w:tc>
              <w:tc>
                <w:tcPr>
                  <w:tcW w:w="1183" w:type="pct"/>
                  <w:shd w:val="clear" w:color="auto" w:fill="auto"/>
                  <w:noWrap w:val="0"/>
                  <w:vAlign w:val="center"/>
                </w:tcPr>
                <w:p w14:paraId="09CF3B7D">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 w:val="0"/>
                      <w:color w:val="auto"/>
                      <w:kern w:val="2"/>
                      <w:sz w:val="21"/>
                      <w:szCs w:val="21"/>
                      <w:highlight w:val="none"/>
                      <w:lang w:val="en-US" w:eastAsia="zh-CN" w:bidi="ar-SA"/>
                    </w:rPr>
                  </w:pPr>
                  <w:bookmarkStart w:id="164" w:name="_Toc27082"/>
                  <w:r>
                    <w:rPr>
                      <w:rFonts w:hint="eastAsia" w:ascii="Times New Roman" w:hAnsi="Times New Roman" w:eastAsia="宋体" w:cs="Times New Roman"/>
                      <w:b w:val="0"/>
                      <w:color w:val="auto"/>
                      <w:kern w:val="2"/>
                      <w:sz w:val="21"/>
                      <w:szCs w:val="21"/>
                      <w:highlight w:val="none"/>
                      <w:lang w:val="en-US" w:eastAsia="zh-CN" w:bidi="ar-SA"/>
                    </w:rPr>
                    <w:t>颗粒物</w:t>
                  </w:r>
                  <w:bookmarkEnd w:id="164"/>
                </w:p>
              </w:tc>
              <w:tc>
                <w:tcPr>
                  <w:tcW w:w="1216" w:type="pct"/>
                  <w:gridSpan w:val="2"/>
                  <w:noWrap w:val="0"/>
                  <w:vAlign w:val="center"/>
                </w:tcPr>
                <w:p w14:paraId="0BD9BD99">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val="en-US" w:eastAsia="zh-CN"/>
                    </w:rPr>
                  </w:pPr>
                  <w:bookmarkStart w:id="165" w:name="_Toc32550"/>
                  <w:r>
                    <w:rPr>
                      <w:rFonts w:hint="default"/>
                      <w:color w:val="auto"/>
                      <w:highlight w:val="none"/>
                      <w:lang w:bidi="ar"/>
                    </w:rPr>
                    <w:t>0.52</w:t>
                  </w:r>
                  <w:bookmarkEnd w:id="165"/>
                </w:p>
              </w:tc>
              <w:tc>
                <w:tcPr>
                  <w:tcW w:w="1182" w:type="pct"/>
                  <w:vMerge w:val="restart"/>
                  <w:noWrap w:val="0"/>
                  <w:vAlign w:val="center"/>
                </w:tcPr>
                <w:p w14:paraId="07A04E66">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r>
                    <w:rPr>
                      <w:rFonts w:hint="eastAsia" w:cs="Times New Roman"/>
                      <w:color w:val="auto"/>
                      <w:sz w:val="21"/>
                      <w:szCs w:val="21"/>
                      <w:highlight w:val="none"/>
                      <w:lang w:eastAsia="zh-CN"/>
                    </w:rPr>
                    <w:t>布袋除尘器</w:t>
                  </w:r>
                  <w:r>
                    <w:rPr>
                      <w:rFonts w:hint="eastAsia" w:cs="Times New Roman"/>
                      <w:color w:val="auto"/>
                      <w:sz w:val="21"/>
                      <w:szCs w:val="21"/>
                      <w:highlight w:val="none"/>
                      <w:lang w:val="en-US" w:eastAsia="zh-CN"/>
                    </w:rPr>
                    <w:t>+DA002排气筒</w:t>
                  </w:r>
                </w:p>
              </w:tc>
            </w:tr>
            <w:tr w14:paraId="7BEAE2C6">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1F692C3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100AB0C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3F8AC66E">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imes New Roman"/>
                      <w:b w:val="0"/>
                      <w:color w:val="auto"/>
                      <w:kern w:val="2"/>
                      <w:sz w:val="21"/>
                      <w:szCs w:val="21"/>
                      <w:highlight w:val="none"/>
                      <w:lang w:val="en-US" w:eastAsia="zh-CN" w:bidi="ar-SA"/>
                    </w:rPr>
                  </w:pPr>
                  <w:bookmarkStart w:id="166" w:name="_Toc30972"/>
                  <w:r>
                    <w:rPr>
                      <w:rFonts w:hint="default"/>
                      <w:color w:val="auto"/>
                      <w:sz w:val="21"/>
                      <w:szCs w:val="21"/>
                      <w:highlight w:val="none"/>
                    </w:rPr>
                    <w:t>SO</w:t>
                  </w:r>
                  <w:r>
                    <w:rPr>
                      <w:rFonts w:hint="default"/>
                      <w:color w:val="auto"/>
                      <w:sz w:val="21"/>
                      <w:szCs w:val="21"/>
                      <w:highlight w:val="none"/>
                      <w:vertAlign w:val="subscript"/>
                    </w:rPr>
                    <w:t>2</w:t>
                  </w:r>
                  <w:bookmarkEnd w:id="166"/>
                </w:p>
              </w:tc>
              <w:tc>
                <w:tcPr>
                  <w:tcW w:w="1216" w:type="pct"/>
                  <w:gridSpan w:val="2"/>
                  <w:noWrap w:val="0"/>
                  <w:vAlign w:val="center"/>
                </w:tcPr>
                <w:p w14:paraId="5C6EF971">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val="en-US" w:eastAsia="zh-CN"/>
                    </w:rPr>
                  </w:pPr>
                  <w:bookmarkStart w:id="167" w:name="_Toc21546"/>
                  <w:r>
                    <w:rPr>
                      <w:rFonts w:hint="default"/>
                      <w:color w:val="auto"/>
                      <w:highlight w:val="none"/>
                      <w:lang w:bidi="ar"/>
                    </w:rPr>
                    <w:t>0.26</w:t>
                  </w:r>
                  <w:bookmarkEnd w:id="167"/>
                </w:p>
              </w:tc>
              <w:tc>
                <w:tcPr>
                  <w:tcW w:w="1182" w:type="pct"/>
                  <w:vMerge w:val="continue"/>
                  <w:noWrap w:val="0"/>
                  <w:vAlign w:val="center"/>
                </w:tcPr>
                <w:p w14:paraId="11D1289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3E91E0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3A8C3C6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3DD535A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322F1399">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 w:val="0"/>
                      <w:color w:val="auto"/>
                      <w:kern w:val="2"/>
                      <w:sz w:val="21"/>
                      <w:szCs w:val="21"/>
                      <w:highlight w:val="none"/>
                      <w:lang w:val="en-US" w:eastAsia="zh-CN" w:bidi="ar-SA"/>
                    </w:rPr>
                  </w:pPr>
                  <w:bookmarkStart w:id="168" w:name="_Toc17729"/>
                  <w:r>
                    <w:rPr>
                      <w:rFonts w:hint="default"/>
                      <w:color w:val="auto"/>
                      <w:sz w:val="21"/>
                      <w:szCs w:val="21"/>
                      <w:highlight w:val="none"/>
                    </w:rPr>
                    <w:t>NOx</w:t>
                  </w:r>
                  <w:bookmarkEnd w:id="168"/>
                </w:p>
              </w:tc>
              <w:tc>
                <w:tcPr>
                  <w:tcW w:w="1216" w:type="pct"/>
                  <w:gridSpan w:val="2"/>
                  <w:shd w:val="clear" w:color="auto" w:fill="auto"/>
                  <w:noWrap w:val="0"/>
                  <w:vAlign w:val="center"/>
                </w:tcPr>
                <w:p w14:paraId="680E93E2">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 w:val="0"/>
                      <w:color w:val="auto"/>
                      <w:kern w:val="2"/>
                      <w:sz w:val="21"/>
                      <w:szCs w:val="21"/>
                      <w:highlight w:val="none"/>
                      <w:lang w:val="en-US" w:eastAsia="zh-CN" w:bidi="ar-SA"/>
                    </w:rPr>
                  </w:pPr>
                  <w:bookmarkStart w:id="169" w:name="_Toc5128"/>
                  <w:r>
                    <w:rPr>
                      <w:rFonts w:hint="default"/>
                      <w:color w:val="auto"/>
                      <w:highlight w:val="none"/>
                      <w:lang w:bidi="ar"/>
                    </w:rPr>
                    <w:t>2.4</w:t>
                  </w:r>
                  <w:bookmarkEnd w:id="169"/>
                  <w:r>
                    <w:rPr>
                      <w:rFonts w:hint="eastAsia"/>
                      <w:color w:val="auto"/>
                      <w:highlight w:val="none"/>
                      <w:lang w:val="en-US" w:eastAsia="zh-CN" w:bidi="ar"/>
                    </w:rPr>
                    <w:t>2</w:t>
                  </w:r>
                </w:p>
              </w:tc>
              <w:tc>
                <w:tcPr>
                  <w:tcW w:w="1182" w:type="pct"/>
                  <w:vMerge w:val="continue"/>
                  <w:noWrap w:val="0"/>
                  <w:vAlign w:val="center"/>
                </w:tcPr>
                <w:p w14:paraId="6559203F">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44952CE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6433FA4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67251A2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03D91C30">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b w:val="0"/>
                      <w:color w:val="auto"/>
                      <w:kern w:val="2"/>
                      <w:sz w:val="21"/>
                      <w:szCs w:val="21"/>
                      <w:highlight w:val="none"/>
                      <w:lang w:val="en-US" w:eastAsia="zh-CN" w:bidi="ar-SA"/>
                    </w:rPr>
                  </w:pPr>
                  <w:bookmarkStart w:id="170" w:name="_Toc962"/>
                  <w:r>
                    <w:rPr>
                      <w:rFonts w:hint="eastAsia" w:cs="Times New Roman"/>
                      <w:b w:val="0"/>
                      <w:color w:val="auto"/>
                      <w:kern w:val="2"/>
                      <w:sz w:val="21"/>
                      <w:szCs w:val="21"/>
                      <w:highlight w:val="none"/>
                      <w:lang w:val="en-US" w:eastAsia="zh-CN" w:bidi="ar-SA"/>
                    </w:rPr>
                    <w:t>氟化物</w:t>
                  </w:r>
                  <w:bookmarkEnd w:id="170"/>
                </w:p>
              </w:tc>
              <w:tc>
                <w:tcPr>
                  <w:tcW w:w="1216" w:type="pct"/>
                  <w:gridSpan w:val="2"/>
                  <w:shd w:val="clear" w:color="auto" w:fill="auto"/>
                  <w:noWrap w:val="0"/>
                  <w:vAlign w:val="center"/>
                </w:tcPr>
                <w:p w14:paraId="46F9E815">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b w:val="0"/>
                      <w:color w:val="auto"/>
                      <w:kern w:val="2"/>
                      <w:sz w:val="21"/>
                      <w:szCs w:val="21"/>
                      <w:highlight w:val="none"/>
                      <w:lang w:val="en-US" w:eastAsia="zh-CN" w:bidi="ar-SA"/>
                    </w:rPr>
                  </w:pPr>
                  <w:bookmarkStart w:id="171" w:name="_Toc6613"/>
                  <w:r>
                    <w:rPr>
                      <w:rFonts w:hint="default"/>
                      <w:color w:val="auto"/>
                      <w:highlight w:val="none"/>
                      <w:lang w:bidi="ar"/>
                    </w:rPr>
                    <w:t>0.02</w:t>
                  </w:r>
                  <w:bookmarkEnd w:id="171"/>
                </w:p>
              </w:tc>
              <w:tc>
                <w:tcPr>
                  <w:tcW w:w="1182" w:type="pct"/>
                  <w:vMerge w:val="continue"/>
                  <w:noWrap w:val="0"/>
                  <w:vAlign w:val="center"/>
                </w:tcPr>
                <w:p w14:paraId="4046F86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66173F4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27D1FABF">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restart"/>
                  <w:noWrap w:val="0"/>
                  <w:vAlign w:val="center"/>
                </w:tcPr>
                <w:p w14:paraId="24166EE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lang w:eastAsia="zh-CN"/>
                    </w:rPr>
                    <w:t>无组织废气</w:t>
                  </w:r>
                </w:p>
              </w:tc>
              <w:tc>
                <w:tcPr>
                  <w:tcW w:w="1183" w:type="pct"/>
                  <w:shd w:val="clear" w:color="auto" w:fill="auto"/>
                  <w:noWrap w:val="0"/>
                  <w:vAlign w:val="center"/>
                </w:tcPr>
                <w:p w14:paraId="6DCC0948">
                  <w:pPr>
                    <w:pStyle w:val="114"/>
                    <w:keepNext w:val="0"/>
                    <w:keepLines w:val="0"/>
                    <w:suppressLineNumbers w:val="0"/>
                    <w:spacing w:before="0" w:beforeAutospacing="0" w:after="0" w:afterAutospacing="0"/>
                    <w:ind w:left="0" w:right="0" w:firstLine="0" w:firstLineChars="0"/>
                    <w:rPr>
                      <w:rFonts w:hint="eastAsia" w:cs="Times New Roman"/>
                      <w:b w:val="0"/>
                      <w:color w:val="auto"/>
                      <w:kern w:val="2"/>
                      <w:sz w:val="21"/>
                      <w:szCs w:val="21"/>
                      <w:highlight w:val="none"/>
                      <w:lang w:val="en-US" w:eastAsia="zh-CN" w:bidi="ar-SA"/>
                    </w:rPr>
                  </w:pPr>
                  <w:bookmarkStart w:id="172" w:name="_Toc31625"/>
                  <w:r>
                    <w:rPr>
                      <w:rFonts w:hint="default"/>
                      <w:color w:val="auto"/>
                      <w:highlight w:val="none"/>
                      <w:lang w:bidi="ar"/>
                    </w:rPr>
                    <w:t>颗粒物</w:t>
                  </w:r>
                  <w:bookmarkEnd w:id="172"/>
                </w:p>
              </w:tc>
              <w:tc>
                <w:tcPr>
                  <w:tcW w:w="1216" w:type="pct"/>
                  <w:gridSpan w:val="2"/>
                  <w:shd w:val="clear" w:color="auto" w:fill="auto"/>
                  <w:noWrap w:val="0"/>
                  <w:vAlign w:val="center"/>
                </w:tcPr>
                <w:p w14:paraId="01E7BB5D">
                  <w:pPr>
                    <w:pStyle w:val="114"/>
                    <w:keepNext w:val="0"/>
                    <w:keepLines w:val="0"/>
                    <w:suppressLineNumbers w:val="0"/>
                    <w:spacing w:before="0" w:beforeAutospacing="0" w:after="0" w:afterAutospacing="0"/>
                    <w:ind w:left="0" w:right="0" w:firstLine="0" w:firstLineChars="0"/>
                    <w:rPr>
                      <w:rFonts w:hint="default" w:eastAsia="宋体"/>
                      <w:color w:val="auto"/>
                      <w:highlight w:val="none"/>
                      <w:lang w:val="en-US" w:eastAsia="zh-CN" w:bidi="ar"/>
                    </w:rPr>
                  </w:pPr>
                  <w:r>
                    <w:rPr>
                      <w:rFonts w:hint="eastAsia"/>
                      <w:color w:val="auto"/>
                      <w:highlight w:val="none"/>
                      <w:lang w:val="en-US" w:eastAsia="zh-CN" w:bidi="ar"/>
                    </w:rPr>
                    <w:t>8.16</w:t>
                  </w:r>
                </w:p>
              </w:tc>
              <w:tc>
                <w:tcPr>
                  <w:tcW w:w="1182" w:type="pct"/>
                  <w:vMerge w:val="restart"/>
                  <w:noWrap w:val="0"/>
                  <w:vAlign w:val="center"/>
                </w:tcPr>
                <w:p w14:paraId="17C1C76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lang w:eastAsia="zh-CN"/>
                    </w:rPr>
                    <w:t>加强车间通风</w:t>
                  </w:r>
                </w:p>
              </w:tc>
            </w:tr>
            <w:tr w14:paraId="23B6EA39">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09ADF1F4">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3509B3D9">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7BE0FBAA">
                  <w:pPr>
                    <w:pStyle w:val="114"/>
                    <w:keepNext w:val="0"/>
                    <w:keepLines w:val="0"/>
                    <w:suppressLineNumbers w:val="0"/>
                    <w:spacing w:before="0" w:beforeAutospacing="0" w:after="0" w:afterAutospacing="0"/>
                    <w:ind w:left="0" w:right="0" w:firstLine="0" w:firstLineChars="0"/>
                    <w:rPr>
                      <w:rFonts w:hint="eastAsia" w:cs="Times New Roman"/>
                      <w:b w:val="0"/>
                      <w:color w:val="auto"/>
                      <w:kern w:val="2"/>
                      <w:sz w:val="21"/>
                      <w:szCs w:val="21"/>
                      <w:highlight w:val="none"/>
                      <w:lang w:val="en-US" w:eastAsia="zh-CN" w:bidi="ar-SA"/>
                    </w:rPr>
                  </w:pPr>
                  <w:bookmarkStart w:id="173" w:name="_Toc31006"/>
                  <w:r>
                    <w:rPr>
                      <w:rFonts w:hint="default"/>
                      <w:color w:val="auto"/>
                      <w:highlight w:val="none"/>
                    </w:rPr>
                    <w:t>SO</w:t>
                  </w:r>
                  <w:r>
                    <w:rPr>
                      <w:rFonts w:hint="default"/>
                      <w:color w:val="auto"/>
                      <w:highlight w:val="none"/>
                      <w:vertAlign w:val="subscript"/>
                    </w:rPr>
                    <w:t>2</w:t>
                  </w:r>
                  <w:bookmarkEnd w:id="173"/>
                </w:p>
              </w:tc>
              <w:tc>
                <w:tcPr>
                  <w:tcW w:w="1216" w:type="pct"/>
                  <w:gridSpan w:val="2"/>
                  <w:shd w:val="clear" w:color="auto" w:fill="auto"/>
                  <w:noWrap w:val="0"/>
                  <w:vAlign w:val="center"/>
                </w:tcPr>
                <w:p w14:paraId="5C6E1035">
                  <w:pPr>
                    <w:pStyle w:val="114"/>
                    <w:keepNext w:val="0"/>
                    <w:keepLines w:val="0"/>
                    <w:suppressLineNumbers w:val="0"/>
                    <w:spacing w:before="0" w:beforeAutospacing="0" w:after="0" w:afterAutospacing="0"/>
                    <w:ind w:left="0" w:right="0" w:firstLine="0" w:firstLineChars="0"/>
                    <w:rPr>
                      <w:rFonts w:hint="default" w:eastAsia="宋体"/>
                      <w:color w:val="auto"/>
                      <w:highlight w:val="none"/>
                      <w:lang w:val="en-US" w:eastAsia="zh-CN" w:bidi="ar"/>
                    </w:rPr>
                  </w:pPr>
                  <w:r>
                    <w:rPr>
                      <w:rFonts w:hint="eastAsia"/>
                      <w:color w:val="auto"/>
                      <w:highlight w:val="none"/>
                      <w:lang w:val="en-US" w:eastAsia="zh-CN" w:bidi="ar"/>
                    </w:rPr>
                    <w:t>0.01</w:t>
                  </w:r>
                </w:p>
              </w:tc>
              <w:tc>
                <w:tcPr>
                  <w:tcW w:w="1182" w:type="pct"/>
                  <w:vMerge w:val="continue"/>
                  <w:noWrap w:val="0"/>
                  <w:vAlign w:val="center"/>
                </w:tcPr>
                <w:p w14:paraId="08C4EF46">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7CAF854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3D4C1035">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1D2C501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7BF1CBF8">
                  <w:pPr>
                    <w:pStyle w:val="114"/>
                    <w:keepNext w:val="0"/>
                    <w:keepLines w:val="0"/>
                    <w:suppressLineNumbers w:val="0"/>
                    <w:spacing w:before="0" w:beforeAutospacing="0" w:after="0" w:afterAutospacing="0"/>
                    <w:ind w:left="0" w:right="0" w:firstLine="0" w:firstLineChars="0"/>
                    <w:rPr>
                      <w:rFonts w:hint="eastAsia" w:cs="Times New Roman"/>
                      <w:b w:val="0"/>
                      <w:color w:val="auto"/>
                      <w:kern w:val="2"/>
                      <w:sz w:val="21"/>
                      <w:szCs w:val="21"/>
                      <w:highlight w:val="none"/>
                      <w:lang w:val="en-US" w:eastAsia="zh-CN" w:bidi="ar-SA"/>
                    </w:rPr>
                  </w:pPr>
                  <w:bookmarkStart w:id="174" w:name="_Toc1057"/>
                  <w:r>
                    <w:rPr>
                      <w:rFonts w:hint="default"/>
                      <w:color w:val="auto"/>
                      <w:highlight w:val="none"/>
                    </w:rPr>
                    <w:t>NOx</w:t>
                  </w:r>
                  <w:bookmarkEnd w:id="174"/>
                </w:p>
              </w:tc>
              <w:tc>
                <w:tcPr>
                  <w:tcW w:w="1216" w:type="pct"/>
                  <w:gridSpan w:val="2"/>
                  <w:shd w:val="clear" w:color="auto" w:fill="auto"/>
                  <w:noWrap w:val="0"/>
                  <w:vAlign w:val="center"/>
                </w:tcPr>
                <w:p w14:paraId="071BEAAA">
                  <w:pPr>
                    <w:pStyle w:val="114"/>
                    <w:keepNext w:val="0"/>
                    <w:keepLines w:val="0"/>
                    <w:suppressLineNumbers w:val="0"/>
                    <w:spacing w:before="0" w:beforeAutospacing="0" w:after="0" w:afterAutospacing="0"/>
                    <w:ind w:left="0" w:right="0" w:firstLine="0" w:firstLineChars="0"/>
                    <w:rPr>
                      <w:rFonts w:hint="default" w:eastAsia="宋体"/>
                      <w:color w:val="auto"/>
                      <w:highlight w:val="none"/>
                      <w:lang w:val="en-US" w:eastAsia="zh-CN" w:bidi="ar"/>
                    </w:rPr>
                  </w:pPr>
                  <w:r>
                    <w:rPr>
                      <w:rFonts w:hint="eastAsia"/>
                      <w:color w:val="auto"/>
                      <w:highlight w:val="none"/>
                      <w:lang w:val="en-US" w:eastAsia="zh-CN" w:bidi="ar"/>
                    </w:rPr>
                    <w:t>0.13</w:t>
                  </w:r>
                </w:p>
              </w:tc>
              <w:tc>
                <w:tcPr>
                  <w:tcW w:w="1182" w:type="pct"/>
                  <w:vMerge w:val="continue"/>
                  <w:noWrap w:val="0"/>
                  <w:vAlign w:val="center"/>
                </w:tcPr>
                <w:p w14:paraId="12A05C55">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096A3AA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419" w:type="pct"/>
                  <w:vMerge w:val="continue"/>
                  <w:noWrap w:val="0"/>
                  <w:vAlign w:val="center"/>
                </w:tcPr>
                <w:p w14:paraId="6ACCB22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998" w:type="pct"/>
                  <w:gridSpan w:val="2"/>
                  <w:vMerge w:val="continue"/>
                  <w:noWrap w:val="0"/>
                  <w:vAlign w:val="center"/>
                </w:tcPr>
                <w:p w14:paraId="6DFC089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2CA80CAB">
                  <w:pPr>
                    <w:pStyle w:val="114"/>
                    <w:keepNext w:val="0"/>
                    <w:keepLines w:val="0"/>
                    <w:suppressLineNumbers w:val="0"/>
                    <w:spacing w:before="0" w:beforeAutospacing="0" w:after="0" w:afterAutospacing="0"/>
                    <w:ind w:left="0" w:right="0" w:firstLine="0" w:firstLineChars="0"/>
                    <w:rPr>
                      <w:rFonts w:hint="eastAsia" w:cs="Times New Roman"/>
                      <w:b w:val="0"/>
                      <w:color w:val="auto"/>
                      <w:kern w:val="2"/>
                      <w:sz w:val="21"/>
                      <w:szCs w:val="21"/>
                      <w:highlight w:val="none"/>
                      <w:lang w:val="en-US" w:eastAsia="zh-CN" w:bidi="ar-SA"/>
                    </w:rPr>
                  </w:pPr>
                  <w:bookmarkStart w:id="175" w:name="_Toc3745"/>
                  <w:r>
                    <w:rPr>
                      <w:rFonts w:hint="default"/>
                      <w:color w:val="auto"/>
                      <w:highlight w:val="none"/>
                      <w:lang w:bidi="ar"/>
                    </w:rPr>
                    <w:t>氟化物</w:t>
                  </w:r>
                  <w:bookmarkEnd w:id="175"/>
                </w:p>
              </w:tc>
              <w:tc>
                <w:tcPr>
                  <w:tcW w:w="1216" w:type="pct"/>
                  <w:gridSpan w:val="2"/>
                  <w:shd w:val="clear" w:color="auto" w:fill="auto"/>
                  <w:noWrap w:val="0"/>
                  <w:vAlign w:val="center"/>
                </w:tcPr>
                <w:p w14:paraId="4EC2C070">
                  <w:pPr>
                    <w:pStyle w:val="114"/>
                    <w:keepNext w:val="0"/>
                    <w:keepLines w:val="0"/>
                    <w:suppressLineNumbers w:val="0"/>
                    <w:spacing w:before="0" w:beforeAutospacing="0" w:after="0" w:afterAutospacing="0"/>
                    <w:ind w:left="0" w:right="0" w:firstLine="0" w:firstLineChars="0"/>
                    <w:rPr>
                      <w:rFonts w:hint="default" w:eastAsia="宋体"/>
                      <w:color w:val="auto"/>
                      <w:highlight w:val="none"/>
                      <w:lang w:val="en-US" w:eastAsia="zh-CN" w:bidi="ar"/>
                    </w:rPr>
                  </w:pPr>
                  <w:r>
                    <w:rPr>
                      <w:rFonts w:hint="eastAsia"/>
                      <w:color w:val="auto"/>
                      <w:highlight w:val="none"/>
                      <w:lang w:val="en-US" w:eastAsia="zh-CN" w:bidi="ar"/>
                    </w:rPr>
                    <w:t>0.32</w:t>
                  </w:r>
                </w:p>
              </w:tc>
              <w:tc>
                <w:tcPr>
                  <w:tcW w:w="1182" w:type="pct"/>
                  <w:vMerge w:val="continue"/>
                  <w:noWrap w:val="0"/>
                  <w:vAlign w:val="center"/>
                </w:tcPr>
                <w:p w14:paraId="523D537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27E3464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restart"/>
                  <w:noWrap w:val="0"/>
                  <w:vAlign w:val="center"/>
                </w:tcPr>
                <w:p w14:paraId="60D1DAD9">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废水</w:t>
                  </w:r>
                </w:p>
              </w:tc>
              <w:tc>
                <w:tcPr>
                  <w:tcW w:w="1183" w:type="pct"/>
                  <w:noWrap w:val="0"/>
                  <w:vAlign w:val="center"/>
                </w:tcPr>
                <w:p w14:paraId="1B7987AC">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宋体" w:cs="Times New Roman"/>
                      <w:color w:val="auto"/>
                      <w:sz w:val="21"/>
                      <w:szCs w:val="21"/>
                      <w:highlight w:val="none"/>
                      <w:lang w:val="en-US" w:eastAsia="zh-CN"/>
                    </w:rPr>
                  </w:pPr>
                  <w:r>
                    <w:rPr>
                      <w:rFonts w:hint="eastAsia" w:cs="Times New Roman"/>
                      <w:color w:val="auto"/>
                      <w:sz w:val="21"/>
                      <w:szCs w:val="21"/>
                      <w:highlight w:val="none"/>
                      <w:lang w:eastAsia="zh-CN"/>
                    </w:rPr>
                    <w:t>废水排放量</w:t>
                  </w:r>
                  <w:r>
                    <w:rPr>
                      <w:rFonts w:hint="eastAsia" w:cs="Times New Roman"/>
                      <w:color w:val="auto"/>
                      <w:sz w:val="21"/>
                      <w:szCs w:val="21"/>
                      <w:highlight w:val="none"/>
                      <w:lang w:val="en-US" w:eastAsia="zh-CN"/>
                    </w:rPr>
                    <w:t>m</w:t>
                  </w:r>
                  <w:r>
                    <w:rPr>
                      <w:rFonts w:hint="eastAsia" w:cs="Times New Roman"/>
                      <w:color w:val="auto"/>
                      <w:sz w:val="21"/>
                      <w:szCs w:val="21"/>
                      <w:highlight w:val="none"/>
                      <w:vertAlign w:val="superscript"/>
                      <w:lang w:val="en-US" w:eastAsia="zh-CN"/>
                    </w:rPr>
                    <w:t>3</w:t>
                  </w:r>
                  <w:r>
                    <w:rPr>
                      <w:rFonts w:hint="eastAsia" w:cs="Times New Roman"/>
                      <w:color w:val="auto"/>
                      <w:sz w:val="21"/>
                      <w:szCs w:val="21"/>
                      <w:highlight w:val="none"/>
                      <w:lang w:val="en-US" w:eastAsia="zh-CN"/>
                    </w:rPr>
                    <w:t>/a</w:t>
                  </w:r>
                </w:p>
              </w:tc>
              <w:tc>
                <w:tcPr>
                  <w:tcW w:w="1216" w:type="pct"/>
                  <w:gridSpan w:val="2"/>
                  <w:noWrap w:val="0"/>
                  <w:vAlign w:val="center"/>
                </w:tcPr>
                <w:p w14:paraId="344B7E27">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768</w:t>
                  </w:r>
                </w:p>
              </w:tc>
              <w:tc>
                <w:tcPr>
                  <w:tcW w:w="1182" w:type="pct"/>
                  <w:vMerge w:val="restart"/>
                  <w:noWrap w:val="0"/>
                  <w:vAlign w:val="center"/>
                </w:tcPr>
                <w:p w14:paraId="65C90AB6">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rPr>
                    <w:t>由</w:t>
                  </w:r>
                  <w:r>
                    <w:rPr>
                      <w:rFonts w:hint="eastAsia" w:cs="Times New Roman"/>
                      <w:color w:val="auto"/>
                      <w:sz w:val="21"/>
                      <w:szCs w:val="21"/>
                      <w:highlight w:val="none"/>
                      <w:lang w:eastAsia="zh-CN"/>
                    </w:rPr>
                    <w:t>隔油池</w:t>
                  </w:r>
                  <w:r>
                    <w:rPr>
                      <w:rFonts w:hint="eastAsia" w:cs="Times New Roman"/>
                      <w:color w:val="auto"/>
                      <w:sz w:val="21"/>
                      <w:szCs w:val="21"/>
                      <w:highlight w:val="none"/>
                      <w:lang w:val="en-US" w:eastAsia="zh-CN"/>
                    </w:rPr>
                    <w:t>+</w:t>
                  </w:r>
                  <w:r>
                    <w:rPr>
                      <w:rFonts w:hint="default" w:cs="Times New Roman"/>
                      <w:color w:val="auto"/>
                      <w:sz w:val="21"/>
                      <w:szCs w:val="21"/>
                      <w:highlight w:val="none"/>
                    </w:rPr>
                    <w:t>化粪池</w:t>
                  </w:r>
                  <w:r>
                    <w:rPr>
                      <w:rFonts w:hint="eastAsia" w:cs="Times New Roman"/>
                      <w:color w:val="auto"/>
                      <w:sz w:val="21"/>
                      <w:szCs w:val="21"/>
                      <w:highlight w:val="none"/>
                    </w:rPr>
                    <w:t>处理后排</w:t>
                  </w:r>
                  <w:r>
                    <w:rPr>
                      <w:rFonts w:hint="eastAsia" w:cs="Times New Roman"/>
                      <w:color w:val="auto"/>
                      <w:sz w:val="21"/>
                      <w:szCs w:val="21"/>
                      <w:highlight w:val="none"/>
                      <w:lang w:eastAsia="zh-CN"/>
                    </w:rPr>
                    <w:t>入</w:t>
                  </w:r>
                  <w:r>
                    <w:rPr>
                      <w:rFonts w:hint="default"/>
                      <w:color w:val="auto"/>
                      <w:highlight w:val="none"/>
                    </w:rPr>
                    <w:t>建筑陶瓷产业基地污水处理厂</w:t>
                  </w:r>
                </w:p>
              </w:tc>
            </w:tr>
            <w:tr w14:paraId="1E370D7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45478D6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01239EC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rPr>
                    <w:t>COD</w:t>
                  </w:r>
                  <w:r>
                    <w:rPr>
                      <w:rFonts w:hint="eastAsia" w:cs="Times New Roman"/>
                      <w:color w:val="auto"/>
                      <w:sz w:val="21"/>
                      <w:szCs w:val="21"/>
                      <w:highlight w:val="none"/>
                      <w:vertAlign w:val="subscript"/>
                    </w:rPr>
                    <w:t>C</w:t>
                  </w:r>
                  <w:r>
                    <w:rPr>
                      <w:rFonts w:hint="default" w:cs="Times New Roman"/>
                      <w:color w:val="auto"/>
                      <w:sz w:val="21"/>
                      <w:szCs w:val="21"/>
                      <w:highlight w:val="none"/>
                      <w:vertAlign w:val="subscript"/>
                    </w:rPr>
                    <w:t>r</w:t>
                  </w:r>
                </w:p>
              </w:tc>
              <w:tc>
                <w:tcPr>
                  <w:tcW w:w="1216" w:type="pct"/>
                  <w:gridSpan w:val="2"/>
                  <w:shd w:val="clear" w:color="auto" w:fill="auto"/>
                  <w:noWrap w:val="0"/>
                  <w:vAlign w:val="center"/>
                </w:tcPr>
                <w:p w14:paraId="06A566DB">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kern w:val="2"/>
                      <w:sz w:val="21"/>
                      <w:szCs w:val="21"/>
                      <w:highlight w:val="none"/>
                      <w:lang w:val="en-US" w:eastAsia="zh-CN" w:bidi="ar-SA"/>
                    </w:rPr>
                  </w:pPr>
                  <w:bookmarkStart w:id="176" w:name="_Toc21569"/>
                  <w:r>
                    <w:rPr>
                      <w:rFonts w:hint="default"/>
                      <w:color w:val="auto"/>
                      <w:highlight w:val="none"/>
                    </w:rPr>
                    <w:t>0.1</w:t>
                  </w:r>
                  <w:r>
                    <w:rPr>
                      <w:rFonts w:hint="eastAsia"/>
                      <w:color w:val="auto"/>
                      <w:highlight w:val="none"/>
                      <w:lang w:val="en-US" w:eastAsia="zh-CN"/>
                    </w:rPr>
                    <w:t>3</w:t>
                  </w:r>
                  <w:bookmarkEnd w:id="176"/>
                </w:p>
              </w:tc>
              <w:tc>
                <w:tcPr>
                  <w:tcW w:w="1182" w:type="pct"/>
                  <w:vMerge w:val="continue"/>
                  <w:noWrap w:val="0"/>
                  <w:vAlign w:val="center"/>
                </w:tcPr>
                <w:p w14:paraId="44FE480C">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4DAD1B60">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33AE1CCB">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3BC81C9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BOD</w:t>
                  </w:r>
                  <w:r>
                    <w:rPr>
                      <w:rFonts w:hint="default" w:cs="Times New Roman"/>
                      <w:color w:val="auto"/>
                      <w:sz w:val="21"/>
                      <w:szCs w:val="21"/>
                      <w:highlight w:val="none"/>
                      <w:vertAlign w:val="subscript"/>
                    </w:rPr>
                    <w:t>5</w:t>
                  </w:r>
                </w:p>
              </w:tc>
              <w:tc>
                <w:tcPr>
                  <w:tcW w:w="1216" w:type="pct"/>
                  <w:gridSpan w:val="2"/>
                  <w:noWrap w:val="0"/>
                  <w:vAlign w:val="center"/>
                </w:tcPr>
                <w:p w14:paraId="559F136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highlight w:val="none"/>
                      <w:lang w:eastAsia="zh-CN"/>
                    </w:rPr>
                  </w:pPr>
                  <w:bookmarkStart w:id="177" w:name="_Toc18913"/>
                  <w:r>
                    <w:rPr>
                      <w:rFonts w:hint="default"/>
                      <w:color w:val="auto"/>
                      <w:highlight w:val="none"/>
                    </w:rPr>
                    <w:t>0.08</w:t>
                  </w:r>
                  <w:bookmarkEnd w:id="177"/>
                </w:p>
              </w:tc>
              <w:tc>
                <w:tcPr>
                  <w:tcW w:w="1182" w:type="pct"/>
                  <w:vMerge w:val="continue"/>
                  <w:noWrap w:val="0"/>
                  <w:vAlign w:val="center"/>
                </w:tcPr>
                <w:p w14:paraId="5020C422">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559CED3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42013B4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76627CC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SS</w:t>
                  </w:r>
                </w:p>
              </w:tc>
              <w:tc>
                <w:tcPr>
                  <w:tcW w:w="1216" w:type="pct"/>
                  <w:gridSpan w:val="2"/>
                  <w:noWrap w:val="0"/>
                  <w:vAlign w:val="center"/>
                </w:tcPr>
                <w:p w14:paraId="6701524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sz w:val="21"/>
                      <w:szCs w:val="21"/>
                      <w:highlight w:val="none"/>
                      <w:lang w:eastAsia="zh-CN"/>
                    </w:rPr>
                  </w:pPr>
                  <w:bookmarkStart w:id="178" w:name="_Toc3945"/>
                  <w:r>
                    <w:rPr>
                      <w:rFonts w:hint="default"/>
                      <w:color w:val="auto"/>
                      <w:highlight w:val="none"/>
                    </w:rPr>
                    <w:t>0.11</w:t>
                  </w:r>
                  <w:bookmarkEnd w:id="178"/>
                </w:p>
              </w:tc>
              <w:tc>
                <w:tcPr>
                  <w:tcW w:w="1182" w:type="pct"/>
                  <w:vMerge w:val="continue"/>
                  <w:noWrap w:val="0"/>
                  <w:vAlign w:val="center"/>
                </w:tcPr>
                <w:p w14:paraId="29F3C35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30F4E24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476B8A35">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4CC27834">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imes New Roman"/>
                      <w:color w:val="auto"/>
                      <w:kern w:val="2"/>
                      <w:sz w:val="21"/>
                      <w:szCs w:val="21"/>
                      <w:highlight w:val="none"/>
                      <w:lang w:val="en-US" w:eastAsia="zh-CN" w:bidi="ar-SA"/>
                    </w:rPr>
                  </w:pPr>
                  <w:r>
                    <w:rPr>
                      <w:rFonts w:hint="default" w:cs="Times New Roman"/>
                      <w:color w:val="auto"/>
                      <w:sz w:val="21"/>
                      <w:szCs w:val="21"/>
                      <w:highlight w:val="none"/>
                    </w:rPr>
                    <w:t>NH</w:t>
                  </w:r>
                  <w:r>
                    <w:rPr>
                      <w:rFonts w:hint="default" w:cs="Times New Roman"/>
                      <w:color w:val="auto"/>
                      <w:sz w:val="21"/>
                      <w:szCs w:val="21"/>
                      <w:highlight w:val="none"/>
                      <w:vertAlign w:val="subscript"/>
                    </w:rPr>
                    <w:t>3</w:t>
                  </w:r>
                  <w:r>
                    <w:rPr>
                      <w:rFonts w:hint="default" w:cs="Times New Roman"/>
                      <w:color w:val="auto"/>
                      <w:sz w:val="21"/>
                      <w:szCs w:val="21"/>
                      <w:highlight w:val="none"/>
                    </w:rPr>
                    <w:t>-N</w:t>
                  </w:r>
                </w:p>
              </w:tc>
              <w:tc>
                <w:tcPr>
                  <w:tcW w:w="1216" w:type="pct"/>
                  <w:gridSpan w:val="2"/>
                  <w:shd w:val="clear" w:color="auto" w:fill="auto"/>
                  <w:noWrap w:val="0"/>
                  <w:vAlign w:val="center"/>
                </w:tcPr>
                <w:p w14:paraId="5E23760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bookmarkStart w:id="179" w:name="_Toc28175"/>
                  <w:r>
                    <w:rPr>
                      <w:rFonts w:hint="default"/>
                      <w:color w:val="auto"/>
                      <w:highlight w:val="none"/>
                    </w:rPr>
                    <w:t>0.0</w:t>
                  </w:r>
                  <w:r>
                    <w:rPr>
                      <w:rFonts w:hint="eastAsia"/>
                      <w:color w:val="auto"/>
                      <w:highlight w:val="none"/>
                      <w:lang w:val="en-US" w:eastAsia="zh-CN"/>
                    </w:rPr>
                    <w:t>19</w:t>
                  </w:r>
                  <w:bookmarkEnd w:id="179"/>
                </w:p>
              </w:tc>
              <w:tc>
                <w:tcPr>
                  <w:tcW w:w="1182" w:type="pct"/>
                  <w:vMerge w:val="continue"/>
                  <w:noWrap w:val="0"/>
                  <w:vAlign w:val="center"/>
                </w:tcPr>
                <w:p w14:paraId="4DE4C7C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3BA4EFE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66F78063">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5AB91C1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TP</w:t>
                  </w:r>
                </w:p>
              </w:tc>
              <w:tc>
                <w:tcPr>
                  <w:tcW w:w="1216" w:type="pct"/>
                  <w:gridSpan w:val="2"/>
                  <w:noWrap w:val="0"/>
                  <w:vAlign w:val="center"/>
                </w:tcPr>
                <w:p w14:paraId="6248C983">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bookmarkStart w:id="180" w:name="_Toc7441"/>
                  <w:r>
                    <w:rPr>
                      <w:rFonts w:hint="default"/>
                      <w:color w:val="auto"/>
                      <w:highlight w:val="none"/>
                    </w:rPr>
                    <w:t>0.00</w:t>
                  </w:r>
                  <w:r>
                    <w:rPr>
                      <w:rFonts w:hint="eastAsia"/>
                      <w:color w:val="auto"/>
                      <w:highlight w:val="none"/>
                      <w:lang w:val="en-US" w:eastAsia="zh-CN"/>
                    </w:rPr>
                    <w:t>08</w:t>
                  </w:r>
                  <w:bookmarkEnd w:id="180"/>
                </w:p>
              </w:tc>
              <w:tc>
                <w:tcPr>
                  <w:tcW w:w="1182" w:type="pct"/>
                  <w:vMerge w:val="continue"/>
                  <w:noWrap w:val="0"/>
                  <w:vAlign w:val="center"/>
                </w:tcPr>
                <w:p w14:paraId="5E1B26D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67A314A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4" w:hRule="atLeast"/>
                <w:jc w:val="center"/>
              </w:trPr>
              <w:tc>
                <w:tcPr>
                  <w:tcW w:w="1417" w:type="pct"/>
                  <w:gridSpan w:val="3"/>
                  <w:vMerge w:val="continue"/>
                  <w:noWrap w:val="0"/>
                  <w:vAlign w:val="center"/>
                </w:tcPr>
                <w:p w14:paraId="73F6F1B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4D7AE795">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TN</w:t>
                  </w:r>
                </w:p>
              </w:tc>
              <w:tc>
                <w:tcPr>
                  <w:tcW w:w="1216" w:type="pct"/>
                  <w:gridSpan w:val="2"/>
                  <w:noWrap w:val="0"/>
                  <w:vAlign w:val="center"/>
                </w:tcPr>
                <w:p w14:paraId="164C85C4">
                  <w:pPr>
                    <w:pStyle w:val="114"/>
                    <w:keepNext w:val="0"/>
                    <w:keepLines w:val="0"/>
                    <w:suppressLineNumbers w:val="0"/>
                    <w:spacing w:before="0" w:beforeAutospacing="0" w:after="0" w:afterAutospacing="0"/>
                    <w:ind w:left="0" w:right="0" w:firstLine="0" w:firstLineChars="0"/>
                    <w:rPr>
                      <w:rFonts w:hint="eastAsia" w:ascii="Times New Roman" w:hAnsi="Times New Roman" w:eastAsia="宋体" w:cs="Times New Roman"/>
                      <w:color w:val="auto"/>
                      <w:kern w:val="2"/>
                      <w:sz w:val="21"/>
                      <w:szCs w:val="21"/>
                      <w:highlight w:val="none"/>
                      <w:lang w:val="en-US" w:eastAsia="zh-CN" w:bidi="ar-SA"/>
                    </w:rPr>
                  </w:pPr>
                  <w:bookmarkStart w:id="181" w:name="_Toc25885"/>
                  <w:r>
                    <w:rPr>
                      <w:rFonts w:hint="default"/>
                      <w:color w:val="auto"/>
                      <w:highlight w:val="none"/>
                    </w:rPr>
                    <w:t>0.02</w:t>
                  </w:r>
                  <w:r>
                    <w:rPr>
                      <w:rFonts w:hint="eastAsia"/>
                      <w:color w:val="auto"/>
                      <w:highlight w:val="none"/>
                      <w:lang w:val="en-US" w:eastAsia="zh-CN"/>
                    </w:rPr>
                    <w:t>3</w:t>
                  </w:r>
                  <w:bookmarkEnd w:id="181"/>
                </w:p>
              </w:tc>
              <w:tc>
                <w:tcPr>
                  <w:tcW w:w="1182" w:type="pct"/>
                  <w:vMerge w:val="continue"/>
                  <w:noWrap w:val="0"/>
                  <w:vAlign w:val="center"/>
                </w:tcPr>
                <w:p w14:paraId="629E25D5">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0D8C397E">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24" w:hRule="atLeast"/>
                <w:jc w:val="center"/>
              </w:trPr>
              <w:tc>
                <w:tcPr>
                  <w:tcW w:w="1417" w:type="pct"/>
                  <w:gridSpan w:val="3"/>
                  <w:vMerge w:val="continue"/>
                  <w:noWrap w:val="0"/>
                  <w:vAlign w:val="center"/>
                </w:tcPr>
                <w:p w14:paraId="3B8F42AE">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shd w:val="clear" w:color="auto" w:fill="auto"/>
                  <w:noWrap w:val="0"/>
                  <w:vAlign w:val="center"/>
                </w:tcPr>
                <w:p w14:paraId="3C9CA6F9">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eastAsia="zh-CN"/>
                    </w:rPr>
                    <w:t>动植物油</w:t>
                  </w:r>
                </w:p>
              </w:tc>
              <w:tc>
                <w:tcPr>
                  <w:tcW w:w="1216" w:type="pct"/>
                  <w:gridSpan w:val="2"/>
                  <w:shd w:val="clear" w:color="auto" w:fill="auto"/>
                  <w:noWrap w:val="0"/>
                  <w:vAlign w:val="center"/>
                </w:tcPr>
                <w:p w14:paraId="34C7B7DE">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auto"/>
                      <w:kern w:val="2"/>
                      <w:sz w:val="21"/>
                      <w:szCs w:val="21"/>
                      <w:highlight w:val="none"/>
                      <w:lang w:val="en-US" w:eastAsia="zh-CN" w:bidi="ar-SA"/>
                    </w:rPr>
                  </w:pPr>
                  <w:bookmarkStart w:id="182" w:name="_Toc11249"/>
                  <w:r>
                    <w:rPr>
                      <w:rFonts w:hint="default"/>
                      <w:color w:val="auto"/>
                      <w:highlight w:val="none"/>
                    </w:rPr>
                    <w:t>0.</w:t>
                  </w:r>
                  <w:r>
                    <w:rPr>
                      <w:rFonts w:hint="eastAsia"/>
                      <w:color w:val="auto"/>
                      <w:highlight w:val="none"/>
                      <w:lang w:val="en-US" w:eastAsia="zh-CN"/>
                    </w:rPr>
                    <w:t>038</w:t>
                  </w:r>
                  <w:bookmarkEnd w:id="182"/>
                </w:p>
              </w:tc>
              <w:tc>
                <w:tcPr>
                  <w:tcW w:w="1182" w:type="pct"/>
                  <w:vMerge w:val="continue"/>
                  <w:noWrap w:val="0"/>
                  <w:vAlign w:val="center"/>
                </w:tcPr>
                <w:p w14:paraId="44E9EDB1">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r>
            <w:tr w14:paraId="549FED7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5" w:hRule="atLeast"/>
                <w:jc w:val="center"/>
              </w:trPr>
              <w:tc>
                <w:tcPr>
                  <w:tcW w:w="708" w:type="pct"/>
                  <w:gridSpan w:val="2"/>
                  <w:vMerge w:val="restart"/>
                  <w:noWrap w:val="0"/>
                  <w:vAlign w:val="center"/>
                </w:tcPr>
                <w:p w14:paraId="549BE213">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eastAsia="zh-CN"/>
                    </w:rPr>
                  </w:pPr>
                  <w:r>
                    <w:rPr>
                      <w:rFonts w:hint="eastAsia" w:cs="Times New Roman"/>
                      <w:color w:val="auto"/>
                      <w:sz w:val="21"/>
                      <w:szCs w:val="21"/>
                      <w:highlight w:val="none"/>
                      <w:lang w:eastAsia="zh-CN"/>
                    </w:rPr>
                    <w:t>噪声</w:t>
                  </w:r>
                </w:p>
              </w:tc>
              <w:tc>
                <w:tcPr>
                  <w:tcW w:w="709" w:type="pct"/>
                  <w:noWrap w:val="0"/>
                  <w:vAlign w:val="center"/>
                </w:tcPr>
                <w:p w14:paraId="2A9905B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lang w:eastAsia="zh-CN"/>
                    </w:rPr>
                  </w:pPr>
                  <w:r>
                    <w:rPr>
                      <w:rFonts w:hint="eastAsia" w:cs="Times New Roman"/>
                      <w:color w:val="auto"/>
                      <w:sz w:val="21"/>
                      <w:szCs w:val="21"/>
                      <w:highlight w:val="none"/>
                      <w:lang w:eastAsia="zh-CN"/>
                    </w:rPr>
                    <w:t>方位</w:t>
                  </w:r>
                </w:p>
              </w:tc>
              <w:tc>
                <w:tcPr>
                  <w:tcW w:w="1183" w:type="pct"/>
                  <w:vMerge w:val="restart"/>
                  <w:noWrap w:val="0"/>
                  <w:vAlign w:val="center"/>
                </w:tcPr>
                <w:p w14:paraId="3DA64269">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eastAsia" w:ascii="Times New Roman" w:hAnsi="Times New Roman" w:eastAsia="宋体" w:cs="Times New Roman"/>
                      <w:color w:val="auto"/>
                      <w:sz w:val="21"/>
                      <w:szCs w:val="21"/>
                      <w:highlight w:val="none"/>
                      <w:lang w:eastAsia="zh-CN"/>
                    </w:rPr>
                    <w:t>等效</w:t>
                  </w:r>
                  <w:r>
                    <w:rPr>
                      <w:rFonts w:hint="eastAsia" w:ascii="Times New Roman" w:hAnsi="Times New Roman" w:eastAsia="宋体" w:cs="Times New Roman"/>
                      <w:color w:val="auto"/>
                      <w:sz w:val="21"/>
                      <w:szCs w:val="21"/>
                      <w:highlight w:val="none"/>
                      <w:lang w:val="en-US" w:eastAsia="zh-CN"/>
                    </w:rPr>
                    <w:t>A声级</w:t>
                  </w:r>
                </w:p>
              </w:tc>
              <w:tc>
                <w:tcPr>
                  <w:tcW w:w="611" w:type="pct"/>
                  <w:noWrap w:val="0"/>
                  <w:vAlign w:val="center"/>
                </w:tcPr>
                <w:p w14:paraId="14AE57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昼间</w:t>
                  </w:r>
                </w:p>
              </w:tc>
              <w:tc>
                <w:tcPr>
                  <w:tcW w:w="605" w:type="pct"/>
                  <w:noWrap w:val="0"/>
                  <w:vAlign w:val="center"/>
                </w:tcPr>
                <w:p w14:paraId="6CA438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夜间</w:t>
                  </w:r>
                </w:p>
              </w:tc>
              <w:tc>
                <w:tcPr>
                  <w:tcW w:w="1182" w:type="pct"/>
                  <w:vMerge w:val="restart"/>
                  <w:noWrap w:val="0"/>
                  <w:vAlign w:val="center"/>
                </w:tcPr>
                <w:p w14:paraId="7A21B693">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采取隔声、减振等降噪措施</w:t>
                  </w:r>
                </w:p>
              </w:tc>
            </w:tr>
            <w:tr w14:paraId="29064BB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5" w:hRule="atLeast"/>
                <w:jc w:val="center"/>
              </w:trPr>
              <w:tc>
                <w:tcPr>
                  <w:tcW w:w="708" w:type="pct"/>
                  <w:gridSpan w:val="2"/>
                  <w:vMerge w:val="continue"/>
                  <w:noWrap w:val="0"/>
                  <w:vAlign w:val="center"/>
                </w:tcPr>
                <w:p w14:paraId="49067F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709" w:type="pct"/>
                  <w:shd w:val="clear" w:color="auto" w:fill="auto"/>
                  <w:noWrap w:val="0"/>
                  <w:vAlign w:val="center"/>
                </w:tcPr>
                <w:p w14:paraId="02522F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东</w:t>
                  </w:r>
                </w:p>
              </w:tc>
              <w:tc>
                <w:tcPr>
                  <w:tcW w:w="1183" w:type="pct"/>
                  <w:vMerge w:val="continue"/>
                  <w:noWrap w:val="0"/>
                  <w:vAlign w:val="center"/>
                </w:tcPr>
                <w:p w14:paraId="0A8C14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611" w:type="pct"/>
                  <w:noWrap w:val="0"/>
                  <w:vAlign w:val="center"/>
                </w:tcPr>
                <w:p w14:paraId="0EE173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48.25</w:t>
                  </w:r>
                </w:p>
              </w:tc>
              <w:tc>
                <w:tcPr>
                  <w:tcW w:w="605" w:type="pct"/>
                  <w:noWrap w:val="0"/>
                  <w:vAlign w:val="center"/>
                </w:tcPr>
                <w:p w14:paraId="50300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48.25</w:t>
                  </w:r>
                </w:p>
              </w:tc>
              <w:tc>
                <w:tcPr>
                  <w:tcW w:w="1182" w:type="pct"/>
                  <w:vMerge w:val="continue"/>
                  <w:noWrap w:val="0"/>
                  <w:vAlign w:val="center"/>
                </w:tcPr>
                <w:p w14:paraId="645D2F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r>
            <w:tr w14:paraId="441DB3A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5" w:hRule="atLeast"/>
                <w:jc w:val="center"/>
              </w:trPr>
              <w:tc>
                <w:tcPr>
                  <w:tcW w:w="708" w:type="pct"/>
                  <w:gridSpan w:val="2"/>
                  <w:vMerge w:val="continue"/>
                  <w:noWrap w:val="0"/>
                  <w:vAlign w:val="center"/>
                </w:tcPr>
                <w:p w14:paraId="03E144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709" w:type="pct"/>
                  <w:shd w:val="clear" w:color="auto" w:fill="auto"/>
                  <w:noWrap w:val="0"/>
                  <w:vAlign w:val="center"/>
                </w:tcPr>
                <w:p w14:paraId="39E803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南</w:t>
                  </w:r>
                </w:p>
              </w:tc>
              <w:tc>
                <w:tcPr>
                  <w:tcW w:w="1183" w:type="pct"/>
                  <w:vMerge w:val="continue"/>
                  <w:noWrap w:val="0"/>
                  <w:vAlign w:val="center"/>
                </w:tcPr>
                <w:p w14:paraId="00F85B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611" w:type="pct"/>
                  <w:noWrap w:val="0"/>
                  <w:vAlign w:val="center"/>
                </w:tcPr>
                <w:p w14:paraId="1980C4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51.20</w:t>
                  </w:r>
                </w:p>
              </w:tc>
              <w:tc>
                <w:tcPr>
                  <w:tcW w:w="605" w:type="pct"/>
                  <w:noWrap w:val="0"/>
                  <w:vAlign w:val="center"/>
                </w:tcPr>
                <w:p w14:paraId="0680A8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51.20</w:t>
                  </w:r>
                </w:p>
              </w:tc>
              <w:tc>
                <w:tcPr>
                  <w:tcW w:w="1182" w:type="pct"/>
                  <w:vMerge w:val="continue"/>
                  <w:noWrap w:val="0"/>
                  <w:vAlign w:val="center"/>
                </w:tcPr>
                <w:p w14:paraId="449141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r>
            <w:tr w14:paraId="4616CF0F">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5" w:hRule="atLeast"/>
                <w:jc w:val="center"/>
              </w:trPr>
              <w:tc>
                <w:tcPr>
                  <w:tcW w:w="708" w:type="pct"/>
                  <w:gridSpan w:val="2"/>
                  <w:vMerge w:val="continue"/>
                  <w:noWrap w:val="0"/>
                  <w:vAlign w:val="center"/>
                </w:tcPr>
                <w:p w14:paraId="79709A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709" w:type="pct"/>
                  <w:shd w:val="clear" w:color="auto" w:fill="auto"/>
                  <w:noWrap w:val="0"/>
                  <w:vAlign w:val="center"/>
                </w:tcPr>
                <w:p w14:paraId="08B68C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西</w:t>
                  </w:r>
                </w:p>
              </w:tc>
              <w:tc>
                <w:tcPr>
                  <w:tcW w:w="1183" w:type="pct"/>
                  <w:vMerge w:val="continue"/>
                  <w:noWrap w:val="0"/>
                  <w:vAlign w:val="center"/>
                </w:tcPr>
                <w:p w14:paraId="04F5C4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611" w:type="pct"/>
                  <w:noWrap w:val="0"/>
                  <w:vAlign w:val="center"/>
                </w:tcPr>
                <w:p w14:paraId="488DA6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48.58</w:t>
                  </w:r>
                </w:p>
              </w:tc>
              <w:tc>
                <w:tcPr>
                  <w:tcW w:w="605" w:type="pct"/>
                  <w:noWrap w:val="0"/>
                  <w:vAlign w:val="center"/>
                </w:tcPr>
                <w:p w14:paraId="3BD812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48.58</w:t>
                  </w:r>
                </w:p>
              </w:tc>
              <w:tc>
                <w:tcPr>
                  <w:tcW w:w="1182" w:type="pct"/>
                  <w:vMerge w:val="continue"/>
                  <w:noWrap w:val="0"/>
                  <w:vAlign w:val="center"/>
                </w:tcPr>
                <w:p w14:paraId="2047AB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r>
            <w:tr w14:paraId="44672B9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215" w:hRule="atLeast"/>
                <w:jc w:val="center"/>
              </w:trPr>
              <w:tc>
                <w:tcPr>
                  <w:tcW w:w="708" w:type="pct"/>
                  <w:gridSpan w:val="2"/>
                  <w:vMerge w:val="continue"/>
                  <w:noWrap w:val="0"/>
                  <w:vAlign w:val="center"/>
                </w:tcPr>
                <w:p w14:paraId="435922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709" w:type="pct"/>
                  <w:shd w:val="clear" w:color="auto" w:fill="auto"/>
                  <w:noWrap w:val="0"/>
                  <w:vAlign w:val="center"/>
                </w:tcPr>
                <w:p w14:paraId="543C5AF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21"/>
                      <w:szCs w:val="21"/>
                      <w:highlight w:val="none"/>
                      <w:lang w:val="en-US" w:eastAsia="zh-CN" w:bidi="ar-SA"/>
                    </w:rPr>
                  </w:pPr>
                  <w:r>
                    <w:rPr>
                      <w:rFonts w:hint="eastAsia"/>
                      <w:color w:val="auto"/>
                      <w:sz w:val="21"/>
                      <w:szCs w:val="21"/>
                      <w:highlight w:val="none"/>
                      <w:lang w:eastAsia="zh-CN"/>
                    </w:rPr>
                    <w:t>北</w:t>
                  </w:r>
                </w:p>
              </w:tc>
              <w:tc>
                <w:tcPr>
                  <w:tcW w:w="1183" w:type="pct"/>
                  <w:vMerge w:val="continue"/>
                  <w:noWrap w:val="0"/>
                  <w:vAlign w:val="center"/>
                </w:tcPr>
                <w:p w14:paraId="67CC3E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c>
                <w:tcPr>
                  <w:tcW w:w="611" w:type="pct"/>
                  <w:noWrap w:val="0"/>
                  <w:vAlign w:val="center"/>
                </w:tcPr>
                <w:p w14:paraId="628F6B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53.21</w:t>
                  </w:r>
                </w:p>
              </w:tc>
              <w:tc>
                <w:tcPr>
                  <w:tcW w:w="605" w:type="pct"/>
                  <w:noWrap w:val="0"/>
                  <w:vAlign w:val="center"/>
                </w:tcPr>
                <w:p w14:paraId="5F31DD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53.21</w:t>
                  </w:r>
                </w:p>
              </w:tc>
              <w:tc>
                <w:tcPr>
                  <w:tcW w:w="1182" w:type="pct"/>
                  <w:vMerge w:val="continue"/>
                  <w:noWrap w:val="0"/>
                  <w:vAlign w:val="center"/>
                </w:tcPr>
                <w:p w14:paraId="48623DB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p>
              </w:tc>
            </w:tr>
            <w:tr w14:paraId="60BF6194">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restart"/>
                  <w:noWrap w:val="0"/>
                  <w:vAlign w:val="center"/>
                </w:tcPr>
                <w:p w14:paraId="3D49CA21">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固废</w:t>
                  </w:r>
                </w:p>
              </w:tc>
              <w:tc>
                <w:tcPr>
                  <w:tcW w:w="1183" w:type="pct"/>
                  <w:noWrap w:val="0"/>
                  <w:vAlign w:val="center"/>
                </w:tcPr>
                <w:p w14:paraId="2E958BD7">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生活垃圾</w:t>
                  </w:r>
                </w:p>
              </w:tc>
              <w:tc>
                <w:tcPr>
                  <w:tcW w:w="1216" w:type="pct"/>
                  <w:gridSpan w:val="2"/>
                  <w:noWrap w:val="0"/>
                  <w:vAlign w:val="center"/>
                </w:tcPr>
                <w:p w14:paraId="3ED097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kern w:val="0"/>
                      <w:sz w:val="21"/>
                      <w:szCs w:val="21"/>
                      <w:highlight w:val="none"/>
                      <w:lang w:val="en-US" w:eastAsia="zh-CN"/>
                    </w:rPr>
                    <w:t>3</w:t>
                  </w:r>
                </w:p>
              </w:tc>
              <w:tc>
                <w:tcPr>
                  <w:tcW w:w="1182" w:type="pct"/>
                  <w:noWrap w:val="0"/>
                  <w:vAlign w:val="center"/>
                </w:tcPr>
                <w:p w14:paraId="3FEC8D48">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r>
                    <w:rPr>
                      <w:rFonts w:hint="default" w:cs="Times New Roman"/>
                      <w:color w:val="auto"/>
                      <w:sz w:val="21"/>
                      <w:szCs w:val="21"/>
                      <w:highlight w:val="none"/>
                    </w:rPr>
                    <w:t>环卫部门处理</w:t>
                  </w:r>
                </w:p>
              </w:tc>
            </w:tr>
            <w:tr w14:paraId="7871368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3F98A4E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50AD88A4">
                  <w:pPr>
                    <w:pStyle w:val="114"/>
                    <w:keepNext w:val="0"/>
                    <w:keepLines w:val="0"/>
                    <w:suppressLineNumbers w:val="0"/>
                    <w:spacing w:before="0" w:beforeAutospacing="0" w:after="0" w:afterAutospacing="0"/>
                    <w:ind w:left="0" w:right="0" w:firstLine="0" w:firstLineChars="0"/>
                    <w:rPr>
                      <w:rFonts w:hint="eastAsia" w:cs="Times New Roman"/>
                      <w:color w:val="auto"/>
                      <w:sz w:val="21"/>
                      <w:szCs w:val="21"/>
                      <w:highlight w:val="none"/>
                    </w:rPr>
                  </w:pPr>
                  <w:bookmarkStart w:id="183" w:name="_Toc24566"/>
                  <w:r>
                    <w:rPr>
                      <w:rFonts w:hint="default"/>
                      <w:color w:val="auto"/>
                      <w:highlight w:val="none"/>
                    </w:rPr>
                    <w:t>废包装材料</w:t>
                  </w:r>
                  <w:bookmarkEnd w:id="183"/>
                </w:p>
              </w:tc>
              <w:tc>
                <w:tcPr>
                  <w:tcW w:w="1216" w:type="pct"/>
                  <w:gridSpan w:val="2"/>
                  <w:noWrap w:val="0"/>
                  <w:vAlign w:val="center"/>
                </w:tcPr>
                <w:p w14:paraId="6D75907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182" w:type="pct"/>
                  <w:noWrap w:val="0"/>
                  <w:vAlign w:val="center"/>
                </w:tcPr>
                <w:p w14:paraId="7AD73717">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eastAsia="zh-CN"/>
                    </w:rPr>
                  </w:pPr>
                  <w:bookmarkStart w:id="184" w:name="_Toc14872"/>
                  <w:r>
                    <w:rPr>
                      <w:rFonts w:hint="default"/>
                      <w:color w:val="auto"/>
                      <w:highlight w:val="none"/>
                    </w:rPr>
                    <w:t>外售</w:t>
                  </w:r>
                  <w:bookmarkEnd w:id="184"/>
                </w:p>
              </w:tc>
            </w:tr>
            <w:tr w14:paraId="24051D6B">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627CF92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59210BA1">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eastAsia="zh-CN"/>
                    </w:rPr>
                  </w:pPr>
                  <w:bookmarkStart w:id="185" w:name="_Toc23059"/>
                  <w:r>
                    <w:rPr>
                      <w:rFonts w:hint="default"/>
                      <w:color w:val="auto"/>
                      <w:highlight w:val="none"/>
                    </w:rPr>
                    <w:t>废滤布</w:t>
                  </w:r>
                  <w:bookmarkEnd w:id="185"/>
                </w:p>
              </w:tc>
              <w:tc>
                <w:tcPr>
                  <w:tcW w:w="1216" w:type="pct"/>
                  <w:gridSpan w:val="2"/>
                  <w:noWrap w:val="0"/>
                  <w:vAlign w:val="center"/>
                </w:tcPr>
                <w:p w14:paraId="450284D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1.5</w:t>
                  </w:r>
                </w:p>
              </w:tc>
              <w:tc>
                <w:tcPr>
                  <w:tcW w:w="1182" w:type="pct"/>
                  <w:noWrap w:val="0"/>
                  <w:vAlign w:val="center"/>
                </w:tcPr>
                <w:p w14:paraId="740560B9">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eastAsia="zh-CN"/>
                    </w:rPr>
                  </w:pPr>
                  <w:bookmarkStart w:id="186" w:name="_Toc31789"/>
                  <w:r>
                    <w:rPr>
                      <w:rFonts w:hint="default"/>
                      <w:color w:val="auto"/>
                      <w:highlight w:val="none"/>
                    </w:rPr>
                    <w:t>厂家进行回收</w:t>
                  </w:r>
                  <w:bookmarkEnd w:id="186"/>
                </w:p>
              </w:tc>
            </w:tr>
            <w:tr w14:paraId="7AD810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77" w:hRule="atLeast"/>
                <w:jc w:val="center"/>
              </w:trPr>
              <w:tc>
                <w:tcPr>
                  <w:tcW w:w="1417" w:type="pct"/>
                  <w:gridSpan w:val="3"/>
                  <w:vMerge w:val="continue"/>
                  <w:noWrap w:val="0"/>
                  <w:vAlign w:val="center"/>
                </w:tcPr>
                <w:p w14:paraId="7E58B394">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071AF50B">
                  <w:pPr>
                    <w:pStyle w:val="114"/>
                    <w:keepNext w:val="0"/>
                    <w:keepLines w:val="0"/>
                    <w:suppressLineNumbers w:val="0"/>
                    <w:spacing w:before="0" w:beforeAutospacing="0" w:after="0" w:afterAutospacing="0"/>
                    <w:ind w:left="0" w:right="0" w:firstLine="0" w:firstLineChars="0"/>
                    <w:rPr>
                      <w:rFonts w:hint="eastAsia" w:cs="Times New Roman"/>
                      <w:color w:val="auto"/>
                      <w:sz w:val="21"/>
                      <w:szCs w:val="21"/>
                      <w:highlight w:val="none"/>
                      <w:lang w:eastAsia="zh-CN"/>
                    </w:rPr>
                  </w:pPr>
                  <w:bookmarkStart w:id="187" w:name="_Toc10284"/>
                  <w:r>
                    <w:rPr>
                      <w:rFonts w:hint="default"/>
                      <w:color w:val="auto"/>
                      <w:highlight w:val="none"/>
                    </w:rPr>
                    <w:t>除尘灰</w:t>
                  </w:r>
                  <w:bookmarkEnd w:id="187"/>
                </w:p>
              </w:tc>
              <w:tc>
                <w:tcPr>
                  <w:tcW w:w="1216" w:type="pct"/>
                  <w:gridSpan w:val="2"/>
                  <w:noWrap w:val="0"/>
                  <w:vAlign w:val="center"/>
                </w:tcPr>
                <w:p w14:paraId="564876A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kern w:val="0"/>
                      <w:sz w:val="21"/>
                      <w:szCs w:val="21"/>
                      <w:highlight w:val="none"/>
                      <w:lang w:val="en-US" w:eastAsia="zh-CN"/>
                    </w:rPr>
                  </w:pPr>
                  <w:r>
                    <w:rPr>
                      <w:rFonts w:hint="default" w:ascii="Times New Roman" w:hAnsi="Times New Roman" w:cs="Times New Roman"/>
                      <w:color w:val="auto"/>
                      <w:sz w:val="21"/>
                      <w:szCs w:val="21"/>
                      <w:highlight w:val="none"/>
                    </w:rPr>
                    <w:t>176.13</w:t>
                  </w:r>
                </w:p>
              </w:tc>
              <w:tc>
                <w:tcPr>
                  <w:tcW w:w="1182" w:type="pct"/>
                  <w:noWrap w:val="0"/>
                  <w:vAlign w:val="center"/>
                </w:tcPr>
                <w:p w14:paraId="2F6C3B61">
                  <w:pPr>
                    <w:pStyle w:val="114"/>
                    <w:keepNext w:val="0"/>
                    <w:keepLines w:val="0"/>
                    <w:suppressLineNumbers w:val="0"/>
                    <w:spacing w:before="0" w:beforeAutospacing="0" w:after="0" w:afterAutospacing="0"/>
                    <w:ind w:left="0" w:right="0" w:firstLine="0" w:firstLineChars="0"/>
                    <w:rPr>
                      <w:rFonts w:hint="eastAsia"/>
                      <w:color w:val="auto"/>
                      <w:sz w:val="21"/>
                      <w:szCs w:val="21"/>
                      <w:highlight w:val="none"/>
                    </w:rPr>
                  </w:pPr>
                  <w:bookmarkStart w:id="188" w:name="_Toc25591"/>
                  <w:r>
                    <w:rPr>
                      <w:rFonts w:hint="default"/>
                      <w:color w:val="auto"/>
                      <w:highlight w:val="none"/>
                    </w:rPr>
                    <w:t>设备供应商回收</w:t>
                  </w:r>
                  <w:bookmarkEnd w:id="188"/>
                </w:p>
              </w:tc>
            </w:tr>
            <w:tr w14:paraId="610C2708">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97" w:hRule="atLeast"/>
                <w:jc w:val="center"/>
              </w:trPr>
              <w:tc>
                <w:tcPr>
                  <w:tcW w:w="1417" w:type="pct"/>
                  <w:gridSpan w:val="3"/>
                  <w:vMerge w:val="continue"/>
                  <w:noWrap w:val="0"/>
                  <w:vAlign w:val="center"/>
                </w:tcPr>
                <w:p w14:paraId="090C99D0">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330C8FC4">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eastAsia="zh-CN"/>
                    </w:rPr>
                  </w:pPr>
                  <w:bookmarkStart w:id="189" w:name="_Toc19763"/>
                  <w:r>
                    <w:rPr>
                      <w:rFonts w:hint="default"/>
                      <w:color w:val="auto"/>
                      <w:highlight w:val="none"/>
                    </w:rPr>
                    <w:t>废布袋</w:t>
                  </w:r>
                  <w:bookmarkEnd w:id="189"/>
                </w:p>
              </w:tc>
              <w:tc>
                <w:tcPr>
                  <w:tcW w:w="1216" w:type="pct"/>
                  <w:gridSpan w:val="2"/>
                  <w:noWrap w:val="0"/>
                  <w:vAlign w:val="center"/>
                </w:tcPr>
                <w:p w14:paraId="4709307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sz w:val="21"/>
                      <w:szCs w:val="21"/>
                      <w:highlight w:val="none"/>
                    </w:rPr>
                    <w:t>0.1</w:t>
                  </w:r>
                </w:p>
              </w:tc>
              <w:tc>
                <w:tcPr>
                  <w:tcW w:w="1182" w:type="pct"/>
                  <w:noWrap w:val="0"/>
                  <w:vAlign w:val="center"/>
                </w:tcPr>
                <w:p w14:paraId="5D106ED6">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eastAsia="宋体"/>
                      <w:color w:val="auto"/>
                      <w:sz w:val="21"/>
                      <w:szCs w:val="21"/>
                      <w:highlight w:val="none"/>
                      <w:lang w:eastAsia="zh-CN"/>
                    </w:rPr>
                  </w:pPr>
                  <w:r>
                    <w:rPr>
                      <w:rFonts w:hint="eastAsia" w:eastAsia="宋体"/>
                      <w:color w:val="auto"/>
                      <w:sz w:val="21"/>
                      <w:szCs w:val="21"/>
                      <w:highlight w:val="none"/>
                      <w:lang w:eastAsia="zh-CN"/>
                    </w:rPr>
                    <w:t>外售</w:t>
                  </w:r>
                </w:p>
              </w:tc>
            </w:tr>
            <w:tr w14:paraId="7794366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17" w:type="pct"/>
                  <w:gridSpan w:val="3"/>
                  <w:vMerge w:val="continue"/>
                  <w:noWrap w:val="0"/>
                  <w:vAlign w:val="center"/>
                </w:tcPr>
                <w:p w14:paraId="2F4B6AE1">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116FDAAA">
                  <w:pPr>
                    <w:pStyle w:val="114"/>
                    <w:keepNext w:val="0"/>
                    <w:keepLines w:val="0"/>
                    <w:suppressLineNumbers w:val="0"/>
                    <w:spacing w:before="0" w:beforeAutospacing="0" w:after="0" w:afterAutospacing="0"/>
                    <w:ind w:left="0" w:right="0" w:firstLine="0" w:firstLineChars="0"/>
                    <w:rPr>
                      <w:rFonts w:hint="eastAsia" w:cs="Times New Roman"/>
                      <w:color w:val="auto"/>
                      <w:sz w:val="21"/>
                      <w:szCs w:val="21"/>
                      <w:highlight w:val="none"/>
                      <w:lang w:eastAsia="zh-CN"/>
                    </w:rPr>
                  </w:pPr>
                  <w:bookmarkStart w:id="190" w:name="_Toc26583"/>
                  <w:r>
                    <w:rPr>
                      <w:rFonts w:hint="default"/>
                      <w:color w:val="auto"/>
                      <w:highlight w:val="none"/>
                    </w:rPr>
                    <w:t>废机油</w:t>
                  </w:r>
                  <w:bookmarkEnd w:id="190"/>
                </w:p>
              </w:tc>
              <w:tc>
                <w:tcPr>
                  <w:tcW w:w="1216" w:type="pct"/>
                  <w:gridSpan w:val="2"/>
                  <w:noWrap w:val="0"/>
                  <w:vAlign w:val="center"/>
                </w:tcPr>
                <w:p w14:paraId="632E613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0.6</w:t>
                  </w:r>
                </w:p>
              </w:tc>
              <w:tc>
                <w:tcPr>
                  <w:tcW w:w="1182" w:type="pct"/>
                  <w:vMerge w:val="restart"/>
                  <w:noWrap w:val="0"/>
                  <w:vAlign w:val="center"/>
                </w:tcPr>
                <w:p w14:paraId="213E55E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r>
                    <w:rPr>
                      <w:rFonts w:hint="eastAsia"/>
                      <w:color w:val="auto"/>
                      <w:sz w:val="21"/>
                      <w:szCs w:val="21"/>
                      <w:highlight w:val="none"/>
                      <w:lang w:eastAsia="zh-CN"/>
                    </w:rPr>
                    <w:t>委托有资质单位处理</w:t>
                  </w:r>
                </w:p>
              </w:tc>
            </w:tr>
            <w:tr w14:paraId="54ABC8B7">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17" w:type="pct"/>
                  <w:gridSpan w:val="3"/>
                  <w:vMerge w:val="continue"/>
                  <w:noWrap w:val="0"/>
                  <w:vAlign w:val="center"/>
                </w:tcPr>
                <w:p w14:paraId="573CBE1F">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68E926DD">
                  <w:pPr>
                    <w:pStyle w:val="114"/>
                    <w:keepNext w:val="0"/>
                    <w:keepLines w:val="0"/>
                    <w:suppressLineNumbers w:val="0"/>
                    <w:spacing w:before="0" w:beforeAutospacing="0" w:after="0" w:afterAutospacing="0"/>
                    <w:ind w:left="0" w:right="0" w:firstLine="0" w:firstLineChars="0"/>
                    <w:rPr>
                      <w:rFonts w:hint="eastAsia" w:cs="Times New Roman"/>
                      <w:color w:val="auto"/>
                      <w:sz w:val="21"/>
                      <w:szCs w:val="21"/>
                      <w:highlight w:val="none"/>
                      <w:lang w:eastAsia="zh-CN"/>
                    </w:rPr>
                  </w:pPr>
                  <w:bookmarkStart w:id="191" w:name="_Toc20563"/>
                  <w:r>
                    <w:rPr>
                      <w:rFonts w:hint="default"/>
                      <w:color w:val="auto"/>
                      <w:highlight w:val="none"/>
                    </w:rPr>
                    <w:t>含油劳保用品</w:t>
                  </w:r>
                  <w:bookmarkEnd w:id="191"/>
                </w:p>
              </w:tc>
              <w:tc>
                <w:tcPr>
                  <w:tcW w:w="1216" w:type="pct"/>
                  <w:gridSpan w:val="2"/>
                  <w:noWrap w:val="0"/>
                  <w:vAlign w:val="center"/>
                </w:tcPr>
                <w:p w14:paraId="1DD319D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0.2</w:t>
                  </w:r>
                </w:p>
              </w:tc>
              <w:tc>
                <w:tcPr>
                  <w:tcW w:w="1182" w:type="pct"/>
                  <w:vMerge w:val="continue"/>
                  <w:noWrap w:val="0"/>
                  <w:vAlign w:val="center"/>
                </w:tcPr>
                <w:p w14:paraId="3F45CEDD">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7B0BAB3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17" w:type="pct"/>
                  <w:gridSpan w:val="3"/>
                  <w:vMerge w:val="continue"/>
                  <w:noWrap w:val="0"/>
                  <w:vAlign w:val="center"/>
                </w:tcPr>
                <w:p w14:paraId="5A87FC0C">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2D89522F">
                  <w:pPr>
                    <w:pStyle w:val="114"/>
                    <w:keepNext w:val="0"/>
                    <w:keepLines w:val="0"/>
                    <w:suppressLineNumbers w:val="0"/>
                    <w:spacing w:before="0" w:beforeAutospacing="0" w:after="0" w:afterAutospacing="0"/>
                    <w:ind w:left="0" w:right="0" w:firstLine="0" w:firstLineChars="0"/>
                    <w:rPr>
                      <w:rFonts w:hint="eastAsia" w:eastAsia="宋体" w:cs="Times New Roman"/>
                      <w:color w:val="auto"/>
                      <w:sz w:val="21"/>
                      <w:szCs w:val="21"/>
                      <w:highlight w:val="none"/>
                      <w:lang w:eastAsia="zh-CN"/>
                    </w:rPr>
                  </w:pPr>
                  <w:bookmarkStart w:id="192" w:name="_Toc31575"/>
                  <w:r>
                    <w:rPr>
                      <w:rFonts w:hint="default"/>
                      <w:color w:val="auto"/>
                      <w:highlight w:val="none"/>
                    </w:rPr>
                    <w:t>沉淀池污泥</w:t>
                  </w:r>
                  <w:bookmarkEnd w:id="192"/>
                </w:p>
              </w:tc>
              <w:tc>
                <w:tcPr>
                  <w:tcW w:w="1216" w:type="pct"/>
                  <w:gridSpan w:val="2"/>
                  <w:noWrap w:val="0"/>
                  <w:vAlign w:val="center"/>
                </w:tcPr>
                <w:p w14:paraId="11A7A99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4182.95</w:t>
                  </w:r>
                </w:p>
              </w:tc>
              <w:tc>
                <w:tcPr>
                  <w:tcW w:w="1182" w:type="pct"/>
                  <w:vMerge w:val="continue"/>
                  <w:noWrap w:val="0"/>
                  <w:vAlign w:val="center"/>
                </w:tcPr>
                <w:p w14:paraId="3B6CD61B">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r w14:paraId="19AC338D">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417" w:hRule="atLeast"/>
                <w:jc w:val="center"/>
              </w:trPr>
              <w:tc>
                <w:tcPr>
                  <w:tcW w:w="1417" w:type="pct"/>
                  <w:gridSpan w:val="3"/>
                  <w:vMerge w:val="continue"/>
                  <w:noWrap w:val="0"/>
                  <w:vAlign w:val="center"/>
                </w:tcPr>
                <w:p w14:paraId="5DB19FBF">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s="Times New Roman"/>
                      <w:color w:val="auto"/>
                      <w:sz w:val="21"/>
                      <w:szCs w:val="21"/>
                      <w:highlight w:val="none"/>
                    </w:rPr>
                  </w:pPr>
                </w:p>
              </w:tc>
              <w:tc>
                <w:tcPr>
                  <w:tcW w:w="1183" w:type="pct"/>
                  <w:noWrap w:val="0"/>
                  <w:vAlign w:val="center"/>
                </w:tcPr>
                <w:p w14:paraId="7213614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eastAsia" w:eastAsia="宋体" w:cs="Times New Roman"/>
                      <w:color w:val="auto"/>
                      <w:sz w:val="21"/>
                      <w:szCs w:val="21"/>
                      <w:highlight w:val="none"/>
                      <w:lang w:eastAsia="zh-CN"/>
                    </w:rPr>
                  </w:pPr>
                  <w:r>
                    <w:rPr>
                      <w:rFonts w:hint="eastAsia" w:eastAsia="宋体"/>
                      <w:color w:val="auto"/>
                      <w:sz w:val="21"/>
                      <w:szCs w:val="21"/>
                      <w:highlight w:val="none"/>
                      <w:lang w:eastAsia="zh-CN"/>
                    </w:rPr>
                    <w:t>除杂渣</w:t>
                  </w:r>
                </w:p>
              </w:tc>
              <w:tc>
                <w:tcPr>
                  <w:tcW w:w="1216" w:type="pct"/>
                  <w:gridSpan w:val="2"/>
                  <w:noWrap w:val="0"/>
                  <w:vAlign w:val="center"/>
                </w:tcPr>
                <w:p w14:paraId="2659570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rPr>
                    <w:t>10</w:t>
                  </w:r>
                </w:p>
              </w:tc>
              <w:tc>
                <w:tcPr>
                  <w:tcW w:w="1182" w:type="pct"/>
                  <w:vMerge w:val="continue"/>
                  <w:noWrap w:val="0"/>
                  <w:vAlign w:val="center"/>
                </w:tcPr>
                <w:p w14:paraId="164D98EA">
                  <w:pPr>
                    <w:pStyle w:val="40"/>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s="Times New Roman"/>
                      <w:color w:val="auto"/>
                      <w:sz w:val="21"/>
                      <w:szCs w:val="21"/>
                      <w:highlight w:val="none"/>
                    </w:rPr>
                  </w:pPr>
                </w:p>
              </w:tc>
            </w:tr>
          </w:tbl>
          <w:p w14:paraId="7748F8F9">
            <w:pPr>
              <w:keepNext w:val="0"/>
              <w:keepLines w:val="0"/>
              <w:suppressLineNumbers w:val="0"/>
              <w:bidi w:val="0"/>
              <w:spacing w:before="0" w:beforeAutospacing="0" w:after="0" w:afterAutospacing="0"/>
              <w:ind w:left="0" w:right="0"/>
              <w:rPr>
                <w:rFonts w:hint="eastAsia"/>
                <w:b/>
                <w:bCs/>
                <w:color w:val="auto"/>
                <w:highlight w:val="none"/>
                <w:lang w:val="en-US" w:eastAsia="zh-CN"/>
              </w:rPr>
            </w:pPr>
            <w:r>
              <w:rPr>
                <w:rFonts w:hint="eastAsia"/>
                <w:b/>
                <w:bCs/>
                <w:color w:val="auto"/>
                <w:highlight w:val="none"/>
                <w:lang w:val="en-US" w:eastAsia="zh-CN"/>
              </w:rPr>
              <w:t>3</w:t>
            </w:r>
            <w:r>
              <w:rPr>
                <w:rFonts w:hint="eastAsia"/>
                <w:b/>
                <w:bCs/>
                <w:color w:val="auto"/>
                <w:highlight w:val="none"/>
                <w:lang w:val="en-US"/>
              </w:rPr>
              <w:t>、</w:t>
            </w:r>
            <w:r>
              <w:rPr>
                <w:rFonts w:hint="eastAsia"/>
                <w:b/>
                <w:bCs/>
                <w:color w:val="auto"/>
                <w:highlight w:val="none"/>
                <w:lang w:val="en-US" w:eastAsia="zh-CN"/>
              </w:rPr>
              <w:t>现有项目存在的主要问题及整改措施</w:t>
            </w:r>
          </w:p>
          <w:p w14:paraId="7DEEDE7E">
            <w:pPr>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color w:val="auto"/>
                <w:highlight w:val="none"/>
                <w:lang w:val="en-US" w:eastAsia="zh-CN"/>
              </w:rPr>
              <w:t>现有项目《高安市环鑫环保科技有限公司年处理60万吨一般固废资源再生利用项目》于2025年8月取得宜春市高安生态环境局批复（高环评字[2025]46号），目前正在建设暂未验收未投产，各项污染防治措施落实到位，各类排污口标识设置规范，在线监测设备正在安装。</w:t>
            </w:r>
            <w:r>
              <w:rPr>
                <w:rFonts w:hint="eastAsia"/>
                <w:color w:val="FF0000"/>
                <w:highlight w:val="none"/>
                <w:lang w:val="en-US" w:eastAsia="zh-CN"/>
              </w:rPr>
              <w:t>建设单位依托租赁方已建初期雨水收集池（960m</w:t>
            </w:r>
            <w:r>
              <w:rPr>
                <w:rFonts w:hint="eastAsia"/>
                <w:color w:val="FF0000"/>
                <w:highlight w:val="none"/>
                <w:vertAlign w:val="superscript"/>
                <w:lang w:val="en-US" w:eastAsia="zh-CN"/>
              </w:rPr>
              <w:t>3</w:t>
            </w:r>
            <w:r>
              <w:rPr>
                <w:rFonts w:hint="eastAsia"/>
                <w:color w:val="FF0000"/>
                <w:highlight w:val="none"/>
                <w:lang w:val="en-US" w:eastAsia="zh-CN"/>
              </w:rPr>
              <w:t>），废水处理设施</w:t>
            </w:r>
            <w:r>
              <w:rPr>
                <w:rFonts w:hint="default"/>
                <w:color w:val="FF0000"/>
                <w:highlight w:val="none"/>
              </w:rPr>
              <w:t>（除氟</w:t>
            </w:r>
            <w:r>
              <w:rPr>
                <w:rFonts w:hint="eastAsia"/>
                <w:color w:val="FF0000"/>
                <w:highlight w:val="none"/>
                <w:lang w:val="en-US" w:eastAsia="zh-CN"/>
              </w:rPr>
              <w:t>-</w:t>
            </w:r>
            <w:r>
              <w:rPr>
                <w:rFonts w:hint="default"/>
                <w:color w:val="FF0000"/>
                <w:highlight w:val="none"/>
              </w:rPr>
              <w:t>除铊</w:t>
            </w:r>
            <w:r>
              <w:rPr>
                <w:rFonts w:hint="eastAsia"/>
                <w:color w:val="FF0000"/>
                <w:highlight w:val="none"/>
                <w:lang w:val="en-US" w:eastAsia="zh-CN"/>
              </w:rPr>
              <w:t>-</w:t>
            </w:r>
            <w:r>
              <w:rPr>
                <w:rFonts w:hint="default"/>
                <w:color w:val="FF0000"/>
                <w:highlight w:val="none"/>
              </w:rPr>
              <w:t>絮凝沉淀）</w:t>
            </w:r>
            <w:r>
              <w:rPr>
                <w:rFonts w:hint="eastAsia"/>
                <w:color w:val="FF0000"/>
                <w:highlight w:val="none"/>
                <w:lang w:eastAsia="zh-CN"/>
              </w:rPr>
              <w:t>，</w:t>
            </w:r>
            <w:r>
              <w:rPr>
                <w:rFonts w:hint="eastAsia"/>
                <w:color w:val="FF0000"/>
                <w:highlight w:val="none"/>
                <w:lang w:val="en-US" w:eastAsia="zh-CN"/>
              </w:rPr>
              <w:t>已在厂区进行地下水分区防渗措施，雨污水管网和在线监测设备已按环评要求设置；厂区内设有地下水监控井，设有三级风险防范措施，生产区域的水池、原料及成品堆场四周设置导流沟和渗滤液收集措施可在第一时间内将渗滤液或泄漏的液体截留在小范围内，便于收集处理；为了预防生产废水处理设施异常导致生产废水外排，企业已在厂区建设事故应急池容积为300m</w:t>
            </w:r>
            <w:r>
              <w:rPr>
                <w:rFonts w:hint="eastAsia"/>
                <w:color w:val="FF0000"/>
                <w:highlight w:val="none"/>
                <w:vertAlign w:val="superscript"/>
                <w:lang w:val="en-US" w:eastAsia="zh-CN"/>
              </w:rPr>
              <w:t>3</w:t>
            </w:r>
            <w:r>
              <w:rPr>
                <w:rFonts w:hint="eastAsia"/>
                <w:color w:val="FF0000"/>
                <w:highlight w:val="none"/>
                <w:lang w:val="en-US" w:eastAsia="zh-CN"/>
              </w:rPr>
              <w:t>，一旦出现生产废水处理设施异常或是池体破裂生产废水进入事故池，生产废水处理设施检修正常后再由泵+管道导入预处理后回用，可满足全厂事故废水收集要求；三级在进入江、河、湖、海的总排放口前或污水处理厂终端事故缓冲池，作为事故状态下的储存与调控手段，将污染物控制在区内，防止重大事故泄漏物料和污染废水造成的环境污染。根据调查，现有项目仍存在部分环境问题如下。</w:t>
            </w:r>
          </w:p>
          <w:p w14:paraId="1E16EAE4">
            <w:pPr>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color w:val="FF0000"/>
                <w:highlight w:val="none"/>
                <w:lang w:val="en-US" w:eastAsia="zh-CN"/>
              </w:rPr>
              <w:t>存在问题：风险事故应急物资及环保设施管理和维护措施不完善。</w:t>
            </w:r>
          </w:p>
          <w:p w14:paraId="66CB3CAB">
            <w:pPr>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color w:val="FF0000"/>
                <w:highlight w:val="none"/>
                <w:lang w:val="en-US" w:eastAsia="zh-CN"/>
              </w:rPr>
              <w:t>整改措施：及时进行竣工环境保护验收，建立健全应急机制，完善应急物资，提升应急能力。完善环境管理制度，加强生产设备及环保设施的管理、维护工作，降低设备、管道、阀门跑冒滴漏现象的发生，确保环保设施正常运行。</w:t>
            </w:r>
          </w:p>
          <w:p w14:paraId="331C497F">
            <w:pPr>
              <w:keepNext w:val="0"/>
              <w:keepLines w:val="0"/>
              <w:widowControl w:val="0"/>
              <w:suppressLineNumbers w:val="0"/>
              <w:spacing w:before="0" w:beforeAutospacing="0" w:after="0" w:afterAutospacing="0" w:line="360" w:lineRule="auto"/>
              <w:ind w:left="0" w:right="0" w:firstLine="480"/>
              <w:jc w:val="left"/>
              <w:rPr>
                <w:rFonts w:hint="eastAsia" w:ascii="Times New Roman" w:hAnsi="Times New Roman" w:eastAsia="宋体" w:cs="Times New Roman"/>
                <w:b/>
                <w:bCs/>
                <w:snapToGrid w:val="0"/>
                <w:color w:val="auto"/>
                <w:kern w:val="0"/>
                <w:sz w:val="24"/>
                <w:szCs w:val="24"/>
                <w:lang w:val="en-US" w:eastAsia="zh-CN" w:bidi="ar-SA"/>
              </w:rPr>
            </w:pPr>
            <w:r>
              <w:rPr>
                <w:rFonts w:hint="eastAsia" w:cs="Times New Roman"/>
                <w:b/>
                <w:bCs/>
                <w:snapToGrid w:val="0"/>
                <w:color w:val="auto"/>
                <w:kern w:val="0"/>
                <w:sz w:val="24"/>
                <w:szCs w:val="24"/>
                <w:lang w:val="en-US" w:eastAsia="zh-CN" w:bidi="ar-SA"/>
              </w:rPr>
              <w:t>4</w:t>
            </w:r>
            <w:r>
              <w:rPr>
                <w:rFonts w:hint="eastAsia" w:ascii="Times New Roman" w:hAnsi="Times New Roman" w:eastAsia="宋体" w:cs="Times New Roman"/>
                <w:b/>
                <w:bCs/>
                <w:snapToGrid w:val="0"/>
                <w:color w:val="auto"/>
                <w:kern w:val="0"/>
                <w:sz w:val="24"/>
                <w:szCs w:val="24"/>
                <w:lang w:val="en-US" w:eastAsia="zh-CN" w:bidi="ar-SA"/>
              </w:rPr>
              <w:t>、“三本账”分析</w:t>
            </w:r>
          </w:p>
          <w:p w14:paraId="444A1B8D">
            <w:pPr>
              <w:keepNext w:val="0"/>
              <w:keepLines w:val="0"/>
              <w:suppressLineNumbers w:val="0"/>
              <w:adjustRightInd/>
              <w:spacing w:before="39" w:beforeAutospacing="0" w:after="0" w:afterAutospacing="0" w:line="374" w:lineRule="auto"/>
              <w:ind w:left="113" w:right="104" w:firstLine="476" w:firstLineChars="0"/>
              <w:textAlignment w:val="auto"/>
              <w:rPr>
                <w:rFonts w:hint="eastAsia" w:cs="Times New Roman"/>
                <w:color w:val="FF0000"/>
                <w:spacing w:val="-4"/>
                <w:kern w:val="2"/>
                <w:sz w:val="24"/>
                <w:szCs w:val="24"/>
              </w:rPr>
            </w:pPr>
            <w:r>
              <w:rPr>
                <w:rFonts w:hint="eastAsia" w:cs="Times New Roman"/>
                <w:color w:val="FF0000"/>
                <w:spacing w:val="-4"/>
                <w:kern w:val="2"/>
                <w:sz w:val="24"/>
                <w:szCs w:val="24"/>
              </w:rPr>
              <w:t>本项目建成后污染物变化情况如下。</w:t>
            </w:r>
          </w:p>
          <w:p w14:paraId="5B944102">
            <w:pPr>
              <w:pStyle w:val="116"/>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0" w:afterLines="0" w:afterAutospacing="0"/>
              <w:ind w:left="0" w:right="0"/>
              <w:textAlignment w:val="auto"/>
              <w:rPr>
                <w:rFonts w:hint="eastAsia" w:ascii="Times New Roman" w:hAnsi="Times New Roman" w:cs="Times New Roman"/>
                <w:color w:val="FF0000"/>
                <w:sz w:val="21"/>
                <w:szCs w:val="21"/>
                <w:highlight w:val="none"/>
                <w:lang w:val="zh-CN" w:eastAsia="zh-CN"/>
              </w:rPr>
            </w:pPr>
            <w:r>
              <w:rPr>
                <w:rFonts w:hint="eastAsia" w:cs="Times New Roman"/>
                <w:color w:val="FF0000"/>
                <w:sz w:val="21"/>
                <w:szCs w:val="21"/>
                <w:highlight w:val="none"/>
                <w:lang w:val="en-US" w:eastAsia="zh-CN"/>
              </w:rPr>
              <w:t xml:space="preserve"> </w:t>
            </w:r>
            <w:r>
              <w:rPr>
                <w:rFonts w:hint="eastAsia" w:ascii="Times New Roman" w:hAnsi="Times New Roman" w:cs="Times New Roman"/>
                <w:color w:val="FF0000"/>
                <w:sz w:val="21"/>
                <w:szCs w:val="21"/>
                <w:highlight w:val="none"/>
                <w:lang w:val="zh-CN" w:eastAsia="zh-CN"/>
              </w:rPr>
              <w:t>项目“三本账”分析</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5"/>
              <w:gridCol w:w="1173"/>
              <w:gridCol w:w="1227"/>
              <w:gridCol w:w="1405"/>
              <w:gridCol w:w="1077"/>
              <w:gridCol w:w="1609"/>
              <w:gridCol w:w="974"/>
            </w:tblGrid>
            <w:tr w14:paraId="01854D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380" w:type="pct"/>
                  <w:noWrap w:val="0"/>
                  <w:vAlign w:val="center"/>
                </w:tcPr>
                <w:p w14:paraId="2EC8E62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种类</w:t>
                  </w:r>
                </w:p>
              </w:tc>
              <w:tc>
                <w:tcPr>
                  <w:tcW w:w="725" w:type="pct"/>
                  <w:noWrap w:val="0"/>
                  <w:vAlign w:val="center"/>
                </w:tcPr>
                <w:p w14:paraId="6C74007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污染物名称</w:t>
                  </w:r>
                </w:p>
              </w:tc>
              <w:tc>
                <w:tcPr>
                  <w:tcW w:w="759" w:type="pct"/>
                  <w:noWrap w:val="0"/>
                  <w:vAlign w:val="center"/>
                </w:tcPr>
                <w:p w14:paraId="4A34F5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现有项目排放量（t/a）</w:t>
                  </w:r>
                </w:p>
              </w:tc>
              <w:tc>
                <w:tcPr>
                  <w:tcW w:w="869" w:type="pct"/>
                  <w:noWrap w:val="0"/>
                  <w:vAlign w:val="center"/>
                </w:tcPr>
                <w:p w14:paraId="44F097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“以新带老”削减量（t/a）</w:t>
                  </w:r>
                </w:p>
              </w:tc>
              <w:tc>
                <w:tcPr>
                  <w:tcW w:w="666" w:type="pct"/>
                  <w:noWrap w:val="0"/>
                  <w:vAlign w:val="center"/>
                </w:tcPr>
                <w:p w14:paraId="2337DC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本项目排放量（t/a）</w:t>
                  </w:r>
                </w:p>
              </w:tc>
              <w:tc>
                <w:tcPr>
                  <w:tcW w:w="995" w:type="pct"/>
                  <w:noWrap w:val="0"/>
                  <w:vAlign w:val="center"/>
                </w:tcPr>
                <w:p w14:paraId="3F2E87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本项目建成后全厂排放量（t/a）</w:t>
                  </w:r>
                </w:p>
              </w:tc>
              <w:tc>
                <w:tcPr>
                  <w:tcW w:w="602" w:type="pct"/>
                  <w:noWrap w:val="0"/>
                  <w:vAlign w:val="center"/>
                </w:tcPr>
                <w:p w14:paraId="55DE71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增减量</w:t>
                  </w:r>
                </w:p>
                <w:p w14:paraId="4A2698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b/>
                      <w:bCs/>
                      <w:color w:val="FF0000"/>
                      <w:kern w:val="2"/>
                      <w:sz w:val="21"/>
                      <w:szCs w:val="21"/>
                    </w:rPr>
                  </w:pPr>
                  <w:r>
                    <w:rPr>
                      <w:rFonts w:hint="eastAsia" w:cs="Times New Roman"/>
                      <w:b/>
                      <w:bCs/>
                      <w:color w:val="FF0000"/>
                      <w:kern w:val="2"/>
                      <w:sz w:val="21"/>
                      <w:szCs w:val="21"/>
                    </w:rPr>
                    <w:t>（t/a）</w:t>
                  </w:r>
                </w:p>
              </w:tc>
            </w:tr>
            <w:tr w14:paraId="79C85C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3" w:hRule="atLeast"/>
                <w:jc w:val="center"/>
              </w:trPr>
              <w:tc>
                <w:tcPr>
                  <w:tcW w:w="380" w:type="pct"/>
                  <w:vMerge w:val="restart"/>
                  <w:noWrap w:val="0"/>
                  <w:vAlign w:val="center"/>
                </w:tcPr>
                <w:p w14:paraId="60A38A2E">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eastAsia="宋体" w:cs="Times New Roman"/>
                      <w:color w:val="FF0000"/>
                      <w:kern w:val="2"/>
                      <w:sz w:val="21"/>
                      <w:szCs w:val="21"/>
                      <w:lang w:val="en-US" w:eastAsia="zh-CN"/>
                    </w:rPr>
                  </w:pPr>
                  <w:r>
                    <w:rPr>
                      <w:rFonts w:hint="eastAsia" w:cs="Times New Roman"/>
                      <w:color w:val="FF0000"/>
                      <w:kern w:val="2"/>
                      <w:sz w:val="21"/>
                      <w:szCs w:val="21"/>
                      <w:lang w:val="en-US" w:eastAsia="zh-CN"/>
                    </w:rPr>
                    <w:t>废气</w:t>
                  </w:r>
                </w:p>
              </w:tc>
              <w:tc>
                <w:tcPr>
                  <w:tcW w:w="725" w:type="pct"/>
                  <w:noWrap w:val="0"/>
                  <w:vAlign w:val="center"/>
                </w:tcPr>
                <w:p w14:paraId="6234AA1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颗粒物</w:t>
                  </w:r>
                </w:p>
              </w:tc>
              <w:tc>
                <w:tcPr>
                  <w:tcW w:w="759" w:type="pct"/>
                  <w:shd w:val="clear" w:color="auto" w:fill="auto"/>
                  <w:noWrap w:val="0"/>
                  <w:vAlign w:val="center"/>
                </w:tcPr>
                <w:p w14:paraId="58DF847A">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b w:val="0"/>
                      <w:bCs w:val="0"/>
                      <w:color w:val="FF0000"/>
                      <w:kern w:val="2"/>
                      <w:sz w:val="21"/>
                      <w:szCs w:val="21"/>
                      <w:lang w:val="en-US" w:eastAsia="zh-CN" w:bidi="ar-SA"/>
                    </w:rPr>
                  </w:pPr>
                  <w:r>
                    <w:rPr>
                      <w:rFonts w:hint="eastAsia" w:cs="Times New Roman"/>
                      <w:color w:val="FF0000"/>
                      <w:kern w:val="0"/>
                      <w:sz w:val="21"/>
                      <w:szCs w:val="21"/>
                      <w:lang w:val="en-US" w:eastAsia="zh-CN" w:bidi="ar"/>
                    </w:rPr>
                    <w:t>9.94</w:t>
                  </w:r>
                </w:p>
              </w:tc>
              <w:tc>
                <w:tcPr>
                  <w:tcW w:w="869" w:type="pct"/>
                  <w:noWrap w:val="0"/>
                  <w:vAlign w:val="center"/>
                </w:tcPr>
                <w:p w14:paraId="2E116778">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c>
                <w:tcPr>
                  <w:tcW w:w="666" w:type="pct"/>
                  <w:noWrap w:val="0"/>
                  <w:vAlign w:val="center"/>
                </w:tcPr>
                <w:p w14:paraId="484F9F6E">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3.381</w:t>
                  </w:r>
                </w:p>
              </w:tc>
              <w:tc>
                <w:tcPr>
                  <w:tcW w:w="995" w:type="pct"/>
                  <w:noWrap w:val="0"/>
                  <w:vAlign w:val="center"/>
                </w:tcPr>
                <w:p w14:paraId="5943930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cs="Times New Roman"/>
                      <w:b w:val="0"/>
                      <w:bCs w:val="0"/>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13.321</w:t>
                  </w:r>
                </w:p>
              </w:tc>
              <w:tc>
                <w:tcPr>
                  <w:tcW w:w="602" w:type="pct"/>
                  <w:shd w:val="clear" w:color="auto" w:fill="auto"/>
                  <w:noWrap w:val="0"/>
                  <w:vAlign w:val="center"/>
                </w:tcPr>
                <w:p w14:paraId="44694B6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+3.381</w:t>
                  </w:r>
                </w:p>
              </w:tc>
            </w:tr>
            <w:tr w14:paraId="3248D0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4851ABF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53844F3F">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SO</w:t>
                  </w:r>
                  <w:r>
                    <w:rPr>
                      <w:rFonts w:hint="eastAsia" w:cs="Times New Roman"/>
                      <w:color w:val="FF0000"/>
                      <w:kern w:val="2"/>
                      <w:sz w:val="21"/>
                      <w:szCs w:val="21"/>
                      <w:vertAlign w:val="subscript"/>
                      <w:lang w:val="en-US" w:eastAsia="zh-CN"/>
                    </w:rPr>
                    <w:t>2</w:t>
                  </w:r>
                </w:p>
              </w:tc>
              <w:tc>
                <w:tcPr>
                  <w:tcW w:w="759" w:type="pct"/>
                  <w:shd w:val="clear" w:color="auto" w:fill="auto"/>
                  <w:noWrap w:val="0"/>
                  <w:vAlign w:val="center"/>
                </w:tcPr>
                <w:p w14:paraId="768B37C1">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FF0000"/>
                      <w:kern w:val="2"/>
                      <w:sz w:val="21"/>
                      <w:szCs w:val="21"/>
                      <w:lang w:val="en-US" w:eastAsia="zh-CN" w:bidi="ar-SA"/>
                    </w:rPr>
                  </w:pPr>
                  <w:r>
                    <w:rPr>
                      <w:rFonts w:hint="eastAsia" w:cs="Times New Roman"/>
                      <w:b w:val="0"/>
                      <w:bCs w:val="0"/>
                      <w:color w:val="FF0000"/>
                      <w:kern w:val="2"/>
                      <w:sz w:val="21"/>
                      <w:szCs w:val="21"/>
                      <w:lang w:val="en-US" w:eastAsia="zh-CN" w:bidi="ar-SA"/>
                    </w:rPr>
                    <w:t>0.27</w:t>
                  </w:r>
                </w:p>
              </w:tc>
              <w:tc>
                <w:tcPr>
                  <w:tcW w:w="869" w:type="pct"/>
                  <w:noWrap w:val="0"/>
                  <w:vAlign w:val="center"/>
                </w:tcPr>
                <w:p w14:paraId="02F0CE5E">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c>
                <w:tcPr>
                  <w:tcW w:w="666" w:type="pct"/>
                  <w:noWrap w:val="0"/>
                  <w:vAlign w:val="center"/>
                </w:tcPr>
                <w:p w14:paraId="032AE6C2">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w:t>
                  </w:r>
                </w:p>
              </w:tc>
              <w:tc>
                <w:tcPr>
                  <w:tcW w:w="995" w:type="pct"/>
                  <w:noWrap w:val="0"/>
                  <w:vAlign w:val="center"/>
                </w:tcPr>
                <w:p w14:paraId="399A4E0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0.27</w:t>
                  </w:r>
                </w:p>
              </w:tc>
              <w:tc>
                <w:tcPr>
                  <w:tcW w:w="602" w:type="pct"/>
                  <w:shd w:val="clear" w:color="auto" w:fill="auto"/>
                  <w:noWrap w:val="0"/>
                  <w:vAlign w:val="center"/>
                </w:tcPr>
                <w:p w14:paraId="717F09A6">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r>
            <w:tr w14:paraId="2A6B5A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3A63E63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3F53C3D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lang w:val="en-US" w:eastAsia="zh-CN"/>
                    </w:rPr>
                  </w:pPr>
                  <w:r>
                    <w:rPr>
                      <w:rFonts w:hint="eastAsia" w:cs="Times New Roman"/>
                      <w:color w:val="FF0000"/>
                      <w:kern w:val="2"/>
                      <w:sz w:val="21"/>
                      <w:szCs w:val="21"/>
                      <w:lang w:val="en-US" w:eastAsia="zh-CN"/>
                    </w:rPr>
                    <w:t>NOx</w:t>
                  </w:r>
                </w:p>
              </w:tc>
              <w:tc>
                <w:tcPr>
                  <w:tcW w:w="759" w:type="pct"/>
                  <w:shd w:val="clear" w:color="auto" w:fill="auto"/>
                  <w:noWrap w:val="0"/>
                  <w:vAlign w:val="center"/>
                </w:tcPr>
                <w:p w14:paraId="145A1357">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FF0000"/>
                      <w:kern w:val="2"/>
                      <w:sz w:val="21"/>
                      <w:szCs w:val="21"/>
                      <w:lang w:val="en-US" w:eastAsia="zh-CN" w:bidi="ar-SA"/>
                    </w:rPr>
                  </w:pPr>
                  <w:r>
                    <w:rPr>
                      <w:rFonts w:hint="eastAsia" w:cs="Times New Roman"/>
                      <w:b w:val="0"/>
                      <w:bCs w:val="0"/>
                      <w:color w:val="FF0000"/>
                      <w:kern w:val="2"/>
                      <w:sz w:val="21"/>
                      <w:szCs w:val="21"/>
                      <w:lang w:val="en-US" w:eastAsia="zh-CN" w:bidi="ar-SA"/>
                    </w:rPr>
                    <w:t>2.55</w:t>
                  </w:r>
                </w:p>
              </w:tc>
              <w:tc>
                <w:tcPr>
                  <w:tcW w:w="869" w:type="pct"/>
                  <w:noWrap w:val="0"/>
                  <w:vAlign w:val="center"/>
                </w:tcPr>
                <w:p w14:paraId="5D28A347">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c>
                <w:tcPr>
                  <w:tcW w:w="666" w:type="pct"/>
                  <w:noWrap w:val="0"/>
                  <w:vAlign w:val="center"/>
                </w:tcPr>
                <w:p w14:paraId="28B36061">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w:t>
                  </w:r>
                </w:p>
              </w:tc>
              <w:tc>
                <w:tcPr>
                  <w:tcW w:w="995" w:type="pct"/>
                  <w:noWrap w:val="0"/>
                  <w:vAlign w:val="center"/>
                </w:tcPr>
                <w:p w14:paraId="4367B2C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2.55</w:t>
                  </w:r>
                </w:p>
              </w:tc>
              <w:tc>
                <w:tcPr>
                  <w:tcW w:w="602" w:type="pct"/>
                  <w:shd w:val="clear" w:color="auto" w:fill="auto"/>
                  <w:noWrap w:val="0"/>
                  <w:vAlign w:val="center"/>
                </w:tcPr>
                <w:p w14:paraId="1D82AEF4">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r>
            <w:tr w14:paraId="55DF1B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756BA758">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1EBF5C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s="Times New Roman"/>
                      <w:color w:val="FF0000"/>
                      <w:kern w:val="2"/>
                      <w:sz w:val="21"/>
                      <w:szCs w:val="21"/>
                      <w:lang w:val="en-US" w:eastAsia="zh-CN"/>
                    </w:rPr>
                  </w:pPr>
                  <w:r>
                    <w:rPr>
                      <w:rFonts w:hint="eastAsia"/>
                      <w:color w:val="FF0000"/>
                      <w:highlight w:val="none"/>
                      <w:lang w:val="en-US" w:eastAsia="zh-CN"/>
                    </w:rPr>
                    <w:t>铊及其化合物</w:t>
                  </w:r>
                </w:p>
              </w:tc>
              <w:tc>
                <w:tcPr>
                  <w:tcW w:w="759" w:type="pct"/>
                  <w:shd w:val="clear" w:color="auto" w:fill="auto"/>
                  <w:noWrap w:val="0"/>
                  <w:vAlign w:val="center"/>
                </w:tcPr>
                <w:p w14:paraId="057EE1CB">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FF0000"/>
                      <w:kern w:val="2"/>
                      <w:sz w:val="21"/>
                      <w:szCs w:val="21"/>
                      <w:lang w:val="en-US" w:eastAsia="zh-CN" w:bidi="ar-SA"/>
                    </w:rPr>
                  </w:pPr>
                  <w:r>
                    <w:rPr>
                      <w:rFonts w:hint="eastAsia" w:cs="Times New Roman"/>
                      <w:b w:val="0"/>
                      <w:bCs w:val="0"/>
                      <w:color w:val="FF0000"/>
                      <w:kern w:val="2"/>
                      <w:sz w:val="21"/>
                      <w:szCs w:val="21"/>
                      <w:lang w:val="en-US" w:eastAsia="zh-CN" w:bidi="ar-SA"/>
                    </w:rPr>
                    <w:t>/</w:t>
                  </w:r>
                </w:p>
              </w:tc>
              <w:tc>
                <w:tcPr>
                  <w:tcW w:w="869" w:type="pct"/>
                  <w:noWrap w:val="0"/>
                  <w:vAlign w:val="center"/>
                </w:tcPr>
                <w:p w14:paraId="50EAC8C4">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c>
                <w:tcPr>
                  <w:tcW w:w="666" w:type="pct"/>
                  <w:noWrap w:val="0"/>
                  <w:vAlign w:val="center"/>
                </w:tcPr>
                <w:p w14:paraId="5A254C0A">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0.000032</w:t>
                  </w:r>
                </w:p>
              </w:tc>
              <w:tc>
                <w:tcPr>
                  <w:tcW w:w="995" w:type="pct"/>
                  <w:noWrap w:val="0"/>
                  <w:vAlign w:val="center"/>
                </w:tcPr>
                <w:p w14:paraId="24E0D4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0.000032</w:t>
                  </w:r>
                </w:p>
              </w:tc>
              <w:tc>
                <w:tcPr>
                  <w:tcW w:w="602" w:type="pct"/>
                  <w:shd w:val="clear" w:color="auto" w:fill="auto"/>
                  <w:noWrap w:val="0"/>
                  <w:vAlign w:val="center"/>
                </w:tcPr>
                <w:p w14:paraId="7C7578E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+0.000032</w:t>
                  </w:r>
                </w:p>
              </w:tc>
            </w:tr>
            <w:tr w14:paraId="761064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12DD534C">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1DAF1C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lang w:val="en-US" w:eastAsia="zh-CN" w:bidi="ar-SA"/>
                    </w:rPr>
                  </w:pPr>
                  <w:r>
                    <w:rPr>
                      <w:rFonts w:hint="eastAsia"/>
                      <w:color w:val="FF0000"/>
                      <w:highlight w:val="none"/>
                      <w:lang w:val="en-US" w:eastAsia="zh-CN"/>
                    </w:rPr>
                    <w:t>氟化物</w:t>
                  </w:r>
                </w:p>
              </w:tc>
              <w:tc>
                <w:tcPr>
                  <w:tcW w:w="759" w:type="pct"/>
                  <w:shd w:val="clear" w:color="auto" w:fill="auto"/>
                  <w:noWrap w:val="0"/>
                  <w:vAlign w:val="center"/>
                </w:tcPr>
                <w:p w14:paraId="15B9A39A">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b w:val="0"/>
                      <w:bCs w:val="0"/>
                      <w:color w:val="FF0000"/>
                      <w:kern w:val="2"/>
                      <w:sz w:val="21"/>
                      <w:szCs w:val="21"/>
                      <w:lang w:val="en-US" w:eastAsia="zh-CN" w:bidi="ar-SA"/>
                    </w:rPr>
                  </w:pPr>
                  <w:r>
                    <w:rPr>
                      <w:rFonts w:hint="eastAsia" w:cs="Times New Roman"/>
                      <w:b w:val="0"/>
                      <w:bCs w:val="0"/>
                      <w:color w:val="FF0000"/>
                      <w:kern w:val="2"/>
                      <w:sz w:val="21"/>
                      <w:szCs w:val="21"/>
                      <w:lang w:val="en-US" w:eastAsia="zh-CN" w:bidi="ar-SA"/>
                    </w:rPr>
                    <w:t>0.38</w:t>
                  </w:r>
                </w:p>
              </w:tc>
              <w:tc>
                <w:tcPr>
                  <w:tcW w:w="869" w:type="pct"/>
                  <w:noWrap w:val="0"/>
                  <w:vAlign w:val="center"/>
                </w:tcPr>
                <w:p w14:paraId="3E3D5EBE">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w:t>
                  </w:r>
                </w:p>
              </w:tc>
              <w:tc>
                <w:tcPr>
                  <w:tcW w:w="666" w:type="pct"/>
                  <w:noWrap w:val="0"/>
                  <w:vAlign w:val="center"/>
                </w:tcPr>
                <w:p w14:paraId="7D7FBBDF">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0.0632</w:t>
                  </w:r>
                </w:p>
              </w:tc>
              <w:tc>
                <w:tcPr>
                  <w:tcW w:w="995" w:type="pct"/>
                  <w:noWrap w:val="0"/>
                  <w:vAlign w:val="center"/>
                </w:tcPr>
                <w:p w14:paraId="406543C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0.4432</w:t>
                  </w:r>
                </w:p>
              </w:tc>
              <w:tc>
                <w:tcPr>
                  <w:tcW w:w="602" w:type="pct"/>
                  <w:shd w:val="clear" w:color="auto" w:fill="auto"/>
                  <w:noWrap w:val="0"/>
                  <w:vAlign w:val="center"/>
                </w:tcPr>
                <w:p w14:paraId="442BC8A5">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bidi="ar"/>
                    </w:rPr>
                    <w:t>+0.0632</w:t>
                  </w:r>
                </w:p>
              </w:tc>
            </w:tr>
            <w:tr w14:paraId="14267F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restart"/>
                  <w:noWrap w:val="0"/>
                  <w:vAlign w:val="center"/>
                </w:tcPr>
                <w:p w14:paraId="2FDC199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r>
                    <w:rPr>
                      <w:rFonts w:hint="eastAsia" w:cs="Times New Roman"/>
                      <w:color w:val="FF0000"/>
                      <w:kern w:val="2"/>
                      <w:sz w:val="21"/>
                      <w:szCs w:val="21"/>
                    </w:rPr>
                    <w:t>废水</w:t>
                  </w:r>
                </w:p>
              </w:tc>
              <w:tc>
                <w:tcPr>
                  <w:tcW w:w="725" w:type="pct"/>
                  <w:noWrap w:val="0"/>
                  <w:vAlign w:val="center"/>
                </w:tcPr>
                <w:p w14:paraId="3C8BB6D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rPr>
                  </w:pPr>
                  <w:r>
                    <w:rPr>
                      <w:rFonts w:hint="eastAsia" w:cs="Times New Roman"/>
                      <w:color w:val="FF0000"/>
                      <w:kern w:val="2"/>
                      <w:sz w:val="21"/>
                      <w:szCs w:val="21"/>
                    </w:rPr>
                    <w:t>废水排放量</w:t>
                  </w:r>
                </w:p>
              </w:tc>
              <w:tc>
                <w:tcPr>
                  <w:tcW w:w="759" w:type="pct"/>
                  <w:shd w:val="clear" w:color="auto" w:fill="auto"/>
                  <w:noWrap w:val="0"/>
                  <w:vAlign w:val="center"/>
                </w:tcPr>
                <w:p w14:paraId="26E3B8DC">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768</w:t>
                  </w:r>
                </w:p>
              </w:tc>
              <w:tc>
                <w:tcPr>
                  <w:tcW w:w="869" w:type="pct"/>
                  <w:noWrap w:val="0"/>
                  <w:vAlign w:val="center"/>
                </w:tcPr>
                <w:p w14:paraId="55847182">
                  <w:pPr>
                    <w:keepNext w:val="0"/>
                    <w:keepLines w:val="0"/>
                    <w:widowControl/>
                    <w:suppressLineNumbers w:val="0"/>
                    <w:adjustRightInd/>
                    <w:spacing w:before="0" w:beforeAutospacing="0" w:after="0" w:afterAutospacing="0" w:line="240" w:lineRule="auto"/>
                    <w:ind w:left="0" w:right="0" w:firstLine="0" w:firstLineChars="0"/>
                    <w:jc w:val="center"/>
                    <w:textAlignment w:val="center"/>
                    <w:rPr>
                      <w:rFonts w:hint="default"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noWrap w:val="0"/>
                  <w:vAlign w:val="center"/>
                </w:tcPr>
                <w:p w14:paraId="340A4DAD">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eastAsia="宋体" w:cs="Times New Roman"/>
                      <w:color w:val="FF0000"/>
                      <w:kern w:val="2"/>
                      <w:sz w:val="21"/>
                      <w:szCs w:val="21"/>
                      <w:lang w:val="en-US" w:eastAsia="zh-CN"/>
                    </w:rPr>
                  </w:pPr>
                  <w:r>
                    <w:rPr>
                      <w:rFonts w:hint="eastAsia" w:cs="Times New Roman"/>
                      <w:color w:val="FF0000"/>
                      <w:kern w:val="2"/>
                      <w:sz w:val="21"/>
                      <w:szCs w:val="21"/>
                      <w:lang w:val="en-US" w:eastAsia="zh-CN"/>
                    </w:rPr>
                    <w:t>384</w:t>
                  </w:r>
                </w:p>
              </w:tc>
              <w:tc>
                <w:tcPr>
                  <w:tcW w:w="995" w:type="pct"/>
                  <w:noWrap w:val="0"/>
                  <w:vAlign w:val="center"/>
                </w:tcPr>
                <w:p w14:paraId="6781A9D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1152</w:t>
                  </w:r>
                </w:p>
              </w:tc>
              <w:tc>
                <w:tcPr>
                  <w:tcW w:w="602" w:type="pct"/>
                  <w:shd w:val="clear" w:color="auto" w:fill="auto"/>
                  <w:noWrap w:val="0"/>
                  <w:vAlign w:val="center"/>
                </w:tcPr>
                <w:p w14:paraId="11738E0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+384</w:t>
                  </w:r>
                </w:p>
              </w:tc>
            </w:tr>
            <w:tr w14:paraId="2089FB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11EEF0B3">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3D98D42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lang w:val="en-US" w:eastAsia="zh-CN" w:bidi="ar-SA"/>
                    </w:rPr>
                  </w:pPr>
                  <w:r>
                    <w:rPr>
                      <w:rFonts w:hint="eastAsia" w:cs="Times New Roman"/>
                      <w:color w:val="FF0000"/>
                      <w:kern w:val="2"/>
                      <w:sz w:val="21"/>
                      <w:szCs w:val="21"/>
                    </w:rPr>
                    <w:t>COD</w:t>
                  </w:r>
                </w:p>
              </w:tc>
              <w:tc>
                <w:tcPr>
                  <w:tcW w:w="759" w:type="pct"/>
                  <w:shd w:val="clear" w:color="auto" w:fill="auto"/>
                  <w:noWrap w:val="0"/>
                  <w:vAlign w:val="center"/>
                </w:tcPr>
                <w:p w14:paraId="791742E4">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0.13</w:t>
                  </w:r>
                </w:p>
              </w:tc>
              <w:tc>
                <w:tcPr>
                  <w:tcW w:w="869" w:type="pct"/>
                  <w:noWrap w:val="0"/>
                  <w:vAlign w:val="center"/>
                </w:tcPr>
                <w:p w14:paraId="0C37100C">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noWrap w:val="0"/>
                  <w:vAlign w:val="center"/>
                </w:tcPr>
                <w:p w14:paraId="63667CB4">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0.0816</w:t>
                  </w:r>
                </w:p>
              </w:tc>
              <w:tc>
                <w:tcPr>
                  <w:tcW w:w="995" w:type="pct"/>
                  <w:noWrap w:val="0"/>
                  <w:vAlign w:val="center"/>
                </w:tcPr>
                <w:p w14:paraId="226FBD9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0.2116</w:t>
                  </w:r>
                </w:p>
              </w:tc>
              <w:tc>
                <w:tcPr>
                  <w:tcW w:w="602" w:type="pct"/>
                  <w:shd w:val="clear" w:color="auto" w:fill="auto"/>
                  <w:noWrap w:val="0"/>
                  <w:vAlign w:val="center"/>
                </w:tcPr>
                <w:p w14:paraId="336723D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+0.0816</w:t>
                  </w:r>
                </w:p>
              </w:tc>
            </w:tr>
            <w:tr w14:paraId="2E34B6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A7C28B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64DD9BC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rPr>
                  </w:pPr>
                  <w:r>
                    <w:rPr>
                      <w:rFonts w:hint="eastAsia" w:cs="Times New Roman"/>
                      <w:color w:val="FF0000"/>
                      <w:kern w:val="0"/>
                      <w:sz w:val="21"/>
                      <w:szCs w:val="21"/>
                      <w:lang w:val="en-US" w:eastAsia="zh-CN" w:bidi="ar"/>
                    </w:rPr>
                    <w:t>BOD</w:t>
                  </w:r>
                  <w:r>
                    <w:rPr>
                      <w:rFonts w:hint="eastAsia" w:cs="Times New Roman"/>
                      <w:color w:val="FF0000"/>
                      <w:kern w:val="0"/>
                      <w:sz w:val="21"/>
                      <w:szCs w:val="21"/>
                      <w:vertAlign w:val="subscript"/>
                      <w:lang w:val="en-US" w:eastAsia="zh-CN" w:bidi="ar"/>
                    </w:rPr>
                    <w:t>5</w:t>
                  </w:r>
                </w:p>
              </w:tc>
              <w:tc>
                <w:tcPr>
                  <w:tcW w:w="759" w:type="pct"/>
                  <w:shd w:val="clear" w:color="auto" w:fill="auto"/>
                  <w:noWrap w:val="0"/>
                  <w:vAlign w:val="center"/>
                </w:tcPr>
                <w:p w14:paraId="2CBA4FC0">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0.08</w:t>
                  </w:r>
                </w:p>
              </w:tc>
              <w:tc>
                <w:tcPr>
                  <w:tcW w:w="869" w:type="pct"/>
                  <w:noWrap w:val="0"/>
                  <w:vAlign w:val="center"/>
                </w:tcPr>
                <w:p w14:paraId="6A251B54">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noWrap w:val="0"/>
                  <w:vAlign w:val="center"/>
                </w:tcPr>
                <w:p w14:paraId="38F7A5C8">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0.035</w:t>
                  </w:r>
                </w:p>
              </w:tc>
              <w:tc>
                <w:tcPr>
                  <w:tcW w:w="995" w:type="pct"/>
                  <w:noWrap w:val="0"/>
                  <w:vAlign w:val="center"/>
                </w:tcPr>
                <w:p w14:paraId="64C9247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0.115</w:t>
                  </w:r>
                </w:p>
              </w:tc>
              <w:tc>
                <w:tcPr>
                  <w:tcW w:w="602" w:type="pct"/>
                  <w:shd w:val="clear" w:color="auto" w:fill="auto"/>
                  <w:noWrap w:val="0"/>
                  <w:vAlign w:val="center"/>
                </w:tcPr>
                <w:p w14:paraId="596F8133">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+0.035</w:t>
                  </w:r>
                </w:p>
              </w:tc>
            </w:tr>
            <w:tr w14:paraId="58078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391EA58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6DFD697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FF0000"/>
                      <w:kern w:val="0"/>
                      <w:sz w:val="21"/>
                      <w:szCs w:val="21"/>
                      <w:lang w:val="en-US" w:eastAsia="zh-CN" w:bidi="ar"/>
                    </w:rPr>
                  </w:pPr>
                  <w:r>
                    <w:rPr>
                      <w:rFonts w:hint="eastAsia" w:cs="Times New Roman"/>
                      <w:color w:val="FF0000"/>
                      <w:kern w:val="0"/>
                      <w:sz w:val="21"/>
                      <w:szCs w:val="21"/>
                      <w:lang w:val="en-US" w:eastAsia="zh-CN"/>
                    </w:rPr>
                    <w:t>SS</w:t>
                  </w:r>
                </w:p>
              </w:tc>
              <w:tc>
                <w:tcPr>
                  <w:tcW w:w="759" w:type="pct"/>
                  <w:shd w:val="clear" w:color="auto" w:fill="auto"/>
                  <w:noWrap w:val="0"/>
                  <w:vAlign w:val="center"/>
                </w:tcPr>
                <w:p w14:paraId="10785402">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0.11</w:t>
                  </w:r>
                </w:p>
              </w:tc>
              <w:tc>
                <w:tcPr>
                  <w:tcW w:w="869" w:type="pct"/>
                  <w:noWrap w:val="0"/>
                  <w:vAlign w:val="center"/>
                </w:tcPr>
                <w:p w14:paraId="377EF131">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w:t>
                  </w:r>
                </w:p>
              </w:tc>
              <w:tc>
                <w:tcPr>
                  <w:tcW w:w="666" w:type="pct"/>
                  <w:noWrap w:val="0"/>
                  <w:vAlign w:val="center"/>
                </w:tcPr>
                <w:p w14:paraId="15A3380E">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0.0403</w:t>
                  </w:r>
                </w:p>
              </w:tc>
              <w:tc>
                <w:tcPr>
                  <w:tcW w:w="995" w:type="pct"/>
                  <w:noWrap w:val="0"/>
                  <w:vAlign w:val="center"/>
                </w:tcPr>
                <w:p w14:paraId="7F3A3CB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0.1503</w:t>
                  </w:r>
                </w:p>
              </w:tc>
              <w:tc>
                <w:tcPr>
                  <w:tcW w:w="602" w:type="pct"/>
                  <w:shd w:val="clear" w:color="auto" w:fill="auto"/>
                  <w:noWrap w:val="0"/>
                  <w:vAlign w:val="center"/>
                </w:tcPr>
                <w:p w14:paraId="276AA8F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+0.0403</w:t>
                  </w:r>
                </w:p>
              </w:tc>
            </w:tr>
            <w:tr w14:paraId="45D98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26E34F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5C5139F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rPr>
                  </w:pPr>
                  <w:r>
                    <w:rPr>
                      <w:rFonts w:hint="default" w:ascii="Times New Roman" w:hAnsi="Times New Roman" w:cs="Times New Roman"/>
                      <w:color w:val="FF0000"/>
                      <w:kern w:val="0"/>
                      <w:sz w:val="21"/>
                      <w:szCs w:val="21"/>
                    </w:rPr>
                    <w:t>NH</w:t>
                  </w:r>
                  <w:r>
                    <w:rPr>
                      <w:rFonts w:hint="default" w:ascii="Times New Roman" w:hAnsi="Times New Roman" w:cs="Times New Roman"/>
                      <w:color w:val="FF0000"/>
                      <w:kern w:val="0"/>
                      <w:sz w:val="21"/>
                      <w:szCs w:val="21"/>
                      <w:vertAlign w:val="subscript"/>
                    </w:rPr>
                    <w:t>3</w:t>
                  </w:r>
                  <w:r>
                    <w:rPr>
                      <w:rFonts w:hint="default" w:ascii="Times New Roman" w:hAnsi="Times New Roman" w:cs="Times New Roman"/>
                      <w:color w:val="FF0000"/>
                      <w:kern w:val="0"/>
                      <w:sz w:val="21"/>
                      <w:szCs w:val="21"/>
                    </w:rPr>
                    <w:t>-N</w:t>
                  </w:r>
                </w:p>
              </w:tc>
              <w:tc>
                <w:tcPr>
                  <w:tcW w:w="759" w:type="pct"/>
                  <w:shd w:val="clear" w:color="auto" w:fill="auto"/>
                  <w:noWrap w:val="0"/>
                  <w:vAlign w:val="center"/>
                </w:tcPr>
                <w:p w14:paraId="44AFFFE7">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0.019</w:t>
                  </w:r>
                </w:p>
              </w:tc>
              <w:tc>
                <w:tcPr>
                  <w:tcW w:w="869" w:type="pct"/>
                  <w:noWrap w:val="0"/>
                  <w:vAlign w:val="center"/>
                </w:tcPr>
                <w:p w14:paraId="12A19B89">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noWrap w:val="0"/>
                  <w:vAlign w:val="center"/>
                </w:tcPr>
                <w:p w14:paraId="3EDBEDAE">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0.0093</w:t>
                  </w:r>
                </w:p>
              </w:tc>
              <w:tc>
                <w:tcPr>
                  <w:tcW w:w="995" w:type="pct"/>
                  <w:noWrap w:val="0"/>
                  <w:vAlign w:val="center"/>
                </w:tcPr>
                <w:p w14:paraId="2D70263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0.0283</w:t>
                  </w:r>
                </w:p>
              </w:tc>
              <w:tc>
                <w:tcPr>
                  <w:tcW w:w="602" w:type="pct"/>
                  <w:shd w:val="clear" w:color="auto" w:fill="auto"/>
                  <w:noWrap w:val="0"/>
                  <w:vAlign w:val="center"/>
                </w:tcPr>
                <w:p w14:paraId="6B7997C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+0.0093</w:t>
                  </w:r>
                </w:p>
              </w:tc>
            </w:tr>
            <w:tr w14:paraId="2A3172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3" w:hRule="atLeast"/>
                <w:jc w:val="center"/>
              </w:trPr>
              <w:tc>
                <w:tcPr>
                  <w:tcW w:w="380" w:type="pct"/>
                  <w:vMerge w:val="continue"/>
                  <w:noWrap w:val="0"/>
                  <w:vAlign w:val="center"/>
                </w:tcPr>
                <w:p w14:paraId="15648A6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110947BA">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s="Times New Roman"/>
                      <w:color w:val="FF0000"/>
                      <w:kern w:val="2"/>
                      <w:sz w:val="21"/>
                      <w:szCs w:val="21"/>
                    </w:rPr>
                  </w:pPr>
                  <w:r>
                    <w:rPr>
                      <w:rFonts w:hint="eastAsia" w:cs="Times New Roman"/>
                      <w:color w:val="FF0000"/>
                      <w:kern w:val="0"/>
                      <w:sz w:val="21"/>
                      <w:szCs w:val="21"/>
                      <w:lang w:val="en-US" w:eastAsia="zh-CN"/>
                    </w:rPr>
                    <w:t>TP</w:t>
                  </w:r>
                </w:p>
              </w:tc>
              <w:tc>
                <w:tcPr>
                  <w:tcW w:w="759" w:type="pct"/>
                  <w:shd w:val="clear" w:color="auto" w:fill="auto"/>
                  <w:noWrap w:val="0"/>
                  <w:vAlign w:val="center"/>
                </w:tcPr>
                <w:p w14:paraId="633243D2">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0.0008</w:t>
                  </w:r>
                </w:p>
              </w:tc>
              <w:tc>
                <w:tcPr>
                  <w:tcW w:w="869" w:type="pct"/>
                  <w:noWrap w:val="0"/>
                  <w:vAlign w:val="center"/>
                </w:tcPr>
                <w:p w14:paraId="22A3FE47">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noWrap w:val="0"/>
                  <w:vAlign w:val="center"/>
                </w:tcPr>
                <w:p w14:paraId="625FD7D0">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0.000714</w:t>
                  </w:r>
                </w:p>
              </w:tc>
              <w:tc>
                <w:tcPr>
                  <w:tcW w:w="995" w:type="pct"/>
                  <w:noWrap w:val="0"/>
                  <w:vAlign w:val="center"/>
                </w:tcPr>
                <w:p w14:paraId="28F41DA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0.001514</w:t>
                  </w:r>
                </w:p>
              </w:tc>
              <w:tc>
                <w:tcPr>
                  <w:tcW w:w="602" w:type="pct"/>
                  <w:shd w:val="clear" w:color="auto" w:fill="auto"/>
                  <w:noWrap w:val="0"/>
                  <w:vAlign w:val="center"/>
                </w:tcPr>
                <w:p w14:paraId="78E044E9">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rPr>
                    <w:t>+0.000714</w:t>
                  </w:r>
                </w:p>
              </w:tc>
            </w:tr>
            <w:tr w14:paraId="5BBBCB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68E2EC51">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6809BCE4">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cs="Times New Roman"/>
                      <w:color w:val="FF0000"/>
                      <w:kern w:val="0"/>
                      <w:sz w:val="21"/>
                      <w:szCs w:val="21"/>
                    </w:rPr>
                  </w:pPr>
                  <w:r>
                    <w:rPr>
                      <w:rFonts w:hint="eastAsia" w:cs="Times New Roman"/>
                      <w:color w:val="FF0000"/>
                      <w:kern w:val="0"/>
                      <w:sz w:val="21"/>
                      <w:szCs w:val="21"/>
                      <w:lang w:val="en-US" w:eastAsia="zh-CN"/>
                    </w:rPr>
                    <w:t>TN</w:t>
                  </w:r>
                </w:p>
              </w:tc>
              <w:tc>
                <w:tcPr>
                  <w:tcW w:w="759" w:type="pct"/>
                  <w:shd w:val="clear" w:color="auto" w:fill="auto"/>
                  <w:noWrap w:val="0"/>
                  <w:vAlign w:val="center"/>
                </w:tcPr>
                <w:p w14:paraId="43493B45">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0.023</w:t>
                  </w:r>
                </w:p>
              </w:tc>
              <w:tc>
                <w:tcPr>
                  <w:tcW w:w="869" w:type="pct"/>
                  <w:noWrap w:val="0"/>
                  <w:vAlign w:val="center"/>
                </w:tcPr>
                <w:p w14:paraId="66BC060E">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w:t>
                  </w:r>
                </w:p>
              </w:tc>
              <w:tc>
                <w:tcPr>
                  <w:tcW w:w="666" w:type="pct"/>
                  <w:noWrap w:val="0"/>
                  <w:vAlign w:val="center"/>
                </w:tcPr>
                <w:p w14:paraId="08029FE5">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0.0124</w:t>
                  </w:r>
                </w:p>
              </w:tc>
              <w:tc>
                <w:tcPr>
                  <w:tcW w:w="995" w:type="pct"/>
                  <w:noWrap w:val="0"/>
                  <w:vAlign w:val="center"/>
                </w:tcPr>
                <w:p w14:paraId="708072A0">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color w:val="FF0000"/>
                      <w:kern w:val="0"/>
                      <w:sz w:val="21"/>
                      <w:szCs w:val="21"/>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0.0354</w:t>
                  </w:r>
                </w:p>
              </w:tc>
              <w:tc>
                <w:tcPr>
                  <w:tcW w:w="602" w:type="pct"/>
                  <w:shd w:val="clear" w:color="auto" w:fill="auto"/>
                  <w:noWrap w:val="0"/>
                  <w:vAlign w:val="center"/>
                </w:tcPr>
                <w:p w14:paraId="6D2EA0C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jc w:val="center"/>
                    <w:textAlignment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+0.0124</w:t>
                  </w:r>
                </w:p>
              </w:tc>
            </w:tr>
            <w:tr w14:paraId="61AB14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3" w:hRule="atLeast"/>
                <w:jc w:val="center"/>
              </w:trPr>
              <w:tc>
                <w:tcPr>
                  <w:tcW w:w="380" w:type="pct"/>
                  <w:vMerge w:val="continue"/>
                  <w:noWrap w:val="0"/>
                  <w:vAlign w:val="center"/>
                </w:tcPr>
                <w:p w14:paraId="75C2EFDB">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p>
              </w:tc>
              <w:tc>
                <w:tcPr>
                  <w:tcW w:w="725" w:type="pct"/>
                  <w:noWrap w:val="0"/>
                  <w:vAlign w:val="center"/>
                </w:tcPr>
                <w:p w14:paraId="0783782D">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cs="Times New Roman"/>
                      <w:color w:val="FF0000"/>
                      <w:kern w:val="0"/>
                      <w:sz w:val="21"/>
                      <w:szCs w:val="21"/>
                    </w:rPr>
                  </w:pPr>
                  <w:r>
                    <w:rPr>
                      <w:rFonts w:hint="eastAsia" w:cs="Times New Roman"/>
                      <w:color w:val="FF0000"/>
                      <w:kern w:val="2"/>
                      <w:sz w:val="21"/>
                      <w:szCs w:val="21"/>
                      <w:lang w:val="en-US" w:eastAsia="zh-CN" w:bidi="ar-SA"/>
                    </w:rPr>
                    <w:t>动植物油</w:t>
                  </w:r>
                </w:p>
              </w:tc>
              <w:tc>
                <w:tcPr>
                  <w:tcW w:w="759" w:type="pct"/>
                  <w:shd w:val="clear" w:color="auto" w:fill="auto"/>
                  <w:noWrap w:val="0"/>
                  <w:vAlign w:val="center"/>
                </w:tcPr>
                <w:p w14:paraId="1F629984">
                  <w:pPr>
                    <w:keepNext w:val="0"/>
                    <w:keepLines w:val="0"/>
                    <w:widowControl/>
                    <w:suppressLineNumbers w:val="0"/>
                    <w:adjustRightInd/>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0.038</w:t>
                  </w:r>
                </w:p>
              </w:tc>
              <w:tc>
                <w:tcPr>
                  <w:tcW w:w="869" w:type="pct"/>
                  <w:noWrap w:val="0"/>
                  <w:vAlign w:val="center"/>
                </w:tcPr>
                <w:p w14:paraId="67F9BBF6">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w:t>
                  </w:r>
                </w:p>
              </w:tc>
              <w:tc>
                <w:tcPr>
                  <w:tcW w:w="666" w:type="pct"/>
                  <w:noWrap w:val="0"/>
                  <w:vAlign w:val="center"/>
                </w:tcPr>
                <w:p w14:paraId="6D08645B">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0.0046</w:t>
                  </w:r>
                </w:p>
              </w:tc>
              <w:tc>
                <w:tcPr>
                  <w:tcW w:w="995" w:type="pct"/>
                  <w:noWrap w:val="0"/>
                  <w:vAlign w:val="center"/>
                </w:tcPr>
                <w:p w14:paraId="3241EA2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color w:val="FF0000"/>
                      <w:kern w:val="0"/>
                      <w:sz w:val="21"/>
                      <w:szCs w:val="21"/>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0.0426</w:t>
                  </w:r>
                </w:p>
              </w:tc>
              <w:tc>
                <w:tcPr>
                  <w:tcW w:w="602" w:type="pct"/>
                  <w:shd w:val="clear" w:color="auto" w:fill="auto"/>
                  <w:noWrap w:val="0"/>
                  <w:vAlign w:val="center"/>
                </w:tcPr>
                <w:p w14:paraId="0D250CB0">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+0.0046</w:t>
                  </w:r>
                </w:p>
              </w:tc>
            </w:tr>
            <w:tr w14:paraId="2F8A3B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restart"/>
                  <w:noWrap w:val="0"/>
                  <w:vAlign w:val="center"/>
                </w:tcPr>
                <w:p w14:paraId="40536375">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120" w:leftChars="-50" w:right="-120" w:rightChars="-50" w:firstLine="0" w:firstLineChars="0"/>
                    <w:jc w:val="center"/>
                    <w:textAlignment w:val="auto"/>
                    <w:rPr>
                      <w:rFonts w:hint="eastAsia" w:cs="Times New Roman"/>
                      <w:color w:val="FF0000"/>
                      <w:kern w:val="2"/>
                      <w:sz w:val="21"/>
                      <w:szCs w:val="21"/>
                    </w:rPr>
                  </w:pPr>
                  <w:r>
                    <w:rPr>
                      <w:rFonts w:hint="eastAsia" w:cs="Times New Roman"/>
                      <w:color w:val="FF0000"/>
                      <w:kern w:val="2"/>
                      <w:sz w:val="21"/>
                      <w:szCs w:val="21"/>
                    </w:rPr>
                    <w:t>固废</w:t>
                  </w:r>
                </w:p>
              </w:tc>
              <w:tc>
                <w:tcPr>
                  <w:tcW w:w="725" w:type="pct"/>
                  <w:noWrap w:val="0"/>
                  <w:vAlign w:val="center"/>
                </w:tcPr>
                <w:p w14:paraId="3C6D41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FF0000"/>
                      <w:kern w:val="2"/>
                      <w:sz w:val="21"/>
                      <w:szCs w:val="21"/>
                      <w:lang w:val="en-US" w:eastAsia="zh-CN"/>
                    </w:rPr>
                  </w:pPr>
                  <w:r>
                    <w:rPr>
                      <w:rFonts w:hint="eastAsia" w:ascii="Times New Roman" w:hAnsi="Times New Roman" w:eastAsia="宋体" w:cs="Times New Roman"/>
                      <w:color w:val="FF0000"/>
                      <w:kern w:val="0"/>
                      <w:sz w:val="21"/>
                      <w:szCs w:val="21"/>
                      <w:lang w:val="en-US" w:eastAsia="zh-CN" w:bidi="ar-SA"/>
                    </w:rPr>
                    <w:t>生活垃圾</w:t>
                  </w:r>
                </w:p>
              </w:tc>
              <w:tc>
                <w:tcPr>
                  <w:tcW w:w="759" w:type="pct"/>
                  <w:noWrap w:val="0"/>
                  <w:vAlign w:val="center"/>
                </w:tcPr>
                <w:p w14:paraId="02DA7495">
                  <w:pPr>
                    <w:keepNext w:val="0"/>
                    <w:keepLines w:val="0"/>
                    <w:pageBreakBefore w:val="0"/>
                    <w:widowControl w:val="0"/>
                    <w:suppressLineNumbers w:val="0"/>
                    <w:kinsoku/>
                    <w:wordWrap/>
                    <w:overflowPunct/>
                    <w:topLinePunct w:val="0"/>
                    <w:autoSpaceDE/>
                    <w:autoSpaceDN/>
                    <w:bidi w:val="0"/>
                    <w:adjustRightInd w:val="0"/>
                    <w:snapToGrid w:val="0"/>
                    <w:spacing w:before="31" w:beforeLines="10" w:beforeAutospacing="0" w:after="31" w:afterLines="10" w:afterAutospacing="0" w:line="240" w:lineRule="auto"/>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3</w:t>
                  </w:r>
                </w:p>
              </w:tc>
              <w:tc>
                <w:tcPr>
                  <w:tcW w:w="869" w:type="pct"/>
                  <w:noWrap w:val="0"/>
                  <w:vAlign w:val="center"/>
                </w:tcPr>
                <w:p w14:paraId="067D4FDD">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w:t>
                  </w:r>
                </w:p>
              </w:tc>
              <w:tc>
                <w:tcPr>
                  <w:tcW w:w="666" w:type="pct"/>
                  <w:shd w:val="clear" w:color="auto" w:fill="auto"/>
                  <w:noWrap w:val="0"/>
                  <w:vAlign w:val="center"/>
                </w:tcPr>
                <w:p w14:paraId="3BDDAA7E">
                  <w:pPr>
                    <w:keepNext w:val="0"/>
                    <w:keepLines w:val="0"/>
                    <w:pageBreakBefore w:val="0"/>
                    <w:widowControl w:val="0"/>
                    <w:suppressLineNumbers w:val="0"/>
                    <w:kinsoku/>
                    <w:wordWrap/>
                    <w:overflowPunct/>
                    <w:topLinePunct w:val="0"/>
                    <w:autoSpaceDE/>
                    <w:autoSpaceDN/>
                    <w:bidi w:val="0"/>
                    <w:adjustRightInd w:val="0"/>
                    <w:snapToGrid w:val="0"/>
                    <w:spacing w:before="31" w:beforeLines="10" w:beforeAutospacing="0" w:after="31" w:afterLines="10" w:afterAutospacing="0" w:line="240" w:lineRule="auto"/>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1.5</w:t>
                  </w:r>
                </w:p>
              </w:tc>
              <w:tc>
                <w:tcPr>
                  <w:tcW w:w="995" w:type="pct"/>
                  <w:noWrap w:val="0"/>
                  <w:vAlign w:val="center"/>
                </w:tcPr>
                <w:p w14:paraId="71181C81">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4.5</w:t>
                  </w:r>
                </w:p>
              </w:tc>
              <w:tc>
                <w:tcPr>
                  <w:tcW w:w="602" w:type="pct"/>
                  <w:shd w:val="clear" w:color="auto" w:fill="auto"/>
                  <w:noWrap w:val="0"/>
                  <w:vAlign w:val="center"/>
                </w:tcPr>
                <w:p w14:paraId="739E4A8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rPr>
                      <w:rFonts w:hint="eastAsia"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+1.5</w:t>
                  </w:r>
                </w:p>
              </w:tc>
            </w:tr>
            <w:tr w14:paraId="693422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2A22EB3">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508F30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rPr>
                    <w:t>废布袋</w:t>
                  </w:r>
                </w:p>
              </w:tc>
              <w:tc>
                <w:tcPr>
                  <w:tcW w:w="759" w:type="pct"/>
                  <w:shd w:val="clear" w:color="auto" w:fill="auto"/>
                  <w:noWrap w:val="0"/>
                  <w:vAlign w:val="center"/>
                </w:tcPr>
                <w:p w14:paraId="7B1626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0.1</w:t>
                  </w:r>
                </w:p>
              </w:tc>
              <w:tc>
                <w:tcPr>
                  <w:tcW w:w="869" w:type="pct"/>
                  <w:noWrap w:val="0"/>
                  <w:vAlign w:val="center"/>
                </w:tcPr>
                <w:p w14:paraId="1956F7E8">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eastAsia"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w:t>
                  </w:r>
                </w:p>
              </w:tc>
              <w:tc>
                <w:tcPr>
                  <w:tcW w:w="666" w:type="pct"/>
                  <w:shd w:val="clear" w:color="auto" w:fill="auto"/>
                  <w:noWrap w:val="0"/>
                  <w:vAlign w:val="center"/>
                </w:tcPr>
                <w:p w14:paraId="13238D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0.1</w:t>
                  </w:r>
                </w:p>
              </w:tc>
              <w:tc>
                <w:tcPr>
                  <w:tcW w:w="995" w:type="pct"/>
                  <w:noWrap w:val="0"/>
                  <w:vAlign w:val="center"/>
                </w:tcPr>
                <w:p w14:paraId="0A0ACD3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0.2</w:t>
                  </w:r>
                </w:p>
              </w:tc>
              <w:tc>
                <w:tcPr>
                  <w:tcW w:w="602" w:type="pct"/>
                  <w:shd w:val="clear" w:color="auto" w:fill="auto"/>
                  <w:noWrap w:val="0"/>
                  <w:vAlign w:val="center"/>
                </w:tcPr>
                <w:p w14:paraId="086608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+0.1</w:t>
                  </w:r>
                </w:p>
              </w:tc>
            </w:tr>
            <w:tr w14:paraId="65D81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6061C32B">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26C9F2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废包装材料</w:t>
                  </w:r>
                </w:p>
              </w:tc>
              <w:tc>
                <w:tcPr>
                  <w:tcW w:w="759" w:type="pct"/>
                  <w:shd w:val="clear" w:color="auto" w:fill="auto"/>
                  <w:noWrap w:val="0"/>
                  <w:vAlign w:val="center"/>
                </w:tcPr>
                <w:p w14:paraId="372786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w:t>
                  </w:r>
                </w:p>
              </w:tc>
              <w:tc>
                <w:tcPr>
                  <w:tcW w:w="869" w:type="pct"/>
                  <w:noWrap w:val="0"/>
                  <w:vAlign w:val="center"/>
                </w:tcPr>
                <w:p w14:paraId="6F5B59E8">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5098DF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0.5</w:t>
                  </w:r>
                </w:p>
              </w:tc>
              <w:tc>
                <w:tcPr>
                  <w:tcW w:w="995" w:type="pct"/>
                  <w:noWrap w:val="0"/>
                  <w:vAlign w:val="center"/>
                </w:tcPr>
                <w:p w14:paraId="66B986EA">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cs="Times New Roman"/>
                      <w:b w:val="0"/>
                      <w:bCs w:val="0"/>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1.5</w:t>
                  </w:r>
                </w:p>
              </w:tc>
              <w:tc>
                <w:tcPr>
                  <w:tcW w:w="602" w:type="pct"/>
                  <w:shd w:val="clear" w:color="auto" w:fill="auto"/>
                  <w:noWrap w:val="0"/>
                  <w:vAlign w:val="center"/>
                </w:tcPr>
                <w:p w14:paraId="3AD842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+0.5</w:t>
                  </w:r>
                </w:p>
              </w:tc>
            </w:tr>
            <w:tr w14:paraId="2E6C0B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05BBE5FA">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718697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废滤布</w:t>
                  </w:r>
                </w:p>
              </w:tc>
              <w:tc>
                <w:tcPr>
                  <w:tcW w:w="759" w:type="pct"/>
                  <w:shd w:val="clear" w:color="auto" w:fill="auto"/>
                  <w:noWrap w:val="0"/>
                  <w:vAlign w:val="center"/>
                </w:tcPr>
                <w:p w14:paraId="1455F0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1.5</w:t>
                  </w:r>
                </w:p>
              </w:tc>
              <w:tc>
                <w:tcPr>
                  <w:tcW w:w="869" w:type="pct"/>
                  <w:noWrap w:val="0"/>
                  <w:vAlign w:val="center"/>
                </w:tcPr>
                <w:p w14:paraId="678776C6">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0A9FDE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p>
              </w:tc>
              <w:tc>
                <w:tcPr>
                  <w:tcW w:w="995" w:type="pct"/>
                  <w:noWrap w:val="0"/>
                  <w:vAlign w:val="center"/>
                </w:tcPr>
                <w:p w14:paraId="5663FC8D">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1.5</w:t>
                  </w:r>
                </w:p>
              </w:tc>
              <w:tc>
                <w:tcPr>
                  <w:tcW w:w="602" w:type="pct"/>
                  <w:shd w:val="clear" w:color="auto" w:fill="auto"/>
                  <w:noWrap w:val="0"/>
                  <w:vAlign w:val="center"/>
                </w:tcPr>
                <w:p w14:paraId="786C20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p>
              </w:tc>
            </w:tr>
            <w:tr w14:paraId="51839E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639CC22">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2FE965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不合格品</w:t>
                  </w:r>
                </w:p>
              </w:tc>
              <w:tc>
                <w:tcPr>
                  <w:tcW w:w="759" w:type="pct"/>
                  <w:shd w:val="clear" w:color="auto" w:fill="auto"/>
                  <w:noWrap w:val="0"/>
                  <w:vAlign w:val="center"/>
                </w:tcPr>
                <w:p w14:paraId="6A1D70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w:t>
                  </w:r>
                </w:p>
              </w:tc>
              <w:tc>
                <w:tcPr>
                  <w:tcW w:w="869" w:type="pct"/>
                  <w:noWrap w:val="0"/>
                  <w:vAlign w:val="center"/>
                </w:tcPr>
                <w:p w14:paraId="73740772">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3CCB88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50</w:t>
                  </w:r>
                </w:p>
              </w:tc>
              <w:tc>
                <w:tcPr>
                  <w:tcW w:w="995" w:type="pct"/>
                  <w:noWrap w:val="0"/>
                  <w:vAlign w:val="center"/>
                </w:tcPr>
                <w:p w14:paraId="5470DFEB">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50</w:t>
                  </w:r>
                </w:p>
              </w:tc>
              <w:tc>
                <w:tcPr>
                  <w:tcW w:w="602" w:type="pct"/>
                  <w:shd w:val="clear" w:color="auto" w:fill="auto"/>
                  <w:noWrap w:val="0"/>
                  <w:vAlign w:val="center"/>
                </w:tcPr>
                <w:p w14:paraId="672707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+50</w:t>
                  </w:r>
                </w:p>
              </w:tc>
            </w:tr>
            <w:tr w14:paraId="56403D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2A99E471">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67B8A4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收集粉尘</w:t>
                  </w:r>
                </w:p>
              </w:tc>
              <w:tc>
                <w:tcPr>
                  <w:tcW w:w="759" w:type="pct"/>
                  <w:shd w:val="clear" w:color="auto" w:fill="auto"/>
                  <w:noWrap w:val="0"/>
                  <w:vAlign w:val="center"/>
                </w:tcPr>
                <w:p w14:paraId="468A53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176.13</w:t>
                  </w:r>
                </w:p>
              </w:tc>
              <w:tc>
                <w:tcPr>
                  <w:tcW w:w="869" w:type="pct"/>
                  <w:noWrap w:val="0"/>
                  <w:vAlign w:val="center"/>
                </w:tcPr>
                <w:p w14:paraId="1F57CBB8">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2748D9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223.4</w:t>
                  </w:r>
                </w:p>
              </w:tc>
              <w:tc>
                <w:tcPr>
                  <w:tcW w:w="995" w:type="pct"/>
                  <w:noWrap w:val="0"/>
                  <w:vAlign w:val="center"/>
                </w:tcPr>
                <w:p w14:paraId="57BC051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399.53</w:t>
                  </w:r>
                </w:p>
              </w:tc>
              <w:tc>
                <w:tcPr>
                  <w:tcW w:w="602" w:type="pct"/>
                  <w:shd w:val="clear" w:color="auto" w:fill="auto"/>
                  <w:noWrap w:val="0"/>
                  <w:vAlign w:val="center"/>
                </w:tcPr>
                <w:p w14:paraId="4A9192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+223.4</w:t>
                  </w:r>
                </w:p>
              </w:tc>
            </w:tr>
            <w:tr w14:paraId="0AF073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0524E7B">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6CEB82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highlight w:val="none"/>
                      <w:lang w:val="en-US" w:eastAsia="zh-CN"/>
                    </w:rPr>
                    <w:t>沉淀池沉渣</w:t>
                  </w:r>
                </w:p>
              </w:tc>
              <w:tc>
                <w:tcPr>
                  <w:tcW w:w="759" w:type="pct"/>
                  <w:shd w:val="clear" w:color="auto" w:fill="auto"/>
                  <w:noWrap w:val="0"/>
                  <w:vAlign w:val="center"/>
                </w:tcPr>
                <w:p w14:paraId="6B79CD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w:t>
                  </w:r>
                </w:p>
              </w:tc>
              <w:tc>
                <w:tcPr>
                  <w:tcW w:w="869" w:type="pct"/>
                  <w:noWrap w:val="0"/>
                  <w:vAlign w:val="center"/>
                </w:tcPr>
                <w:p w14:paraId="11D9B461">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5BC2DC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10.9</w:t>
                  </w:r>
                </w:p>
              </w:tc>
              <w:tc>
                <w:tcPr>
                  <w:tcW w:w="995" w:type="pct"/>
                  <w:noWrap w:val="0"/>
                  <w:vAlign w:val="center"/>
                </w:tcPr>
                <w:p w14:paraId="727426A2">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10.9</w:t>
                  </w:r>
                </w:p>
              </w:tc>
              <w:tc>
                <w:tcPr>
                  <w:tcW w:w="602" w:type="pct"/>
                  <w:shd w:val="clear" w:color="auto" w:fill="auto"/>
                  <w:noWrap w:val="0"/>
                  <w:vAlign w:val="center"/>
                </w:tcPr>
                <w:p w14:paraId="4C2510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+10.9</w:t>
                  </w:r>
                </w:p>
              </w:tc>
            </w:tr>
            <w:tr w14:paraId="1182C0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23" w:hRule="atLeast"/>
                <w:jc w:val="center"/>
              </w:trPr>
              <w:tc>
                <w:tcPr>
                  <w:tcW w:w="380" w:type="pct"/>
                  <w:vMerge w:val="continue"/>
                  <w:noWrap w:val="0"/>
                  <w:vAlign w:val="center"/>
                </w:tcPr>
                <w:p w14:paraId="6C0A847F">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37280F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rPr>
                    <w:t>废</w:t>
                  </w:r>
                  <w:r>
                    <w:rPr>
                      <w:rFonts w:hint="eastAsia"/>
                      <w:color w:val="FF0000"/>
                      <w:highlight w:val="none"/>
                      <w:lang w:eastAsia="zh-CN"/>
                    </w:rPr>
                    <w:t>机</w:t>
                  </w:r>
                  <w:r>
                    <w:rPr>
                      <w:rFonts w:hint="eastAsia"/>
                      <w:color w:val="FF0000"/>
                      <w:highlight w:val="none"/>
                    </w:rPr>
                    <w:t>油</w:t>
                  </w:r>
                </w:p>
              </w:tc>
              <w:tc>
                <w:tcPr>
                  <w:tcW w:w="759" w:type="pct"/>
                  <w:shd w:val="clear" w:color="auto" w:fill="auto"/>
                  <w:noWrap w:val="0"/>
                  <w:vAlign w:val="center"/>
                </w:tcPr>
                <w:p w14:paraId="3E3613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0.6</w:t>
                  </w:r>
                </w:p>
              </w:tc>
              <w:tc>
                <w:tcPr>
                  <w:tcW w:w="869" w:type="pct"/>
                  <w:noWrap w:val="0"/>
                  <w:vAlign w:val="center"/>
                </w:tcPr>
                <w:p w14:paraId="7852D00A">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51416A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0.4</w:t>
                  </w:r>
                </w:p>
              </w:tc>
              <w:tc>
                <w:tcPr>
                  <w:tcW w:w="995" w:type="pct"/>
                  <w:noWrap w:val="0"/>
                  <w:vAlign w:val="center"/>
                </w:tcPr>
                <w:p w14:paraId="7BF0791F">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eastAsia="宋体"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w:t>
                  </w:r>
                </w:p>
              </w:tc>
              <w:tc>
                <w:tcPr>
                  <w:tcW w:w="602" w:type="pct"/>
                  <w:shd w:val="clear" w:color="auto" w:fill="auto"/>
                  <w:noWrap w:val="0"/>
                  <w:vAlign w:val="center"/>
                </w:tcPr>
                <w:p w14:paraId="4D2599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+0.4</w:t>
                  </w:r>
                </w:p>
              </w:tc>
            </w:tr>
            <w:tr w14:paraId="7DFD3A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5626E914">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4D7A3C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rPr>
                    <w:t>废</w:t>
                  </w:r>
                  <w:r>
                    <w:rPr>
                      <w:rFonts w:hint="eastAsia"/>
                      <w:color w:val="FF0000"/>
                      <w:highlight w:val="none"/>
                      <w:lang w:eastAsia="zh-CN"/>
                    </w:rPr>
                    <w:t>机油</w:t>
                  </w:r>
                  <w:r>
                    <w:rPr>
                      <w:rFonts w:hint="eastAsia"/>
                      <w:color w:val="FF0000"/>
                      <w:highlight w:val="none"/>
                    </w:rPr>
                    <w:t>桶</w:t>
                  </w:r>
                </w:p>
              </w:tc>
              <w:tc>
                <w:tcPr>
                  <w:tcW w:w="759" w:type="pct"/>
                  <w:shd w:val="clear" w:color="auto" w:fill="auto"/>
                  <w:noWrap w:val="0"/>
                  <w:vAlign w:val="center"/>
                </w:tcPr>
                <w:p w14:paraId="223337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w:t>
                  </w:r>
                </w:p>
              </w:tc>
              <w:tc>
                <w:tcPr>
                  <w:tcW w:w="869" w:type="pct"/>
                  <w:noWrap w:val="0"/>
                  <w:vAlign w:val="center"/>
                </w:tcPr>
                <w:p w14:paraId="24D60314">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41001B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0.02</w:t>
                  </w:r>
                </w:p>
              </w:tc>
              <w:tc>
                <w:tcPr>
                  <w:tcW w:w="995" w:type="pct"/>
                  <w:noWrap w:val="0"/>
                  <w:vAlign w:val="center"/>
                </w:tcPr>
                <w:p w14:paraId="32B3DF7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0.02</w:t>
                  </w:r>
                </w:p>
              </w:tc>
              <w:tc>
                <w:tcPr>
                  <w:tcW w:w="602" w:type="pct"/>
                  <w:shd w:val="clear" w:color="auto" w:fill="auto"/>
                  <w:noWrap w:val="0"/>
                  <w:vAlign w:val="center"/>
                </w:tcPr>
                <w:p w14:paraId="36EF01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+0.02</w:t>
                  </w:r>
                </w:p>
              </w:tc>
            </w:tr>
            <w:tr w14:paraId="0AD50F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4D897E93">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5292B4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eastAsia="zh-CN"/>
                    </w:rPr>
                    <w:t>沉淀池污泥</w:t>
                  </w:r>
                </w:p>
              </w:tc>
              <w:tc>
                <w:tcPr>
                  <w:tcW w:w="759" w:type="pct"/>
                  <w:shd w:val="clear" w:color="auto" w:fill="auto"/>
                  <w:noWrap w:val="0"/>
                  <w:vAlign w:val="center"/>
                </w:tcPr>
                <w:p w14:paraId="6D6DB1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4182.95</w:t>
                  </w:r>
                </w:p>
              </w:tc>
              <w:tc>
                <w:tcPr>
                  <w:tcW w:w="869" w:type="pct"/>
                  <w:noWrap w:val="0"/>
                  <w:vAlign w:val="center"/>
                </w:tcPr>
                <w:p w14:paraId="63548CB1">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7685AA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p>
              </w:tc>
              <w:tc>
                <w:tcPr>
                  <w:tcW w:w="995" w:type="pct"/>
                  <w:noWrap w:val="0"/>
                  <w:vAlign w:val="center"/>
                </w:tcPr>
                <w:p w14:paraId="6FE2D3E7">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4182.95</w:t>
                  </w:r>
                </w:p>
              </w:tc>
              <w:tc>
                <w:tcPr>
                  <w:tcW w:w="602" w:type="pct"/>
                  <w:shd w:val="clear" w:color="auto" w:fill="auto"/>
                  <w:noWrap w:val="0"/>
                  <w:vAlign w:val="center"/>
                </w:tcPr>
                <w:p w14:paraId="55CD64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w:t>
                  </w:r>
                </w:p>
              </w:tc>
            </w:tr>
            <w:tr w14:paraId="2FC9F0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3DE68BA6">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74E3D4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rPr>
                    <w:t>废含油抹布及</w:t>
                  </w:r>
                  <w:r>
                    <w:rPr>
                      <w:rFonts w:hint="eastAsia"/>
                      <w:color w:val="FF0000"/>
                      <w:highlight w:val="none"/>
                      <w:lang w:eastAsia="zh-CN"/>
                    </w:rPr>
                    <w:t>劳保用品</w:t>
                  </w:r>
                </w:p>
              </w:tc>
              <w:tc>
                <w:tcPr>
                  <w:tcW w:w="759" w:type="pct"/>
                  <w:shd w:val="clear" w:color="auto" w:fill="auto"/>
                  <w:noWrap w:val="0"/>
                  <w:vAlign w:val="center"/>
                </w:tcPr>
                <w:p w14:paraId="75349E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0.2</w:t>
                  </w:r>
                </w:p>
              </w:tc>
              <w:tc>
                <w:tcPr>
                  <w:tcW w:w="869" w:type="pct"/>
                  <w:noWrap w:val="0"/>
                  <w:vAlign w:val="center"/>
                </w:tcPr>
                <w:p w14:paraId="7D024680">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cs="Times New Roman"/>
                      <w:color w:val="FF0000"/>
                      <w:kern w:val="0"/>
                      <w:sz w:val="21"/>
                      <w:szCs w:val="21"/>
                      <w:lang w:val="en-US" w:eastAsia="zh-CN" w:bidi="ar-SA"/>
                    </w:rPr>
                  </w:pPr>
                  <w:r>
                    <w:rPr>
                      <w:rFonts w:hint="eastAsia" w:cs="Times New Roman"/>
                      <w:color w:val="FF0000"/>
                      <w:kern w:val="0"/>
                      <w:sz w:val="21"/>
                      <w:szCs w:val="21"/>
                      <w:lang w:val="en-US" w:eastAsia="zh-CN" w:bidi="ar-SA"/>
                    </w:rPr>
                    <w:t>0</w:t>
                  </w:r>
                </w:p>
              </w:tc>
              <w:tc>
                <w:tcPr>
                  <w:tcW w:w="666" w:type="pct"/>
                  <w:shd w:val="clear" w:color="auto" w:fill="auto"/>
                  <w:noWrap w:val="0"/>
                  <w:vAlign w:val="center"/>
                </w:tcPr>
                <w:p w14:paraId="055C57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0.01</w:t>
                  </w:r>
                </w:p>
              </w:tc>
              <w:tc>
                <w:tcPr>
                  <w:tcW w:w="995" w:type="pct"/>
                  <w:noWrap w:val="0"/>
                  <w:vAlign w:val="center"/>
                </w:tcPr>
                <w:p w14:paraId="17E49DEE">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eastAsia" w:cs="Times New Roman"/>
                      <w:bCs/>
                      <w:color w:val="FF0000"/>
                      <w:kern w:val="2"/>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0.21</w:t>
                  </w:r>
                </w:p>
              </w:tc>
              <w:tc>
                <w:tcPr>
                  <w:tcW w:w="602" w:type="pct"/>
                  <w:shd w:val="clear" w:color="auto" w:fill="auto"/>
                  <w:noWrap w:val="0"/>
                  <w:vAlign w:val="center"/>
                </w:tcPr>
                <w:p w14:paraId="214BF5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+0.01</w:t>
                  </w:r>
                </w:p>
              </w:tc>
            </w:tr>
            <w:tr w14:paraId="5CECBB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80" w:type="pct"/>
                  <w:vMerge w:val="continue"/>
                  <w:noWrap w:val="0"/>
                  <w:vAlign w:val="center"/>
                </w:tcPr>
                <w:p w14:paraId="2FBE9343">
                  <w:pPr>
                    <w:keepNext w:val="0"/>
                    <w:keepLines w:val="0"/>
                    <w:suppressLineNumbers w:val="0"/>
                    <w:adjustRightInd w:val="0"/>
                    <w:snapToGrid w:val="0"/>
                    <w:spacing w:before="0" w:beforeAutospacing="0" w:after="0" w:afterAutospacing="0" w:line="240" w:lineRule="auto"/>
                    <w:ind w:left="0" w:right="0" w:firstLine="0" w:firstLineChars="0"/>
                    <w:jc w:val="center"/>
                    <w:textAlignment w:val="auto"/>
                    <w:rPr>
                      <w:rFonts w:hint="eastAsia" w:cs="Times New Roman"/>
                      <w:color w:val="FF0000"/>
                      <w:kern w:val="2"/>
                      <w:sz w:val="21"/>
                      <w:szCs w:val="21"/>
                    </w:rPr>
                  </w:pPr>
                </w:p>
              </w:tc>
              <w:tc>
                <w:tcPr>
                  <w:tcW w:w="725" w:type="pct"/>
                  <w:shd w:val="clear" w:color="auto" w:fill="auto"/>
                  <w:noWrap w:val="0"/>
                  <w:vAlign w:val="center"/>
                </w:tcPr>
                <w:p w14:paraId="2B3773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eastAsia="zh-CN"/>
                    </w:rPr>
                    <w:t>除杂渣</w:t>
                  </w:r>
                </w:p>
              </w:tc>
              <w:tc>
                <w:tcPr>
                  <w:tcW w:w="759" w:type="pct"/>
                  <w:shd w:val="clear" w:color="auto" w:fill="auto"/>
                  <w:noWrap w:val="0"/>
                  <w:vAlign w:val="center"/>
                </w:tcPr>
                <w:p w14:paraId="443776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10</w:t>
                  </w:r>
                </w:p>
              </w:tc>
              <w:tc>
                <w:tcPr>
                  <w:tcW w:w="869" w:type="pct"/>
                  <w:noWrap w:val="0"/>
                  <w:vAlign w:val="center"/>
                </w:tcPr>
                <w:p w14:paraId="4D8C3E16">
                  <w:pPr>
                    <w:keepNext w:val="0"/>
                    <w:keepLines w:val="0"/>
                    <w:widowControl w:val="0"/>
                    <w:suppressLineNumbers w:val="0"/>
                    <w:autoSpaceDE w:val="0"/>
                    <w:autoSpaceDN w:val="0"/>
                    <w:adjustRightInd w:val="0"/>
                    <w:spacing w:before="0" w:beforeAutospacing="0" w:after="0" w:afterAutospacing="0"/>
                    <w:ind w:left="0" w:leftChars="0" w:right="0" w:rightChars="0" w:firstLine="0" w:firstLineChars="0"/>
                    <w:jc w:val="center"/>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0</w:t>
                  </w:r>
                </w:p>
              </w:tc>
              <w:tc>
                <w:tcPr>
                  <w:tcW w:w="666" w:type="pct"/>
                  <w:shd w:val="clear" w:color="auto" w:fill="auto"/>
                  <w:noWrap w:val="0"/>
                  <w:vAlign w:val="center"/>
                </w:tcPr>
                <w:p w14:paraId="0B91B0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p>
              </w:tc>
              <w:tc>
                <w:tcPr>
                  <w:tcW w:w="995" w:type="pct"/>
                  <w:noWrap w:val="0"/>
                  <w:vAlign w:val="center"/>
                </w:tcPr>
                <w:p w14:paraId="02FCA768">
                  <w:pPr>
                    <w:keepNext w:val="0"/>
                    <w:keepLines w:val="0"/>
                    <w:pageBreakBefore w:val="0"/>
                    <w:widowControl/>
                    <w:suppressLineNumbers w:val="0"/>
                    <w:kinsoku/>
                    <w:wordWrap/>
                    <w:overflowPunct/>
                    <w:topLinePunct w:val="0"/>
                    <w:bidi w:val="0"/>
                    <w:adjustRightInd w:val="0"/>
                    <w:snapToGrid w:val="0"/>
                    <w:spacing w:before="0" w:beforeAutospacing="0" w:after="0" w:afterAutospacing="0" w:line="240" w:lineRule="auto"/>
                    <w:ind w:left="0" w:right="0" w:firstLine="0" w:firstLineChars="0"/>
                    <w:jc w:val="center"/>
                    <w:textAlignment w:val="center"/>
                    <w:rPr>
                      <w:rFonts w:hint="default" w:cs="Times New Roman"/>
                      <w:color w:val="FF0000"/>
                      <w:kern w:val="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10</w:t>
                  </w:r>
                </w:p>
              </w:tc>
              <w:tc>
                <w:tcPr>
                  <w:tcW w:w="602" w:type="pct"/>
                  <w:shd w:val="clear" w:color="auto" w:fill="auto"/>
                  <w:noWrap w:val="0"/>
                  <w:vAlign w:val="center"/>
                </w:tcPr>
                <w:p w14:paraId="485DE7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w:t>
                  </w:r>
                </w:p>
              </w:tc>
            </w:tr>
          </w:tbl>
          <w:p w14:paraId="08572443">
            <w:pPr>
              <w:pStyle w:val="62"/>
              <w:keepNext w:val="0"/>
              <w:keepLines w:val="0"/>
              <w:suppressLineNumbers w:val="0"/>
              <w:spacing w:before="0" w:beforeAutospacing="0" w:after="0" w:afterAutospacing="0"/>
              <w:ind w:left="0" w:right="0" w:firstLine="480"/>
              <w:jc w:val="left"/>
              <w:rPr>
                <w:rFonts w:hint="eastAsia" w:ascii="Times New Roman" w:hAnsi="Times New Roman" w:eastAsia="宋体" w:cs="Times New Roman"/>
                <w:b/>
                <w:bCs/>
                <w:color w:val="auto"/>
                <w:highlight w:val="none"/>
                <w:lang w:val="en-US" w:eastAsia="zh-CN"/>
              </w:rPr>
            </w:pPr>
            <w:r>
              <w:rPr>
                <w:rFonts w:hint="eastAsia" w:ascii="Times New Roman" w:hAnsi="Times New Roman"/>
                <w:b/>
                <w:bCs/>
                <w:color w:val="auto"/>
                <w:highlight w:val="none"/>
                <w:lang w:val="en-US" w:eastAsia="zh-CN"/>
              </w:rPr>
              <w:t>5</w:t>
            </w:r>
            <w:r>
              <w:rPr>
                <w:rFonts w:hint="eastAsia" w:ascii="Times New Roman" w:hAnsi="Times New Roman"/>
                <w:b/>
                <w:bCs/>
                <w:color w:val="auto"/>
                <w:highlight w:val="none"/>
              </w:rPr>
              <w:t>、</w:t>
            </w:r>
            <w:r>
              <w:rPr>
                <w:rFonts w:hint="eastAsia" w:ascii="Times New Roman" w:hAnsi="Times New Roman" w:eastAsia="宋体" w:cs="Times New Roman"/>
                <w:b/>
                <w:bCs/>
                <w:color w:val="auto"/>
                <w:highlight w:val="none"/>
                <w:lang w:val="en-US" w:eastAsia="zh-CN"/>
              </w:rPr>
              <w:t>本项目厂房原有环境污染情况</w:t>
            </w:r>
          </w:p>
          <w:p w14:paraId="711FE20C">
            <w:pPr>
              <w:keepNext w:val="0"/>
              <w:keepLines w:val="0"/>
              <w:widowControl/>
              <w:suppressLineNumbers w:val="0"/>
              <w:spacing w:before="0" w:beforeAutospacing="0" w:after="0" w:afterAutospacing="0" w:line="360" w:lineRule="auto"/>
              <w:ind w:left="0" w:right="0" w:firstLine="480" w:firstLineChars="200"/>
              <w:jc w:val="both"/>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本项目为</w:t>
            </w:r>
            <w:r>
              <w:rPr>
                <w:rFonts w:hint="eastAsia" w:cs="Times New Roman"/>
                <w:color w:val="auto"/>
                <w:highlight w:val="none"/>
                <w:lang w:val="en-US" w:eastAsia="zh-CN"/>
              </w:rPr>
              <w:t>扩建</w:t>
            </w:r>
            <w:r>
              <w:rPr>
                <w:rFonts w:hint="default" w:ascii="Times New Roman" w:hAnsi="Times New Roman" w:cs="Times New Roman"/>
                <w:color w:val="auto"/>
                <w:highlight w:val="none"/>
                <w:lang w:val="en-US" w:eastAsia="zh-CN"/>
              </w:rPr>
              <w:t>项目，</w:t>
            </w:r>
            <w:r>
              <w:rPr>
                <w:rFonts w:hint="default"/>
                <w:color w:val="auto"/>
                <w:highlight w:val="none"/>
              </w:rPr>
              <w:t>租赁</w:t>
            </w:r>
            <w:bookmarkStart w:id="193" w:name="OLE_LINK59"/>
            <w:bookmarkStart w:id="194" w:name="OLE_LINK22"/>
            <w:bookmarkStart w:id="195" w:name="OLE_LINK138"/>
            <w:r>
              <w:rPr>
                <w:rFonts w:hint="default"/>
                <w:color w:val="auto"/>
                <w:highlight w:val="none"/>
              </w:rPr>
              <w:t>江西恒辉陶瓷</w:t>
            </w:r>
            <w:bookmarkEnd w:id="193"/>
            <w:r>
              <w:rPr>
                <w:rFonts w:hint="default"/>
                <w:color w:val="auto"/>
                <w:highlight w:val="none"/>
              </w:rPr>
              <w:t>有限公司</w:t>
            </w:r>
            <w:bookmarkEnd w:id="194"/>
            <w:r>
              <w:rPr>
                <w:rFonts w:hint="default"/>
                <w:color w:val="auto"/>
                <w:highlight w:val="none"/>
              </w:rPr>
              <w:t>厂房</w:t>
            </w:r>
            <w:bookmarkEnd w:id="195"/>
            <w:r>
              <w:rPr>
                <w:rFonts w:hint="default"/>
                <w:color w:val="auto"/>
                <w:highlight w:val="none"/>
              </w:rPr>
              <w:t>进行项目的生产建设。江西恒辉陶瓷有限公司2009年8月委托江西省气象科学研究所编制了《江西恒辉陶瓷有限公司年产</w:t>
            </w:r>
            <w:bookmarkStart w:id="196" w:name="_Hlk205282247"/>
            <w:r>
              <w:rPr>
                <w:rFonts w:hint="default"/>
                <w:color w:val="auto"/>
                <w:highlight w:val="none"/>
              </w:rPr>
              <w:t>2550万m</w:t>
            </w:r>
            <w:r>
              <w:rPr>
                <w:rFonts w:hint="default"/>
                <w:color w:val="auto"/>
                <w:highlight w:val="none"/>
                <w:vertAlign w:val="superscript"/>
              </w:rPr>
              <w:t>2</w:t>
            </w:r>
            <w:r>
              <w:rPr>
                <w:rFonts w:hint="default"/>
                <w:color w:val="auto"/>
                <w:highlight w:val="none"/>
              </w:rPr>
              <w:t>建筑陶瓷</w:t>
            </w:r>
            <w:bookmarkEnd w:id="196"/>
            <w:r>
              <w:rPr>
                <w:rFonts w:hint="default"/>
                <w:color w:val="auto"/>
                <w:highlight w:val="none"/>
              </w:rPr>
              <w:t>生产线项目环境影响报告书》（2009年10月），于</w:t>
            </w:r>
            <w:bookmarkStart w:id="197" w:name="_Hlk205282275"/>
            <w:r>
              <w:rPr>
                <w:rFonts w:hint="default"/>
                <w:color w:val="auto"/>
                <w:highlight w:val="none"/>
              </w:rPr>
              <w:t>2009年10月</w:t>
            </w:r>
            <w:bookmarkEnd w:id="197"/>
            <w:r>
              <w:rPr>
                <w:rFonts w:hint="default"/>
                <w:color w:val="auto"/>
                <w:highlight w:val="none"/>
              </w:rPr>
              <w:t>30日取得了</w:t>
            </w:r>
            <w:bookmarkStart w:id="198" w:name="_Hlk205282283"/>
            <w:r>
              <w:rPr>
                <w:rFonts w:hint="default"/>
                <w:color w:val="auto"/>
                <w:highlight w:val="none"/>
              </w:rPr>
              <w:t>宜春市环境保护局</w:t>
            </w:r>
            <w:bookmarkEnd w:id="198"/>
            <w:r>
              <w:rPr>
                <w:rFonts w:hint="default"/>
                <w:color w:val="auto"/>
                <w:highlight w:val="none"/>
              </w:rPr>
              <w:t>下达该项目的环评批复：</w:t>
            </w:r>
            <w:bookmarkStart w:id="199" w:name="_Hlk205282291"/>
            <w:r>
              <w:rPr>
                <w:rFonts w:hint="default"/>
                <w:color w:val="auto"/>
                <w:highlight w:val="none"/>
              </w:rPr>
              <w:t>宜环督字[2009]253号</w:t>
            </w:r>
            <w:bookmarkEnd w:id="199"/>
            <w:r>
              <w:rPr>
                <w:rFonts w:hint="default"/>
                <w:color w:val="auto"/>
                <w:highlight w:val="none"/>
              </w:rPr>
              <w:t>；已于</w:t>
            </w:r>
            <w:bookmarkStart w:id="200" w:name="_Hlk205282301"/>
            <w:r>
              <w:rPr>
                <w:rFonts w:hint="default"/>
                <w:color w:val="auto"/>
                <w:highlight w:val="none"/>
              </w:rPr>
              <w:t>2015年5月</w:t>
            </w:r>
            <w:bookmarkEnd w:id="200"/>
            <w:r>
              <w:rPr>
                <w:rFonts w:hint="default"/>
                <w:color w:val="auto"/>
                <w:highlight w:val="none"/>
              </w:rPr>
              <w:t>完成项目一期竣工环保验收，批复文号：宜环评验字[2015]55号。由于时代发展结构变化，该项目于2019年全面停产。</w:t>
            </w:r>
            <w:r>
              <w:rPr>
                <w:rStyle w:val="119"/>
                <w:rFonts w:hint="default"/>
                <w:color w:val="auto"/>
                <w:highlight w:val="none"/>
              </w:rPr>
              <w:t>江西恒辉陶瓷有限公司为建筑陶瓷制品加工制造，建筑陶瓷制品销售，建筑砌块制造等，厂内不存在遗留的锂渣。根据现场踏勘，</w:t>
            </w:r>
            <w:r>
              <w:rPr>
                <w:rFonts w:hint="default" w:ascii="Times New Roman" w:hAnsi="Times New Roman" w:cs="Times New Roman"/>
                <w:color w:val="auto"/>
                <w:highlight w:val="none"/>
                <w:lang w:val="en-US" w:eastAsia="zh-CN"/>
              </w:rPr>
              <w:t>租赁厂房已全面停产</w:t>
            </w:r>
            <w:r>
              <w:rPr>
                <w:rFonts w:hint="eastAsia" w:ascii="Times New Roman" w:hAnsi="Times New Roman" w:cs="Times New Roman"/>
                <w:color w:val="auto"/>
                <w:highlight w:val="none"/>
                <w:lang w:val="en-US" w:eastAsia="zh-CN"/>
              </w:rPr>
              <w:t>，</w:t>
            </w:r>
            <w:r>
              <w:rPr>
                <w:rStyle w:val="119"/>
                <w:rFonts w:hint="default"/>
                <w:color w:val="auto"/>
                <w:highlight w:val="none"/>
              </w:rPr>
              <w:t>后续不会再使用此生产车间进行生产活动</w:t>
            </w:r>
            <w:r>
              <w:rPr>
                <w:rStyle w:val="119"/>
                <w:rFonts w:hint="eastAsia"/>
                <w:color w:val="auto"/>
                <w:highlight w:val="none"/>
                <w:lang w:eastAsia="zh-CN"/>
              </w:rPr>
              <w:t>，</w:t>
            </w:r>
            <w:r>
              <w:rPr>
                <w:rStyle w:val="119"/>
                <w:rFonts w:hint="default"/>
                <w:color w:val="auto"/>
                <w:highlight w:val="none"/>
              </w:rPr>
              <w:t>目前厂房内</w:t>
            </w:r>
            <w:r>
              <w:rPr>
                <w:rStyle w:val="119"/>
                <w:rFonts w:hint="eastAsia"/>
                <w:color w:val="auto"/>
                <w:highlight w:val="none"/>
                <w:lang w:eastAsia="zh-CN"/>
              </w:rPr>
              <w:t>设备已拆除</w:t>
            </w:r>
            <w:r>
              <w:rPr>
                <w:rStyle w:val="119"/>
                <w:rFonts w:hint="default"/>
                <w:color w:val="auto"/>
                <w:highlight w:val="none"/>
              </w:rPr>
              <w:t>，</w:t>
            </w:r>
            <w:r>
              <w:rPr>
                <w:rStyle w:val="119"/>
                <w:rFonts w:hint="eastAsia"/>
                <w:color w:val="auto"/>
                <w:highlight w:val="none"/>
                <w:lang w:eastAsia="zh-CN"/>
              </w:rPr>
              <w:t>厂房外初期雨水池、沉淀池、事故池为完好状态。</w:t>
            </w:r>
            <w:r>
              <w:rPr>
                <w:rFonts w:hint="default" w:ascii="Times New Roman" w:hAnsi="Times New Roman" w:cs="Times New Roman"/>
                <w:color w:val="auto"/>
                <w:highlight w:val="none"/>
                <w:lang w:val="en-US" w:eastAsia="zh-CN"/>
              </w:rPr>
              <w:t>本项目</w:t>
            </w:r>
            <w:r>
              <w:rPr>
                <w:rFonts w:hint="eastAsia" w:cs="Times New Roman"/>
                <w:color w:val="auto"/>
                <w:highlight w:val="none"/>
                <w:lang w:val="en-US" w:eastAsia="zh-CN"/>
              </w:rPr>
              <w:t>的建设中，初期雨水池、应急事故池、沉淀池</w:t>
            </w:r>
            <w:r>
              <w:rPr>
                <w:rFonts w:hint="default" w:ascii="Times New Roman" w:hAnsi="Times New Roman" w:cs="Times New Roman"/>
                <w:color w:val="auto"/>
                <w:highlight w:val="none"/>
                <w:lang w:val="en-US" w:eastAsia="zh-CN"/>
              </w:rPr>
              <w:t>依托现有，环保责任主体为</w:t>
            </w:r>
            <w:r>
              <w:rPr>
                <w:rFonts w:hint="eastAsia" w:cs="Times New Roman"/>
                <w:color w:val="auto"/>
                <w:highlight w:val="none"/>
                <w:lang w:val="en-US" w:eastAsia="zh-CN"/>
              </w:rPr>
              <w:t>建设单位</w:t>
            </w:r>
            <w:r>
              <w:rPr>
                <w:rFonts w:hint="default" w:ascii="Times New Roman" w:hAnsi="Times New Roman" w:cs="Times New Roman"/>
                <w:color w:val="auto"/>
                <w:highlight w:val="none"/>
                <w:lang w:val="en-US" w:eastAsia="zh-CN"/>
              </w:rPr>
              <w:t>。</w:t>
            </w:r>
          </w:p>
          <w:p w14:paraId="23E957E7">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项目租赁</w:t>
            </w:r>
            <w:r>
              <w:rPr>
                <w:rFonts w:hint="eastAsia"/>
                <w:color w:val="auto"/>
                <w:highlight w:val="none"/>
                <w:lang w:eastAsia="zh-CN"/>
              </w:rPr>
              <w:t>的</w:t>
            </w:r>
            <w:r>
              <w:rPr>
                <w:rFonts w:hint="default"/>
                <w:color w:val="auto"/>
                <w:highlight w:val="none"/>
              </w:rPr>
              <w:t>车间需将破损的顶棚拆除，重新建设顶棚及拆除生产车间部分区域过程环境污染防治措施如下：</w:t>
            </w:r>
          </w:p>
          <w:p w14:paraId="00DB43EF">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1、废水污染防治措施</w:t>
            </w:r>
          </w:p>
          <w:p w14:paraId="76C9DEBE">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本拆除工程的生产污水经</w:t>
            </w:r>
            <w:r>
              <w:rPr>
                <w:rFonts w:hint="default"/>
                <w:color w:val="auto"/>
              </w:rPr>
              <w:t>收集</w:t>
            </w:r>
            <w:r>
              <w:rPr>
                <w:rFonts w:hint="eastAsia"/>
                <w:color w:val="auto"/>
                <w:lang w:eastAsia="zh-CN"/>
              </w:rPr>
              <w:t>后</w:t>
            </w:r>
            <w:r>
              <w:rPr>
                <w:rFonts w:hint="default"/>
                <w:color w:val="auto"/>
                <w:highlight w:val="none"/>
              </w:rPr>
              <w:t>排入工业园区污水处理厂处理。</w:t>
            </w:r>
          </w:p>
          <w:p w14:paraId="397324B3">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2、废气污染防治措施</w:t>
            </w:r>
          </w:p>
          <w:p w14:paraId="515AC184">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（1）建（构）筑物的拆除现场，采取围挡隔离；</w:t>
            </w:r>
          </w:p>
          <w:p w14:paraId="21BEB9B3">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（2）严格要求采用“湿法”施工，在拆除过程中使用喷淋、洒水等降尘措施控制尘土飞扬，有效降低现场扬尘污染；</w:t>
            </w:r>
          </w:p>
          <w:p w14:paraId="2CE6CC37">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（3）严禁野蛮施工。禁止高空抛掷或大面积推倒；遇有5级以上大风或重度污染天气时，采取扬尘应急措施，停止混凝土建（构）筑物的拆除；</w:t>
            </w:r>
          </w:p>
          <w:p w14:paraId="2D3518B2">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（4）施工现场禁止焚烧拆除物和垃圾，避免任何有毒、有害的气体及烟尘的产生；</w:t>
            </w:r>
          </w:p>
          <w:p w14:paraId="69013FC6">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3、噪声污染防治措施</w:t>
            </w:r>
          </w:p>
          <w:p w14:paraId="6FF88A55">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（1）施工单位根据施工计划合理安排施工时间、合理布局施工现场，施工噪声对周围企业的影响较小。</w:t>
            </w:r>
          </w:p>
          <w:p w14:paraId="2CDFE54D">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（2）拆除工程采用性能好、噪声低、振动小的机具及设备。加强现场管理，人员禁止大声喧哗，装卸物品时轻拿轻放。</w:t>
            </w:r>
          </w:p>
          <w:p w14:paraId="246C8FB8">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4、固体废物污染防治措施</w:t>
            </w:r>
          </w:p>
          <w:p w14:paraId="73D24A07">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（1）本次拆除区域现场遗留废顶棚、废弃包装袋等一般固废，将委托具有相关资质的企业进行回收综合利用。</w:t>
            </w:r>
          </w:p>
          <w:p w14:paraId="6C5D445C">
            <w:pPr>
              <w:pStyle w:val="117"/>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建筑垃圾主要为拆除建（构）物时产生的建筑垃圾等，包括夹心板、废钢筋、铁丝等杂物。不可回填的建筑垃圾，建设单位应根据管理规定，向有关管理部门申报获准后进行清运处置。拆除施工期间产生建筑垃圾应及时清运，未及时清运的建筑垃圾在大风大雨天气要用篷布遮盖。</w:t>
            </w:r>
          </w:p>
          <w:p w14:paraId="53C82953">
            <w:pPr>
              <w:pStyle w:val="76"/>
              <w:keepNext w:val="0"/>
              <w:keepLines w:val="0"/>
              <w:suppressLineNumbers w:val="0"/>
              <w:bidi w:val="0"/>
              <w:spacing w:before="0" w:beforeAutospacing="0" w:after="0" w:afterAutospacing="0"/>
              <w:ind w:left="0" w:right="0"/>
              <w:rPr>
                <w:rFonts w:hint="default" w:ascii="Times New Roman" w:hAnsi="Times New Roman" w:cs="Times New Roman"/>
                <w:bCs w:val="0"/>
                <w:color w:val="auto"/>
                <w:szCs w:val="21"/>
                <w:highlight w:val="none"/>
                <w:lang w:val="en-US"/>
              </w:rPr>
            </w:pPr>
          </w:p>
          <w:p w14:paraId="16D5D586">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482EA1AB">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2F665CAC">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2DBC145D">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00E1644C">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2EF2A9DA">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62709EE4">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7876140B">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615DCF67">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43B448FB">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0D867B4F">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1AB45574">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1D2A16E2">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56EDDDA5">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p w14:paraId="6A8A4C86">
            <w:pPr>
              <w:pStyle w:val="76"/>
              <w:keepNext w:val="0"/>
              <w:keepLines w:val="0"/>
              <w:suppressLineNumbers w:val="0"/>
              <w:bidi w:val="0"/>
              <w:spacing w:before="0" w:beforeAutospacing="0" w:after="0" w:afterAutospacing="0"/>
              <w:ind w:left="0" w:leftChars="0" w:right="0" w:firstLine="0" w:firstLineChars="0"/>
              <w:rPr>
                <w:rFonts w:hint="default" w:ascii="Times New Roman" w:hAnsi="Times New Roman" w:cs="Times New Roman"/>
                <w:bCs w:val="0"/>
                <w:color w:val="auto"/>
                <w:szCs w:val="21"/>
                <w:highlight w:val="none"/>
                <w:lang w:val="en-US"/>
              </w:rPr>
            </w:pPr>
          </w:p>
        </w:tc>
      </w:tr>
    </w:tbl>
    <w:p w14:paraId="2339E8A5">
      <w:pPr>
        <w:pStyle w:val="30"/>
        <w:rPr>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4A464AA3">
      <w:pPr>
        <w:pStyle w:val="30"/>
        <w:jc w:val="center"/>
        <w:outlineLvl w:val="0"/>
        <w:rPr>
          <w:rFonts w:hint="default" w:ascii="Times New Roman" w:hAnsi="Times New Roman" w:eastAsia="黑体" w:cs="Times New Roman"/>
          <w:snapToGrid w:val="0"/>
          <w:color w:val="auto"/>
          <w:sz w:val="30"/>
          <w:szCs w:val="30"/>
          <w:highlight w:val="none"/>
        </w:rPr>
      </w:pPr>
      <w:bookmarkStart w:id="201" w:name="_Toc15281"/>
      <w:bookmarkStart w:id="202" w:name="_Toc25553"/>
      <w:r>
        <w:rPr>
          <w:rFonts w:hint="eastAsia" w:ascii="Times New Roman" w:hAnsi="Times New Roman" w:eastAsia="黑体" w:cs="Times New Roman"/>
          <w:snapToGrid w:val="0"/>
          <w:color w:val="auto"/>
          <w:sz w:val="30"/>
          <w:szCs w:val="30"/>
          <w:highlight w:val="none"/>
          <w:lang w:val="en-US" w:eastAsia="zh-CN"/>
        </w:rPr>
        <w:t>三</w:t>
      </w:r>
      <w:r>
        <w:rPr>
          <w:rFonts w:hint="default" w:ascii="Times New Roman" w:hAnsi="Times New Roman" w:eastAsia="黑体" w:cs="Times New Roman"/>
          <w:snapToGrid w:val="0"/>
          <w:color w:val="auto"/>
          <w:sz w:val="30"/>
          <w:szCs w:val="30"/>
          <w:highlight w:val="none"/>
        </w:rPr>
        <w:t>、区域环境质量现状、环境保护目标及评价标准</w:t>
      </w:r>
      <w:bookmarkEnd w:id="201"/>
      <w:bookmarkEnd w:id="202"/>
    </w:p>
    <w:tbl>
      <w:tblPr>
        <w:tblStyle w:val="25"/>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8406"/>
      </w:tblGrid>
      <w:tr w14:paraId="0EF1DC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jc w:val="center"/>
        </w:trPr>
        <w:tc>
          <w:tcPr>
            <w:tcW w:w="727" w:type="dxa"/>
            <w:vAlign w:val="center"/>
          </w:tcPr>
          <w:p w14:paraId="23DDEF9B">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区域环境质量现状</w:t>
            </w:r>
          </w:p>
        </w:tc>
        <w:tc>
          <w:tcPr>
            <w:tcW w:w="8406" w:type="dxa"/>
          </w:tcPr>
          <w:p w14:paraId="308B97E2">
            <w:pPr>
              <w:pStyle w:val="115"/>
              <w:keepNext w:val="0"/>
              <w:keepLines w:val="0"/>
              <w:numPr>
                <w:ilvl w:val="0"/>
                <w:numId w:val="15"/>
              </w:numPr>
              <w:suppressLineNumbers w:val="0"/>
              <w:spacing w:before="0" w:beforeAutospacing="0" w:after="0" w:afterAutospacing="0"/>
              <w:ind w:left="0" w:right="0" w:firstLine="482" w:firstLineChars="200"/>
              <w:rPr>
                <w:rFonts w:hint="default" w:eastAsia="宋体"/>
                <w:b/>
                <w:bCs w:val="0"/>
                <w:color w:val="auto"/>
                <w:highlight w:val="none"/>
              </w:rPr>
            </w:pPr>
            <w:r>
              <w:rPr>
                <w:rFonts w:hint="default" w:eastAsia="宋体"/>
                <w:b/>
                <w:bCs w:val="0"/>
                <w:color w:val="auto"/>
                <w:highlight w:val="none"/>
              </w:rPr>
              <w:t>环境空气质量</w:t>
            </w:r>
          </w:p>
          <w:p w14:paraId="14CE4EEC">
            <w:pPr>
              <w:pStyle w:val="115"/>
              <w:keepNext w:val="0"/>
              <w:keepLines w:val="0"/>
              <w:suppressLineNumbers w:val="0"/>
              <w:spacing w:before="0" w:beforeAutospacing="0" w:after="0" w:afterAutospacing="0"/>
              <w:ind w:left="0" w:right="0" w:firstLine="480" w:firstLineChars="200"/>
              <w:rPr>
                <w:rFonts w:hint="default" w:eastAsia="宋体"/>
                <w:color w:val="auto"/>
                <w:highlight w:val="none"/>
              </w:rPr>
            </w:pPr>
            <w:r>
              <w:rPr>
                <w:rFonts w:hint="default" w:eastAsia="宋体"/>
                <w:color w:val="auto"/>
                <w:highlight w:val="none"/>
              </w:rPr>
              <w:t>（1）基本污染物</w:t>
            </w:r>
          </w:p>
          <w:p w14:paraId="080694A2">
            <w:pPr>
              <w:pStyle w:val="115"/>
              <w:keepNext w:val="0"/>
              <w:keepLines w:val="0"/>
              <w:suppressLineNumbers w:val="0"/>
              <w:spacing w:before="0" w:beforeAutospacing="0" w:after="0" w:afterAutospacing="0"/>
              <w:ind w:left="0" w:right="0" w:firstLine="480" w:firstLineChars="200"/>
              <w:rPr>
                <w:rFonts w:hint="eastAsia" w:eastAsia="宋体"/>
                <w:color w:val="auto"/>
                <w:highlight w:val="none"/>
              </w:rPr>
            </w:pPr>
            <w:r>
              <w:rPr>
                <w:rFonts w:hint="eastAsia" w:eastAsia="宋体"/>
                <w:color w:val="auto"/>
                <w:highlight w:val="none"/>
              </w:rPr>
              <w:t>项目位于</w:t>
            </w:r>
            <w:r>
              <w:rPr>
                <w:rFonts w:hint="eastAsia" w:eastAsia="宋体"/>
                <w:color w:val="auto"/>
                <w:highlight w:val="none"/>
                <w:lang w:eastAsia="zh-CN"/>
              </w:rPr>
              <w:t>宜春市高安市</w:t>
            </w:r>
            <w:r>
              <w:rPr>
                <w:rFonts w:hint="eastAsia" w:eastAsia="宋体"/>
                <w:color w:val="auto"/>
                <w:highlight w:val="none"/>
              </w:rPr>
              <w:t>，</w:t>
            </w:r>
            <w:r>
              <w:rPr>
                <w:rFonts w:hint="eastAsia" w:eastAsia="宋体"/>
                <w:color w:val="auto"/>
                <w:highlight w:val="none"/>
                <w:lang w:val="en-US" w:eastAsia="zh-CN"/>
              </w:rPr>
              <w:t>根据</w:t>
            </w:r>
            <w:r>
              <w:rPr>
                <w:rFonts w:hint="eastAsia" w:eastAsia="宋体"/>
                <w:color w:val="auto"/>
                <w:highlight w:val="none"/>
                <w:lang w:eastAsia="zh-CN"/>
              </w:rPr>
              <w:t>《环境空气质量标准》（GB3095-2012）</w:t>
            </w:r>
            <w:r>
              <w:rPr>
                <w:rFonts w:hint="eastAsia" w:eastAsia="宋体"/>
                <w:color w:val="auto"/>
                <w:highlight w:val="none"/>
                <w:lang w:val="en-US" w:eastAsia="zh-CN"/>
              </w:rPr>
              <w:t>4.2环境空气功能区分类，</w:t>
            </w:r>
            <w:r>
              <w:rPr>
                <w:rFonts w:hint="eastAsia" w:eastAsia="宋体"/>
                <w:color w:val="auto"/>
                <w:highlight w:val="none"/>
              </w:rPr>
              <w:t>评价区域属于环境空气二类功能区，其空气质量执行《环境空气质量标准》(GB3095-2012)及其修改单中二级标准。</w:t>
            </w:r>
          </w:p>
          <w:p w14:paraId="41A8046E">
            <w:pPr>
              <w:pStyle w:val="115"/>
              <w:keepNext w:val="0"/>
              <w:keepLines w:val="0"/>
              <w:suppressLineNumbers w:val="0"/>
              <w:spacing w:before="0" w:beforeAutospacing="0" w:after="0" w:afterAutospacing="0"/>
              <w:ind w:left="0" w:right="0" w:firstLine="480" w:firstLineChars="200"/>
              <w:rPr>
                <w:rFonts w:hint="default" w:eastAsia="宋体"/>
                <w:color w:val="auto"/>
                <w:highlight w:val="none"/>
              </w:rPr>
            </w:pPr>
            <w:r>
              <w:rPr>
                <w:rFonts w:hint="eastAsia" w:eastAsia="宋体"/>
                <w:color w:val="auto"/>
                <w:highlight w:val="none"/>
              </w:rPr>
              <w:t>为了解</w:t>
            </w:r>
            <w:r>
              <w:rPr>
                <w:rFonts w:hint="eastAsia" w:eastAsia="宋体"/>
                <w:color w:val="auto"/>
                <w:highlight w:val="none"/>
                <w:lang w:eastAsia="zh-CN"/>
              </w:rPr>
              <w:t>高安市</w:t>
            </w:r>
            <w:r>
              <w:rPr>
                <w:rFonts w:hint="eastAsia" w:eastAsia="宋体"/>
                <w:color w:val="auto"/>
                <w:highlight w:val="none"/>
              </w:rPr>
              <w:t>环境空气质量现状，</w:t>
            </w:r>
            <w:r>
              <w:rPr>
                <w:rFonts w:hint="default" w:eastAsia="宋体"/>
                <w:color w:val="auto"/>
                <w:highlight w:val="none"/>
              </w:rPr>
              <w:t>本评价</w:t>
            </w:r>
            <w:r>
              <w:rPr>
                <w:rFonts w:hint="eastAsia" w:eastAsia="宋体"/>
                <w:color w:val="auto"/>
                <w:highlight w:val="none"/>
              </w:rPr>
              <w:t>数据引用</w:t>
            </w:r>
            <w:r>
              <w:rPr>
                <w:rFonts w:hint="default" w:eastAsia="宋体"/>
                <w:color w:val="auto"/>
                <w:highlight w:val="none"/>
              </w:rPr>
              <w:t>江西省生态环境保护厅发布的《202</w:t>
            </w:r>
            <w:r>
              <w:rPr>
                <w:rFonts w:hint="eastAsia" w:eastAsia="宋体"/>
                <w:color w:val="auto"/>
                <w:highlight w:val="none"/>
                <w:lang w:val="en-US" w:eastAsia="zh-CN"/>
              </w:rPr>
              <w:t>4</w:t>
            </w:r>
            <w:r>
              <w:rPr>
                <w:rFonts w:hint="default" w:eastAsia="宋体"/>
                <w:color w:val="auto"/>
                <w:highlight w:val="none"/>
              </w:rPr>
              <w:t>年江西省各县（市、区）六项污染物浓度年均值》中</w:t>
            </w:r>
            <w:r>
              <w:rPr>
                <w:rFonts w:hint="eastAsia" w:eastAsia="宋体"/>
                <w:color w:val="auto"/>
                <w:highlight w:val="none"/>
                <w:lang w:eastAsia="zh-CN"/>
              </w:rPr>
              <w:t>高安市</w:t>
            </w:r>
            <w:r>
              <w:rPr>
                <w:rFonts w:hint="default" w:eastAsia="宋体"/>
                <w:color w:val="auto"/>
                <w:highlight w:val="none"/>
              </w:rPr>
              <w:t>的数据作为基本污染物环境质量现状分析。</w:t>
            </w:r>
            <w:r>
              <w:rPr>
                <w:rFonts w:hint="eastAsia" w:eastAsia="宋体"/>
                <w:color w:val="auto"/>
                <w:highlight w:val="none"/>
              </w:rPr>
              <w:t>监测数据见表3-1。</w:t>
            </w:r>
          </w:p>
          <w:p w14:paraId="4CD57D14">
            <w:pPr>
              <w:pStyle w:val="39"/>
              <w:keepNext w:val="0"/>
              <w:keepLines w:val="0"/>
              <w:suppressLineNumbers w:val="0"/>
              <w:bidi w:val="0"/>
              <w:spacing w:before="0" w:beforeAutospacing="0" w:after="0" w:afterAutospacing="0"/>
              <w:ind w:left="0" w:right="0"/>
              <w:rPr>
                <w:rFonts w:hint="eastAsia"/>
                <w:color w:val="auto"/>
                <w:sz w:val="21"/>
                <w:szCs w:val="21"/>
                <w:highlight w:val="none"/>
                <w:lang w:val="en-US" w:eastAsia="zh-CN"/>
              </w:rPr>
            </w:pPr>
            <w:r>
              <w:rPr>
                <w:rFonts w:hint="default"/>
                <w:color w:val="auto"/>
                <w:sz w:val="21"/>
                <w:szCs w:val="21"/>
                <w:highlight w:val="none"/>
                <w:lang w:val="en-US" w:eastAsia="zh-CN"/>
              </w:rPr>
              <w:t>表3-1  区域环境空气质量数据</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040"/>
              <w:gridCol w:w="2080"/>
              <w:gridCol w:w="1266"/>
              <w:gridCol w:w="1552"/>
              <w:gridCol w:w="1097"/>
              <w:gridCol w:w="1155"/>
            </w:tblGrid>
            <w:tr w14:paraId="24C82B7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013" w:type="dxa"/>
                  <w:tcBorders>
                    <w:tl2br w:val="nil"/>
                    <w:tr2bl w:val="nil"/>
                  </w:tcBorders>
                  <w:noWrap w:val="0"/>
                  <w:vAlign w:val="center"/>
                </w:tcPr>
                <w:p w14:paraId="664A7F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污染物</w:t>
                  </w:r>
                </w:p>
              </w:tc>
              <w:tc>
                <w:tcPr>
                  <w:tcW w:w="2025" w:type="dxa"/>
                  <w:tcBorders>
                    <w:tl2br w:val="nil"/>
                    <w:tr2bl w:val="nil"/>
                  </w:tcBorders>
                  <w:noWrap w:val="0"/>
                  <w:vAlign w:val="center"/>
                </w:tcPr>
                <w:p w14:paraId="553A25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lang w:eastAsia="zh-CN"/>
                    </w:rPr>
                    <w:t>年度</w:t>
                  </w:r>
                  <w:r>
                    <w:rPr>
                      <w:rFonts w:hint="default"/>
                      <w:b/>
                      <w:bCs/>
                      <w:color w:val="auto"/>
                      <w:sz w:val="21"/>
                      <w:szCs w:val="21"/>
                      <w:highlight w:val="none"/>
                    </w:rPr>
                    <w:t>评价指标</w:t>
                  </w:r>
                </w:p>
              </w:tc>
              <w:tc>
                <w:tcPr>
                  <w:tcW w:w="1233" w:type="dxa"/>
                  <w:tcBorders>
                    <w:tl2br w:val="nil"/>
                    <w:tr2bl w:val="nil"/>
                  </w:tcBorders>
                  <w:noWrap w:val="0"/>
                  <w:vAlign w:val="center"/>
                </w:tcPr>
                <w:p w14:paraId="0F1D216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现状浓度</w:t>
                  </w:r>
                </w:p>
                <w:p w14:paraId="0C4FFF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（μg/m</w:t>
                  </w:r>
                  <w:r>
                    <w:rPr>
                      <w:rFonts w:hint="default"/>
                      <w:b/>
                      <w:bCs/>
                      <w:color w:val="auto"/>
                      <w:sz w:val="21"/>
                      <w:szCs w:val="21"/>
                      <w:highlight w:val="none"/>
                      <w:vertAlign w:val="superscript"/>
                    </w:rPr>
                    <w:t>3</w:t>
                  </w:r>
                  <w:r>
                    <w:rPr>
                      <w:rFonts w:hint="default"/>
                      <w:b/>
                      <w:bCs/>
                      <w:color w:val="auto"/>
                      <w:sz w:val="21"/>
                      <w:szCs w:val="21"/>
                      <w:highlight w:val="none"/>
                    </w:rPr>
                    <w:t>）</w:t>
                  </w:r>
                </w:p>
              </w:tc>
              <w:tc>
                <w:tcPr>
                  <w:tcW w:w="1511" w:type="dxa"/>
                  <w:tcBorders>
                    <w:tl2br w:val="nil"/>
                    <w:tr2bl w:val="nil"/>
                  </w:tcBorders>
                  <w:noWrap w:val="0"/>
                  <w:vAlign w:val="center"/>
                </w:tcPr>
                <w:p w14:paraId="48EC8A2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标准限值</w:t>
                  </w:r>
                </w:p>
                <w:p w14:paraId="47A9C3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（μg/m</w:t>
                  </w:r>
                  <w:r>
                    <w:rPr>
                      <w:rFonts w:hint="default"/>
                      <w:b/>
                      <w:bCs/>
                      <w:color w:val="auto"/>
                      <w:sz w:val="21"/>
                      <w:szCs w:val="21"/>
                      <w:highlight w:val="none"/>
                      <w:vertAlign w:val="superscript"/>
                    </w:rPr>
                    <w:t>3</w:t>
                  </w:r>
                  <w:r>
                    <w:rPr>
                      <w:rFonts w:hint="default"/>
                      <w:b/>
                      <w:bCs/>
                      <w:color w:val="auto"/>
                      <w:sz w:val="21"/>
                      <w:szCs w:val="21"/>
                      <w:highlight w:val="none"/>
                    </w:rPr>
                    <w:t>）</w:t>
                  </w:r>
                </w:p>
              </w:tc>
              <w:tc>
                <w:tcPr>
                  <w:tcW w:w="1068" w:type="dxa"/>
                  <w:tcBorders>
                    <w:tl2br w:val="nil"/>
                    <w:tr2bl w:val="nil"/>
                  </w:tcBorders>
                  <w:noWrap w:val="0"/>
                  <w:vAlign w:val="center"/>
                </w:tcPr>
                <w:p w14:paraId="17E4ED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占标率</w:t>
                  </w:r>
                </w:p>
                <w:p w14:paraId="7B2ED7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w:t>
                  </w:r>
                </w:p>
              </w:tc>
              <w:tc>
                <w:tcPr>
                  <w:tcW w:w="1124" w:type="dxa"/>
                  <w:tcBorders>
                    <w:tl2br w:val="nil"/>
                    <w:tr2bl w:val="nil"/>
                  </w:tcBorders>
                  <w:noWrap w:val="0"/>
                  <w:vAlign w:val="center"/>
                </w:tcPr>
                <w:p w14:paraId="601E05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达标情况</w:t>
                  </w:r>
                </w:p>
              </w:tc>
            </w:tr>
            <w:tr w14:paraId="74709D4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013" w:type="dxa"/>
                  <w:tcBorders>
                    <w:tl2br w:val="nil"/>
                    <w:tr2bl w:val="nil"/>
                  </w:tcBorders>
                  <w:noWrap w:val="0"/>
                  <w:vAlign w:val="center"/>
                </w:tcPr>
                <w:p w14:paraId="1B6F48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SO</w:t>
                  </w:r>
                  <w:r>
                    <w:rPr>
                      <w:rFonts w:hint="default"/>
                      <w:color w:val="auto"/>
                      <w:sz w:val="21"/>
                      <w:szCs w:val="21"/>
                      <w:highlight w:val="none"/>
                      <w:vertAlign w:val="subscript"/>
                    </w:rPr>
                    <w:t>2</w:t>
                  </w:r>
                </w:p>
              </w:tc>
              <w:tc>
                <w:tcPr>
                  <w:tcW w:w="2025" w:type="dxa"/>
                  <w:vMerge w:val="restart"/>
                  <w:tcBorders>
                    <w:tl2br w:val="nil"/>
                    <w:tr2bl w:val="nil"/>
                  </w:tcBorders>
                  <w:noWrap w:val="0"/>
                  <w:vAlign w:val="center"/>
                </w:tcPr>
                <w:p w14:paraId="2BAB3B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年平均质量浓度</w:t>
                  </w:r>
                </w:p>
              </w:tc>
              <w:tc>
                <w:tcPr>
                  <w:tcW w:w="1233" w:type="dxa"/>
                  <w:tcBorders>
                    <w:tl2br w:val="nil"/>
                    <w:tr2bl w:val="nil"/>
                  </w:tcBorders>
                  <w:noWrap w:val="0"/>
                  <w:vAlign w:val="center"/>
                </w:tcPr>
                <w:p w14:paraId="081E572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11</w:t>
                  </w:r>
                </w:p>
              </w:tc>
              <w:tc>
                <w:tcPr>
                  <w:tcW w:w="1511" w:type="dxa"/>
                  <w:tcBorders>
                    <w:tl2br w:val="nil"/>
                    <w:tr2bl w:val="nil"/>
                  </w:tcBorders>
                  <w:noWrap w:val="0"/>
                  <w:vAlign w:val="center"/>
                </w:tcPr>
                <w:p w14:paraId="4A9A74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60</w:t>
                  </w:r>
                </w:p>
              </w:tc>
              <w:tc>
                <w:tcPr>
                  <w:tcW w:w="1068" w:type="dxa"/>
                  <w:tcBorders>
                    <w:tl2br w:val="nil"/>
                    <w:tr2bl w:val="nil"/>
                  </w:tcBorders>
                  <w:noWrap w:val="0"/>
                  <w:vAlign w:val="center"/>
                </w:tcPr>
                <w:p w14:paraId="6CFA794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18.3</w:t>
                  </w:r>
                </w:p>
              </w:tc>
              <w:tc>
                <w:tcPr>
                  <w:tcW w:w="1124" w:type="dxa"/>
                  <w:tcBorders>
                    <w:tl2br w:val="nil"/>
                    <w:tr2bl w:val="nil"/>
                  </w:tcBorders>
                  <w:noWrap w:val="0"/>
                  <w:vAlign w:val="center"/>
                </w:tcPr>
                <w:p w14:paraId="306DA2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r w14:paraId="7DFA44A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229" w:hRule="atLeast"/>
                <w:jc w:val="center"/>
              </w:trPr>
              <w:tc>
                <w:tcPr>
                  <w:tcW w:w="1013" w:type="dxa"/>
                  <w:tcBorders>
                    <w:tl2br w:val="nil"/>
                    <w:tr2bl w:val="nil"/>
                  </w:tcBorders>
                  <w:noWrap w:val="0"/>
                  <w:vAlign w:val="center"/>
                </w:tcPr>
                <w:p w14:paraId="78A542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NO</w:t>
                  </w:r>
                  <w:r>
                    <w:rPr>
                      <w:rFonts w:hint="default"/>
                      <w:color w:val="auto"/>
                      <w:sz w:val="21"/>
                      <w:szCs w:val="21"/>
                      <w:highlight w:val="none"/>
                      <w:vertAlign w:val="subscript"/>
                    </w:rPr>
                    <w:t>2</w:t>
                  </w:r>
                </w:p>
              </w:tc>
              <w:tc>
                <w:tcPr>
                  <w:tcW w:w="2025" w:type="dxa"/>
                  <w:vMerge w:val="continue"/>
                  <w:tcBorders>
                    <w:tl2br w:val="nil"/>
                    <w:tr2bl w:val="nil"/>
                  </w:tcBorders>
                  <w:noWrap w:val="0"/>
                  <w:vAlign w:val="center"/>
                </w:tcPr>
                <w:p w14:paraId="783662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1233" w:type="dxa"/>
                  <w:tcBorders>
                    <w:tl2br w:val="nil"/>
                    <w:tr2bl w:val="nil"/>
                  </w:tcBorders>
                  <w:noWrap w:val="0"/>
                  <w:vAlign w:val="center"/>
                </w:tcPr>
                <w:p w14:paraId="31D966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20</w:t>
                  </w:r>
                </w:p>
              </w:tc>
              <w:tc>
                <w:tcPr>
                  <w:tcW w:w="1511" w:type="dxa"/>
                  <w:tcBorders>
                    <w:tl2br w:val="nil"/>
                    <w:tr2bl w:val="nil"/>
                  </w:tcBorders>
                  <w:noWrap w:val="0"/>
                  <w:vAlign w:val="center"/>
                </w:tcPr>
                <w:p w14:paraId="138615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40</w:t>
                  </w:r>
                </w:p>
              </w:tc>
              <w:tc>
                <w:tcPr>
                  <w:tcW w:w="1068" w:type="dxa"/>
                  <w:tcBorders>
                    <w:tl2br w:val="nil"/>
                    <w:tr2bl w:val="nil"/>
                  </w:tcBorders>
                  <w:noWrap w:val="0"/>
                  <w:vAlign w:val="center"/>
                </w:tcPr>
                <w:p w14:paraId="548FD74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50.0</w:t>
                  </w:r>
                </w:p>
              </w:tc>
              <w:tc>
                <w:tcPr>
                  <w:tcW w:w="1124" w:type="dxa"/>
                  <w:tcBorders>
                    <w:tl2br w:val="nil"/>
                    <w:tr2bl w:val="nil"/>
                  </w:tcBorders>
                  <w:noWrap w:val="0"/>
                  <w:vAlign w:val="center"/>
                </w:tcPr>
                <w:p w14:paraId="0C690A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r w14:paraId="04A774B1">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013" w:type="dxa"/>
                  <w:tcBorders>
                    <w:tl2br w:val="nil"/>
                    <w:tr2bl w:val="nil"/>
                  </w:tcBorders>
                  <w:noWrap w:val="0"/>
                  <w:vAlign w:val="center"/>
                </w:tcPr>
                <w:p w14:paraId="4B64A37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PM</w:t>
                  </w:r>
                  <w:r>
                    <w:rPr>
                      <w:rFonts w:hint="default"/>
                      <w:color w:val="auto"/>
                      <w:sz w:val="21"/>
                      <w:szCs w:val="21"/>
                      <w:highlight w:val="none"/>
                      <w:vertAlign w:val="subscript"/>
                    </w:rPr>
                    <w:t>2.5</w:t>
                  </w:r>
                </w:p>
              </w:tc>
              <w:tc>
                <w:tcPr>
                  <w:tcW w:w="2025" w:type="dxa"/>
                  <w:vMerge w:val="continue"/>
                  <w:tcBorders>
                    <w:tl2br w:val="nil"/>
                    <w:tr2bl w:val="nil"/>
                  </w:tcBorders>
                  <w:noWrap w:val="0"/>
                  <w:vAlign w:val="center"/>
                </w:tcPr>
                <w:p w14:paraId="74A76E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1233" w:type="dxa"/>
                  <w:tcBorders>
                    <w:tl2br w:val="nil"/>
                    <w:tr2bl w:val="nil"/>
                  </w:tcBorders>
                  <w:noWrap w:val="0"/>
                  <w:vAlign w:val="center"/>
                </w:tcPr>
                <w:p w14:paraId="4578C0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23.4</w:t>
                  </w:r>
                </w:p>
              </w:tc>
              <w:tc>
                <w:tcPr>
                  <w:tcW w:w="1511" w:type="dxa"/>
                  <w:tcBorders>
                    <w:tl2br w:val="nil"/>
                    <w:tr2bl w:val="nil"/>
                  </w:tcBorders>
                  <w:noWrap w:val="0"/>
                  <w:vAlign w:val="center"/>
                </w:tcPr>
                <w:p w14:paraId="1D8FD2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35</w:t>
                  </w:r>
                </w:p>
              </w:tc>
              <w:tc>
                <w:tcPr>
                  <w:tcW w:w="1068" w:type="dxa"/>
                  <w:tcBorders>
                    <w:tl2br w:val="nil"/>
                    <w:tr2bl w:val="nil"/>
                  </w:tcBorders>
                  <w:noWrap w:val="0"/>
                  <w:vAlign w:val="center"/>
                </w:tcPr>
                <w:p w14:paraId="5B417CF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66.8</w:t>
                  </w:r>
                </w:p>
              </w:tc>
              <w:tc>
                <w:tcPr>
                  <w:tcW w:w="1124" w:type="dxa"/>
                  <w:tcBorders>
                    <w:tl2br w:val="nil"/>
                    <w:tr2bl w:val="nil"/>
                  </w:tcBorders>
                  <w:noWrap w:val="0"/>
                  <w:vAlign w:val="center"/>
                </w:tcPr>
                <w:p w14:paraId="27D2DF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r w14:paraId="285AB39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013" w:type="dxa"/>
                  <w:tcBorders>
                    <w:tl2br w:val="nil"/>
                    <w:tr2bl w:val="nil"/>
                  </w:tcBorders>
                  <w:noWrap w:val="0"/>
                  <w:vAlign w:val="center"/>
                </w:tcPr>
                <w:p w14:paraId="3F8FA5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PM</w:t>
                  </w:r>
                  <w:r>
                    <w:rPr>
                      <w:rFonts w:hint="default"/>
                      <w:color w:val="auto"/>
                      <w:sz w:val="21"/>
                      <w:szCs w:val="21"/>
                      <w:highlight w:val="none"/>
                      <w:vertAlign w:val="subscript"/>
                    </w:rPr>
                    <w:t>10</w:t>
                  </w:r>
                </w:p>
              </w:tc>
              <w:tc>
                <w:tcPr>
                  <w:tcW w:w="2025" w:type="dxa"/>
                  <w:vMerge w:val="continue"/>
                  <w:tcBorders>
                    <w:tl2br w:val="nil"/>
                    <w:tr2bl w:val="nil"/>
                  </w:tcBorders>
                  <w:noWrap w:val="0"/>
                  <w:vAlign w:val="center"/>
                </w:tcPr>
                <w:p w14:paraId="14A44C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p>
              </w:tc>
              <w:tc>
                <w:tcPr>
                  <w:tcW w:w="1233" w:type="dxa"/>
                  <w:tcBorders>
                    <w:tl2br w:val="nil"/>
                    <w:tr2bl w:val="nil"/>
                  </w:tcBorders>
                  <w:noWrap w:val="0"/>
                  <w:vAlign w:val="center"/>
                </w:tcPr>
                <w:p w14:paraId="5B0DD0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38</w:t>
                  </w:r>
                </w:p>
              </w:tc>
              <w:tc>
                <w:tcPr>
                  <w:tcW w:w="1511" w:type="dxa"/>
                  <w:tcBorders>
                    <w:tl2br w:val="nil"/>
                    <w:tr2bl w:val="nil"/>
                  </w:tcBorders>
                  <w:noWrap w:val="0"/>
                  <w:vAlign w:val="center"/>
                </w:tcPr>
                <w:p w14:paraId="4E81082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70</w:t>
                  </w:r>
                </w:p>
              </w:tc>
              <w:tc>
                <w:tcPr>
                  <w:tcW w:w="1068" w:type="dxa"/>
                  <w:tcBorders>
                    <w:tl2br w:val="nil"/>
                    <w:tr2bl w:val="nil"/>
                  </w:tcBorders>
                  <w:noWrap w:val="0"/>
                  <w:vAlign w:val="center"/>
                </w:tcPr>
                <w:p w14:paraId="7CB37E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default"/>
                      <w:color w:val="auto"/>
                      <w:sz w:val="21"/>
                      <w:szCs w:val="21"/>
                      <w:highlight w:val="none"/>
                    </w:rPr>
                    <w:t>54.</w:t>
                  </w:r>
                  <w:r>
                    <w:rPr>
                      <w:rFonts w:hint="eastAsia"/>
                      <w:color w:val="auto"/>
                      <w:sz w:val="21"/>
                      <w:szCs w:val="21"/>
                      <w:highlight w:val="none"/>
                      <w:lang w:val="en-US" w:eastAsia="zh-CN"/>
                    </w:rPr>
                    <w:t>3</w:t>
                  </w:r>
                </w:p>
              </w:tc>
              <w:tc>
                <w:tcPr>
                  <w:tcW w:w="1124" w:type="dxa"/>
                  <w:tcBorders>
                    <w:tl2br w:val="nil"/>
                    <w:tr2bl w:val="nil"/>
                  </w:tcBorders>
                  <w:noWrap w:val="0"/>
                  <w:vAlign w:val="center"/>
                </w:tcPr>
                <w:p w14:paraId="0E4460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r w14:paraId="1D98293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jc w:val="center"/>
              </w:trPr>
              <w:tc>
                <w:tcPr>
                  <w:tcW w:w="1013" w:type="dxa"/>
                  <w:tcBorders>
                    <w:tl2br w:val="nil"/>
                    <w:tr2bl w:val="nil"/>
                  </w:tcBorders>
                  <w:noWrap w:val="0"/>
                  <w:vAlign w:val="center"/>
                </w:tcPr>
                <w:p w14:paraId="737C3A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CO</w:t>
                  </w:r>
                </w:p>
              </w:tc>
              <w:tc>
                <w:tcPr>
                  <w:tcW w:w="2025" w:type="dxa"/>
                  <w:tcBorders>
                    <w:tl2br w:val="nil"/>
                    <w:tr2bl w:val="nil"/>
                  </w:tcBorders>
                  <w:noWrap w:val="0"/>
                  <w:vAlign w:val="center"/>
                </w:tcPr>
                <w:p w14:paraId="5BB82A7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日均值95％位数值</w:t>
                  </w:r>
                </w:p>
              </w:tc>
              <w:tc>
                <w:tcPr>
                  <w:tcW w:w="1233" w:type="dxa"/>
                  <w:tcBorders>
                    <w:tl2br w:val="nil"/>
                    <w:tr2bl w:val="nil"/>
                  </w:tcBorders>
                  <w:noWrap w:val="0"/>
                  <w:vAlign w:val="center"/>
                </w:tcPr>
                <w:p w14:paraId="2801C8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lang w:val="en-US" w:eastAsia="zh-CN"/>
                    </w:rPr>
                    <w:t>0.9</w:t>
                  </w:r>
                  <w:r>
                    <w:rPr>
                      <w:rFonts w:hint="default"/>
                      <w:color w:val="auto"/>
                      <w:sz w:val="21"/>
                      <w:szCs w:val="21"/>
                      <w:highlight w:val="none"/>
                    </w:rPr>
                    <w:t>mg/m</w:t>
                  </w:r>
                  <w:r>
                    <w:rPr>
                      <w:rFonts w:hint="default"/>
                      <w:color w:val="auto"/>
                      <w:sz w:val="21"/>
                      <w:szCs w:val="21"/>
                      <w:highlight w:val="none"/>
                      <w:vertAlign w:val="superscript"/>
                    </w:rPr>
                    <w:t>3</w:t>
                  </w:r>
                </w:p>
              </w:tc>
              <w:tc>
                <w:tcPr>
                  <w:tcW w:w="1511" w:type="dxa"/>
                  <w:tcBorders>
                    <w:tl2br w:val="nil"/>
                    <w:tr2bl w:val="nil"/>
                  </w:tcBorders>
                  <w:noWrap w:val="0"/>
                  <w:vAlign w:val="center"/>
                </w:tcPr>
                <w:p w14:paraId="7BD16B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4mg/m</w:t>
                  </w:r>
                  <w:r>
                    <w:rPr>
                      <w:rFonts w:hint="default"/>
                      <w:color w:val="auto"/>
                      <w:sz w:val="21"/>
                      <w:szCs w:val="21"/>
                      <w:highlight w:val="none"/>
                      <w:vertAlign w:val="superscript"/>
                    </w:rPr>
                    <w:t>3</w:t>
                  </w:r>
                </w:p>
              </w:tc>
              <w:tc>
                <w:tcPr>
                  <w:tcW w:w="1068" w:type="dxa"/>
                  <w:tcBorders>
                    <w:tl2br w:val="nil"/>
                    <w:tr2bl w:val="nil"/>
                  </w:tcBorders>
                  <w:noWrap w:val="0"/>
                  <w:vAlign w:val="center"/>
                </w:tcPr>
                <w:p w14:paraId="065B25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22.5</w:t>
                  </w:r>
                </w:p>
              </w:tc>
              <w:tc>
                <w:tcPr>
                  <w:tcW w:w="1124" w:type="dxa"/>
                  <w:tcBorders>
                    <w:tl2br w:val="nil"/>
                    <w:tr2bl w:val="nil"/>
                  </w:tcBorders>
                  <w:noWrap w:val="0"/>
                  <w:vAlign w:val="center"/>
                </w:tcPr>
                <w:p w14:paraId="0FD4FB0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r w14:paraId="7AC119E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jc w:val="center"/>
              </w:trPr>
              <w:tc>
                <w:tcPr>
                  <w:tcW w:w="1013" w:type="dxa"/>
                  <w:tcBorders>
                    <w:tl2br w:val="nil"/>
                    <w:tr2bl w:val="nil"/>
                  </w:tcBorders>
                  <w:noWrap w:val="0"/>
                  <w:vAlign w:val="center"/>
                </w:tcPr>
                <w:p w14:paraId="227AB1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O</w:t>
                  </w:r>
                  <w:r>
                    <w:rPr>
                      <w:rFonts w:hint="default"/>
                      <w:color w:val="auto"/>
                      <w:sz w:val="21"/>
                      <w:szCs w:val="21"/>
                      <w:highlight w:val="none"/>
                      <w:vertAlign w:val="subscript"/>
                    </w:rPr>
                    <w:t>3</w:t>
                  </w:r>
                </w:p>
              </w:tc>
              <w:tc>
                <w:tcPr>
                  <w:tcW w:w="2025" w:type="dxa"/>
                  <w:tcBorders>
                    <w:tl2br w:val="nil"/>
                    <w:tr2bl w:val="nil"/>
                  </w:tcBorders>
                  <w:noWrap w:val="0"/>
                  <w:vAlign w:val="center"/>
                </w:tcPr>
                <w:p w14:paraId="4C2391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日最大8h值第90%位数值</w:t>
                  </w:r>
                </w:p>
              </w:tc>
              <w:tc>
                <w:tcPr>
                  <w:tcW w:w="1233" w:type="dxa"/>
                  <w:tcBorders>
                    <w:tl2br w:val="nil"/>
                    <w:tr2bl w:val="nil"/>
                  </w:tcBorders>
                  <w:noWrap w:val="0"/>
                  <w:vAlign w:val="center"/>
                </w:tcPr>
                <w:p w14:paraId="03901D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134</w:t>
                  </w:r>
                </w:p>
              </w:tc>
              <w:tc>
                <w:tcPr>
                  <w:tcW w:w="1511" w:type="dxa"/>
                  <w:tcBorders>
                    <w:tl2br w:val="nil"/>
                    <w:tr2bl w:val="nil"/>
                  </w:tcBorders>
                  <w:noWrap w:val="0"/>
                  <w:vAlign w:val="center"/>
                </w:tcPr>
                <w:p w14:paraId="0A0C60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160</w:t>
                  </w:r>
                </w:p>
              </w:tc>
              <w:tc>
                <w:tcPr>
                  <w:tcW w:w="1068" w:type="dxa"/>
                  <w:tcBorders>
                    <w:tl2br w:val="nil"/>
                    <w:tr2bl w:val="nil"/>
                  </w:tcBorders>
                  <w:noWrap w:val="0"/>
                  <w:vAlign w:val="center"/>
                </w:tcPr>
                <w:p w14:paraId="5D36B3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83.7</w:t>
                  </w:r>
                </w:p>
              </w:tc>
              <w:tc>
                <w:tcPr>
                  <w:tcW w:w="1124" w:type="dxa"/>
                  <w:tcBorders>
                    <w:tl2br w:val="nil"/>
                    <w:tr2bl w:val="nil"/>
                  </w:tcBorders>
                  <w:noWrap w:val="0"/>
                  <w:vAlign w:val="center"/>
                </w:tcPr>
                <w:p w14:paraId="4DD1F6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达标</w:t>
                  </w:r>
                </w:p>
              </w:tc>
            </w:tr>
          </w:tbl>
          <w:p w14:paraId="18E30455">
            <w:pPr>
              <w:keepNext w:val="0"/>
              <w:keepLines w:val="0"/>
              <w:suppressLineNumbers w:val="0"/>
              <w:bidi w:val="0"/>
              <w:spacing w:before="0" w:beforeAutospacing="0" w:after="0" w:afterAutospacing="0"/>
              <w:ind w:left="0" w:right="0"/>
              <w:rPr>
                <w:rFonts w:hint="default" w:ascii="Times New Roman" w:cs="Times New Roman"/>
                <w:color w:val="auto"/>
                <w:highlight w:val="none"/>
              </w:rPr>
            </w:pPr>
            <w:r>
              <w:rPr>
                <w:rFonts w:hint="eastAsia"/>
                <w:color w:val="auto"/>
                <w:highlight w:val="none"/>
              </w:rPr>
              <w:t>由</w:t>
            </w:r>
            <w:r>
              <w:rPr>
                <w:rFonts w:hint="eastAsia"/>
                <w:color w:val="auto"/>
                <w:highlight w:val="none"/>
                <w:lang w:eastAsia="zh-CN"/>
              </w:rPr>
              <w:t>表</w:t>
            </w:r>
            <w:r>
              <w:rPr>
                <w:rFonts w:hint="eastAsia"/>
                <w:color w:val="auto"/>
                <w:highlight w:val="none"/>
                <w:lang w:val="en-US" w:eastAsia="zh-CN"/>
              </w:rPr>
              <w:t>3-1</w:t>
            </w:r>
            <w:r>
              <w:rPr>
                <w:rFonts w:hint="eastAsia"/>
                <w:color w:val="auto"/>
                <w:highlight w:val="none"/>
              </w:rPr>
              <w:t>可知</w:t>
            </w:r>
            <w:r>
              <w:rPr>
                <w:rFonts w:hint="default"/>
                <w:color w:val="auto"/>
                <w:highlight w:val="none"/>
              </w:rPr>
              <w:t>，项目所在地202</w:t>
            </w:r>
            <w:r>
              <w:rPr>
                <w:rFonts w:hint="eastAsia"/>
                <w:color w:val="auto"/>
                <w:highlight w:val="none"/>
                <w:lang w:val="en-US" w:eastAsia="zh-CN"/>
              </w:rPr>
              <w:t>4</w:t>
            </w:r>
            <w:r>
              <w:rPr>
                <w:rFonts w:hint="default"/>
                <w:color w:val="auto"/>
                <w:highlight w:val="none"/>
              </w:rPr>
              <w:t>年PM</w:t>
            </w:r>
            <w:r>
              <w:rPr>
                <w:rFonts w:hint="default"/>
                <w:color w:val="auto"/>
                <w:highlight w:val="none"/>
                <w:vertAlign w:val="subscript"/>
              </w:rPr>
              <w:t>10</w:t>
            </w:r>
            <w:r>
              <w:rPr>
                <w:rFonts w:hint="default"/>
                <w:color w:val="auto"/>
                <w:highlight w:val="none"/>
              </w:rPr>
              <w:t>、SO</w:t>
            </w:r>
            <w:r>
              <w:rPr>
                <w:rFonts w:hint="default"/>
                <w:color w:val="auto"/>
                <w:highlight w:val="none"/>
                <w:vertAlign w:val="subscript"/>
              </w:rPr>
              <w:t>2</w:t>
            </w:r>
            <w:r>
              <w:rPr>
                <w:rFonts w:hint="default"/>
                <w:color w:val="auto"/>
                <w:highlight w:val="none"/>
              </w:rPr>
              <w:t>、PM</w:t>
            </w:r>
            <w:r>
              <w:rPr>
                <w:rFonts w:hint="default"/>
                <w:color w:val="auto"/>
                <w:highlight w:val="none"/>
                <w:vertAlign w:val="subscript"/>
              </w:rPr>
              <w:t>2.5</w:t>
            </w:r>
            <w:r>
              <w:rPr>
                <w:rFonts w:hint="default"/>
                <w:color w:val="auto"/>
                <w:highlight w:val="none"/>
              </w:rPr>
              <w:t>、NO</w:t>
            </w:r>
            <w:r>
              <w:rPr>
                <w:rFonts w:hint="default"/>
                <w:color w:val="auto"/>
                <w:highlight w:val="none"/>
                <w:vertAlign w:val="subscript"/>
              </w:rPr>
              <w:t>2</w:t>
            </w:r>
            <w:r>
              <w:rPr>
                <w:rFonts w:hint="default"/>
                <w:color w:val="auto"/>
                <w:highlight w:val="none"/>
              </w:rPr>
              <w:t>的年平均浓度均达到《环境空气质量标准》中二级标准要求；CO24小时平均第95百分位数、O</w:t>
            </w:r>
            <w:r>
              <w:rPr>
                <w:rFonts w:hint="default"/>
                <w:color w:val="auto"/>
                <w:highlight w:val="none"/>
                <w:vertAlign w:val="subscript"/>
              </w:rPr>
              <w:t>3</w:t>
            </w:r>
            <w:r>
              <w:rPr>
                <w:rFonts w:hint="default"/>
                <w:color w:val="auto"/>
                <w:highlight w:val="none"/>
              </w:rPr>
              <w:t>日最大8小时平均第90百分位数评价均达到《环境空气质量标准》中二级标准要求</w:t>
            </w:r>
            <w:r>
              <w:rPr>
                <w:rFonts w:hint="eastAsia"/>
                <w:color w:val="auto"/>
                <w:highlight w:val="none"/>
                <w:lang w:eastAsia="zh-CN"/>
              </w:rPr>
              <w:t>，</w:t>
            </w:r>
            <w:r>
              <w:rPr>
                <w:rFonts w:hint="default"/>
                <w:color w:val="auto"/>
                <w:highlight w:val="none"/>
              </w:rPr>
              <w:t>项目所在地为达标区。</w:t>
            </w:r>
          </w:p>
          <w:p w14:paraId="20564B88">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lang w:val="en-US" w:eastAsia="zh-CN"/>
              </w:rPr>
              <w:t>特征</w:t>
            </w:r>
            <w:r>
              <w:rPr>
                <w:rFonts w:hint="eastAsia"/>
                <w:color w:val="auto"/>
                <w:highlight w:val="none"/>
              </w:rPr>
              <w:t>污染物</w:t>
            </w:r>
          </w:p>
          <w:p w14:paraId="09A5CEB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建设项目环境影响报告表编制技术指南（污染影响类）》，“排放国家、地方环境空气质量标准中有标准限值要求的特征污染物时，引用建设项目周边5千米范围内近3年的现有监测数据，无相关数据的选择当季主导风向下风向1个点位补充不少于3天的监测数据。”</w:t>
            </w:r>
            <w:r>
              <w:rPr>
                <w:rFonts w:hint="eastAsia"/>
                <w:color w:val="auto"/>
                <w:highlight w:val="none"/>
              </w:rPr>
              <w:t>本项目特征污染物为TSP</w:t>
            </w:r>
            <w:r>
              <w:rPr>
                <w:rFonts w:hint="eastAsia"/>
                <w:color w:val="auto"/>
                <w:highlight w:val="none"/>
                <w:lang w:eastAsia="zh-CN"/>
              </w:rPr>
              <w:t>、</w:t>
            </w:r>
            <w:r>
              <w:rPr>
                <w:rFonts w:hint="eastAsia"/>
                <w:color w:val="auto"/>
                <w:highlight w:val="none"/>
                <w:lang w:val="en-US" w:eastAsia="zh-CN"/>
              </w:rPr>
              <w:t>铊及其化合物、氟化物</w:t>
            </w:r>
            <w:r>
              <w:rPr>
                <w:rFonts w:hint="eastAsia"/>
                <w:color w:val="auto"/>
                <w:highlight w:val="none"/>
                <w:lang w:eastAsia="zh-CN"/>
              </w:rPr>
              <w:t>，</w:t>
            </w:r>
            <w:r>
              <w:rPr>
                <w:rFonts w:hint="default"/>
                <w:color w:val="auto"/>
                <w:highlight w:val="none"/>
              </w:rPr>
              <w:t>根据《&lt;建设项目环境影响报告表&gt;内容、格式及编制技术指南常见问题解答》(环境影响评价网，2021年10月20日)第7条:技术指南中提到“排放国家、地方环境空气质量标准中有标准限值要求的特征污染物”，其中环境空气质量标准指《环境空气质量标准》(GB3095)和地方的环境空气质量标准，不包括《环境影响评价技术导则大气环境》(HJ2.2-2018)附录D、《前苏联居住区标准》(CH245-71)《大气污染物综合排放标准详解》等导则或参考资料。本项目排放的</w:t>
            </w:r>
            <w:r>
              <w:rPr>
                <w:rFonts w:hint="eastAsia"/>
                <w:color w:val="auto"/>
                <w:highlight w:val="none"/>
                <w:lang w:val="en-US" w:eastAsia="zh-CN"/>
              </w:rPr>
              <w:t>铊及其化合物</w:t>
            </w:r>
            <w:r>
              <w:rPr>
                <w:rFonts w:hint="default"/>
                <w:color w:val="auto"/>
                <w:highlight w:val="none"/>
              </w:rPr>
              <w:t>不属于国家、地方环境空气质量标准中有标准限值要求的特征污染物，无需开展环境现状监测。</w:t>
            </w:r>
            <w:r>
              <w:rPr>
                <w:rFonts w:hint="eastAsia"/>
                <w:color w:val="auto"/>
                <w:highlight w:val="none"/>
                <w:lang w:val="en-US" w:eastAsia="zh-CN"/>
              </w:rPr>
              <w:t>因此需</w:t>
            </w:r>
            <w:r>
              <w:rPr>
                <w:rFonts w:hint="eastAsia"/>
                <w:color w:val="auto"/>
                <w:highlight w:val="none"/>
              </w:rPr>
              <w:t>对TSP</w:t>
            </w:r>
            <w:r>
              <w:rPr>
                <w:rFonts w:hint="eastAsia"/>
                <w:color w:val="auto"/>
                <w:highlight w:val="none"/>
                <w:lang w:eastAsia="zh-CN"/>
              </w:rPr>
              <w:t>和</w:t>
            </w:r>
            <w:r>
              <w:rPr>
                <w:rFonts w:hint="eastAsia"/>
                <w:color w:val="auto"/>
                <w:highlight w:val="none"/>
                <w:lang w:val="en-US" w:eastAsia="zh-CN"/>
              </w:rPr>
              <w:t>氟化物</w:t>
            </w:r>
            <w:r>
              <w:rPr>
                <w:rFonts w:hint="eastAsia"/>
                <w:color w:val="auto"/>
                <w:highlight w:val="none"/>
              </w:rPr>
              <w:t>进行现状调查</w:t>
            </w:r>
            <w:r>
              <w:rPr>
                <w:rFonts w:hint="eastAsia"/>
                <w:color w:val="auto"/>
                <w:highlight w:val="none"/>
                <w:lang w:eastAsia="zh-CN"/>
              </w:rPr>
              <w:t>。本项目</w:t>
            </w:r>
            <w:r>
              <w:rPr>
                <w:rFonts w:hint="default"/>
                <w:color w:val="auto"/>
                <w:highlight w:val="none"/>
              </w:rPr>
              <w:t>特征污染物TSP</w:t>
            </w:r>
            <w:r>
              <w:rPr>
                <w:rFonts w:hint="eastAsia"/>
                <w:color w:val="auto"/>
                <w:highlight w:val="none"/>
                <w:lang w:val="en-US" w:eastAsia="zh-CN"/>
              </w:rPr>
              <w:t>和氟化物</w:t>
            </w:r>
            <w:r>
              <w:rPr>
                <w:rFonts w:hint="default"/>
                <w:color w:val="auto"/>
                <w:highlight w:val="none"/>
              </w:rPr>
              <w:t>引用江西瓷将军陶瓷有限公司《江西瓷将军陶瓷有限公司年产7500吨碳酸锂技改项目</w:t>
            </w:r>
            <w:r>
              <w:rPr>
                <w:rFonts w:hint="default"/>
                <w:color w:val="auto"/>
                <w:highlight w:val="none"/>
                <w:lang w:val="en-US" w:eastAsia="zh-CN"/>
              </w:rPr>
              <w:t>环评监测</w:t>
            </w:r>
            <w:r>
              <w:rPr>
                <w:rFonts w:hint="eastAsia"/>
                <w:color w:val="auto"/>
                <w:highlight w:val="none"/>
              </w:rPr>
              <w:t>报告</w:t>
            </w:r>
            <w:r>
              <w:rPr>
                <w:rFonts w:hint="default"/>
                <w:color w:val="auto"/>
                <w:highlight w:val="none"/>
              </w:rPr>
              <w:t>》（</w:t>
            </w:r>
            <w:r>
              <w:rPr>
                <w:rFonts w:hint="eastAsia"/>
                <w:color w:val="auto"/>
                <w:highlight w:val="none"/>
                <w:lang w:val="en-US" w:eastAsia="zh-CN"/>
              </w:rPr>
              <w:t>CMA181412341168</w:t>
            </w:r>
            <w:r>
              <w:rPr>
                <w:rFonts w:hint="default"/>
                <w:color w:val="auto"/>
                <w:highlight w:val="none"/>
              </w:rPr>
              <w:t>）的现状监测数据，采样时间：2023年</w:t>
            </w:r>
            <w:r>
              <w:rPr>
                <w:rFonts w:hint="eastAsia"/>
                <w:color w:val="auto"/>
                <w:highlight w:val="none"/>
                <w:lang w:val="en-US" w:eastAsia="zh-CN"/>
              </w:rPr>
              <w:t>1</w:t>
            </w:r>
            <w:r>
              <w:rPr>
                <w:rFonts w:hint="default"/>
                <w:color w:val="auto"/>
                <w:highlight w:val="none"/>
              </w:rPr>
              <w:t>月</w:t>
            </w:r>
            <w:r>
              <w:rPr>
                <w:rFonts w:hint="eastAsia"/>
                <w:color w:val="auto"/>
                <w:highlight w:val="none"/>
                <w:lang w:val="en-US" w:eastAsia="zh-CN"/>
              </w:rPr>
              <w:t>28</w:t>
            </w:r>
            <w:r>
              <w:rPr>
                <w:rFonts w:hint="default"/>
                <w:color w:val="auto"/>
                <w:highlight w:val="none"/>
              </w:rPr>
              <w:t>日-</w:t>
            </w:r>
            <w:r>
              <w:rPr>
                <w:rFonts w:hint="eastAsia"/>
                <w:color w:val="auto"/>
                <w:highlight w:val="none"/>
                <w:lang w:val="en-US" w:eastAsia="zh-CN"/>
              </w:rPr>
              <w:t>2月</w:t>
            </w:r>
            <w:r>
              <w:rPr>
                <w:rFonts w:hint="default"/>
                <w:color w:val="auto"/>
                <w:highlight w:val="none"/>
              </w:rPr>
              <w:t>3日，地点：板塘陈家（位于本项目</w:t>
            </w:r>
            <w:r>
              <w:rPr>
                <w:rFonts w:hint="eastAsia"/>
                <w:color w:val="auto"/>
                <w:highlight w:val="none"/>
                <w:lang w:val="en-US" w:eastAsia="zh-CN"/>
              </w:rPr>
              <w:t>南</w:t>
            </w:r>
            <w:r>
              <w:rPr>
                <w:rFonts w:hint="default"/>
                <w:color w:val="auto"/>
                <w:highlight w:val="none"/>
              </w:rPr>
              <w:t>侧</w:t>
            </w:r>
            <w:r>
              <w:rPr>
                <w:rFonts w:hint="eastAsia"/>
                <w:color w:val="auto"/>
                <w:highlight w:val="none"/>
                <w:lang w:val="en-US" w:eastAsia="zh-CN"/>
              </w:rPr>
              <w:t>754</w:t>
            </w:r>
            <w:r>
              <w:rPr>
                <w:rFonts w:hint="default"/>
                <w:color w:val="auto"/>
                <w:highlight w:val="none"/>
              </w:rPr>
              <w:t>m处，小于5km，可引用），检测结果见下表：</w:t>
            </w:r>
          </w:p>
          <w:p w14:paraId="25CAA88B">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2</w:t>
            </w:r>
            <w:r>
              <w:rPr>
                <w:rFonts w:hint="default"/>
                <w:color w:val="auto"/>
                <w:sz w:val="21"/>
                <w:szCs w:val="21"/>
                <w:highlight w:val="none"/>
                <w:lang w:val="en-US" w:eastAsia="zh-CN"/>
              </w:rPr>
              <w:t xml:space="preserve"> </w:t>
            </w:r>
            <w:r>
              <w:rPr>
                <w:rFonts w:hint="eastAsia"/>
                <w:color w:val="auto"/>
                <w:sz w:val="21"/>
                <w:szCs w:val="21"/>
                <w:highlight w:val="none"/>
                <w:lang w:val="en-US" w:eastAsia="zh-CN"/>
              </w:rPr>
              <w:t>大气引用</w:t>
            </w:r>
            <w:r>
              <w:rPr>
                <w:rFonts w:hint="default"/>
                <w:color w:val="auto"/>
                <w:sz w:val="21"/>
                <w:szCs w:val="21"/>
                <w:highlight w:val="none"/>
                <w:lang w:val="en-US" w:eastAsia="zh-CN"/>
              </w:rPr>
              <w:t>监测结果</w:t>
            </w:r>
          </w:p>
          <w:tbl>
            <w:tblPr>
              <w:tblStyle w:val="25"/>
              <w:tblW w:w="499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2"/>
              <w:gridCol w:w="1687"/>
              <w:gridCol w:w="1015"/>
              <w:gridCol w:w="1266"/>
              <w:gridCol w:w="1211"/>
              <w:gridCol w:w="668"/>
              <w:gridCol w:w="1070"/>
            </w:tblGrid>
            <w:tr w14:paraId="7EDC7E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6" w:type="pct"/>
                  <w:tcBorders>
                    <w:tl2br w:val="nil"/>
                    <w:tr2bl w:val="nil"/>
                  </w:tcBorders>
                  <w:vAlign w:val="center"/>
                </w:tcPr>
                <w:p w14:paraId="5D14FD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监测点位</w:t>
                  </w:r>
                </w:p>
              </w:tc>
              <w:tc>
                <w:tcPr>
                  <w:tcW w:w="1030" w:type="pct"/>
                  <w:tcBorders>
                    <w:tl2br w:val="nil"/>
                    <w:tr2bl w:val="nil"/>
                  </w:tcBorders>
                  <w:vAlign w:val="center"/>
                </w:tcPr>
                <w:p w14:paraId="0F86F8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监测时间</w:t>
                  </w:r>
                </w:p>
              </w:tc>
              <w:tc>
                <w:tcPr>
                  <w:tcW w:w="619" w:type="pct"/>
                  <w:tcBorders>
                    <w:tl2br w:val="nil"/>
                    <w:tr2bl w:val="nil"/>
                  </w:tcBorders>
                  <w:vAlign w:val="center"/>
                </w:tcPr>
                <w:p w14:paraId="297A96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检测项目</w:t>
                  </w:r>
                </w:p>
              </w:tc>
              <w:tc>
                <w:tcPr>
                  <w:tcW w:w="772" w:type="pct"/>
                  <w:tcBorders>
                    <w:tl2br w:val="nil"/>
                    <w:tr2bl w:val="nil"/>
                  </w:tcBorders>
                  <w:vAlign w:val="center"/>
                </w:tcPr>
                <w:p w14:paraId="121B88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检测值（</w:t>
                  </w:r>
                  <w:r>
                    <w:rPr>
                      <w:rFonts w:hint="eastAsia"/>
                      <w:b/>
                      <w:bCs/>
                      <w:color w:val="auto"/>
                      <w:highlight w:val="none"/>
                    </w:rPr>
                    <w:t>m</w:t>
                  </w:r>
                  <w:r>
                    <w:rPr>
                      <w:rFonts w:hint="default"/>
                      <w:b/>
                      <w:bCs/>
                      <w:color w:val="auto"/>
                      <w:highlight w:val="none"/>
                    </w:rPr>
                    <w:t>g/m</w:t>
                  </w:r>
                  <w:r>
                    <w:rPr>
                      <w:rFonts w:hint="default"/>
                      <w:b/>
                      <w:bCs/>
                      <w:color w:val="auto"/>
                      <w:highlight w:val="none"/>
                      <w:vertAlign w:val="superscript"/>
                    </w:rPr>
                    <w:t>3</w:t>
                  </w:r>
                  <w:r>
                    <w:rPr>
                      <w:rFonts w:hint="default"/>
                      <w:b/>
                      <w:bCs/>
                      <w:color w:val="auto"/>
                      <w:highlight w:val="none"/>
                    </w:rPr>
                    <w:t>）</w:t>
                  </w:r>
                </w:p>
              </w:tc>
              <w:tc>
                <w:tcPr>
                  <w:tcW w:w="739" w:type="pct"/>
                  <w:tcBorders>
                    <w:tl2br w:val="nil"/>
                    <w:tr2bl w:val="nil"/>
                  </w:tcBorders>
                  <w:vAlign w:val="center"/>
                </w:tcPr>
                <w:p w14:paraId="656E93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标准值（</w:t>
                  </w:r>
                  <w:r>
                    <w:rPr>
                      <w:rFonts w:hint="eastAsia"/>
                      <w:b/>
                      <w:bCs/>
                      <w:color w:val="auto"/>
                      <w:highlight w:val="none"/>
                    </w:rPr>
                    <w:t>mg</w:t>
                  </w:r>
                  <w:r>
                    <w:rPr>
                      <w:rFonts w:hint="default"/>
                      <w:b/>
                      <w:bCs/>
                      <w:color w:val="auto"/>
                      <w:highlight w:val="none"/>
                    </w:rPr>
                    <w:t>/m</w:t>
                  </w:r>
                  <w:r>
                    <w:rPr>
                      <w:rFonts w:hint="default"/>
                      <w:b/>
                      <w:bCs/>
                      <w:color w:val="auto"/>
                      <w:highlight w:val="none"/>
                      <w:vertAlign w:val="superscript"/>
                    </w:rPr>
                    <w:t>3</w:t>
                  </w:r>
                  <w:r>
                    <w:rPr>
                      <w:rFonts w:hint="default"/>
                      <w:b/>
                      <w:bCs/>
                      <w:color w:val="auto"/>
                      <w:highlight w:val="none"/>
                    </w:rPr>
                    <w:t>）</w:t>
                  </w:r>
                </w:p>
              </w:tc>
              <w:tc>
                <w:tcPr>
                  <w:tcW w:w="407" w:type="pct"/>
                  <w:tcBorders>
                    <w:tl2br w:val="nil"/>
                    <w:tr2bl w:val="nil"/>
                  </w:tcBorders>
                  <w:vAlign w:val="center"/>
                </w:tcPr>
                <w:p w14:paraId="308E6D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超标率%</w:t>
                  </w:r>
                </w:p>
              </w:tc>
              <w:tc>
                <w:tcPr>
                  <w:tcW w:w="653" w:type="pct"/>
                  <w:tcBorders>
                    <w:tl2br w:val="nil"/>
                    <w:tr2bl w:val="nil"/>
                  </w:tcBorders>
                  <w:vAlign w:val="center"/>
                </w:tcPr>
                <w:p w14:paraId="1020D9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占标率%</w:t>
                  </w:r>
                </w:p>
              </w:tc>
            </w:tr>
            <w:tr w14:paraId="6F0F8E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776" w:type="pct"/>
                  <w:vMerge w:val="restart"/>
                  <w:tcBorders>
                    <w:tl2br w:val="nil"/>
                    <w:tr2bl w:val="nil"/>
                  </w:tcBorders>
                  <w:vAlign w:val="center"/>
                </w:tcPr>
                <w:p w14:paraId="5479CF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板塘陈家</w:t>
                  </w:r>
                  <w:r>
                    <w:rPr>
                      <w:rFonts w:hint="eastAsia"/>
                      <w:color w:val="auto"/>
                      <w:highlight w:val="none"/>
                    </w:rPr>
                    <w:t>A1</w:t>
                  </w:r>
                </w:p>
              </w:tc>
              <w:tc>
                <w:tcPr>
                  <w:tcW w:w="1030" w:type="pct"/>
                  <w:vMerge w:val="restart"/>
                  <w:tcBorders>
                    <w:tl2br w:val="nil"/>
                    <w:tr2bl w:val="nil"/>
                  </w:tcBorders>
                  <w:vAlign w:val="center"/>
                </w:tcPr>
                <w:p w14:paraId="600D28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eastAsia="宋体"/>
                      <w:color w:val="auto"/>
                      <w:highlight w:val="none"/>
                      <w:lang w:val="en-US" w:eastAsia="zh-CN"/>
                    </w:rPr>
                    <w:t>2023.</w:t>
                  </w:r>
                  <w:r>
                    <w:rPr>
                      <w:rFonts w:hint="eastAsia"/>
                      <w:color w:val="auto"/>
                      <w:highlight w:val="none"/>
                      <w:lang w:val="en-US" w:eastAsia="zh-CN"/>
                    </w:rPr>
                    <w:t>1.28-2.3</w:t>
                  </w:r>
                </w:p>
              </w:tc>
              <w:tc>
                <w:tcPr>
                  <w:tcW w:w="619" w:type="pct"/>
                  <w:tcBorders>
                    <w:tl2br w:val="nil"/>
                    <w:tr2bl w:val="nil"/>
                  </w:tcBorders>
                  <w:vAlign w:val="center"/>
                </w:tcPr>
                <w:p w14:paraId="6299AD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TSP</w:t>
                  </w:r>
                </w:p>
              </w:tc>
              <w:tc>
                <w:tcPr>
                  <w:tcW w:w="772" w:type="pct"/>
                  <w:tcBorders>
                    <w:tl2br w:val="nil"/>
                    <w:tr2bl w:val="nil"/>
                  </w:tcBorders>
                  <w:vAlign w:val="center"/>
                </w:tcPr>
                <w:p w14:paraId="184D6E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eastAsia="宋体"/>
                      <w:color w:val="auto"/>
                      <w:highlight w:val="none"/>
                      <w:lang w:val="en-US" w:eastAsia="zh-CN"/>
                    </w:rPr>
                  </w:pPr>
                  <w:r>
                    <w:rPr>
                      <w:rFonts w:hint="eastAsia"/>
                      <w:color w:val="auto"/>
                      <w:highlight w:val="none"/>
                      <w:lang w:val="en-US" w:eastAsia="zh-CN"/>
                    </w:rPr>
                    <w:t>0.078-0.135</w:t>
                  </w:r>
                </w:p>
              </w:tc>
              <w:tc>
                <w:tcPr>
                  <w:tcW w:w="739" w:type="pct"/>
                  <w:tcBorders>
                    <w:tl2br w:val="nil"/>
                    <w:tr2bl w:val="nil"/>
                  </w:tcBorders>
                  <w:vAlign w:val="center"/>
                </w:tcPr>
                <w:p w14:paraId="56700E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eastAsia="宋体"/>
                      <w:color w:val="auto"/>
                      <w:highlight w:val="none"/>
                      <w:lang w:val="en-US" w:eastAsia="zh-CN"/>
                    </w:rPr>
                  </w:pPr>
                  <w:r>
                    <w:rPr>
                      <w:rFonts w:hint="eastAsia"/>
                      <w:color w:val="auto"/>
                      <w:highlight w:val="none"/>
                      <w:lang w:val="en-US" w:eastAsia="zh-CN"/>
                    </w:rPr>
                    <w:t>0.3</w:t>
                  </w:r>
                </w:p>
              </w:tc>
              <w:tc>
                <w:tcPr>
                  <w:tcW w:w="407" w:type="pct"/>
                  <w:tcBorders>
                    <w:tl2br w:val="nil"/>
                    <w:tr2bl w:val="nil"/>
                  </w:tcBorders>
                  <w:vAlign w:val="center"/>
                </w:tcPr>
                <w:p w14:paraId="306407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0</w:t>
                  </w:r>
                </w:p>
              </w:tc>
              <w:tc>
                <w:tcPr>
                  <w:tcW w:w="653" w:type="pct"/>
                  <w:tcBorders>
                    <w:tl2br w:val="nil"/>
                    <w:tr2bl w:val="nil"/>
                  </w:tcBorders>
                  <w:vAlign w:val="center"/>
                </w:tcPr>
                <w:p w14:paraId="5E41C5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eastAsia="宋体"/>
                      <w:color w:val="auto"/>
                      <w:highlight w:val="none"/>
                      <w:lang w:val="en-US" w:eastAsia="zh-CN"/>
                    </w:rPr>
                  </w:pPr>
                  <w:r>
                    <w:rPr>
                      <w:rFonts w:hint="eastAsia"/>
                      <w:color w:val="auto"/>
                      <w:highlight w:val="none"/>
                      <w:lang w:val="en-US" w:eastAsia="zh-CN"/>
                    </w:rPr>
                    <w:t>26</w:t>
                  </w:r>
                  <w:r>
                    <w:rPr>
                      <w:rFonts w:hint="default"/>
                      <w:color w:val="auto"/>
                      <w:highlight w:val="none"/>
                    </w:rPr>
                    <w:t>~</w:t>
                  </w:r>
                  <w:r>
                    <w:rPr>
                      <w:rFonts w:hint="eastAsia"/>
                      <w:color w:val="auto"/>
                      <w:highlight w:val="none"/>
                      <w:lang w:val="en-US" w:eastAsia="zh-CN"/>
                    </w:rPr>
                    <w:t>45</w:t>
                  </w:r>
                </w:p>
              </w:tc>
            </w:tr>
            <w:tr w14:paraId="60931C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776" w:type="pct"/>
                  <w:vMerge w:val="continue"/>
                  <w:tcBorders>
                    <w:tl2br w:val="nil"/>
                    <w:tr2bl w:val="nil"/>
                  </w:tcBorders>
                  <w:vAlign w:val="center"/>
                </w:tcPr>
                <w:p w14:paraId="567FDA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p>
              </w:tc>
              <w:tc>
                <w:tcPr>
                  <w:tcW w:w="1030" w:type="pct"/>
                  <w:vMerge w:val="continue"/>
                  <w:tcBorders>
                    <w:tl2br w:val="nil"/>
                    <w:tr2bl w:val="nil"/>
                  </w:tcBorders>
                  <w:vAlign w:val="center"/>
                </w:tcPr>
                <w:p w14:paraId="7595569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p>
              </w:tc>
              <w:tc>
                <w:tcPr>
                  <w:tcW w:w="619" w:type="pct"/>
                  <w:tcBorders>
                    <w:tl2br w:val="nil"/>
                    <w:tr2bl w:val="nil"/>
                  </w:tcBorders>
                  <w:vAlign w:val="center"/>
                </w:tcPr>
                <w:p w14:paraId="68D21E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氟化物</w:t>
                  </w:r>
                </w:p>
              </w:tc>
              <w:tc>
                <w:tcPr>
                  <w:tcW w:w="772" w:type="pct"/>
                  <w:tcBorders>
                    <w:tl2br w:val="nil"/>
                    <w:tr2bl w:val="nil"/>
                  </w:tcBorders>
                  <w:vAlign w:val="center"/>
                </w:tcPr>
                <w:p w14:paraId="4E0F30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0.0025-0.0075</w:t>
                  </w:r>
                </w:p>
              </w:tc>
              <w:tc>
                <w:tcPr>
                  <w:tcW w:w="739" w:type="pct"/>
                  <w:tcBorders>
                    <w:tl2br w:val="nil"/>
                    <w:tr2bl w:val="nil"/>
                  </w:tcBorders>
                  <w:vAlign w:val="center"/>
                </w:tcPr>
                <w:p w14:paraId="47E7A6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0.020</w:t>
                  </w:r>
                </w:p>
              </w:tc>
              <w:tc>
                <w:tcPr>
                  <w:tcW w:w="407" w:type="pct"/>
                  <w:tcBorders>
                    <w:tl2br w:val="nil"/>
                    <w:tr2bl w:val="nil"/>
                  </w:tcBorders>
                  <w:vAlign w:val="center"/>
                </w:tcPr>
                <w:p w14:paraId="372FA2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0</w:t>
                  </w:r>
                </w:p>
              </w:tc>
              <w:tc>
                <w:tcPr>
                  <w:tcW w:w="653" w:type="pct"/>
                  <w:tcBorders>
                    <w:tl2br w:val="nil"/>
                    <w:tr2bl w:val="nil"/>
                  </w:tcBorders>
                  <w:vAlign w:val="center"/>
                </w:tcPr>
                <w:p w14:paraId="56A490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12.5-37.5</w:t>
                  </w:r>
                </w:p>
              </w:tc>
            </w:tr>
          </w:tbl>
          <w:p w14:paraId="05172A4C">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T</w:t>
            </w:r>
            <w:r>
              <w:rPr>
                <w:rFonts w:hint="default"/>
                <w:color w:val="auto"/>
                <w:highlight w:val="none"/>
              </w:rPr>
              <w:t>SP</w:t>
            </w:r>
            <w:r>
              <w:rPr>
                <w:rFonts w:hint="eastAsia"/>
                <w:color w:val="auto"/>
                <w:highlight w:val="none"/>
                <w:lang w:eastAsia="zh-CN"/>
              </w:rPr>
              <w:t>、</w:t>
            </w:r>
            <w:r>
              <w:rPr>
                <w:rFonts w:hint="eastAsia"/>
                <w:color w:val="auto"/>
                <w:highlight w:val="none"/>
                <w:lang w:val="en-US" w:eastAsia="zh-CN"/>
              </w:rPr>
              <w:t>氟化物</w:t>
            </w:r>
            <w:r>
              <w:rPr>
                <w:rFonts w:hint="default"/>
                <w:color w:val="auto"/>
                <w:highlight w:val="none"/>
              </w:rPr>
              <w:t>污染物均值符合《环境空气质量标准》（GB3095-2012）二级</w:t>
            </w:r>
            <w:r>
              <w:rPr>
                <w:rFonts w:hint="eastAsia"/>
                <w:color w:val="auto"/>
                <w:highlight w:val="none"/>
              </w:rPr>
              <w:t>标准要求。</w:t>
            </w:r>
          </w:p>
          <w:p w14:paraId="64BE6AC4">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2</w:t>
            </w:r>
            <w:r>
              <w:rPr>
                <w:rFonts w:hint="default"/>
                <w:b/>
                <w:bCs/>
                <w:color w:val="auto"/>
                <w:highlight w:val="none"/>
              </w:rPr>
              <w:t>、地表水环境质量</w:t>
            </w:r>
          </w:p>
          <w:p w14:paraId="4F9C4E9D">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根据《环境影响评价技术导则地表水环境》（HJ2.3-2018）中对地表水环境质量现状调查的要求，优先采用国务院生态环境主管部门统一发布的水环境状况信息。本项目地表水</w:t>
            </w:r>
            <w:r>
              <w:rPr>
                <w:rFonts w:hint="eastAsia"/>
                <w:color w:val="auto"/>
                <w:highlight w:val="none"/>
                <w:lang w:eastAsia="zh-CN"/>
              </w:rPr>
              <w:t>受纳水体</w:t>
            </w:r>
            <w:r>
              <w:rPr>
                <w:rFonts w:hint="eastAsia"/>
                <w:color w:val="auto"/>
                <w:highlight w:val="none"/>
              </w:rPr>
              <w:t>为</w:t>
            </w:r>
            <w:r>
              <w:rPr>
                <w:rFonts w:hint="eastAsia"/>
                <w:color w:val="auto"/>
                <w:highlight w:val="none"/>
                <w:lang w:val="en-US" w:eastAsia="zh-CN"/>
              </w:rPr>
              <w:t>肖江</w:t>
            </w:r>
            <w:r>
              <w:rPr>
                <w:rFonts w:hint="eastAsia"/>
                <w:color w:val="auto"/>
                <w:highlight w:val="none"/>
              </w:rPr>
              <w:t>。</w:t>
            </w:r>
            <w:r>
              <w:rPr>
                <w:rFonts w:hint="default"/>
                <w:color w:val="auto"/>
                <w:sz w:val="24"/>
                <w:highlight w:val="none"/>
              </w:rPr>
              <w:t>本次评价引用了宜春市生态环境局上发布的《2025年宜春市环境质量状况月报》（2025年</w:t>
            </w:r>
            <w:r>
              <w:rPr>
                <w:rFonts w:hint="eastAsia"/>
                <w:color w:val="auto"/>
                <w:sz w:val="24"/>
                <w:highlight w:val="none"/>
                <w:lang w:val="en-US" w:eastAsia="zh-CN"/>
              </w:rPr>
              <w:t>8</w:t>
            </w:r>
            <w:r>
              <w:rPr>
                <w:rFonts w:hint="default"/>
                <w:color w:val="auto"/>
                <w:sz w:val="24"/>
                <w:highlight w:val="none"/>
              </w:rPr>
              <w:t>月）</w:t>
            </w:r>
            <w:r>
              <w:rPr>
                <w:rFonts w:hint="eastAsia"/>
                <w:color w:val="auto"/>
                <w:sz w:val="24"/>
                <w:highlight w:val="none"/>
                <w:lang w:eastAsia="zh-CN"/>
              </w:rPr>
              <w:t>，</w:t>
            </w:r>
            <w:r>
              <w:rPr>
                <w:rFonts w:hint="eastAsia"/>
                <w:color w:val="auto"/>
                <w:highlight w:val="none"/>
              </w:rPr>
              <w:t>其中</w:t>
            </w:r>
            <w:r>
              <w:rPr>
                <w:rFonts w:hint="eastAsia"/>
                <w:color w:val="auto"/>
                <w:highlight w:val="none"/>
                <w:lang w:val="en-US" w:eastAsia="zh-CN"/>
              </w:rPr>
              <w:t>肖江</w:t>
            </w:r>
            <w:r>
              <w:rPr>
                <w:rFonts w:hint="eastAsia"/>
                <w:color w:val="auto"/>
                <w:highlight w:val="none"/>
              </w:rPr>
              <w:t>断面监测相关数据均能满足《地表水环境质量标准》（GB3838-2002）Ⅲ类标准，</w:t>
            </w:r>
            <w:r>
              <w:rPr>
                <w:rFonts w:hint="eastAsia"/>
                <w:color w:val="auto"/>
                <w:highlight w:val="none"/>
                <w:lang w:val="en-US" w:eastAsia="zh-CN"/>
              </w:rPr>
              <w:t>肖江</w:t>
            </w:r>
            <w:r>
              <w:rPr>
                <w:rFonts w:hint="eastAsia"/>
                <w:color w:val="auto"/>
                <w:highlight w:val="none"/>
              </w:rPr>
              <w:t>地表水环境现状良好。202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8</w:t>
            </w:r>
            <w:r>
              <w:rPr>
                <w:rFonts w:hint="eastAsia"/>
                <w:color w:val="auto"/>
                <w:highlight w:val="none"/>
              </w:rPr>
              <w:t>月</w:t>
            </w:r>
            <w:r>
              <w:rPr>
                <w:rFonts w:hint="eastAsia"/>
                <w:color w:val="auto"/>
                <w:highlight w:val="none"/>
                <w:lang w:val="en-US" w:eastAsia="zh-CN"/>
              </w:rPr>
              <w:t>高安市肖江</w:t>
            </w:r>
            <w:r>
              <w:rPr>
                <w:rFonts w:hint="eastAsia"/>
                <w:color w:val="auto"/>
                <w:highlight w:val="none"/>
              </w:rPr>
              <w:t>各监测断面水质结果见下表。</w:t>
            </w:r>
          </w:p>
          <w:p w14:paraId="3A68DE4C">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2 肖江各断面水质监测评价结果一览表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1"/>
              <w:gridCol w:w="1143"/>
              <w:gridCol w:w="1160"/>
              <w:gridCol w:w="1160"/>
              <w:gridCol w:w="1286"/>
              <w:gridCol w:w="1034"/>
              <w:gridCol w:w="907"/>
              <w:gridCol w:w="849"/>
            </w:tblGrid>
            <w:tr w14:paraId="397A6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1" w:type="dxa"/>
                  <w:tcBorders>
                    <w:tl2br w:val="nil"/>
                    <w:tr2bl w:val="nil"/>
                  </w:tcBorders>
                  <w:vAlign w:val="center"/>
                </w:tcPr>
                <w:p w14:paraId="6674AD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序号</w:t>
                  </w:r>
                </w:p>
              </w:tc>
              <w:tc>
                <w:tcPr>
                  <w:tcW w:w="1143" w:type="dxa"/>
                  <w:tcBorders>
                    <w:tl2br w:val="nil"/>
                    <w:tr2bl w:val="nil"/>
                  </w:tcBorders>
                  <w:vAlign w:val="center"/>
                </w:tcPr>
                <w:p w14:paraId="49AE00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流域名称</w:t>
                  </w:r>
                </w:p>
              </w:tc>
              <w:tc>
                <w:tcPr>
                  <w:tcW w:w="1160" w:type="dxa"/>
                  <w:tcBorders>
                    <w:tl2br w:val="nil"/>
                    <w:tr2bl w:val="nil"/>
                  </w:tcBorders>
                  <w:vAlign w:val="center"/>
                </w:tcPr>
                <w:p w14:paraId="54A137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河流名称</w:t>
                  </w:r>
                </w:p>
              </w:tc>
              <w:tc>
                <w:tcPr>
                  <w:tcW w:w="1160" w:type="dxa"/>
                  <w:tcBorders>
                    <w:tl2br w:val="nil"/>
                    <w:tr2bl w:val="nil"/>
                  </w:tcBorders>
                  <w:vAlign w:val="center"/>
                </w:tcPr>
                <w:p w14:paraId="252A4E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断面</w:t>
                  </w:r>
                  <w:r>
                    <w:rPr>
                      <w:rFonts w:hint="eastAsia"/>
                      <w:b/>
                      <w:bCs/>
                      <w:color w:val="auto"/>
                      <w:highlight w:val="none"/>
                    </w:rPr>
                    <w:t>名称</w:t>
                  </w:r>
                </w:p>
              </w:tc>
              <w:tc>
                <w:tcPr>
                  <w:tcW w:w="1286" w:type="dxa"/>
                  <w:tcBorders>
                    <w:tl2br w:val="nil"/>
                    <w:tr2bl w:val="nil"/>
                  </w:tcBorders>
                  <w:vAlign w:val="center"/>
                </w:tcPr>
                <w:p w14:paraId="0231B0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断面属性</w:t>
                  </w:r>
                </w:p>
              </w:tc>
              <w:tc>
                <w:tcPr>
                  <w:tcW w:w="1034" w:type="dxa"/>
                  <w:tcBorders>
                    <w:tl2br w:val="nil"/>
                    <w:tr2bl w:val="nil"/>
                  </w:tcBorders>
                  <w:vAlign w:val="center"/>
                </w:tcPr>
                <w:p w14:paraId="631BF0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水质类别（类）</w:t>
                  </w:r>
                </w:p>
              </w:tc>
              <w:tc>
                <w:tcPr>
                  <w:tcW w:w="907" w:type="dxa"/>
                  <w:tcBorders>
                    <w:tl2br w:val="nil"/>
                    <w:tr2bl w:val="nil"/>
                  </w:tcBorders>
                  <w:vAlign w:val="center"/>
                </w:tcPr>
                <w:p w14:paraId="22924F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执行</w:t>
                  </w:r>
                </w:p>
                <w:p w14:paraId="41E31C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标准</w:t>
                  </w:r>
                </w:p>
              </w:tc>
              <w:tc>
                <w:tcPr>
                  <w:tcW w:w="849" w:type="dxa"/>
                  <w:tcBorders>
                    <w:tl2br w:val="nil"/>
                    <w:tr2bl w:val="nil"/>
                  </w:tcBorders>
                  <w:vAlign w:val="center"/>
                </w:tcPr>
                <w:p w14:paraId="0F7D52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超标</w:t>
                  </w:r>
                </w:p>
                <w:p w14:paraId="40C750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因子</w:t>
                  </w:r>
                </w:p>
              </w:tc>
            </w:tr>
            <w:tr w14:paraId="6015C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1" w:type="dxa"/>
                  <w:tcBorders>
                    <w:tl2br w:val="nil"/>
                    <w:tr2bl w:val="nil"/>
                  </w:tcBorders>
                  <w:vAlign w:val="center"/>
                </w:tcPr>
                <w:p w14:paraId="26FD83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w:t>
                  </w:r>
                </w:p>
              </w:tc>
              <w:tc>
                <w:tcPr>
                  <w:tcW w:w="1143" w:type="dxa"/>
                  <w:tcBorders>
                    <w:tl2br w:val="nil"/>
                    <w:tr2bl w:val="nil"/>
                  </w:tcBorders>
                  <w:vAlign w:val="center"/>
                </w:tcPr>
                <w:p w14:paraId="1EFF05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赣江流域</w:t>
                  </w:r>
                </w:p>
              </w:tc>
              <w:tc>
                <w:tcPr>
                  <w:tcW w:w="1160" w:type="dxa"/>
                  <w:tcBorders>
                    <w:tl2br w:val="nil"/>
                    <w:tr2bl w:val="nil"/>
                  </w:tcBorders>
                  <w:vAlign w:val="center"/>
                </w:tcPr>
                <w:p w14:paraId="29F6B1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肖江</w:t>
                  </w:r>
                </w:p>
              </w:tc>
              <w:tc>
                <w:tcPr>
                  <w:tcW w:w="1160" w:type="dxa"/>
                  <w:tcBorders>
                    <w:tl2br w:val="nil"/>
                    <w:tr2bl w:val="nil"/>
                  </w:tcBorders>
                  <w:vAlign w:val="center"/>
                </w:tcPr>
                <w:p w14:paraId="66AB2D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丰城皮家组</w:t>
                  </w:r>
                </w:p>
              </w:tc>
              <w:tc>
                <w:tcPr>
                  <w:tcW w:w="1286" w:type="dxa"/>
                  <w:tcBorders>
                    <w:tl2br w:val="nil"/>
                    <w:tr2bl w:val="nil"/>
                  </w:tcBorders>
                  <w:vAlign w:val="center"/>
                </w:tcPr>
                <w:p w14:paraId="02369D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省考、省控、县界</w:t>
                  </w:r>
                </w:p>
              </w:tc>
              <w:tc>
                <w:tcPr>
                  <w:tcW w:w="1034" w:type="dxa"/>
                  <w:tcBorders>
                    <w:tl2br w:val="nil"/>
                    <w:tr2bl w:val="nil"/>
                  </w:tcBorders>
                  <w:vAlign w:val="center"/>
                </w:tcPr>
                <w:p w14:paraId="4FF3E9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Ⅱ</w:t>
                  </w:r>
                </w:p>
              </w:tc>
              <w:tc>
                <w:tcPr>
                  <w:tcW w:w="907" w:type="dxa"/>
                  <w:tcBorders>
                    <w:tl2br w:val="nil"/>
                    <w:tr2bl w:val="nil"/>
                  </w:tcBorders>
                  <w:vAlign w:val="center"/>
                </w:tcPr>
                <w:p w14:paraId="5B4B50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Ⅲ</w:t>
                  </w:r>
                </w:p>
              </w:tc>
              <w:tc>
                <w:tcPr>
                  <w:tcW w:w="849" w:type="dxa"/>
                  <w:tcBorders>
                    <w:tl2br w:val="nil"/>
                    <w:tr2bl w:val="nil"/>
                  </w:tcBorders>
                  <w:vAlign w:val="center"/>
                </w:tcPr>
                <w:p w14:paraId="734CB0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无</w:t>
                  </w:r>
                </w:p>
              </w:tc>
            </w:tr>
            <w:tr w14:paraId="084B66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51" w:type="dxa"/>
                  <w:tcBorders>
                    <w:tl2br w:val="nil"/>
                    <w:tr2bl w:val="nil"/>
                  </w:tcBorders>
                  <w:vAlign w:val="center"/>
                </w:tcPr>
                <w:p w14:paraId="351F6D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c>
                <w:tcPr>
                  <w:tcW w:w="1143" w:type="dxa"/>
                  <w:tcBorders>
                    <w:tl2br w:val="nil"/>
                    <w:tr2bl w:val="nil"/>
                  </w:tcBorders>
                  <w:vAlign w:val="center"/>
                </w:tcPr>
                <w:p w14:paraId="11C5DE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赣江流域</w:t>
                  </w:r>
                </w:p>
              </w:tc>
              <w:tc>
                <w:tcPr>
                  <w:tcW w:w="1160" w:type="dxa"/>
                  <w:tcBorders>
                    <w:tl2br w:val="nil"/>
                    <w:tr2bl w:val="nil"/>
                  </w:tcBorders>
                  <w:vAlign w:val="center"/>
                </w:tcPr>
                <w:p w14:paraId="6EE43F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肖江</w:t>
                  </w:r>
                </w:p>
              </w:tc>
              <w:tc>
                <w:tcPr>
                  <w:tcW w:w="1160" w:type="dxa"/>
                  <w:tcBorders>
                    <w:tl2br w:val="nil"/>
                    <w:tr2bl w:val="nil"/>
                  </w:tcBorders>
                  <w:vAlign w:val="center"/>
                </w:tcPr>
                <w:p w14:paraId="456088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肖江江口</w:t>
                  </w:r>
                </w:p>
              </w:tc>
              <w:tc>
                <w:tcPr>
                  <w:tcW w:w="1286" w:type="dxa"/>
                  <w:tcBorders>
                    <w:tl2br w:val="nil"/>
                    <w:tr2bl w:val="nil"/>
                  </w:tcBorders>
                  <w:vAlign w:val="center"/>
                </w:tcPr>
                <w:p w14:paraId="235A4C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国考、国控</w:t>
                  </w:r>
                </w:p>
              </w:tc>
              <w:tc>
                <w:tcPr>
                  <w:tcW w:w="1034" w:type="dxa"/>
                  <w:tcBorders>
                    <w:tl2br w:val="nil"/>
                    <w:tr2bl w:val="nil"/>
                  </w:tcBorders>
                  <w:vAlign w:val="center"/>
                </w:tcPr>
                <w:p w14:paraId="5A3CDD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Ⅲ</w:t>
                  </w:r>
                </w:p>
              </w:tc>
              <w:tc>
                <w:tcPr>
                  <w:tcW w:w="907" w:type="dxa"/>
                  <w:tcBorders>
                    <w:tl2br w:val="nil"/>
                    <w:tr2bl w:val="nil"/>
                  </w:tcBorders>
                  <w:vAlign w:val="center"/>
                </w:tcPr>
                <w:p w14:paraId="6C1597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Ⅲ</w:t>
                  </w:r>
                </w:p>
              </w:tc>
              <w:tc>
                <w:tcPr>
                  <w:tcW w:w="849" w:type="dxa"/>
                  <w:tcBorders>
                    <w:tl2br w:val="nil"/>
                    <w:tr2bl w:val="nil"/>
                  </w:tcBorders>
                  <w:vAlign w:val="center"/>
                </w:tcPr>
                <w:p w14:paraId="135393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无</w:t>
                  </w:r>
                </w:p>
              </w:tc>
            </w:tr>
          </w:tbl>
          <w:p w14:paraId="3A80AE2F">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3</w:t>
            </w:r>
            <w:r>
              <w:rPr>
                <w:rFonts w:hint="eastAsia"/>
                <w:b/>
                <w:bCs/>
                <w:color w:val="auto"/>
                <w:highlight w:val="none"/>
              </w:rPr>
              <w:t>、声环境质量</w:t>
            </w:r>
          </w:p>
          <w:p w14:paraId="51BEB4BB">
            <w:pPr>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rPr>
              <w:t>根据《建设项目环境影响报告表编制技术指南》（污染影响类）（试行）内容：“厂界外周边50米范围内存在声环境保护目标的建设项目，应监测保护目标声环境质量现状并评价达标情况。</w:t>
            </w:r>
            <w:r>
              <w:rPr>
                <w:rFonts w:hint="eastAsia"/>
                <w:color w:val="auto"/>
                <w:highlight w:val="none"/>
              </w:rPr>
              <w:t>本项目建设地点位于</w:t>
            </w:r>
            <w:r>
              <w:rPr>
                <w:rFonts w:hint="eastAsia"/>
                <w:color w:val="auto"/>
                <w:highlight w:val="none"/>
                <w:lang w:eastAsia="zh-CN"/>
              </w:rPr>
              <w:t>江西省建筑陶瓷产业基地江西恒辉陶瓷有限公司厂区内</w:t>
            </w:r>
            <w:r>
              <w:rPr>
                <w:rFonts w:hint="eastAsia"/>
                <w:color w:val="auto"/>
                <w:highlight w:val="none"/>
              </w:rPr>
              <w:t>，属3类声环境功能区</w:t>
            </w:r>
            <w:r>
              <w:rPr>
                <w:rFonts w:hint="eastAsia"/>
                <w:color w:val="auto"/>
                <w:highlight w:val="none"/>
                <w:lang w:eastAsia="zh-CN"/>
              </w:rPr>
              <w:t>，</w:t>
            </w:r>
            <w:r>
              <w:rPr>
                <w:rFonts w:hint="default"/>
                <w:color w:val="auto"/>
                <w:highlight w:val="none"/>
              </w:rPr>
              <w:t>根据现场踏勘，</w:t>
            </w:r>
            <w:r>
              <w:rPr>
                <w:rFonts w:hint="eastAsia"/>
                <w:color w:val="auto"/>
                <w:highlight w:val="none"/>
              </w:rPr>
              <w:t>本项目生产厂房边界50米范围内无敏感点，无需进行噪声监测。</w:t>
            </w:r>
          </w:p>
          <w:p w14:paraId="6333D9DA">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4</w:t>
            </w:r>
            <w:r>
              <w:rPr>
                <w:rFonts w:hint="eastAsia"/>
                <w:b/>
                <w:bCs/>
                <w:color w:val="auto"/>
                <w:highlight w:val="none"/>
              </w:rPr>
              <w:t>、地下水、土壤环境</w:t>
            </w:r>
          </w:p>
          <w:p w14:paraId="57396353">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根据《建设项目环境影响评价表编制技术指南（污染影响类）》（2021年）的有关要求，地下水、土壤环境原则上不开展环境质量现状调查。建设项目存在土壤、地下水环境污染途径的，应结合污染源、保护目标分布情况开展现状调查以留作背景值”。本项目生产厂房等区域地面均采用水泥硬化地面，危废暂存间等地面均严格按照重点防渗区设计要求对地面及裙脚做好防腐防渗建设，在加强维护和厂区环境管理的前提下，可有效控制项目产生的污染物下渗现象，避免污染地下水和土壤。</w:t>
            </w:r>
          </w:p>
          <w:p w14:paraId="021C136F">
            <w:pPr>
              <w:pStyle w:val="76"/>
              <w:keepNext w:val="0"/>
              <w:keepLines w:val="0"/>
              <w:suppressLineNumbers w:val="0"/>
              <w:bidi w:val="0"/>
              <w:spacing w:before="0" w:beforeAutospacing="0" w:after="0" w:afterAutospacing="0"/>
              <w:ind w:left="0" w:right="0"/>
              <w:rPr>
                <w:rFonts w:hint="default"/>
                <w:b/>
                <w:bCs w:val="0"/>
                <w:color w:val="auto"/>
                <w:highlight w:val="none"/>
                <w:lang w:val="en-US" w:eastAsia="zh-CN"/>
              </w:rPr>
            </w:pPr>
            <w:r>
              <w:rPr>
                <w:rFonts w:hint="eastAsia"/>
                <w:b/>
                <w:bCs w:val="0"/>
                <w:color w:val="auto"/>
                <w:highlight w:val="none"/>
                <w:lang w:val="en-US" w:eastAsia="zh-CN"/>
              </w:rPr>
              <w:t>4.1、地下水环境现状</w:t>
            </w:r>
          </w:p>
          <w:p w14:paraId="7F985FA8">
            <w:pPr>
              <w:pStyle w:val="76"/>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default"/>
                <w:color w:val="auto"/>
                <w:highlight w:val="none"/>
                <w:lang w:val="en-US" w:eastAsia="zh-CN"/>
              </w:rPr>
              <w:t>为了解项目区域地下水现状，本次评价引用《江西中环绿能环保科技有限公司年处理100万吨固废综合利用项目环评监测检测报告》（报告编号：SZI检字HW2507-号）；此项目与本项目为同一地下水单元，具体监测数据见</w:t>
            </w:r>
            <w:r>
              <w:rPr>
                <w:rFonts w:hint="default"/>
                <w:highlight w:val="none"/>
              </w:rPr>
              <w:t>表</w:t>
            </w:r>
            <w:r>
              <w:rPr>
                <w:rFonts w:hint="default"/>
                <w:color w:val="FF0000"/>
                <w:highlight w:val="none"/>
              </w:rPr>
              <w:t>3-</w:t>
            </w:r>
            <w:r>
              <w:rPr>
                <w:rFonts w:hint="eastAsia"/>
                <w:color w:val="FF0000"/>
                <w:highlight w:val="none"/>
                <w:lang w:val="en-US" w:eastAsia="zh-CN"/>
              </w:rPr>
              <w:t>3</w:t>
            </w:r>
            <w:r>
              <w:rPr>
                <w:rFonts w:hint="eastAsia"/>
                <w:highlight w:val="none"/>
                <w:lang w:val="en-US" w:eastAsia="zh-CN"/>
              </w:rPr>
              <w:t>。</w:t>
            </w:r>
          </w:p>
          <w:p w14:paraId="06EF796A">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w:t>
            </w:r>
            <w:r>
              <w:rPr>
                <w:rFonts w:hint="eastAsia"/>
                <w:color w:val="auto"/>
                <w:sz w:val="21"/>
                <w:szCs w:val="21"/>
                <w:highlight w:val="none"/>
                <w:lang w:val="en-US" w:eastAsia="zh-CN"/>
              </w:rPr>
              <w:t>3-3</w:t>
            </w:r>
            <w:r>
              <w:rPr>
                <w:rFonts w:hint="default"/>
                <w:color w:val="auto"/>
                <w:sz w:val="21"/>
                <w:szCs w:val="21"/>
                <w:highlight w:val="none"/>
                <w:lang w:val="en-US" w:eastAsia="zh-CN"/>
              </w:rPr>
              <w:t xml:space="preserve"> 地下水</w:t>
            </w:r>
            <w:r>
              <w:rPr>
                <w:rFonts w:hint="eastAsia"/>
                <w:color w:val="auto"/>
                <w:sz w:val="21"/>
                <w:szCs w:val="21"/>
                <w:highlight w:val="none"/>
                <w:lang w:val="en-US" w:eastAsia="zh-CN"/>
              </w:rPr>
              <w:t>引用</w:t>
            </w:r>
            <w:r>
              <w:rPr>
                <w:rFonts w:hint="default"/>
                <w:color w:val="auto"/>
                <w:sz w:val="21"/>
                <w:szCs w:val="21"/>
                <w:highlight w:val="none"/>
                <w:lang w:val="en-US" w:eastAsia="zh-CN"/>
              </w:rPr>
              <w:t>结果（单位mg/L，pH为无量纲）</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1455"/>
              <w:gridCol w:w="905"/>
              <w:gridCol w:w="1191"/>
              <w:gridCol w:w="1200"/>
              <w:gridCol w:w="1362"/>
              <w:gridCol w:w="1113"/>
              <w:gridCol w:w="964"/>
            </w:tblGrid>
            <w:tr w14:paraId="0ED588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tblHeader/>
                <w:jc w:val="center"/>
              </w:trPr>
              <w:tc>
                <w:tcPr>
                  <w:tcW w:w="1455" w:type="dxa"/>
                  <w:tcBorders>
                    <w:tl2br w:val="nil"/>
                    <w:tr2bl w:val="nil"/>
                  </w:tcBorders>
                  <w:vAlign w:val="center"/>
                </w:tcPr>
                <w:p w14:paraId="3CB57003">
                  <w:pPr>
                    <w:pStyle w:val="114"/>
                    <w:keepNext w:val="0"/>
                    <w:keepLines w:val="0"/>
                    <w:suppressLineNumbers w:val="0"/>
                    <w:spacing w:before="0" w:beforeAutospacing="0" w:after="0" w:afterAutospacing="0"/>
                    <w:ind w:left="0" w:right="0"/>
                    <w:rPr>
                      <w:rFonts w:hint="default"/>
                      <w:b/>
                      <w:bCs/>
                      <w:color w:val="auto"/>
                      <w:highlight w:val="none"/>
                    </w:rPr>
                  </w:pPr>
                  <w:bookmarkStart w:id="203" w:name="_Toc26884"/>
                  <w:r>
                    <w:rPr>
                      <w:rFonts w:hint="default"/>
                      <w:b/>
                      <w:bCs/>
                      <w:color w:val="auto"/>
                      <w:highlight w:val="none"/>
                    </w:rPr>
                    <w:t>污染物</w:t>
                  </w:r>
                  <w:bookmarkEnd w:id="203"/>
                </w:p>
              </w:tc>
              <w:tc>
                <w:tcPr>
                  <w:tcW w:w="905" w:type="dxa"/>
                  <w:tcBorders>
                    <w:tl2br w:val="nil"/>
                    <w:tr2bl w:val="nil"/>
                  </w:tcBorders>
                  <w:vAlign w:val="center"/>
                </w:tcPr>
                <w:p w14:paraId="1796F3CA">
                  <w:pPr>
                    <w:pStyle w:val="114"/>
                    <w:keepNext w:val="0"/>
                    <w:keepLines w:val="0"/>
                    <w:suppressLineNumbers w:val="0"/>
                    <w:spacing w:before="0" w:beforeAutospacing="0" w:after="0" w:afterAutospacing="0"/>
                    <w:ind w:left="0" w:right="0"/>
                    <w:rPr>
                      <w:rFonts w:hint="default"/>
                      <w:b/>
                      <w:bCs/>
                      <w:color w:val="auto"/>
                      <w:highlight w:val="none"/>
                    </w:rPr>
                  </w:pPr>
                  <w:bookmarkStart w:id="204" w:name="_Toc27641"/>
                  <w:r>
                    <w:rPr>
                      <w:rFonts w:hint="default"/>
                      <w:b/>
                      <w:bCs/>
                      <w:color w:val="auto"/>
                      <w:highlight w:val="none"/>
                    </w:rPr>
                    <w:t>监测时间</w:t>
                  </w:r>
                  <w:bookmarkEnd w:id="204"/>
                </w:p>
              </w:tc>
              <w:tc>
                <w:tcPr>
                  <w:tcW w:w="1191" w:type="dxa"/>
                  <w:tcBorders>
                    <w:tl2br w:val="nil"/>
                    <w:tr2bl w:val="nil"/>
                  </w:tcBorders>
                  <w:vAlign w:val="center"/>
                </w:tcPr>
                <w:p w14:paraId="151357EA">
                  <w:pPr>
                    <w:pStyle w:val="114"/>
                    <w:keepNext w:val="0"/>
                    <w:keepLines w:val="0"/>
                    <w:suppressLineNumbers w:val="0"/>
                    <w:spacing w:before="0" w:beforeAutospacing="0" w:after="0" w:afterAutospacing="0"/>
                    <w:ind w:left="0" w:right="0"/>
                    <w:rPr>
                      <w:rFonts w:hint="default"/>
                      <w:b/>
                      <w:bCs/>
                      <w:color w:val="auto"/>
                      <w:highlight w:val="none"/>
                    </w:rPr>
                  </w:pPr>
                  <w:bookmarkStart w:id="205" w:name="_Toc32"/>
                  <w:r>
                    <w:rPr>
                      <w:rFonts w:hint="default"/>
                      <w:b/>
                      <w:bCs/>
                      <w:color w:val="auto"/>
                      <w:highlight w:val="none"/>
                    </w:rPr>
                    <w:t>评价标准</w:t>
                  </w:r>
                  <w:bookmarkEnd w:id="205"/>
                </w:p>
              </w:tc>
              <w:tc>
                <w:tcPr>
                  <w:tcW w:w="1200" w:type="dxa"/>
                  <w:tcBorders>
                    <w:tl2br w:val="nil"/>
                    <w:tr2bl w:val="nil"/>
                  </w:tcBorders>
                  <w:vAlign w:val="center"/>
                </w:tcPr>
                <w:p w14:paraId="22206315">
                  <w:pPr>
                    <w:pStyle w:val="114"/>
                    <w:keepNext w:val="0"/>
                    <w:keepLines w:val="0"/>
                    <w:suppressLineNumbers w:val="0"/>
                    <w:spacing w:before="0" w:beforeAutospacing="0" w:after="0" w:afterAutospacing="0"/>
                    <w:ind w:left="0" w:right="0"/>
                    <w:rPr>
                      <w:rFonts w:hint="default"/>
                      <w:b/>
                      <w:bCs/>
                      <w:color w:val="auto"/>
                      <w:highlight w:val="none"/>
                    </w:rPr>
                  </w:pPr>
                  <w:bookmarkStart w:id="206" w:name="_Toc23802"/>
                  <w:r>
                    <w:rPr>
                      <w:rFonts w:hint="eastAsia"/>
                      <w:b/>
                      <w:bCs/>
                      <w:color w:val="auto"/>
                      <w:highlight w:val="none"/>
                    </w:rPr>
                    <w:t>单位</w:t>
                  </w:r>
                  <w:bookmarkEnd w:id="206"/>
                </w:p>
              </w:tc>
              <w:tc>
                <w:tcPr>
                  <w:tcW w:w="1362" w:type="dxa"/>
                  <w:tcBorders>
                    <w:tl2br w:val="nil"/>
                    <w:tr2bl w:val="nil"/>
                  </w:tcBorders>
                  <w:vAlign w:val="center"/>
                </w:tcPr>
                <w:p w14:paraId="4F85E383">
                  <w:pPr>
                    <w:pStyle w:val="114"/>
                    <w:keepNext w:val="0"/>
                    <w:keepLines w:val="0"/>
                    <w:suppressLineNumbers w:val="0"/>
                    <w:spacing w:before="0" w:beforeAutospacing="0" w:after="0" w:afterAutospacing="0"/>
                    <w:ind w:left="0" w:right="0"/>
                    <w:rPr>
                      <w:rFonts w:hint="default"/>
                      <w:b/>
                      <w:bCs/>
                      <w:color w:val="auto"/>
                      <w:highlight w:val="none"/>
                    </w:rPr>
                  </w:pPr>
                  <w:bookmarkStart w:id="207" w:name="_Toc30235"/>
                  <w:r>
                    <w:rPr>
                      <w:rFonts w:hint="default"/>
                      <w:b/>
                      <w:bCs/>
                      <w:color w:val="auto"/>
                      <w:highlight w:val="none"/>
                    </w:rPr>
                    <w:t>监测数据</w:t>
                  </w:r>
                  <w:bookmarkEnd w:id="207"/>
                </w:p>
              </w:tc>
              <w:tc>
                <w:tcPr>
                  <w:tcW w:w="1113" w:type="dxa"/>
                  <w:tcBorders>
                    <w:tl2br w:val="nil"/>
                    <w:tr2bl w:val="nil"/>
                  </w:tcBorders>
                  <w:vAlign w:val="center"/>
                </w:tcPr>
                <w:p w14:paraId="5E75EBFC">
                  <w:pPr>
                    <w:pStyle w:val="114"/>
                    <w:keepNext w:val="0"/>
                    <w:keepLines w:val="0"/>
                    <w:suppressLineNumbers w:val="0"/>
                    <w:spacing w:before="0" w:beforeAutospacing="0" w:after="0" w:afterAutospacing="0"/>
                    <w:ind w:left="0" w:right="0"/>
                    <w:rPr>
                      <w:rFonts w:hint="default"/>
                      <w:b/>
                      <w:bCs/>
                      <w:color w:val="auto"/>
                      <w:highlight w:val="none"/>
                    </w:rPr>
                  </w:pPr>
                  <w:bookmarkStart w:id="208" w:name="_Toc2283"/>
                  <w:r>
                    <w:rPr>
                      <w:rFonts w:hint="eastAsia"/>
                      <w:b/>
                      <w:bCs/>
                      <w:color w:val="auto"/>
                      <w:highlight w:val="none"/>
                    </w:rPr>
                    <w:t>标准指数</w:t>
                  </w:r>
                  <w:bookmarkEnd w:id="208"/>
                </w:p>
              </w:tc>
              <w:tc>
                <w:tcPr>
                  <w:tcW w:w="964" w:type="dxa"/>
                  <w:tcBorders>
                    <w:tl2br w:val="nil"/>
                    <w:tr2bl w:val="nil"/>
                  </w:tcBorders>
                  <w:vAlign w:val="center"/>
                </w:tcPr>
                <w:p w14:paraId="6CEB02C1">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bookmarkStart w:id="209" w:name="_Toc4818"/>
                  <w:r>
                    <w:rPr>
                      <w:rFonts w:hint="default"/>
                      <w:b/>
                      <w:bCs/>
                      <w:color w:val="auto"/>
                      <w:highlight w:val="none"/>
                    </w:rPr>
                    <w:t>达标情况</w:t>
                  </w:r>
                  <w:bookmarkEnd w:id="209"/>
                </w:p>
              </w:tc>
            </w:tr>
            <w:tr w14:paraId="56148B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4DE402A4">
                  <w:pPr>
                    <w:pStyle w:val="114"/>
                    <w:keepNext w:val="0"/>
                    <w:keepLines w:val="0"/>
                    <w:suppressLineNumbers w:val="0"/>
                    <w:spacing w:before="0" w:beforeAutospacing="0" w:after="0" w:afterAutospacing="0"/>
                    <w:ind w:left="0" w:right="0"/>
                    <w:rPr>
                      <w:rFonts w:hint="default"/>
                      <w:color w:val="auto"/>
                      <w:highlight w:val="none"/>
                    </w:rPr>
                  </w:pPr>
                  <w:bookmarkStart w:id="210" w:name="_Toc22341"/>
                  <w:r>
                    <w:rPr>
                      <w:rFonts w:hint="eastAsia"/>
                      <w:color w:val="auto"/>
                      <w:highlight w:val="none"/>
                    </w:rPr>
                    <w:t>水位</w:t>
                  </w:r>
                  <w:bookmarkEnd w:id="210"/>
                </w:p>
              </w:tc>
              <w:tc>
                <w:tcPr>
                  <w:tcW w:w="905" w:type="dxa"/>
                  <w:vMerge w:val="restart"/>
                  <w:tcBorders>
                    <w:tl2br w:val="nil"/>
                    <w:tr2bl w:val="nil"/>
                  </w:tcBorders>
                  <w:vAlign w:val="center"/>
                </w:tcPr>
                <w:p w14:paraId="3F461CC7">
                  <w:pPr>
                    <w:pStyle w:val="114"/>
                    <w:keepNext w:val="0"/>
                    <w:keepLines w:val="0"/>
                    <w:suppressLineNumbers w:val="0"/>
                    <w:spacing w:before="0" w:beforeAutospacing="0" w:after="0" w:afterAutospacing="0"/>
                    <w:ind w:left="0" w:right="0"/>
                    <w:rPr>
                      <w:rFonts w:hint="default"/>
                      <w:color w:val="auto"/>
                      <w:highlight w:val="none"/>
                    </w:rPr>
                  </w:pPr>
                  <w:bookmarkStart w:id="211" w:name="_Toc10215"/>
                  <w:r>
                    <w:rPr>
                      <w:rFonts w:hint="default"/>
                      <w:color w:val="auto"/>
                      <w:highlight w:val="none"/>
                    </w:rPr>
                    <w:t>202</w:t>
                  </w:r>
                  <w:r>
                    <w:rPr>
                      <w:rFonts w:hint="eastAsia"/>
                      <w:color w:val="auto"/>
                      <w:highlight w:val="none"/>
                    </w:rPr>
                    <w:t>5.6.26</w:t>
                  </w:r>
                  <w:bookmarkEnd w:id="211"/>
                </w:p>
              </w:tc>
              <w:tc>
                <w:tcPr>
                  <w:tcW w:w="1191" w:type="dxa"/>
                  <w:tcBorders>
                    <w:tl2br w:val="nil"/>
                    <w:tr2bl w:val="nil"/>
                  </w:tcBorders>
                  <w:vAlign w:val="center"/>
                </w:tcPr>
                <w:p w14:paraId="7FCAD7E7">
                  <w:pPr>
                    <w:pStyle w:val="114"/>
                    <w:keepNext w:val="0"/>
                    <w:keepLines w:val="0"/>
                    <w:suppressLineNumbers w:val="0"/>
                    <w:spacing w:before="0" w:beforeAutospacing="0" w:after="0" w:afterAutospacing="0"/>
                    <w:ind w:left="0" w:right="0"/>
                    <w:rPr>
                      <w:rFonts w:hint="default"/>
                      <w:color w:val="auto"/>
                      <w:highlight w:val="none"/>
                    </w:rPr>
                  </w:pPr>
                  <w:bookmarkStart w:id="212" w:name="_Toc20155"/>
                  <w:r>
                    <w:rPr>
                      <w:rFonts w:hint="eastAsia"/>
                      <w:color w:val="auto"/>
                      <w:highlight w:val="none"/>
                    </w:rPr>
                    <w:t>/</w:t>
                  </w:r>
                  <w:bookmarkEnd w:id="212"/>
                </w:p>
              </w:tc>
              <w:tc>
                <w:tcPr>
                  <w:tcW w:w="1200" w:type="dxa"/>
                  <w:tcBorders>
                    <w:tl2br w:val="nil"/>
                    <w:tr2bl w:val="nil"/>
                  </w:tcBorders>
                  <w:vAlign w:val="center"/>
                </w:tcPr>
                <w:p w14:paraId="23C9C26A">
                  <w:pPr>
                    <w:pStyle w:val="114"/>
                    <w:keepNext w:val="0"/>
                    <w:keepLines w:val="0"/>
                    <w:suppressLineNumbers w:val="0"/>
                    <w:spacing w:before="0" w:beforeAutospacing="0" w:after="0" w:afterAutospacing="0"/>
                    <w:ind w:left="0" w:right="0"/>
                    <w:rPr>
                      <w:rFonts w:hint="default"/>
                      <w:color w:val="auto"/>
                      <w:highlight w:val="none"/>
                    </w:rPr>
                  </w:pPr>
                  <w:bookmarkStart w:id="213" w:name="_Toc30725"/>
                  <w:r>
                    <w:rPr>
                      <w:rFonts w:hint="eastAsia"/>
                      <w:color w:val="auto"/>
                      <w:highlight w:val="none"/>
                    </w:rPr>
                    <w:t>/</w:t>
                  </w:r>
                  <w:bookmarkEnd w:id="213"/>
                </w:p>
              </w:tc>
              <w:tc>
                <w:tcPr>
                  <w:tcW w:w="1362" w:type="dxa"/>
                  <w:tcBorders>
                    <w:tl2br w:val="nil"/>
                    <w:tr2bl w:val="nil"/>
                  </w:tcBorders>
                  <w:vAlign w:val="center"/>
                </w:tcPr>
                <w:p w14:paraId="0E341BFA">
                  <w:pPr>
                    <w:pStyle w:val="114"/>
                    <w:keepNext w:val="0"/>
                    <w:keepLines w:val="0"/>
                    <w:suppressLineNumbers w:val="0"/>
                    <w:spacing w:before="0" w:beforeAutospacing="0" w:after="0" w:afterAutospacing="0"/>
                    <w:ind w:left="0" w:right="0"/>
                    <w:rPr>
                      <w:rFonts w:hint="default"/>
                      <w:color w:val="auto"/>
                      <w:highlight w:val="none"/>
                    </w:rPr>
                  </w:pPr>
                </w:p>
              </w:tc>
              <w:tc>
                <w:tcPr>
                  <w:tcW w:w="1113" w:type="dxa"/>
                  <w:tcBorders>
                    <w:tl2br w:val="nil"/>
                    <w:tr2bl w:val="nil"/>
                  </w:tcBorders>
                  <w:vAlign w:val="center"/>
                </w:tcPr>
                <w:p w14:paraId="0021F388">
                  <w:pPr>
                    <w:pStyle w:val="114"/>
                    <w:keepNext w:val="0"/>
                    <w:keepLines w:val="0"/>
                    <w:suppressLineNumbers w:val="0"/>
                    <w:spacing w:before="0" w:beforeAutospacing="0" w:after="0" w:afterAutospacing="0"/>
                    <w:ind w:left="0" w:right="0"/>
                    <w:rPr>
                      <w:rFonts w:hint="default"/>
                      <w:color w:val="auto"/>
                      <w:highlight w:val="none"/>
                    </w:rPr>
                  </w:pPr>
                  <w:bookmarkStart w:id="214" w:name="_Toc11016"/>
                  <w:r>
                    <w:rPr>
                      <w:rFonts w:hint="eastAsia"/>
                      <w:color w:val="auto"/>
                      <w:highlight w:val="none"/>
                    </w:rPr>
                    <w:t>/</w:t>
                  </w:r>
                  <w:bookmarkEnd w:id="214"/>
                </w:p>
              </w:tc>
              <w:tc>
                <w:tcPr>
                  <w:tcW w:w="964" w:type="dxa"/>
                  <w:tcBorders>
                    <w:tl2br w:val="nil"/>
                    <w:tr2bl w:val="nil"/>
                  </w:tcBorders>
                  <w:vAlign w:val="center"/>
                </w:tcPr>
                <w:p w14:paraId="3188543E">
                  <w:pPr>
                    <w:pStyle w:val="114"/>
                    <w:keepNext w:val="0"/>
                    <w:keepLines w:val="0"/>
                    <w:suppressLineNumbers w:val="0"/>
                    <w:spacing w:before="0" w:beforeAutospacing="0" w:after="0" w:afterAutospacing="0"/>
                    <w:ind w:left="0" w:right="0"/>
                    <w:rPr>
                      <w:rFonts w:hint="default"/>
                      <w:color w:val="auto"/>
                      <w:highlight w:val="none"/>
                    </w:rPr>
                  </w:pPr>
                  <w:bookmarkStart w:id="215" w:name="_Toc11462"/>
                  <w:r>
                    <w:rPr>
                      <w:rFonts w:hint="eastAsia"/>
                      <w:color w:val="auto"/>
                      <w:highlight w:val="none"/>
                    </w:rPr>
                    <w:t>/</w:t>
                  </w:r>
                  <w:bookmarkEnd w:id="215"/>
                </w:p>
              </w:tc>
            </w:tr>
            <w:tr w14:paraId="5658E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AA58980">
                  <w:pPr>
                    <w:pStyle w:val="114"/>
                    <w:keepNext w:val="0"/>
                    <w:keepLines w:val="0"/>
                    <w:suppressLineNumbers w:val="0"/>
                    <w:spacing w:before="0" w:beforeAutospacing="0" w:after="0" w:afterAutospacing="0"/>
                    <w:ind w:left="0" w:right="0"/>
                    <w:rPr>
                      <w:rFonts w:hint="default"/>
                      <w:color w:val="auto"/>
                      <w:highlight w:val="none"/>
                    </w:rPr>
                  </w:pPr>
                  <w:bookmarkStart w:id="216" w:name="_Toc8423"/>
                  <w:r>
                    <w:rPr>
                      <w:rFonts w:hint="default"/>
                      <w:color w:val="auto"/>
                      <w:highlight w:val="none"/>
                    </w:rPr>
                    <w:t>pH值</w:t>
                  </w:r>
                  <w:bookmarkEnd w:id="216"/>
                </w:p>
              </w:tc>
              <w:tc>
                <w:tcPr>
                  <w:tcW w:w="905" w:type="dxa"/>
                  <w:vMerge w:val="continue"/>
                  <w:tcBorders>
                    <w:tl2br w:val="nil"/>
                    <w:tr2bl w:val="nil"/>
                  </w:tcBorders>
                  <w:vAlign w:val="center"/>
                </w:tcPr>
                <w:p w14:paraId="1B98DBBA">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52323B72">
                  <w:pPr>
                    <w:pStyle w:val="114"/>
                    <w:keepNext w:val="0"/>
                    <w:keepLines w:val="0"/>
                    <w:suppressLineNumbers w:val="0"/>
                    <w:spacing w:before="0" w:beforeAutospacing="0" w:after="0" w:afterAutospacing="0"/>
                    <w:ind w:left="0" w:right="0"/>
                    <w:rPr>
                      <w:rFonts w:hint="default"/>
                      <w:color w:val="auto"/>
                      <w:highlight w:val="none"/>
                    </w:rPr>
                  </w:pPr>
                  <w:bookmarkStart w:id="217" w:name="_Toc15200"/>
                  <w:r>
                    <w:rPr>
                      <w:rFonts w:hint="default"/>
                      <w:color w:val="auto"/>
                      <w:highlight w:val="none"/>
                    </w:rPr>
                    <w:t>6.5-8.5</w:t>
                  </w:r>
                  <w:bookmarkEnd w:id="217"/>
                </w:p>
              </w:tc>
              <w:tc>
                <w:tcPr>
                  <w:tcW w:w="1200" w:type="dxa"/>
                  <w:tcBorders>
                    <w:tl2br w:val="nil"/>
                    <w:tr2bl w:val="nil"/>
                  </w:tcBorders>
                  <w:vAlign w:val="center"/>
                </w:tcPr>
                <w:p w14:paraId="6C1F6C30">
                  <w:pPr>
                    <w:pStyle w:val="114"/>
                    <w:keepNext w:val="0"/>
                    <w:keepLines w:val="0"/>
                    <w:suppressLineNumbers w:val="0"/>
                    <w:spacing w:before="0" w:beforeAutospacing="0" w:after="0" w:afterAutospacing="0"/>
                    <w:ind w:left="0" w:right="0"/>
                    <w:rPr>
                      <w:rFonts w:hint="default"/>
                      <w:color w:val="auto"/>
                      <w:highlight w:val="none"/>
                    </w:rPr>
                  </w:pPr>
                  <w:bookmarkStart w:id="218" w:name="_Toc7826"/>
                  <w:r>
                    <w:rPr>
                      <w:rFonts w:hint="eastAsia"/>
                      <w:color w:val="auto"/>
                      <w:highlight w:val="none"/>
                    </w:rPr>
                    <w:t>无量纲</w:t>
                  </w:r>
                  <w:bookmarkEnd w:id="218"/>
                </w:p>
              </w:tc>
              <w:tc>
                <w:tcPr>
                  <w:tcW w:w="1362" w:type="dxa"/>
                  <w:tcBorders>
                    <w:tl2br w:val="nil"/>
                    <w:tr2bl w:val="nil"/>
                  </w:tcBorders>
                  <w:vAlign w:val="center"/>
                </w:tcPr>
                <w:p w14:paraId="0C865D3C">
                  <w:pPr>
                    <w:pStyle w:val="114"/>
                    <w:keepNext w:val="0"/>
                    <w:keepLines w:val="0"/>
                    <w:suppressLineNumbers w:val="0"/>
                    <w:spacing w:before="0" w:beforeAutospacing="0" w:after="0" w:afterAutospacing="0"/>
                    <w:ind w:left="0" w:right="0"/>
                    <w:rPr>
                      <w:rFonts w:hint="default"/>
                      <w:color w:val="auto"/>
                      <w:highlight w:val="none"/>
                    </w:rPr>
                  </w:pPr>
                  <w:bookmarkStart w:id="219" w:name="_Toc22426"/>
                  <w:r>
                    <w:rPr>
                      <w:rFonts w:hint="eastAsia"/>
                      <w:color w:val="auto"/>
                      <w:highlight w:val="none"/>
                    </w:rPr>
                    <w:t>6.6</w:t>
                  </w:r>
                  <w:bookmarkEnd w:id="219"/>
                </w:p>
              </w:tc>
              <w:tc>
                <w:tcPr>
                  <w:tcW w:w="1113" w:type="dxa"/>
                  <w:tcBorders>
                    <w:tl2br w:val="nil"/>
                    <w:tr2bl w:val="nil"/>
                  </w:tcBorders>
                  <w:vAlign w:val="center"/>
                </w:tcPr>
                <w:p w14:paraId="19B37A93">
                  <w:pPr>
                    <w:pStyle w:val="114"/>
                    <w:keepNext w:val="0"/>
                    <w:keepLines w:val="0"/>
                    <w:suppressLineNumbers w:val="0"/>
                    <w:spacing w:before="0" w:beforeAutospacing="0" w:after="0" w:afterAutospacing="0"/>
                    <w:ind w:left="0" w:right="0"/>
                    <w:rPr>
                      <w:rFonts w:hint="default"/>
                      <w:color w:val="auto"/>
                      <w:highlight w:val="none"/>
                    </w:rPr>
                  </w:pPr>
                  <w:bookmarkStart w:id="220" w:name="_Toc21851"/>
                  <w:r>
                    <w:rPr>
                      <w:rFonts w:hint="eastAsia"/>
                      <w:color w:val="auto"/>
                      <w:highlight w:val="none"/>
                    </w:rPr>
                    <w:t>/</w:t>
                  </w:r>
                  <w:bookmarkEnd w:id="220"/>
                </w:p>
              </w:tc>
              <w:tc>
                <w:tcPr>
                  <w:tcW w:w="964" w:type="dxa"/>
                  <w:vMerge w:val="restart"/>
                  <w:tcBorders>
                    <w:tl2br w:val="nil"/>
                    <w:tr2bl w:val="nil"/>
                  </w:tcBorders>
                  <w:vAlign w:val="center"/>
                </w:tcPr>
                <w:p w14:paraId="15722096">
                  <w:pPr>
                    <w:pStyle w:val="114"/>
                    <w:keepNext w:val="0"/>
                    <w:keepLines w:val="0"/>
                    <w:suppressLineNumbers w:val="0"/>
                    <w:spacing w:before="0" w:beforeAutospacing="0" w:after="0" w:afterAutospacing="0"/>
                    <w:ind w:left="0" w:right="0"/>
                    <w:rPr>
                      <w:rFonts w:hint="default"/>
                      <w:color w:val="auto"/>
                      <w:highlight w:val="none"/>
                    </w:rPr>
                  </w:pPr>
                  <w:bookmarkStart w:id="221" w:name="_Toc12152"/>
                  <w:r>
                    <w:rPr>
                      <w:rFonts w:hint="default"/>
                      <w:color w:val="auto"/>
                      <w:highlight w:val="none"/>
                    </w:rPr>
                    <w:t>达标</w:t>
                  </w:r>
                  <w:bookmarkEnd w:id="221"/>
                </w:p>
              </w:tc>
            </w:tr>
            <w:tr w14:paraId="339D6E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850A952">
                  <w:pPr>
                    <w:pStyle w:val="114"/>
                    <w:keepNext w:val="0"/>
                    <w:keepLines w:val="0"/>
                    <w:suppressLineNumbers w:val="0"/>
                    <w:spacing w:before="0" w:beforeAutospacing="0" w:after="0" w:afterAutospacing="0"/>
                    <w:ind w:left="0" w:right="0"/>
                    <w:rPr>
                      <w:rFonts w:hint="default"/>
                      <w:color w:val="auto"/>
                      <w:highlight w:val="none"/>
                    </w:rPr>
                  </w:pPr>
                  <w:bookmarkStart w:id="222" w:name="_Toc32049"/>
                  <w:r>
                    <w:rPr>
                      <w:rFonts w:hint="default"/>
                      <w:color w:val="auto"/>
                      <w:highlight w:val="none"/>
                    </w:rPr>
                    <w:t>氨氮</w:t>
                  </w:r>
                  <w:bookmarkEnd w:id="222"/>
                </w:p>
              </w:tc>
              <w:tc>
                <w:tcPr>
                  <w:tcW w:w="905" w:type="dxa"/>
                  <w:vMerge w:val="continue"/>
                  <w:tcBorders>
                    <w:tl2br w:val="nil"/>
                    <w:tr2bl w:val="nil"/>
                  </w:tcBorders>
                  <w:vAlign w:val="center"/>
                </w:tcPr>
                <w:p w14:paraId="797C9B6F">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C63D9B3">
                  <w:pPr>
                    <w:pStyle w:val="114"/>
                    <w:keepNext w:val="0"/>
                    <w:keepLines w:val="0"/>
                    <w:suppressLineNumbers w:val="0"/>
                    <w:spacing w:before="0" w:beforeAutospacing="0" w:after="0" w:afterAutospacing="0"/>
                    <w:ind w:left="0" w:right="0"/>
                    <w:rPr>
                      <w:rFonts w:hint="default"/>
                      <w:color w:val="auto"/>
                      <w:highlight w:val="none"/>
                    </w:rPr>
                  </w:pPr>
                  <w:bookmarkStart w:id="223" w:name="_Toc15684"/>
                  <w:r>
                    <w:rPr>
                      <w:rFonts w:hint="eastAsia"/>
                      <w:color w:val="auto"/>
                      <w:highlight w:val="none"/>
                    </w:rPr>
                    <w:t>≤0.50</w:t>
                  </w:r>
                  <w:bookmarkEnd w:id="223"/>
                </w:p>
              </w:tc>
              <w:tc>
                <w:tcPr>
                  <w:tcW w:w="1200" w:type="dxa"/>
                  <w:tcBorders>
                    <w:tl2br w:val="nil"/>
                    <w:tr2bl w:val="nil"/>
                  </w:tcBorders>
                  <w:vAlign w:val="center"/>
                </w:tcPr>
                <w:p w14:paraId="5DA382EA">
                  <w:pPr>
                    <w:pStyle w:val="114"/>
                    <w:keepNext w:val="0"/>
                    <w:keepLines w:val="0"/>
                    <w:suppressLineNumbers w:val="0"/>
                    <w:spacing w:before="0" w:beforeAutospacing="0" w:after="0" w:afterAutospacing="0"/>
                    <w:ind w:left="0" w:right="0"/>
                    <w:rPr>
                      <w:rFonts w:hint="default"/>
                      <w:color w:val="auto"/>
                      <w:highlight w:val="none"/>
                    </w:rPr>
                  </w:pPr>
                  <w:bookmarkStart w:id="224" w:name="_Toc2305"/>
                  <w:r>
                    <w:rPr>
                      <w:rFonts w:hint="default"/>
                      <w:color w:val="auto"/>
                      <w:highlight w:val="none"/>
                    </w:rPr>
                    <w:t>mg/L</w:t>
                  </w:r>
                  <w:bookmarkEnd w:id="224"/>
                </w:p>
              </w:tc>
              <w:tc>
                <w:tcPr>
                  <w:tcW w:w="1362" w:type="dxa"/>
                  <w:tcBorders>
                    <w:tl2br w:val="nil"/>
                    <w:tr2bl w:val="nil"/>
                  </w:tcBorders>
                  <w:vAlign w:val="center"/>
                </w:tcPr>
                <w:p w14:paraId="64E23182">
                  <w:pPr>
                    <w:pStyle w:val="114"/>
                    <w:keepNext w:val="0"/>
                    <w:keepLines w:val="0"/>
                    <w:suppressLineNumbers w:val="0"/>
                    <w:spacing w:before="0" w:beforeAutospacing="0" w:after="0" w:afterAutospacing="0"/>
                    <w:ind w:left="0" w:right="0"/>
                    <w:rPr>
                      <w:rFonts w:hint="default"/>
                      <w:color w:val="auto"/>
                      <w:highlight w:val="none"/>
                    </w:rPr>
                  </w:pPr>
                  <w:bookmarkStart w:id="225" w:name="_Toc10972"/>
                  <w:r>
                    <w:rPr>
                      <w:rFonts w:hint="eastAsia"/>
                      <w:color w:val="auto"/>
                      <w:highlight w:val="none"/>
                    </w:rPr>
                    <w:t>0.164</w:t>
                  </w:r>
                  <w:bookmarkEnd w:id="225"/>
                </w:p>
              </w:tc>
              <w:tc>
                <w:tcPr>
                  <w:tcW w:w="1113" w:type="dxa"/>
                  <w:tcBorders>
                    <w:tl2br w:val="nil"/>
                    <w:tr2bl w:val="nil"/>
                  </w:tcBorders>
                  <w:vAlign w:val="center"/>
                </w:tcPr>
                <w:p w14:paraId="549234A6">
                  <w:pPr>
                    <w:pStyle w:val="114"/>
                    <w:keepNext w:val="0"/>
                    <w:keepLines w:val="0"/>
                    <w:suppressLineNumbers w:val="0"/>
                    <w:spacing w:before="0" w:beforeAutospacing="0" w:after="0" w:afterAutospacing="0"/>
                    <w:ind w:left="0" w:right="0"/>
                    <w:rPr>
                      <w:rFonts w:hint="default"/>
                      <w:color w:val="auto"/>
                      <w:highlight w:val="none"/>
                    </w:rPr>
                  </w:pPr>
                  <w:bookmarkStart w:id="226" w:name="_Toc31563"/>
                  <w:r>
                    <w:rPr>
                      <w:rFonts w:hint="eastAsia"/>
                      <w:color w:val="auto"/>
                      <w:highlight w:val="none"/>
                    </w:rPr>
                    <w:t>0.33</w:t>
                  </w:r>
                  <w:bookmarkEnd w:id="226"/>
                </w:p>
              </w:tc>
              <w:tc>
                <w:tcPr>
                  <w:tcW w:w="964" w:type="dxa"/>
                  <w:vMerge w:val="continue"/>
                  <w:tcBorders>
                    <w:tl2br w:val="nil"/>
                    <w:tr2bl w:val="nil"/>
                  </w:tcBorders>
                  <w:vAlign w:val="center"/>
                </w:tcPr>
                <w:p w14:paraId="07FA97C7">
                  <w:pPr>
                    <w:pStyle w:val="114"/>
                    <w:keepNext w:val="0"/>
                    <w:keepLines w:val="0"/>
                    <w:suppressLineNumbers w:val="0"/>
                    <w:spacing w:before="0" w:beforeAutospacing="0" w:after="0" w:afterAutospacing="0"/>
                    <w:ind w:left="0" w:right="0"/>
                    <w:rPr>
                      <w:rFonts w:hint="default"/>
                      <w:color w:val="auto"/>
                      <w:highlight w:val="none"/>
                    </w:rPr>
                  </w:pPr>
                </w:p>
              </w:tc>
            </w:tr>
            <w:tr w14:paraId="5B7C79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45C79916">
                  <w:pPr>
                    <w:pStyle w:val="114"/>
                    <w:keepNext w:val="0"/>
                    <w:keepLines w:val="0"/>
                    <w:suppressLineNumbers w:val="0"/>
                    <w:spacing w:before="0" w:beforeAutospacing="0" w:after="0" w:afterAutospacing="0"/>
                    <w:ind w:left="0" w:right="0"/>
                    <w:rPr>
                      <w:rFonts w:hint="default"/>
                      <w:color w:val="auto"/>
                      <w:highlight w:val="none"/>
                    </w:rPr>
                  </w:pPr>
                  <w:bookmarkStart w:id="227" w:name="_Toc22634"/>
                  <w:r>
                    <w:rPr>
                      <w:rFonts w:hint="default"/>
                      <w:color w:val="auto"/>
                      <w:highlight w:val="none"/>
                    </w:rPr>
                    <w:t>总硬度</w:t>
                  </w:r>
                  <w:bookmarkEnd w:id="227"/>
                </w:p>
              </w:tc>
              <w:tc>
                <w:tcPr>
                  <w:tcW w:w="905" w:type="dxa"/>
                  <w:vMerge w:val="continue"/>
                  <w:tcBorders>
                    <w:tl2br w:val="nil"/>
                    <w:tr2bl w:val="nil"/>
                  </w:tcBorders>
                  <w:vAlign w:val="center"/>
                </w:tcPr>
                <w:p w14:paraId="1548CB8B">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24B55237">
                  <w:pPr>
                    <w:pStyle w:val="114"/>
                    <w:keepNext w:val="0"/>
                    <w:keepLines w:val="0"/>
                    <w:suppressLineNumbers w:val="0"/>
                    <w:spacing w:before="0" w:beforeAutospacing="0" w:after="0" w:afterAutospacing="0"/>
                    <w:ind w:left="0" w:right="0"/>
                    <w:rPr>
                      <w:rFonts w:hint="default"/>
                      <w:color w:val="auto"/>
                      <w:highlight w:val="none"/>
                    </w:rPr>
                  </w:pPr>
                  <w:bookmarkStart w:id="228" w:name="_Toc17529"/>
                  <w:r>
                    <w:rPr>
                      <w:rFonts w:hint="default"/>
                      <w:color w:val="auto"/>
                      <w:highlight w:val="none"/>
                    </w:rPr>
                    <w:t>≤450</w:t>
                  </w:r>
                  <w:bookmarkEnd w:id="228"/>
                </w:p>
              </w:tc>
              <w:tc>
                <w:tcPr>
                  <w:tcW w:w="1200" w:type="dxa"/>
                  <w:tcBorders>
                    <w:tl2br w:val="nil"/>
                    <w:tr2bl w:val="nil"/>
                  </w:tcBorders>
                  <w:vAlign w:val="center"/>
                </w:tcPr>
                <w:p w14:paraId="5B1FBCBB">
                  <w:pPr>
                    <w:pStyle w:val="114"/>
                    <w:keepNext w:val="0"/>
                    <w:keepLines w:val="0"/>
                    <w:suppressLineNumbers w:val="0"/>
                    <w:spacing w:before="0" w:beforeAutospacing="0" w:after="0" w:afterAutospacing="0"/>
                    <w:ind w:left="0" w:right="0"/>
                    <w:rPr>
                      <w:rFonts w:hint="default"/>
                      <w:color w:val="auto"/>
                      <w:highlight w:val="none"/>
                    </w:rPr>
                  </w:pPr>
                  <w:bookmarkStart w:id="229" w:name="_Toc27127"/>
                  <w:r>
                    <w:rPr>
                      <w:rFonts w:hint="default"/>
                      <w:color w:val="auto"/>
                      <w:highlight w:val="none"/>
                    </w:rPr>
                    <w:t>mg/L</w:t>
                  </w:r>
                  <w:bookmarkEnd w:id="229"/>
                </w:p>
              </w:tc>
              <w:tc>
                <w:tcPr>
                  <w:tcW w:w="1362" w:type="dxa"/>
                  <w:tcBorders>
                    <w:tl2br w:val="nil"/>
                    <w:tr2bl w:val="nil"/>
                  </w:tcBorders>
                  <w:vAlign w:val="center"/>
                </w:tcPr>
                <w:p w14:paraId="6B9826FA">
                  <w:pPr>
                    <w:pStyle w:val="114"/>
                    <w:keepNext w:val="0"/>
                    <w:keepLines w:val="0"/>
                    <w:suppressLineNumbers w:val="0"/>
                    <w:spacing w:before="0" w:beforeAutospacing="0" w:after="0" w:afterAutospacing="0"/>
                    <w:ind w:left="0" w:right="0"/>
                    <w:rPr>
                      <w:rFonts w:hint="default"/>
                      <w:color w:val="auto"/>
                      <w:highlight w:val="none"/>
                    </w:rPr>
                  </w:pPr>
                  <w:bookmarkStart w:id="230" w:name="_Toc8362"/>
                  <w:r>
                    <w:rPr>
                      <w:rFonts w:hint="eastAsia"/>
                      <w:color w:val="auto"/>
                      <w:highlight w:val="none"/>
                    </w:rPr>
                    <w:t>192</w:t>
                  </w:r>
                  <w:bookmarkEnd w:id="230"/>
                </w:p>
              </w:tc>
              <w:tc>
                <w:tcPr>
                  <w:tcW w:w="1113" w:type="dxa"/>
                  <w:tcBorders>
                    <w:tl2br w:val="nil"/>
                    <w:tr2bl w:val="nil"/>
                  </w:tcBorders>
                  <w:vAlign w:val="center"/>
                </w:tcPr>
                <w:p w14:paraId="471C24E1">
                  <w:pPr>
                    <w:pStyle w:val="114"/>
                    <w:keepNext w:val="0"/>
                    <w:keepLines w:val="0"/>
                    <w:suppressLineNumbers w:val="0"/>
                    <w:spacing w:before="0" w:beforeAutospacing="0" w:after="0" w:afterAutospacing="0"/>
                    <w:ind w:left="0" w:right="0"/>
                    <w:rPr>
                      <w:rFonts w:hint="default"/>
                      <w:color w:val="auto"/>
                      <w:highlight w:val="none"/>
                    </w:rPr>
                  </w:pPr>
                  <w:bookmarkStart w:id="231" w:name="_Toc6775"/>
                  <w:r>
                    <w:rPr>
                      <w:rFonts w:hint="default"/>
                      <w:color w:val="auto"/>
                      <w:szCs w:val="21"/>
                      <w:highlight w:val="none"/>
                    </w:rPr>
                    <w:t>0.43</w:t>
                  </w:r>
                  <w:bookmarkEnd w:id="231"/>
                </w:p>
              </w:tc>
              <w:tc>
                <w:tcPr>
                  <w:tcW w:w="964" w:type="dxa"/>
                  <w:vMerge w:val="continue"/>
                  <w:tcBorders>
                    <w:tl2br w:val="nil"/>
                    <w:tr2bl w:val="nil"/>
                  </w:tcBorders>
                  <w:vAlign w:val="center"/>
                </w:tcPr>
                <w:p w14:paraId="1DBFA07C">
                  <w:pPr>
                    <w:pStyle w:val="114"/>
                    <w:keepNext w:val="0"/>
                    <w:keepLines w:val="0"/>
                    <w:suppressLineNumbers w:val="0"/>
                    <w:spacing w:before="0" w:beforeAutospacing="0" w:after="0" w:afterAutospacing="0"/>
                    <w:ind w:left="0" w:right="0"/>
                    <w:rPr>
                      <w:rFonts w:hint="default"/>
                      <w:color w:val="auto"/>
                      <w:highlight w:val="none"/>
                    </w:rPr>
                  </w:pPr>
                </w:p>
              </w:tc>
            </w:tr>
            <w:tr w14:paraId="29BA25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7F80ED1">
                  <w:pPr>
                    <w:pStyle w:val="114"/>
                    <w:keepNext w:val="0"/>
                    <w:keepLines w:val="0"/>
                    <w:suppressLineNumbers w:val="0"/>
                    <w:spacing w:before="0" w:beforeAutospacing="0" w:after="0" w:afterAutospacing="0"/>
                    <w:ind w:left="0" w:right="0"/>
                    <w:rPr>
                      <w:rFonts w:hint="default"/>
                      <w:color w:val="auto"/>
                      <w:highlight w:val="none"/>
                    </w:rPr>
                  </w:pPr>
                  <w:bookmarkStart w:id="232" w:name="_Toc22800"/>
                  <w:r>
                    <w:rPr>
                      <w:rFonts w:hint="eastAsia"/>
                      <w:color w:val="auto"/>
                      <w:highlight w:val="none"/>
                    </w:rPr>
                    <w:t>高锰酸盐指数（耗氧量）</w:t>
                  </w:r>
                  <w:bookmarkEnd w:id="232"/>
                </w:p>
              </w:tc>
              <w:tc>
                <w:tcPr>
                  <w:tcW w:w="905" w:type="dxa"/>
                  <w:vMerge w:val="continue"/>
                  <w:tcBorders>
                    <w:tl2br w:val="nil"/>
                    <w:tr2bl w:val="nil"/>
                  </w:tcBorders>
                  <w:vAlign w:val="center"/>
                </w:tcPr>
                <w:p w14:paraId="325D595E">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23A4523">
                  <w:pPr>
                    <w:pStyle w:val="114"/>
                    <w:keepNext w:val="0"/>
                    <w:keepLines w:val="0"/>
                    <w:suppressLineNumbers w:val="0"/>
                    <w:spacing w:before="0" w:beforeAutospacing="0" w:after="0" w:afterAutospacing="0"/>
                    <w:ind w:left="0" w:right="0"/>
                    <w:rPr>
                      <w:rFonts w:hint="default"/>
                      <w:color w:val="auto"/>
                      <w:highlight w:val="none"/>
                    </w:rPr>
                  </w:pPr>
                  <w:bookmarkStart w:id="233" w:name="_Toc18488"/>
                  <w:r>
                    <w:rPr>
                      <w:rFonts w:hint="default"/>
                      <w:color w:val="auto"/>
                      <w:highlight w:val="none"/>
                    </w:rPr>
                    <w:t>≤</w:t>
                  </w:r>
                  <w:r>
                    <w:rPr>
                      <w:rFonts w:hint="eastAsia"/>
                      <w:color w:val="auto"/>
                      <w:highlight w:val="none"/>
                    </w:rPr>
                    <w:t>3.0</w:t>
                  </w:r>
                  <w:bookmarkEnd w:id="233"/>
                </w:p>
              </w:tc>
              <w:tc>
                <w:tcPr>
                  <w:tcW w:w="1200" w:type="dxa"/>
                  <w:tcBorders>
                    <w:tl2br w:val="nil"/>
                    <w:tr2bl w:val="nil"/>
                  </w:tcBorders>
                  <w:vAlign w:val="center"/>
                </w:tcPr>
                <w:p w14:paraId="507B2F53">
                  <w:pPr>
                    <w:pStyle w:val="114"/>
                    <w:keepNext w:val="0"/>
                    <w:keepLines w:val="0"/>
                    <w:suppressLineNumbers w:val="0"/>
                    <w:spacing w:before="0" w:beforeAutospacing="0" w:after="0" w:afterAutospacing="0"/>
                    <w:ind w:left="0" w:right="0"/>
                    <w:rPr>
                      <w:rFonts w:hint="default"/>
                      <w:color w:val="auto"/>
                      <w:highlight w:val="none"/>
                    </w:rPr>
                  </w:pPr>
                  <w:bookmarkStart w:id="234" w:name="_Toc11544"/>
                  <w:r>
                    <w:rPr>
                      <w:rFonts w:hint="default"/>
                      <w:color w:val="auto"/>
                      <w:highlight w:val="none"/>
                    </w:rPr>
                    <w:t>mg/L</w:t>
                  </w:r>
                  <w:bookmarkEnd w:id="234"/>
                </w:p>
              </w:tc>
              <w:tc>
                <w:tcPr>
                  <w:tcW w:w="1362" w:type="dxa"/>
                  <w:tcBorders>
                    <w:tl2br w:val="nil"/>
                    <w:tr2bl w:val="nil"/>
                  </w:tcBorders>
                  <w:vAlign w:val="center"/>
                </w:tcPr>
                <w:p w14:paraId="20D3544D">
                  <w:pPr>
                    <w:pStyle w:val="114"/>
                    <w:keepNext w:val="0"/>
                    <w:keepLines w:val="0"/>
                    <w:suppressLineNumbers w:val="0"/>
                    <w:spacing w:before="0" w:beforeAutospacing="0" w:after="0" w:afterAutospacing="0"/>
                    <w:ind w:left="0" w:right="0"/>
                    <w:rPr>
                      <w:rFonts w:hint="default"/>
                      <w:color w:val="auto"/>
                      <w:highlight w:val="none"/>
                    </w:rPr>
                  </w:pPr>
                  <w:bookmarkStart w:id="235" w:name="_Toc3555"/>
                  <w:r>
                    <w:rPr>
                      <w:rFonts w:hint="eastAsia"/>
                      <w:color w:val="auto"/>
                      <w:highlight w:val="none"/>
                    </w:rPr>
                    <w:t>2.6</w:t>
                  </w:r>
                  <w:bookmarkEnd w:id="235"/>
                </w:p>
              </w:tc>
              <w:tc>
                <w:tcPr>
                  <w:tcW w:w="1113" w:type="dxa"/>
                  <w:tcBorders>
                    <w:tl2br w:val="nil"/>
                    <w:tr2bl w:val="nil"/>
                  </w:tcBorders>
                  <w:vAlign w:val="center"/>
                </w:tcPr>
                <w:p w14:paraId="6655DCF2">
                  <w:pPr>
                    <w:pStyle w:val="114"/>
                    <w:keepNext w:val="0"/>
                    <w:keepLines w:val="0"/>
                    <w:suppressLineNumbers w:val="0"/>
                    <w:spacing w:before="0" w:beforeAutospacing="0" w:after="0" w:afterAutospacing="0"/>
                    <w:ind w:left="0" w:right="0"/>
                    <w:rPr>
                      <w:rFonts w:hint="default"/>
                      <w:color w:val="auto"/>
                      <w:highlight w:val="none"/>
                    </w:rPr>
                  </w:pPr>
                  <w:bookmarkStart w:id="236" w:name="_Toc2544"/>
                  <w:r>
                    <w:rPr>
                      <w:rFonts w:hint="default"/>
                      <w:color w:val="auto"/>
                      <w:szCs w:val="21"/>
                      <w:highlight w:val="none"/>
                    </w:rPr>
                    <w:t>0.01</w:t>
                  </w:r>
                  <w:bookmarkEnd w:id="236"/>
                </w:p>
              </w:tc>
              <w:tc>
                <w:tcPr>
                  <w:tcW w:w="964" w:type="dxa"/>
                  <w:vMerge w:val="continue"/>
                  <w:tcBorders>
                    <w:tl2br w:val="nil"/>
                    <w:tr2bl w:val="nil"/>
                  </w:tcBorders>
                  <w:vAlign w:val="center"/>
                </w:tcPr>
                <w:p w14:paraId="070A1AFE">
                  <w:pPr>
                    <w:pStyle w:val="114"/>
                    <w:keepNext w:val="0"/>
                    <w:keepLines w:val="0"/>
                    <w:suppressLineNumbers w:val="0"/>
                    <w:spacing w:before="0" w:beforeAutospacing="0" w:after="0" w:afterAutospacing="0"/>
                    <w:ind w:left="0" w:right="0"/>
                    <w:rPr>
                      <w:rFonts w:hint="default"/>
                      <w:color w:val="auto"/>
                      <w:highlight w:val="none"/>
                    </w:rPr>
                  </w:pPr>
                </w:p>
              </w:tc>
            </w:tr>
            <w:tr w14:paraId="2CA8EB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2CFDC9B4">
                  <w:pPr>
                    <w:pStyle w:val="114"/>
                    <w:keepNext w:val="0"/>
                    <w:keepLines w:val="0"/>
                    <w:suppressLineNumbers w:val="0"/>
                    <w:spacing w:before="0" w:beforeAutospacing="0" w:after="0" w:afterAutospacing="0"/>
                    <w:ind w:left="0" w:right="0"/>
                    <w:rPr>
                      <w:rFonts w:hint="default"/>
                      <w:color w:val="auto"/>
                      <w:highlight w:val="none"/>
                    </w:rPr>
                  </w:pPr>
                  <w:bookmarkStart w:id="237" w:name="_Toc5232"/>
                  <w:r>
                    <w:rPr>
                      <w:rFonts w:hint="default"/>
                      <w:color w:val="auto"/>
                      <w:highlight w:val="none"/>
                    </w:rPr>
                    <w:t>溶解性总固体</w:t>
                  </w:r>
                  <w:bookmarkEnd w:id="237"/>
                </w:p>
              </w:tc>
              <w:tc>
                <w:tcPr>
                  <w:tcW w:w="905" w:type="dxa"/>
                  <w:vMerge w:val="continue"/>
                  <w:tcBorders>
                    <w:tl2br w:val="nil"/>
                    <w:tr2bl w:val="nil"/>
                  </w:tcBorders>
                  <w:vAlign w:val="center"/>
                </w:tcPr>
                <w:p w14:paraId="1F2FD370">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08CF2963">
                  <w:pPr>
                    <w:pStyle w:val="114"/>
                    <w:keepNext w:val="0"/>
                    <w:keepLines w:val="0"/>
                    <w:suppressLineNumbers w:val="0"/>
                    <w:spacing w:before="0" w:beforeAutospacing="0" w:after="0" w:afterAutospacing="0"/>
                    <w:ind w:left="0" w:right="0"/>
                    <w:rPr>
                      <w:rFonts w:hint="default"/>
                      <w:color w:val="auto"/>
                      <w:highlight w:val="none"/>
                    </w:rPr>
                  </w:pPr>
                  <w:bookmarkStart w:id="238" w:name="_Toc11052"/>
                  <w:r>
                    <w:rPr>
                      <w:rFonts w:hint="default"/>
                      <w:color w:val="auto"/>
                      <w:highlight w:val="none"/>
                    </w:rPr>
                    <w:t>≤1000</w:t>
                  </w:r>
                  <w:bookmarkEnd w:id="238"/>
                </w:p>
              </w:tc>
              <w:tc>
                <w:tcPr>
                  <w:tcW w:w="1200" w:type="dxa"/>
                  <w:tcBorders>
                    <w:tl2br w:val="nil"/>
                    <w:tr2bl w:val="nil"/>
                  </w:tcBorders>
                  <w:vAlign w:val="center"/>
                </w:tcPr>
                <w:p w14:paraId="0E736933">
                  <w:pPr>
                    <w:pStyle w:val="114"/>
                    <w:keepNext w:val="0"/>
                    <w:keepLines w:val="0"/>
                    <w:suppressLineNumbers w:val="0"/>
                    <w:spacing w:before="0" w:beforeAutospacing="0" w:after="0" w:afterAutospacing="0"/>
                    <w:ind w:left="0" w:right="0"/>
                    <w:rPr>
                      <w:rFonts w:hint="default"/>
                      <w:color w:val="auto"/>
                      <w:highlight w:val="none"/>
                    </w:rPr>
                  </w:pPr>
                  <w:bookmarkStart w:id="239" w:name="_Toc28084"/>
                  <w:r>
                    <w:rPr>
                      <w:rFonts w:hint="default"/>
                      <w:color w:val="auto"/>
                      <w:highlight w:val="none"/>
                    </w:rPr>
                    <w:t>mg/L</w:t>
                  </w:r>
                  <w:bookmarkEnd w:id="239"/>
                </w:p>
              </w:tc>
              <w:tc>
                <w:tcPr>
                  <w:tcW w:w="1362" w:type="dxa"/>
                  <w:tcBorders>
                    <w:tl2br w:val="nil"/>
                    <w:tr2bl w:val="nil"/>
                  </w:tcBorders>
                  <w:vAlign w:val="center"/>
                </w:tcPr>
                <w:p w14:paraId="7C977FC6">
                  <w:pPr>
                    <w:pStyle w:val="114"/>
                    <w:keepNext w:val="0"/>
                    <w:keepLines w:val="0"/>
                    <w:suppressLineNumbers w:val="0"/>
                    <w:spacing w:before="0" w:beforeAutospacing="0" w:after="0" w:afterAutospacing="0"/>
                    <w:ind w:left="0" w:right="0"/>
                    <w:rPr>
                      <w:rFonts w:hint="default"/>
                      <w:color w:val="auto"/>
                      <w:highlight w:val="none"/>
                    </w:rPr>
                  </w:pPr>
                  <w:bookmarkStart w:id="240" w:name="_Toc21908"/>
                  <w:r>
                    <w:rPr>
                      <w:rFonts w:hint="eastAsia"/>
                      <w:color w:val="auto"/>
                      <w:highlight w:val="none"/>
                    </w:rPr>
                    <w:t>256</w:t>
                  </w:r>
                  <w:bookmarkEnd w:id="240"/>
                </w:p>
              </w:tc>
              <w:tc>
                <w:tcPr>
                  <w:tcW w:w="1113" w:type="dxa"/>
                  <w:tcBorders>
                    <w:tl2br w:val="nil"/>
                    <w:tr2bl w:val="nil"/>
                  </w:tcBorders>
                  <w:vAlign w:val="center"/>
                </w:tcPr>
                <w:p w14:paraId="5B0DBC40">
                  <w:pPr>
                    <w:pStyle w:val="114"/>
                    <w:keepNext w:val="0"/>
                    <w:keepLines w:val="0"/>
                    <w:suppressLineNumbers w:val="0"/>
                    <w:spacing w:before="0" w:beforeAutospacing="0" w:after="0" w:afterAutospacing="0"/>
                    <w:ind w:left="0" w:right="0"/>
                    <w:rPr>
                      <w:rFonts w:hint="default"/>
                      <w:color w:val="auto"/>
                      <w:highlight w:val="none"/>
                    </w:rPr>
                  </w:pPr>
                  <w:bookmarkStart w:id="241" w:name="_Toc1147"/>
                  <w:r>
                    <w:rPr>
                      <w:rFonts w:hint="default"/>
                      <w:color w:val="auto"/>
                      <w:szCs w:val="21"/>
                      <w:highlight w:val="none"/>
                    </w:rPr>
                    <w:t>0.57</w:t>
                  </w:r>
                  <w:bookmarkEnd w:id="241"/>
                </w:p>
              </w:tc>
              <w:tc>
                <w:tcPr>
                  <w:tcW w:w="964" w:type="dxa"/>
                  <w:vMerge w:val="continue"/>
                  <w:tcBorders>
                    <w:tl2br w:val="nil"/>
                    <w:tr2bl w:val="nil"/>
                  </w:tcBorders>
                  <w:vAlign w:val="center"/>
                </w:tcPr>
                <w:p w14:paraId="38FBBDB0">
                  <w:pPr>
                    <w:pStyle w:val="114"/>
                    <w:keepNext w:val="0"/>
                    <w:keepLines w:val="0"/>
                    <w:suppressLineNumbers w:val="0"/>
                    <w:spacing w:before="0" w:beforeAutospacing="0" w:after="0" w:afterAutospacing="0"/>
                    <w:ind w:left="0" w:right="0"/>
                    <w:rPr>
                      <w:rFonts w:hint="default"/>
                      <w:color w:val="auto"/>
                      <w:highlight w:val="none"/>
                    </w:rPr>
                  </w:pPr>
                </w:p>
              </w:tc>
            </w:tr>
            <w:tr w14:paraId="2DE525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272966AC">
                  <w:pPr>
                    <w:pStyle w:val="114"/>
                    <w:keepNext w:val="0"/>
                    <w:keepLines w:val="0"/>
                    <w:suppressLineNumbers w:val="0"/>
                    <w:spacing w:before="0" w:beforeAutospacing="0" w:after="0" w:afterAutospacing="0"/>
                    <w:ind w:left="0" w:right="0"/>
                    <w:rPr>
                      <w:rFonts w:hint="default"/>
                      <w:color w:val="auto"/>
                      <w:highlight w:val="none"/>
                    </w:rPr>
                  </w:pPr>
                  <w:bookmarkStart w:id="242" w:name="_Toc9571"/>
                  <w:r>
                    <w:rPr>
                      <w:rFonts w:hint="default"/>
                      <w:color w:val="auto"/>
                      <w:highlight w:val="none"/>
                    </w:rPr>
                    <w:t>铁</w:t>
                  </w:r>
                  <w:bookmarkEnd w:id="242"/>
                </w:p>
              </w:tc>
              <w:tc>
                <w:tcPr>
                  <w:tcW w:w="905" w:type="dxa"/>
                  <w:vMerge w:val="continue"/>
                  <w:tcBorders>
                    <w:tl2br w:val="nil"/>
                    <w:tr2bl w:val="nil"/>
                  </w:tcBorders>
                  <w:vAlign w:val="center"/>
                </w:tcPr>
                <w:p w14:paraId="7A54AA6D">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1D1AFE8D">
                  <w:pPr>
                    <w:pStyle w:val="114"/>
                    <w:keepNext w:val="0"/>
                    <w:keepLines w:val="0"/>
                    <w:suppressLineNumbers w:val="0"/>
                    <w:spacing w:before="0" w:beforeAutospacing="0" w:after="0" w:afterAutospacing="0"/>
                    <w:ind w:left="0" w:right="0"/>
                    <w:rPr>
                      <w:rFonts w:hint="default"/>
                      <w:color w:val="auto"/>
                      <w:highlight w:val="none"/>
                    </w:rPr>
                  </w:pPr>
                  <w:bookmarkStart w:id="243" w:name="_Toc22085"/>
                  <w:r>
                    <w:rPr>
                      <w:rFonts w:hint="default"/>
                      <w:color w:val="auto"/>
                      <w:highlight w:val="none"/>
                    </w:rPr>
                    <w:t>≤0.3</w:t>
                  </w:r>
                  <w:bookmarkEnd w:id="243"/>
                </w:p>
              </w:tc>
              <w:tc>
                <w:tcPr>
                  <w:tcW w:w="1200" w:type="dxa"/>
                  <w:tcBorders>
                    <w:tl2br w:val="nil"/>
                    <w:tr2bl w:val="nil"/>
                  </w:tcBorders>
                  <w:vAlign w:val="center"/>
                </w:tcPr>
                <w:p w14:paraId="2FA430E1">
                  <w:pPr>
                    <w:pStyle w:val="114"/>
                    <w:keepNext w:val="0"/>
                    <w:keepLines w:val="0"/>
                    <w:suppressLineNumbers w:val="0"/>
                    <w:spacing w:before="0" w:beforeAutospacing="0" w:after="0" w:afterAutospacing="0"/>
                    <w:ind w:left="0" w:right="0"/>
                    <w:rPr>
                      <w:rFonts w:hint="default"/>
                      <w:color w:val="auto"/>
                      <w:highlight w:val="none"/>
                    </w:rPr>
                  </w:pPr>
                  <w:bookmarkStart w:id="244" w:name="_Toc29567"/>
                  <w:r>
                    <w:rPr>
                      <w:rFonts w:hint="default"/>
                      <w:color w:val="auto"/>
                      <w:highlight w:val="none"/>
                    </w:rPr>
                    <w:t>mg/L</w:t>
                  </w:r>
                  <w:bookmarkEnd w:id="244"/>
                </w:p>
              </w:tc>
              <w:tc>
                <w:tcPr>
                  <w:tcW w:w="1362" w:type="dxa"/>
                  <w:tcBorders>
                    <w:tl2br w:val="nil"/>
                    <w:tr2bl w:val="nil"/>
                  </w:tcBorders>
                  <w:vAlign w:val="center"/>
                </w:tcPr>
                <w:p w14:paraId="48F3F06B">
                  <w:pPr>
                    <w:pStyle w:val="114"/>
                    <w:keepNext w:val="0"/>
                    <w:keepLines w:val="0"/>
                    <w:suppressLineNumbers w:val="0"/>
                    <w:spacing w:before="0" w:beforeAutospacing="0" w:after="0" w:afterAutospacing="0"/>
                    <w:ind w:left="0" w:right="0"/>
                    <w:rPr>
                      <w:rFonts w:hint="default"/>
                      <w:color w:val="auto"/>
                      <w:highlight w:val="none"/>
                    </w:rPr>
                  </w:pPr>
                  <w:bookmarkStart w:id="245" w:name="_Toc3106"/>
                  <w:r>
                    <w:rPr>
                      <w:rFonts w:hint="eastAsia"/>
                      <w:color w:val="auto"/>
                      <w:highlight w:val="none"/>
                    </w:rPr>
                    <w:t>0.03</w:t>
                  </w:r>
                  <w:r>
                    <w:rPr>
                      <w:rFonts w:hint="eastAsia"/>
                      <w:color w:val="auto"/>
                      <w:highlight w:val="none"/>
                      <w:vertAlign w:val="subscript"/>
                    </w:rPr>
                    <w:t>L</w:t>
                  </w:r>
                  <w:bookmarkEnd w:id="245"/>
                </w:p>
              </w:tc>
              <w:tc>
                <w:tcPr>
                  <w:tcW w:w="1113" w:type="dxa"/>
                  <w:tcBorders>
                    <w:tl2br w:val="nil"/>
                    <w:tr2bl w:val="nil"/>
                  </w:tcBorders>
                  <w:vAlign w:val="center"/>
                </w:tcPr>
                <w:p w14:paraId="515B1A0D">
                  <w:pPr>
                    <w:pStyle w:val="114"/>
                    <w:keepNext w:val="0"/>
                    <w:keepLines w:val="0"/>
                    <w:suppressLineNumbers w:val="0"/>
                    <w:spacing w:before="0" w:beforeAutospacing="0" w:after="0" w:afterAutospacing="0"/>
                    <w:ind w:left="0" w:right="0"/>
                    <w:rPr>
                      <w:rFonts w:hint="default"/>
                      <w:color w:val="auto"/>
                      <w:highlight w:val="none"/>
                    </w:rPr>
                  </w:pPr>
                  <w:bookmarkStart w:id="246" w:name="_Toc12658"/>
                  <w:r>
                    <w:rPr>
                      <w:rFonts w:hint="eastAsia"/>
                      <w:color w:val="auto"/>
                      <w:highlight w:val="none"/>
                    </w:rPr>
                    <w:t>/</w:t>
                  </w:r>
                  <w:bookmarkEnd w:id="246"/>
                </w:p>
              </w:tc>
              <w:tc>
                <w:tcPr>
                  <w:tcW w:w="964" w:type="dxa"/>
                  <w:vMerge w:val="continue"/>
                  <w:tcBorders>
                    <w:tl2br w:val="nil"/>
                    <w:tr2bl w:val="nil"/>
                  </w:tcBorders>
                  <w:vAlign w:val="center"/>
                </w:tcPr>
                <w:p w14:paraId="2F03551E">
                  <w:pPr>
                    <w:pStyle w:val="114"/>
                    <w:keepNext w:val="0"/>
                    <w:keepLines w:val="0"/>
                    <w:suppressLineNumbers w:val="0"/>
                    <w:spacing w:before="0" w:beforeAutospacing="0" w:after="0" w:afterAutospacing="0"/>
                    <w:ind w:left="0" w:right="0"/>
                    <w:rPr>
                      <w:rFonts w:hint="default"/>
                      <w:color w:val="auto"/>
                      <w:highlight w:val="none"/>
                    </w:rPr>
                  </w:pPr>
                </w:p>
              </w:tc>
            </w:tr>
            <w:tr w14:paraId="6CD2E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7B884171">
                  <w:pPr>
                    <w:pStyle w:val="114"/>
                    <w:keepNext w:val="0"/>
                    <w:keepLines w:val="0"/>
                    <w:suppressLineNumbers w:val="0"/>
                    <w:spacing w:before="0" w:beforeAutospacing="0" w:after="0" w:afterAutospacing="0"/>
                    <w:ind w:left="0" w:right="0"/>
                    <w:rPr>
                      <w:rFonts w:hint="default"/>
                      <w:color w:val="auto"/>
                      <w:highlight w:val="none"/>
                    </w:rPr>
                  </w:pPr>
                  <w:bookmarkStart w:id="247" w:name="_Toc29510"/>
                  <w:r>
                    <w:rPr>
                      <w:rFonts w:hint="default"/>
                      <w:color w:val="auto"/>
                      <w:highlight w:val="none"/>
                    </w:rPr>
                    <w:t>锰</w:t>
                  </w:r>
                  <w:bookmarkEnd w:id="247"/>
                </w:p>
              </w:tc>
              <w:tc>
                <w:tcPr>
                  <w:tcW w:w="905" w:type="dxa"/>
                  <w:vMerge w:val="continue"/>
                  <w:tcBorders>
                    <w:tl2br w:val="nil"/>
                    <w:tr2bl w:val="nil"/>
                  </w:tcBorders>
                  <w:vAlign w:val="center"/>
                </w:tcPr>
                <w:p w14:paraId="35438C54">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B6B4B27">
                  <w:pPr>
                    <w:pStyle w:val="114"/>
                    <w:keepNext w:val="0"/>
                    <w:keepLines w:val="0"/>
                    <w:suppressLineNumbers w:val="0"/>
                    <w:spacing w:before="0" w:beforeAutospacing="0" w:after="0" w:afterAutospacing="0"/>
                    <w:ind w:left="0" w:right="0"/>
                    <w:rPr>
                      <w:rFonts w:hint="default"/>
                      <w:color w:val="auto"/>
                      <w:highlight w:val="none"/>
                    </w:rPr>
                  </w:pPr>
                  <w:bookmarkStart w:id="248" w:name="_Toc23086"/>
                  <w:r>
                    <w:rPr>
                      <w:rFonts w:hint="default"/>
                      <w:color w:val="auto"/>
                      <w:highlight w:val="none"/>
                    </w:rPr>
                    <w:t>≤0.10</w:t>
                  </w:r>
                  <w:bookmarkEnd w:id="248"/>
                </w:p>
              </w:tc>
              <w:tc>
                <w:tcPr>
                  <w:tcW w:w="1200" w:type="dxa"/>
                  <w:tcBorders>
                    <w:tl2br w:val="nil"/>
                    <w:tr2bl w:val="nil"/>
                  </w:tcBorders>
                  <w:vAlign w:val="center"/>
                </w:tcPr>
                <w:p w14:paraId="5E2F12CC">
                  <w:pPr>
                    <w:pStyle w:val="114"/>
                    <w:keepNext w:val="0"/>
                    <w:keepLines w:val="0"/>
                    <w:suppressLineNumbers w:val="0"/>
                    <w:spacing w:before="0" w:beforeAutospacing="0" w:after="0" w:afterAutospacing="0"/>
                    <w:ind w:left="0" w:right="0"/>
                    <w:rPr>
                      <w:rFonts w:hint="default"/>
                      <w:color w:val="auto"/>
                      <w:highlight w:val="none"/>
                    </w:rPr>
                  </w:pPr>
                  <w:bookmarkStart w:id="249" w:name="_Toc17883"/>
                  <w:r>
                    <w:rPr>
                      <w:rFonts w:hint="default"/>
                      <w:color w:val="auto"/>
                      <w:highlight w:val="none"/>
                    </w:rPr>
                    <w:t>mg/L</w:t>
                  </w:r>
                  <w:bookmarkEnd w:id="249"/>
                </w:p>
              </w:tc>
              <w:tc>
                <w:tcPr>
                  <w:tcW w:w="1362" w:type="dxa"/>
                  <w:tcBorders>
                    <w:tl2br w:val="nil"/>
                    <w:tr2bl w:val="nil"/>
                  </w:tcBorders>
                  <w:vAlign w:val="center"/>
                </w:tcPr>
                <w:p w14:paraId="4EF11139">
                  <w:pPr>
                    <w:pStyle w:val="114"/>
                    <w:keepNext w:val="0"/>
                    <w:keepLines w:val="0"/>
                    <w:suppressLineNumbers w:val="0"/>
                    <w:spacing w:before="0" w:beforeAutospacing="0" w:after="0" w:afterAutospacing="0"/>
                    <w:ind w:left="0" w:right="0"/>
                    <w:rPr>
                      <w:rFonts w:hint="default"/>
                      <w:color w:val="auto"/>
                      <w:highlight w:val="none"/>
                    </w:rPr>
                  </w:pPr>
                  <w:bookmarkStart w:id="250" w:name="_Toc20228"/>
                  <w:r>
                    <w:rPr>
                      <w:rFonts w:hint="eastAsia"/>
                      <w:color w:val="auto"/>
                      <w:highlight w:val="none"/>
                    </w:rPr>
                    <w:t>0.01</w:t>
                  </w:r>
                  <w:r>
                    <w:rPr>
                      <w:rFonts w:hint="eastAsia"/>
                      <w:color w:val="auto"/>
                      <w:highlight w:val="none"/>
                      <w:vertAlign w:val="subscript"/>
                    </w:rPr>
                    <w:t>L</w:t>
                  </w:r>
                  <w:bookmarkEnd w:id="250"/>
                </w:p>
              </w:tc>
              <w:tc>
                <w:tcPr>
                  <w:tcW w:w="1113" w:type="dxa"/>
                  <w:tcBorders>
                    <w:tl2br w:val="nil"/>
                    <w:tr2bl w:val="nil"/>
                  </w:tcBorders>
                  <w:vAlign w:val="center"/>
                </w:tcPr>
                <w:p w14:paraId="112E8DE1">
                  <w:pPr>
                    <w:pStyle w:val="114"/>
                    <w:keepNext w:val="0"/>
                    <w:keepLines w:val="0"/>
                    <w:suppressLineNumbers w:val="0"/>
                    <w:spacing w:before="0" w:beforeAutospacing="0" w:after="0" w:afterAutospacing="0"/>
                    <w:ind w:left="0" w:right="0"/>
                    <w:rPr>
                      <w:rFonts w:hint="default"/>
                      <w:color w:val="auto"/>
                      <w:highlight w:val="none"/>
                    </w:rPr>
                  </w:pPr>
                  <w:bookmarkStart w:id="251" w:name="_Toc24907"/>
                  <w:r>
                    <w:rPr>
                      <w:rFonts w:hint="eastAsia"/>
                      <w:color w:val="auto"/>
                      <w:highlight w:val="none"/>
                    </w:rPr>
                    <w:t>/</w:t>
                  </w:r>
                  <w:bookmarkEnd w:id="251"/>
                </w:p>
              </w:tc>
              <w:tc>
                <w:tcPr>
                  <w:tcW w:w="964" w:type="dxa"/>
                  <w:vMerge w:val="continue"/>
                  <w:tcBorders>
                    <w:tl2br w:val="nil"/>
                    <w:tr2bl w:val="nil"/>
                  </w:tcBorders>
                  <w:vAlign w:val="center"/>
                </w:tcPr>
                <w:p w14:paraId="42059FDE">
                  <w:pPr>
                    <w:pStyle w:val="114"/>
                    <w:keepNext w:val="0"/>
                    <w:keepLines w:val="0"/>
                    <w:suppressLineNumbers w:val="0"/>
                    <w:spacing w:before="0" w:beforeAutospacing="0" w:after="0" w:afterAutospacing="0"/>
                    <w:ind w:left="0" w:right="0"/>
                    <w:rPr>
                      <w:rFonts w:hint="default"/>
                      <w:color w:val="auto"/>
                      <w:highlight w:val="none"/>
                    </w:rPr>
                  </w:pPr>
                </w:p>
              </w:tc>
            </w:tr>
            <w:tr w14:paraId="0200FC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369F3CFD">
                  <w:pPr>
                    <w:pStyle w:val="114"/>
                    <w:keepNext w:val="0"/>
                    <w:keepLines w:val="0"/>
                    <w:suppressLineNumbers w:val="0"/>
                    <w:spacing w:before="0" w:beforeAutospacing="0" w:after="0" w:afterAutospacing="0"/>
                    <w:ind w:left="0" w:right="0"/>
                    <w:rPr>
                      <w:rFonts w:hint="default"/>
                      <w:color w:val="auto"/>
                      <w:highlight w:val="none"/>
                    </w:rPr>
                  </w:pPr>
                  <w:bookmarkStart w:id="252" w:name="_Toc1828"/>
                  <w:r>
                    <w:rPr>
                      <w:rFonts w:hint="default"/>
                      <w:color w:val="auto"/>
                      <w:highlight w:val="none"/>
                    </w:rPr>
                    <w:t>铅</w:t>
                  </w:r>
                  <w:bookmarkEnd w:id="252"/>
                </w:p>
              </w:tc>
              <w:tc>
                <w:tcPr>
                  <w:tcW w:w="905" w:type="dxa"/>
                  <w:vMerge w:val="continue"/>
                  <w:tcBorders>
                    <w:tl2br w:val="nil"/>
                    <w:tr2bl w:val="nil"/>
                  </w:tcBorders>
                  <w:vAlign w:val="center"/>
                </w:tcPr>
                <w:p w14:paraId="15F39526">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CAD811C">
                  <w:pPr>
                    <w:pStyle w:val="114"/>
                    <w:keepNext w:val="0"/>
                    <w:keepLines w:val="0"/>
                    <w:suppressLineNumbers w:val="0"/>
                    <w:spacing w:before="0" w:beforeAutospacing="0" w:after="0" w:afterAutospacing="0"/>
                    <w:ind w:left="0" w:right="0"/>
                    <w:rPr>
                      <w:rFonts w:hint="default"/>
                      <w:color w:val="auto"/>
                      <w:highlight w:val="none"/>
                    </w:rPr>
                  </w:pPr>
                  <w:bookmarkStart w:id="253" w:name="_Toc3519"/>
                  <w:r>
                    <w:rPr>
                      <w:rFonts w:hint="default"/>
                      <w:color w:val="auto"/>
                      <w:highlight w:val="none"/>
                    </w:rPr>
                    <w:t>≤0.01</w:t>
                  </w:r>
                  <w:bookmarkEnd w:id="253"/>
                </w:p>
              </w:tc>
              <w:tc>
                <w:tcPr>
                  <w:tcW w:w="1200" w:type="dxa"/>
                  <w:tcBorders>
                    <w:tl2br w:val="nil"/>
                    <w:tr2bl w:val="nil"/>
                  </w:tcBorders>
                  <w:vAlign w:val="center"/>
                </w:tcPr>
                <w:p w14:paraId="673EF2C0">
                  <w:pPr>
                    <w:pStyle w:val="114"/>
                    <w:keepNext w:val="0"/>
                    <w:keepLines w:val="0"/>
                    <w:suppressLineNumbers w:val="0"/>
                    <w:spacing w:before="0" w:beforeAutospacing="0" w:after="0" w:afterAutospacing="0"/>
                    <w:ind w:left="0" w:right="0"/>
                    <w:rPr>
                      <w:rFonts w:hint="default"/>
                      <w:color w:val="auto"/>
                      <w:highlight w:val="none"/>
                    </w:rPr>
                  </w:pPr>
                  <w:bookmarkStart w:id="254" w:name="_Toc9962"/>
                  <w:r>
                    <w:rPr>
                      <w:rFonts w:hint="default"/>
                      <w:color w:val="auto"/>
                      <w:highlight w:val="none"/>
                    </w:rPr>
                    <w:t>mg/L</w:t>
                  </w:r>
                  <w:bookmarkEnd w:id="254"/>
                </w:p>
              </w:tc>
              <w:tc>
                <w:tcPr>
                  <w:tcW w:w="1362" w:type="dxa"/>
                  <w:tcBorders>
                    <w:tl2br w:val="nil"/>
                    <w:tr2bl w:val="nil"/>
                  </w:tcBorders>
                  <w:vAlign w:val="center"/>
                </w:tcPr>
                <w:p w14:paraId="74F398F2">
                  <w:pPr>
                    <w:pStyle w:val="114"/>
                    <w:keepNext w:val="0"/>
                    <w:keepLines w:val="0"/>
                    <w:suppressLineNumbers w:val="0"/>
                    <w:spacing w:before="0" w:beforeAutospacing="0" w:after="0" w:afterAutospacing="0"/>
                    <w:ind w:left="0" w:right="0"/>
                    <w:rPr>
                      <w:rFonts w:hint="default"/>
                      <w:color w:val="auto"/>
                      <w:highlight w:val="none"/>
                    </w:rPr>
                  </w:pPr>
                  <w:bookmarkStart w:id="255" w:name="_Toc21539"/>
                  <w:r>
                    <w:rPr>
                      <w:rFonts w:hint="default"/>
                      <w:color w:val="auto"/>
                      <w:highlight w:val="none"/>
                    </w:rPr>
                    <w:t>0.00011</w:t>
                  </w:r>
                  <w:bookmarkEnd w:id="255"/>
                </w:p>
              </w:tc>
              <w:tc>
                <w:tcPr>
                  <w:tcW w:w="1113" w:type="dxa"/>
                  <w:tcBorders>
                    <w:tl2br w:val="nil"/>
                    <w:tr2bl w:val="nil"/>
                  </w:tcBorders>
                  <w:vAlign w:val="center"/>
                </w:tcPr>
                <w:p w14:paraId="403F7D04">
                  <w:pPr>
                    <w:pStyle w:val="114"/>
                    <w:keepNext w:val="0"/>
                    <w:keepLines w:val="0"/>
                    <w:suppressLineNumbers w:val="0"/>
                    <w:spacing w:before="0" w:beforeAutospacing="0" w:after="0" w:afterAutospacing="0"/>
                    <w:ind w:left="0" w:right="0"/>
                    <w:rPr>
                      <w:rFonts w:hint="default"/>
                      <w:color w:val="auto"/>
                      <w:highlight w:val="none"/>
                    </w:rPr>
                  </w:pPr>
                  <w:bookmarkStart w:id="256" w:name="_Toc9015"/>
                  <w:r>
                    <w:rPr>
                      <w:rFonts w:hint="default"/>
                      <w:color w:val="auto"/>
                      <w:highlight w:val="none"/>
                    </w:rPr>
                    <w:t>2.44E-07</w:t>
                  </w:r>
                  <w:bookmarkEnd w:id="256"/>
                </w:p>
              </w:tc>
              <w:tc>
                <w:tcPr>
                  <w:tcW w:w="964" w:type="dxa"/>
                  <w:vMerge w:val="continue"/>
                  <w:tcBorders>
                    <w:tl2br w:val="nil"/>
                    <w:tr2bl w:val="nil"/>
                  </w:tcBorders>
                  <w:vAlign w:val="center"/>
                </w:tcPr>
                <w:p w14:paraId="5EABDB17">
                  <w:pPr>
                    <w:pStyle w:val="114"/>
                    <w:keepNext w:val="0"/>
                    <w:keepLines w:val="0"/>
                    <w:suppressLineNumbers w:val="0"/>
                    <w:spacing w:before="0" w:beforeAutospacing="0" w:after="0" w:afterAutospacing="0"/>
                    <w:ind w:left="0" w:right="0"/>
                    <w:rPr>
                      <w:rFonts w:hint="default"/>
                      <w:color w:val="auto"/>
                      <w:highlight w:val="none"/>
                    </w:rPr>
                  </w:pPr>
                </w:p>
              </w:tc>
            </w:tr>
            <w:tr w14:paraId="61D1C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4AF1DD2">
                  <w:pPr>
                    <w:pStyle w:val="114"/>
                    <w:keepNext w:val="0"/>
                    <w:keepLines w:val="0"/>
                    <w:suppressLineNumbers w:val="0"/>
                    <w:spacing w:before="0" w:beforeAutospacing="0" w:after="0" w:afterAutospacing="0"/>
                    <w:ind w:left="0" w:right="0"/>
                    <w:rPr>
                      <w:rFonts w:hint="default"/>
                      <w:color w:val="auto"/>
                      <w:highlight w:val="none"/>
                    </w:rPr>
                  </w:pPr>
                  <w:bookmarkStart w:id="257" w:name="_Toc12019"/>
                  <w:r>
                    <w:rPr>
                      <w:rFonts w:hint="default"/>
                      <w:color w:val="auto"/>
                      <w:highlight w:val="none"/>
                    </w:rPr>
                    <w:t>挥发性酚类</w:t>
                  </w:r>
                  <w:bookmarkEnd w:id="257"/>
                </w:p>
              </w:tc>
              <w:tc>
                <w:tcPr>
                  <w:tcW w:w="905" w:type="dxa"/>
                  <w:vMerge w:val="continue"/>
                  <w:tcBorders>
                    <w:tl2br w:val="nil"/>
                    <w:tr2bl w:val="nil"/>
                  </w:tcBorders>
                  <w:vAlign w:val="center"/>
                </w:tcPr>
                <w:p w14:paraId="5D17F61A">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B492419">
                  <w:pPr>
                    <w:pStyle w:val="114"/>
                    <w:keepNext w:val="0"/>
                    <w:keepLines w:val="0"/>
                    <w:suppressLineNumbers w:val="0"/>
                    <w:spacing w:before="0" w:beforeAutospacing="0" w:after="0" w:afterAutospacing="0"/>
                    <w:ind w:left="0" w:right="0"/>
                    <w:rPr>
                      <w:rFonts w:hint="default"/>
                      <w:color w:val="auto"/>
                      <w:highlight w:val="none"/>
                    </w:rPr>
                  </w:pPr>
                  <w:bookmarkStart w:id="258" w:name="_Toc26952"/>
                  <w:r>
                    <w:rPr>
                      <w:rFonts w:hint="default"/>
                      <w:color w:val="auto"/>
                      <w:highlight w:val="none"/>
                    </w:rPr>
                    <w:t>≤0.002</w:t>
                  </w:r>
                  <w:bookmarkEnd w:id="258"/>
                </w:p>
              </w:tc>
              <w:tc>
                <w:tcPr>
                  <w:tcW w:w="1200" w:type="dxa"/>
                  <w:tcBorders>
                    <w:tl2br w:val="nil"/>
                    <w:tr2bl w:val="nil"/>
                  </w:tcBorders>
                  <w:vAlign w:val="center"/>
                </w:tcPr>
                <w:p w14:paraId="3FFADF6C">
                  <w:pPr>
                    <w:pStyle w:val="114"/>
                    <w:keepNext w:val="0"/>
                    <w:keepLines w:val="0"/>
                    <w:suppressLineNumbers w:val="0"/>
                    <w:spacing w:before="0" w:beforeAutospacing="0" w:after="0" w:afterAutospacing="0"/>
                    <w:ind w:left="0" w:right="0"/>
                    <w:rPr>
                      <w:rFonts w:hint="default"/>
                      <w:color w:val="auto"/>
                      <w:highlight w:val="none"/>
                    </w:rPr>
                  </w:pPr>
                  <w:bookmarkStart w:id="259" w:name="_Toc2138"/>
                  <w:r>
                    <w:rPr>
                      <w:rFonts w:hint="default"/>
                      <w:color w:val="auto"/>
                      <w:highlight w:val="none"/>
                    </w:rPr>
                    <w:t>mg/L</w:t>
                  </w:r>
                  <w:bookmarkEnd w:id="259"/>
                </w:p>
              </w:tc>
              <w:tc>
                <w:tcPr>
                  <w:tcW w:w="1362" w:type="dxa"/>
                  <w:tcBorders>
                    <w:tl2br w:val="nil"/>
                    <w:tr2bl w:val="nil"/>
                  </w:tcBorders>
                  <w:vAlign w:val="center"/>
                </w:tcPr>
                <w:p w14:paraId="165A1452">
                  <w:pPr>
                    <w:pStyle w:val="114"/>
                    <w:keepNext w:val="0"/>
                    <w:keepLines w:val="0"/>
                    <w:suppressLineNumbers w:val="0"/>
                    <w:spacing w:before="0" w:beforeAutospacing="0" w:after="0" w:afterAutospacing="0"/>
                    <w:ind w:left="0" w:right="0"/>
                    <w:rPr>
                      <w:rFonts w:hint="default"/>
                      <w:color w:val="auto"/>
                      <w:highlight w:val="none"/>
                    </w:rPr>
                  </w:pPr>
                  <w:bookmarkStart w:id="260" w:name="_Toc19678"/>
                  <w:r>
                    <w:rPr>
                      <w:rFonts w:hint="default"/>
                      <w:color w:val="auto"/>
                      <w:highlight w:val="none"/>
                    </w:rPr>
                    <w:t>0.0003</w:t>
                  </w:r>
                  <w:r>
                    <w:rPr>
                      <w:rFonts w:hint="default"/>
                      <w:color w:val="auto"/>
                      <w:highlight w:val="none"/>
                      <w:vertAlign w:val="subscript"/>
                    </w:rPr>
                    <w:t>L</w:t>
                  </w:r>
                  <w:bookmarkEnd w:id="260"/>
                </w:p>
              </w:tc>
              <w:tc>
                <w:tcPr>
                  <w:tcW w:w="1113" w:type="dxa"/>
                  <w:tcBorders>
                    <w:tl2br w:val="nil"/>
                    <w:tr2bl w:val="nil"/>
                  </w:tcBorders>
                  <w:vAlign w:val="center"/>
                </w:tcPr>
                <w:p w14:paraId="18CA385A">
                  <w:pPr>
                    <w:pStyle w:val="114"/>
                    <w:keepNext w:val="0"/>
                    <w:keepLines w:val="0"/>
                    <w:suppressLineNumbers w:val="0"/>
                    <w:spacing w:before="0" w:beforeAutospacing="0" w:after="0" w:afterAutospacing="0"/>
                    <w:ind w:left="0" w:right="0"/>
                    <w:rPr>
                      <w:rFonts w:hint="default"/>
                      <w:color w:val="auto"/>
                      <w:highlight w:val="none"/>
                    </w:rPr>
                  </w:pPr>
                  <w:bookmarkStart w:id="261" w:name="_Toc13910"/>
                  <w:r>
                    <w:rPr>
                      <w:rFonts w:hint="eastAsia"/>
                      <w:color w:val="auto"/>
                      <w:highlight w:val="none"/>
                    </w:rPr>
                    <w:t>/</w:t>
                  </w:r>
                  <w:bookmarkEnd w:id="261"/>
                </w:p>
              </w:tc>
              <w:tc>
                <w:tcPr>
                  <w:tcW w:w="964" w:type="dxa"/>
                  <w:vMerge w:val="continue"/>
                  <w:tcBorders>
                    <w:tl2br w:val="nil"/>
                    <w:tr2bl w:val="nil"/>
                  </w:tcBorders>
                  <w:vAlign w:val="center"/>
                </w:tcPr>
                <w:p w14:paraId="20E08EC4">
                  <w:pPr>
                    <w:pStyle w:val="114"/>
                    <w:keepNext w:val="0"/>
                    <w:keepLines w:val="0"/>
                    <w:suppressLineNumbers w:val="0"/>
                    <w:spacing w:before="0" w:beforeAutospacing="0" w:after="0" w:afterAutospacing="0"/>
                    <w:ind w:left="0" w:right="0"/>
                    <w:rPr>
                      <w:rFonts w:hint="default"/>
                      <w:color w:val="auto"/>
                      <w:highlight w:val="none"/>
                    </w:rPr>
                  </w:pPr>
                </w:p>
              </w:tc>
            </w:tr>
            <w:tr w14:paraId="59C224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7E9D76D1">
                  <w:pPr>
                    <w:pStyle w:val="114"/>
                    <w:keepNext w:val="0"/>
                    <w:keepLines w:val="0"/>
                    <w:suppressLineNumbers w:val="0"/>
                    <w:spacing w:before="0" w:beforeAutospacing="0" w:after="0" w:afterAutospacing="0"/>
                    <w:ind w:left="0" w:right="0"/>
                    <w:rPr>
                      <w:rFonts w:hint="default"/>
                      <w:color w:val="auto"/>
                      <w:highlight w:val="none"/>
                    </w:rPr>
                  </w:pPr>
                  <w:bookmarkStart w:id="262" w:name="_Toc16468"/>
                  <w:r>
                    <w:rPr>
                      <w:rFonts w:hint="default"/>
                      <w:color w:val="auto"/>
                      <w:highlight w:val="none"/>
                    </w:rPr>
                    <w:t>硝酸盐</w:t>
                  </w:r>
                  <w:bookmarkEnd w:id="262"/>
                </w:p>
              </w:tc>
              <w:tc>
                <w:tcPr>
                  <w:tcW w:w="905" w:type="dxa"/>
                  <w:vMerge w:val="continue"/>
                  <w:tcBorders>
                    <w:tl2br w:val="nil"/>
                    <w:tr2bl w:val="nil"/>
                  </w:tcBorders>
                  <w:vAlign w:val="center"/>
                </w:tcPr>
                <w:p w14:paraId="79E42E40">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1CF570B">
                  <w:pPr>
                    <w:pStyle w:val="114"/>
                    <w:keepNext w:val="0"/>
                    <w:keepLines w:val="0"/>
                    <w:suppressLineNumbers w:val="0"/>
                    <w:spacing w:before="0" w:beforeAutospacing="0" w:after="0" w:afterAutospacing="0"/>
                    <w:ind w:left="0" w:right="0"/>
                    <w:rPr>
                      <w:rFonts w:hint="default"/>
                      <w:color w:val="auto"/>
                      <w:highlight w:val="none"/>
                    </w:rPr>
                  </w:pPr>
                  <w:bookmarkStart w:id="263" w:name="_Toc19677"/>
                  <w:r>
                    <w:rPr>
                      <w:rFonts w:hint="default"/>
                      <w:color w:val="auto"/>
                      <w:highlight w:val="none"/>
                    </w:rPr>
                    <w:t>≤20</w:t>
                  </w:r>
                  <w:bookmarkEnd w:id="263"/>
                </w:p>
              </w:tc>
              <w:tc>
                <w:tcPr>
                  <w:tcW w:w="1200" w:type="dxa"/>
                  <w:tcBorders>
                    <w:tl2br w:val="nil"/>
                    <w:tr2bl w:val="nil"/>
                  </w:tcBorders>
                  <w:vAlign w:val="center"/>
                </w:tcPr>
                <w:p w14:paraId="4A4B1C55">
                  <w:pPr>
                    <w:pStyle w:val="114"/>
                    <w:keepNext w:val="0"/>
                    <w:keepLines w:val="0"/>
                    <w:suppressLineNumbers w:val="0"/>
                    <w:spacing w:before="0" w:beforeAutospacing="0" w:after="0" w:afterAutospacing="0"/>
                    <w:ind w:left="0" w:right="0"/>
                    <w:rPr>
                      <w:rFonts w:hint="default"/>
                      <w:color w:val="auto"/>
                      <w:highlight w:val="none"/>
                    </w:rPr>
                  </w:pPr>
                  <w:bookmarkStart w:id="264" w:name="_Toc28322"/>
                  <w:r>
                    <w:rPr>
                      <w:rFonts w:hint="default"/>
                      <w:color w:val="auto"/>
                      <w:highlight w:val="none"/>
                    </w:rPr>
                    <w:t>mg/L</w:t>
                  </w:r>
                  <w:bookmarkEnd w:id="264"/>
                </w:p>
              </w:tc>
              <w:tc>
                <w:tcPr>
                  <w:tcW w:w="1362" w:type="dxa"/>
                  <w:tcBorders>
                    <w:tl2br w:val="nil"/>
                    <w:tr2bl w:val="nil"/>
                  </w:tcBorders>
                  <w:vAlign w:val="center"/>
                </w:tcPr>
                <w:p w14:paraId="3E8AD2D4">
                  <w:pPr>
                    <w:pStyle w:val="114"/>
                    <w:keepNext w:val="0"/>
                    <w:keepLines w:val="0"/>
                    <w:suppressLineNumbers w:val="0"/>
                    <w:spacing w:before="0" w:beforeAutospacing="0" w:after="0" w:afterAutospacing="0"/>
                    <w:ind w:left="0" w:right="0"/>
                    <w:rPr>
                      <w:rFonts w:hint="default"/>
                      <w:color w:val="auto"/>
                      <w:highlight w:val="none"/>
                    </w:rPr>
                  </w:pPr>
                  <w:bookmarkStart w:id="265" w:name="_Toc7777"/>
                  <w:r>
                    <w:rPr>
                      <w:rFonts w:hint="eastAsia"/>
                      <w:color w:val="auto"/>
                      <w:highlight w:val="none"/>
                    </w:rPr>
                    <w:t>5.45</w:t>
                  </w:r>
                  <w:bookmarkEnd w:id="265"/>
                </w:p>
              </w:tc>
              <w:tc>
                <w:tcPr>
                  <w:tcW w:w="1113" w:type="dxa"/>
                  <w:tcBorders>
                    <w:tl2br w:val="nil"/>
                    <w:tr2bl w:val="nil"/>
                  </w:tcBorders>
                  <w:vAlign w:val="center"/>
                </w:tcPr>
                <w:p w14:paraId="6EC6E2B5">
                  <w:pPr>
                    <w:pStyle w:val="114"/>
                    <w:keepNext w:val="0"/>
                    <w:keepLines w:val="0"/>
                    <w:suppressLineNumbers w:val="0"/>
                    <w:spacing w:before="0" w:beforeAutospacing="0" w:after="0" w:afterAutospacing="0"/>
                    <w:ind w:left="0" w:right="0"/>
                    <w:rPr>
                      <w:rFonts w:hint="default"/>
                      <w:color w:val="auto"/>
                      <w:highlight w:val="none"/>
                    </w:rPr>
                  </w:pPr>
                  <w:bookmarkStart w:id="266" w:name="_Toc20079"/>
                  <w:r>
                    <w:rPr>
                      <w:rFonts w:hint="default"/>
                      <w:color w:val="auto"/>
                      <w:highlight w:val="none"/>
                    </w:rPr>
                    <w:t>0.01</w:t>
                  </w:r>
                  <w:bookmarkEnd w:id="266"/>
                </w:p>
              </w:tc>
              <w:tc>
                <w:tcPr>
                  <w:tcW w:w="964" w:type="dxa"/>
                  <w:vMerge w:val="continue"/>
                  <w:tcBorders>
                    <w:tl2br w:val="nil"/>
                    <w:tr2bl w:val="nil"/>
                  </w:tcBorders>
                  <w:vAlign w:val="center"/>
                </w:tcPr>
                <w:p w14:paraId="5EF435D5">
                  <w:pPr>
                    <w:pStyle w:val="114"/>
                    <w:keepNext w:val="0"/>
                    <w:keepLines w:val="0"/>
                    <w:suppressLineNumbers w:val="0"/>
                    <w:spacing w:before="0" w:beforeAutospacing="0" w:after="0" w:afterAutospacing="0"/>
                    <w:ind w:left="0" w:right="0"/>
                    <w:rPr>
                      <w:rFonts w:hint="default"/>
                      <w:color w:val="auto"/>
                      <w:highlight w:val="none"/>
                    </w:rPr>
                  </w:pPr>
                </w:p>
              </w:tc>
            </w:tr>
            <w:tr w14:paraId="42427F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09C38A3D">
                  <w:pPr>
                    <w:pStyle w:val="114"/>
                    <w:keepNext w:val="0"/>
                    <w:keepLines w:val="0"/>
                    <w:suppressLineNumbers w:val="0"/>
                    <w:spacing w:before="0" w:beforeAutospacing="0" w:after="0" w:afterAutospacing="0"/>
                    <w:ind w:left="0" w:right="0"/>
                    <w:rPr>
                      <w:rFonts w:hint="default"/>
                      <w:color w:val="auto"/>
                      <w:highlight w:val="none"/>
                    </w:rPr>
                  </w:pPr>
                  <w:bookmarkStart w:id="267" w:name="_Toc17689"/>
                  <w:r>
                    <w:rPr>
                      <w:rFonts w:hint="default"/>
                      <w:color w:val="auto"/>
                      <w:highlight w:val="none"/>
                    </w:rPr>
                    <w:t>亚硝酸盐</w:t>
                  </w:r>
                  <w:bookmarkEnd w:id="267"/>
                </w:p>
              </w:tc>
              <w:tc>
                <w:tcPr>
                  <w:tcW w:w="905" w:type="dxa"/>
                  <w:vMerge w:val="continue"/>
                  <w:tcBorders>
                    <w:tl2br w:val="nil"/>
                    <w:tr2bl w:val="nil"/>
                  </w:tcBorders>
                  <w:vAlign w:val="center"/>
                </w:tcPr>
                <w:p w14:paraId="2D9AED6D">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2B9328F8">
                  <w:pPr>
                    <w:pStyle w:val="114"/>
                    <w:keepNext w:val="0"/>
                    <w:keepLines w:val="0"/>
                    <w:suppressLineNumbers w:val="0"/>
                    <w:spacing w:before="0" w:beforeAutospacing="0" w:after="0" w:afterAutospacing="0"/>
                    <w:ind w:left="0" w:right="0"/>
                    <w:rPr>
                      <w:rFonts w:hint="default"/>
                      <w:color w:val="auto"/>
                      <w:highlight w:val="none"/>
                    </w:rPr>
                  </w:pPr>
                  <w:bookmarkStart w:id="268" w:name="_Toc16015"/>
                  <w:r>
                    <w:rPr>
                      <w:rFonts w:hint="default"/>
                      <w:color w:val="auto"/>
                      <w:highlight w:val="none"/>
                    </w:rPr>
                    <w:t>≤1.00</w:t>
                  </w:r>
                  <w:bookmarkEnd w:id="268"/>
                </w:p>
              </w:tc>
              <w:tc>
                <w:tcPr>
                  <w:tcW w:w="1200" w:type="dxa"/>
                  <w:tcBorders>
                    <w:tl2br w:val="nil"/>
                    <w:tr2bl w:val="nil"/>
                  </w:tcBorders>
                  <w:vAlign w:val="center"/>
                </w:tcPr>
                <w:p w14:paraId="479778AD">
                  <w:pPr>
                    <w:pStyle w:val="114"/>
                    <w:keepNext w:val="0"/>
                    <w:keepLines w:val="0"/>
                    <w:suppressLineNumbers w:val="0"/>
                    <w:spacing w:before="0" w:beforeAutospacing="0" w:after="0" w:afterAutospacing="0"/>
                    <w:ind w:left="0" w:right="0"/>
                    <w:rPr>
                      <w:rFonts w:hint="default"/>
                      <w:color w:val="auto"/>
                      <w:highlight w:val="none"/>
                    </w:rPr>
                  </w:pPr>
                  <w:bookmarkStart w:id="269" w:name="_Toc9215"/>
                  <w:r>
                    <w:rPr>
                      <w:rFonts w:hint="default"/>
                      <w:color w:val="auto"/>
                      <w:highlight w:val="none"/>
                    </w:rPr>
                    <w:t>mg/L</w:t>
                  </w:r>
                  <w:bookmarkEnd w:id="269"/>
                </w:p>
              </w:tc>
              <w:tc>
                <w:tcPr>
                  <w:tcW w:w="1362" w:type="dxa"/>
                  <w:tcBorders>
                    <w:tl2br w:val="nil"/>
                    <w:tr2bl w:val="nil"/>
                  </w:tcBorders>
                  <w:vAlign w:val="center"/>
                </w:tcPr>
                <w:p w14:paraId="18FD62BC">
                  <w:pPr>
                    <w:pStyle w:val="114"/>
                    <w:keepNext w:val="0"/>
                    <w:keepLines w:val="0"/>
                    <w:suppressLineNumbers w:val="0"/>
                    <w:spacing w:before="0" w:beforeAutospacing="0" w:after="0" w:afterAutospacing="0"/>
                    <w:ind w:left="0" w:right="0"/>
                    <w:rPr>
                      <w:rFonts w:hint="default"/>
                      <w:color w:val="auto"/>
                      <w:highlight w:val="none"/>
                    </w:rPr>
                  </w:pPr>
                  <w:bookmarkStart w:id="270" w:name="_Toc32681"/>
                  <w:r>
                    <w:rPr>
                      <w:rFonts w:hint="default"/>
                      <w:color w:val="auto"/>
                      <w:highlight w:val="none"/>
                    </w:rPr>
                    <w:t>0.005</w:t>
                  </w:r>
                  <w:r>
                    <w:rPr>
                      <w:rFonts w:hint="default"/>
                      <w:color w:val="auto"/>
                      <w:highlight w:val="none"/>
                      <w:vertAlign w:val="subscript"/>
                    </w:rPr>
                    <w:t>L</w:t>
                  </w:r>
                  <w:bookmarkEnd w:id="270"/>
                </w:p>
              </w:tc>
              <w:tc>
                <w:tcPr>
                  <w:tcW w:w="1113" w:type="dxa"/>
                  <w:tcBorders>
                    <w:tl2br w:val="nil"/>
                    <w:tr2bl w:val="nil"/>
                  </w:tcBorders>
                  <w:vAlign w:val="center"/>
                </w:tcPr>
                <w:p w14:paraId="4BC190A0">
                  <w:pPr>
                    <w:pStyle w:val="114"/>
                    <w:keepNext w:val="0"/>
                    <w:keepLines w:val="0"/>
                    <w:suppressLineNumbers w:val="0"/>
                    <w:spacing w:before="0" w:beforeAutospacing="0" w:after="0" w:afterAutospacing="0"/>
                    <w:ind w:left="0" w:right="0"/>
                    <w:rPr>
                      <w:rFonts w:hint="default"/>
                      <w:color w:val="auto"/>
                      <w:highlight w:val="none"/>
                    </w:rPr>
                  </w:pPr>
                  <w:bookmarkStart w:id="271" w:name="_Toc1131"/>
                  <w:r>
                    <w:rPr>
                      <w:rFonts w:hint="eastAsia"/>
                      <w:color w:val="auto"/>
                      <w:highlight w:val="none"/>
                    </w:rPr>
                    <w:t>/</w:t>
                  </w:r>
                  <w:bookmarkEnd w:id="271"/>
                </w:p>
              </w:tc>
              <w:tc>
                <w:tcPr>
                  <w:tcW w:w="964" w:type="dxa"/>
                  <w:vMerge w:val="continue"/>
                  <w:tcBorders>
                    <w:tl2br w:val="nil"/>
                    <w:tr2bl w:val="nil"/>
                  </w:tcBorders>
                  <w:vAlign w:val="center"/>
                </w:tcPr>
                <w:p w14:paraId="5BD62B28">
                  <w:pPr>
                    <w:pStyle w:val="114"/>
                    <w:keepNext w:val="0"/>
                    <w:keepLines w:val="0"/>
                    <w:suppressLineNumbers w:val="0"/>
                    <w:spacing w:before="0" w:beforeAutospacing="0" w:after="0" w:afterAutospacing="0"/>
                    <w:ind w:left="0" w:right="0"/>
                    <w:rPr>
                      <w:rFonts w:hint="default"/>
                      <w:color w:val="auto"/>
                      <w:highlight w:val="none"/>
                    </w:rPr>
                  </w:pPr>
                </w:p>
              </w:tc>
            </w:tr>
            <w:tr w14:paraId="6DD131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2A7FAE3">
                  <w:pPr>
                    <w:pStyle w:val="114"/>
                    <w:keepNext w:val="0"/>
                    <w:keepLines w:val="0"/>
                    <w:suppressLineNumbers w:val="0"/>
                    <w:spacing w:before="0" w:beforeAutospacing="0" w:after="0" w:afterAutospacing="0"/>
                    <w:ind w:left="0" w:right="0"/>
                    <w:rPr>
                      <w:rFonts w:hint="default"/>
                      <w:color w:val="auto"/>
                      <w:highlight w:val="none"/>
                    </w:rPr>
                  </w:pPr>
                  <w:bookmarkStart w:id="272" w:name="_Toc15321"/>
                  <w:r>
                    <w:rPr>
                      <w:rFonts w:hint="default"/>
                      <w:color w:val="auto"/>
                      <w:highlight w:val="none"/>
                    </w:rPr>
                    <w:t>氰化物</w:t>
                  </w:r>
                  <w:bookmarkEnd w:id="272"/>
                </w:p>
              </w:tc>
              <w:tc>
                <w:tcPr>
                  <w:tcW w:w="905" w:type="dxa"/>
                  <w:vMerge w:val="continue"/>
                  <w:tcBorders>
                    <w:tl2br w:val="nil"/>
                    <w:tr2bl w:val="nil"/>
                  </w:tcBorders>
                  <w:vAlign w:val="center"/>
                </w:tcPr>
                <w:p w14:paraId="6150CFC6">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43FBBB0">
                  <w:pPr>
                    <w:pStyle w:val="114"/>
                    <w:keepNext w:val="0"/>
                    <w:keepLines w:val="0"/>
                    <w:suppressLineNumbers w:val="0"/>
                    <w:spacing w:before="0" w:beforeAutospacing="0" w:after="0" w:afterAutospacing="0"/>
                    <w:ind w:left="0" w:right="0"/>
                    <w:rPr>
                      <w:rFonts w:hint="default"/>
                      <w:color w:val="auto"/>
                      <w:highlight w:val="none"/>
                    </w:rPr>
                  </w:pPr>
                  <w:bookmarkStart w:id="273" w:name="_Toc23967"/>
                  <w:r>
                    <w:rPr>
                      <w:rFonts w:hint="default"/>
                      <w:color w:val="auto"/>
                      <w:highlight w:val="none"/>
                    </w:rPr>
                    <w:t>≤0.05</w:t>
                  </w:r>
                  <w:bookmarkEnd w:id="273"/>
                </w:p>
              </w:tc>
              <w:tc>
                <w:tcPr>
                  <w:tcW w:w="1200" w:type="dxa"/>
                  <w:tcBorders>
                    <w:tl2br w:val="nil"/>
                    <w:tr2bl w:val="nil"/>
                  </w:tcBorders>
                  <w:vAlign w:val="center"/>
                </w:tcPr>
                <w:p w14:paraId="4C104A32">
                  <w:pPr>
                    <w:pStyle w:val="114"/>
                    <w:keepNext w:val="0"/>
                    <w:keepLines w:val="0"/>
                    <w:suppressLineNumbers w:val="0"/>
                    <w:spacing w:before="0" w:beforeAutospacing="0" w:after="0" w:afterAutospacing="0"/>
                    <w:ind w:left="0" w:right="0"/>
                    <w:rPr>
                      <w:rFonts w:hint="default"/>
                      <w:color w:val="auto"/>
                      <w:highlight w:val="none"/>
                    </w:rPr>
                  </w:pPr>
                  <w:bookmarkStart w:id="274" w:name="_Toc5254"/>
                  <w:r>
                    <w:rPr>
                      <w:rFonts w:hint="default"/>
                      <w:color w:val="auto"/>
                      <w:highlight w:val="none"/>
                    </w:rPr>
                    <w:t>mg/L</w:t>
                  </w:r>
                  <w:bookmarkEnd w:id="274"/>
                </w:p>
              </w:tc>
              <w:tc>
                <w:tcPr>
                  <w:tcW w:w="1362" w:type="dxa"/>
                  <w:tcBorders>
                    <w:tl2br w:val="nil"/>
                    <w:tr2bl w:val="nil"/>
                  </w:tcBorders>
                  <w:vAlign w:val="center"/>
                </w:tcPr>
                <w:p w14:paraId="27FB325D">
                  <w:pPr>
                    <w:pStyle w:val="114"/>
                    <w:keepNext w:val="0"/>
                    <w:keepLines w:val="0"/>
                    <w:suppressLineNumbers w:val="0"/>
                    <w:spacing w:before="0" w:beforeAutospacing="0" w:after="0" w:afterAutospacing="0"/>
                    <w:ind w:left="0" w:right="0"/>
                    <w:rPr>
                      <w:rFonts w:hint="default"/>
                      <w:color w:val="auto"/>
                      <w:highlight w:val="none"/>
                    </w:rPr>
                  </w:pPr>
                  <w:bookmarkStart w:id="275" w:name="_Toc32215"/>
                  <w:r>
                    <w:rPr>
                      <w:rFonts w:hint="default"/>
                      <w:color w:val="auto"/>
                      <w:highlight w:val="none"/>
                    </w:rPr>
                    <w:t>0.969</w:t>
                  </w:r>
                  <w:bookmarkEnd w:id="275"/>
                </w:p>
              </w:tc>
              <w:tc>
                <w:tcPr>
                  <w:tcW w:w="1113" w:type="dxa"/>
                  <w:tcBorders>
                    <w:tl2br w:val="nil"/>
                    <w:tr2bl w:val="nil"/>
                  </w:tcBorders>
                  <w:vAlign w:val="center"/>
                </w:tcPr>
                <w:p w14:paraId="6AC7D739">
                  <w:pPr>
                    <w:pStyle w:val="114"/>
                    <w:keepNext w:val="0"/>
                    <w:keepLines w:val="0"/>
                    <w:suppressLineNumbers w:val="0"/>
                    <w:spacing w:before="0" w:beforeAutospacing="0" w:after="0" w:afterAutospacing="0"/>
                    <w:ind w:left="0" w:right="0"/>
                    <w:rPr>
                      <w:rFonts w:hint="default"/>
                      <w:color w:val="auto"/>
                      <w:highlight w:val="none"/>
                    </w:rPr>
                  </w:pPr>
                  <w:bookmarkStart w:id="276" w:name="_Toc12230"/>
                  <w:r>
                    <w:rPr>
                      <w:rFonts w:hint="default"/>
                      <w:color w:val="auto"/>
                      <w:szCs w:val="21"/>
                      <w:highlight w:val="none"/>
                    </w:rPr>
                    <w:t>0.0022</w:t>
                  </w:r>
                  <w:bookmarkEnd w:id="276"/>
                </w:p>
              </w:tc>
              <w:tc>
                <w:tcPr>
                  <w:tcW w:w="964" w:type="dxa"/>
                  <w:vMerge w:val="continue"/>
                  <w:tcBorders>
                    <w:tl2br w:val="nil"/>
                    <w:tr2bl w:val="nil"/>
                  </w:tcBorders>
                  <w:vAlign w:val="center"/>
                </w:tcPr>
                <w:p w14:paraId="0F98A3D1">
                  <w:pPr>
                    <w:pStyle w:val="114"/>
                    <w:keepNext w:val="0"/>
                    <w:keepLines w:val="0"/>
                    <w:suppressLineNumbers w:val="0"/>
                    <w:spacing w:before="0" w:beforeAutospacing="0" w:after="0" w:afterAutospacing="0"/>
                    <w:ind w:left="0" w:right="0"/>
                    <w:rPr>
                      <w:rFonts w:hint="default"/>
                      <w:color w:val="auto"/>
                      <w:highlight w:val="none"/>
                    </w:rPr>
                  </w:pPr>
                </w:p>
              </w:tc>
            </w:tr>
            <w:tr w14:paraId="17B756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22BF2584">
                  <w:pPr>
                    <w:pStyle w:val="114"/>
                    <w:keepNext w:val="0"/>
                    <w:keepLines w:val="0"/>
                    <w:suppressLineNumbers w:val="0"/>
                    <w:spacing w:before="0" w:beforeAutospacing="0" w:after="0" w:afterAutospacing="0"/>
                    <w:ind w:left="0" w:right="0"/>
                    <w:rPr>
                      <w:rFonts w:hint="default"/>
                      <w:color w:val="auto"/>
                      <w:highlight w:val="none"/>
                    </w:rPr>
                  </w:pPr>
                  <w:bookmarkStart w:id="277" w:name="_Toc18568"/>
                  <w:r>
                    <w:rPr>
                      <w:rFonts w:hint="default"/>
                      <w:color w:val="auto"/>
                      <w:highlight w:val="none"/>
                    </w:rPr>
                    <w:t>砷</w:t>
                  </w:r>
                  <w:bookmarkEnd w:id="277"/>
                </w:p>
              </w:tc>
              <w:tc>
                <w:tcPr>
                  <w:tcW w:w="905" w:type="dxa"/>
                  <w:vMerge w:val="continue"/>
                  <w:tcBorders>
                    <w:tl2br w:val="nil"/>
                    <w:tr2bl w:val="nil"/>
                  </w:tcBorders>
                  <w:vAlign w:val="center"/>
                </w:tcPr>
                <w:p w14:paraId="1A0F0289">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CE1037B">
                  <w:pPr>
                    <w:pStyle w:val="114"/>
                    <w:keepNext w:val="0"/>
                    <w:keepLines w:val="0"/>
                    <w:suppressLineNumbers w:val="0"/>
                    <w:spacing w:before="0" w:beforeAutospacing="0" w:after="0" w:afterAutospacing="0"/>
                    <w:ind w:left="0" w:right="0"/>
                    <w:rPr>
                      <w:rFonts w:hint="default"/>
                      <w:color w:val="auto"/>
                      <w:highlight w:val="none"/>
                    </w:rPr>
                  </w:pPr>
                  <w:bookmarkStart w:id="278" w:name="_Toc18947"/>
                  <w:r>
                    <w:rPr>
                      <w:rFonts w:hint="default"/>
                      <w:color w:val="auto"/>
                      <w:highlight w:val="none"/>
                    </w:rPr>
                    <w:t>≤0.01</w:t>
                  </w:r>
                  <w:bookmarkEnd w:id="278"/>
                </w:p>
              </w:tc>
              <w:tc>
                <w:tcPr>
                  <w:tcW w:w="1200" w:type="dxa"/>
                  <w:tcBorders>
                    <w:tl2br w:val="nil"/>
                    <w:tr2bl w:val="nil"/>
                  </w:tcBorders>
                  <w:vAlign w:val="center"/>
                </w:tcPr>
                <w:p w14:paraId="6F4F6AFC">
                  <w:pPr>
                    <w:pStyle w:val="114"/>
                    <w:keepNext w:val="0"/>
                    <w:keepLines w:val="0"/>
                    <w:suppressLineNumbers w:val="0"/>
                    <w:spacing w:before="0" w:beforeAutospacing="0" w:after="0" w:afterAutospacing="0"/>
                    <w:ind w:left="0" w:right="0"/>
                    <w:rPr>
                      <w:rFonts w:hint="default"/>
                      <w:color w:val="auto"/>
                      <w:highlight w:val="none"/>
                    </w:rPr>
                  </w:pPr>
                  <w:bookmarkStart w:id="279" w:name="_Toc7164"/>
                  <w:r>
                    <w:rPr>
                      <w:rFonts w:hint="default"/>
                      <w:color w:val="auto"/>
                      <w:highlight w:val="none"/>
                    </w:rPr>
                    <w:t>mg/L</w:t>
                  </w:r>
                  <w:bookmarkEnd w:id="279"/>
                </w:p>
              </w:tc>
              <w:tc>
                <w:tcPr>
                  <w:tcW w:w="1362" w:type="dxa"/>
                  <w:tcBorders>
                    <w:tl2br w:val="nil"/>
                    <w:tr2bl w:val="nil"/>
                  </w:tcBorders>
                  <w:vAlign w:val="center"/>
                </w:tcPr>
                <w:p w14:paraId="54C83590">
                  <w:pPr>
                    <w:pStyle w:val="114"/>
                    <w:keepNext w:val="0"/>
                    <w:keepLines w:val="0"/>
                    <w:suppressLineNumbers w:val="0"/>
                    <w:spacing w:before="0" w:beforeAutospacing="0" w:after="0" w:afterAutospacing="0"/>
                    <w:ind w:left="0" w:right="0"/>
                    <w:rPr>
                      <w:rFonts w:hint="default"/>
                      <w:color w:val="auto"/>
                      <w:highlight w:val="none"/>
                    </w:rPr>
                  </w:pPr>
                  <w:bookmarkStart w:id="280" w:name="_Toc13767"/>
                  <w:r>
                    <w:rPr>
                      <w:rFonts w:hint="default"/>
                      <w:color w:val="auto"/>
                      <w:highlight w:val="none"/>
                    </w:rPr>
                    <w:t>0.00095</w:t>
                  </w:r>
                  <w:bookmarkEnd w:id="280"/>
                </w:p>
              </w:tc>
              <w:tc>
                <w:tcPr>
                  <w:tcW w:w="1113" w:type="dxa"/>
                  <w:tcBorders>
                    <w:tl2br w:val="nil"/>
                    <w:tr2bl w:val="nil"/>
                  </w:tcBorders>
                  <w:vAlign w:val="center"/>
                </w:tcPr>
                <w:p w14:paraId="1FBBC46F">
                  <w:pPr>
                    <w:pStyle w:val="114"/>
                    <w:keepNext w:val="0"/>
                    <w:keepLines w:val="0"/>
                    <w:suppressLineNumbers w:val="0"/>
                    <w:spacing w:before="0" w:beforeAutospacing="0" w:after="0" w:afterAutospacing="0"/>
                    <w:ind w:left="0" w:right="0"/>
                    <w:rPr>
                      <w:rFonts w:hint="default"/>
                      <w:color w:val="auto"/>
                      <w:highlight w:val="none"/>
                    </w:rPr>
                  </w:pPr>
                  <w:bookmarkStart w:id="281" w:name="_Toc16493"/>
                  <w:r>
                    <w:rPr>
                      <w:rFonts w:hint="default"/>
                      <w:color w:val="auto"/>
                      <w:szCs w:val="21"/>
                      <w:highlight w:val="none"/>
                    </w:rPr>
                    <w:t>2.11E-06</w:t>
                  </w:r>
                  <w:bookmarkEnd w:id="281"/>
                </w:p>
              </w:tc>
              <w:tc>
                <w:tcPr>
                  <w:tcW w:w="964" w:type="dxa"/>
                  <w:vMerge w:val="continue"/>
                  <w:tcBorders>
                    <w:tl2br w:val="nil"/>
                    <w:tr2bl w:val="nil"/>
                  </w:tcBorders>
                  <w:vAlign w:val="center"/>
                </w:tcPr>
                <w:p w14:paraId="016B981E">
                  <w:pPr>
                    <w:pStyle w:val="114"/>
                    <w:keepNext w:val="0"/>
                    <w:keepLines w:val="0"/>
                    <w:suppressLineNumbers w:val="0"/>
                    <w:spacing w:before="0" w:beforeAutospacing="0" w:after="0" w:afterAutospacing="0"/>
                    <w:ind w:left="0" w:right="0"/>
                    <w:rPr>
                      <w:rFonts w:hint="default"/>
                      <w:color w:val="auto"/>
                      <w:highlight w:val="none"/>
                    </w:rPr>
                  </w:pPr>
                </w:p>
              </w:tc>
            </w:tr>
            <w:tr w14:paraId="042E68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06D5F6D6">
                  <w:pPr>
                    <w:pStyle w:val="114"/>
                    <w:keepNext w:val="0"/>
                    <w:keepLines w:val="0"/>
                    <w:suppressLineNumbers w:val="0"/>
                    <w:spacing w:before="0" w:beforeAutospacing="0" w:after="0" w:afterAutospacing="0"/>
                    <w:ind w:left="0" w:right="0"/>
                    <w:rPr>
                      <w:rFonts w:hint="default"/>
                      <w:color w:val="auto"/>
                      <w:highlight w:val="none"/>
                    </w:rPr>
                  </w:pPr>
                  <w:bookmarkStart w:id="282" w:name="_Toc17108"/>
                  <w:r>
                    <w:rPr>
                      <w:rFonts w:hint="default"/>
                      <w:color w:val="auto"/>
                      <w:highlight w:val="none"/>
                    </w:rPr>
                    <w:t>汞</w:t>
                  </w:r>
                  <w:bookmarkEnd w:id="282"/>
                </w:p>
              </w:tc>
              <w:tc>
                <w:tcPr>
                  <w:tcW w:w="905" w:type="dxa"/>
                  <w:vMerge w:val="continue"/>
                  <w:tcBorders>
                    <w:tl2br w:val="nil"/>
                    <w:tr2bl w:val="nil"/>
                  </w:tcBorders>
                  <w:vAlign w:val="center"/>
                </w:tcPr>
                <w:p w14:paraId="596B35CD">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00FBCCF2">
                  <w:pPr>
                    <w:pStyle w:val="114"/>
                    <w:keepNext w:val="0"/>
                    <w:keepLines w:val="0"/>
                    <w:suppressLineNumbers w:val="0"/>
                    <w:spacing w:before="0" w:beforeAutospacing="0" w:after="0" w:afterAutospacing="0"/>
                    <w:ind w:left="0" w:right="0"/>
                    <w:rPr>
                      <w:rFonts w:hint="default"/>
                      <w:color w:val="auto"/>
                      <w:highlight w:val="none"/>
                    </w:rPr>
                  </w:pPr>
                  <w:bookmarkStart w:id="283" w:name="_Toc5447"/>
                  <w:r>
                    <w:rPr>
                      <w:rFonts w:hint="default"/>
                      <w:color w:val="auto"/>
                      <w:highlight w:val="none"/>
                    </w:rPr>
                    <w:t>≤0.001</w:t>
                  </w:r>
                  <w:bookmarkEnd w:id="283"/>
                </w:p>
              </w:tc>
              <w:tc>
                <w:tcPr>
                  <w:tcW w:w="1200" w:type="dxa"/>
                  <w:tcBorders>
                    <w:tl2br w:val="nil"/>
                    <w:tr2bl w:val="nil"/>
                  </w:tcBorders>
                  <w:vAlign w:val="center"/>
                </w:tcPr>
                <w:p w14:paraId="56F220BA">
                  <w:pPr>
                    <w:pStyle w:val="114"/>
                    <w:keepNext w:val="0"/>
                    <w:keepLines w:val="0"/>
                    <w:suppressLineNumbers w:val="0"/>
                    <w:spacing w:before="0" w:beforeAutospacing="0" w:after="0" w:afterAutospacing="0"/>
                    <w:ind w:left="0" w:right="0"/>
                    <w:rPr>
                      <w:rFonts w:hint="default"/>
                      <w:color w:val="auto"/>
                      <w:highlight w:val="none"/>
                    </w:rPr>
                  </w:pPr>
                  <w:bookmarkStart w:id="284" w:name="_Toc3816"/>
                  <w:r>
                    <w:rPr>
                      <w:rFonts w:hint="default"/>
                      <w:color w:val="auto"/>
                      <w:highlight w:val="none"/>
                    </w:rPr>
                    <w:t>mg/L</w:t>
                  </w:r>
                  <w:bookmarkEnd w:id="284"/>
                </w:p>
              </w:tc>
              <w:tc>
                <w:tcPr>
                  <w:tcW w:w="1362" w:type="dxa"/>
                  <w:tcBorders>
                    <w:tl2br w:val="nil"/>
                    <w:tr2bl w:val="nil"/>
                  </w:tcBorders>
                  <w:vAlign w:val="center"/>
                </w:tcPr>
                <w:p w14:paraId="21DE5DFC">
                  <w:pPr>
                    <w:pStyle w:val="114"/>
                    <w:keepNext w:val="0"/>
                    <w:keepLines w:val="0"/>
                    <w:suppressLineNumbers w:val="0"/>
                    <w:spacing w:before="0" w:beforeAutospacing="0" w:after="0" w:afterAutospacing="0"/>
                    <w:ind w:left="0" w:right="0"/>
                    <w:rPr>
                      <w:rFonts w:hint="default"/>
                      <w:color w:val="auto"/>
                      <w:highlight w:val="none"/>
                    </w:rPr>
                  </w:pPr>
                  <w:bookmarkStart w:id="285" w:name="_Toc5442"/>
                  <w:r>
                    <w:rPr>
                      <w:rFonts w:hint="default"/>
                      <w:color w:val="auto"/>
                      <w:highlight w:val="none"/>
                    </w:rPr>
                    <w:t>0.00006</w:t>
                  </w:r>
                  <w:bookmarkEnd w:id="285"/>
                </w:p>
              </w:tc>
              <w:tc>
                <w:tcPr>
                  <w:tcW w:w="1113" w:type="dxa"/>
                  <w:tcBorders>
                    <w:tl2br w:val="nil"/>
                    <w:tr2bl w:val="nil"/>
                  </w:tcBorders>
                  <w:vAlign w:val="center"/>
                </w:tcPr>
                <w:p w14:paraId="6AC84664">
                  <w:pPr>
                    <w:pStyle w:val="114"/>
                    <w:keepNext w:val="0"/>
                    <w:keepLines w:val="0"/>
                    <w:suppressLineNumbers w:val="0"/>
                    <w:spacing w:before="0" w:beforeAutospacing="0" w:after="0" w:afterAutospacing="0"/>
                    <w:ind w:left="0" w:right="0"/>
                    <w:rPr>
                      <w:rFonts w:hint="default"/>
                      <w:color w:val="auto"/>
                      <w:highlight w:val="none"/>
                    </w:rPr>
                  </w:pPr>
                  <w:bookmarkStart w:id="286" w:name="_Toc5616"/>
                  <w:r>
                    <w:rPr>
                      <w:rFonts w:hint="default"/>
                      <w:color w:val="auto"/>
                      <w:szCs w:val="21"/>
                      <w:highlight w:val="none"/>
                    </w:rPr>
                    <w:t>1.33E-07</w:t>
                  </w:r>
                  <w:bookmarkEnd w:id="286"/>
                </w:p>
              </w:tc>
              <w:tc>
                <w:tcPr>
                  <w:tcW w:w="964" w:type="dxa"/>
                  <w:vMerge w:val="continue"/>
                  <w:tcBorders>
                    <w:tl2br w:val="nil"/>
                    <w:tr2bl w:val="nil"/>
                  </w:tcBorders>
                  <w:vAlign w:val="center"/>
                </w:tcPr>
                <w:p w14:paraId="20414CDC">
                  <w:pPr>
                    <w:pStyle w:val="114"/>
                    <w:keepNext w:val="0"/>
                    <w:keepLines w:val="0"/>
                    <w:suppressLineNumbers w:val="0"/>
                    <w:spacing w:before="0" w:beforeAutospacing="0" w:after="0" w:afterAutospacing="0"/>
                    <w:ind w:left="0" w:right="0"/>
                    <w:rPr>
                      <w:rFonts w:hint="default"/>
                      <w:color w:val="auto"/>
                      <w:highlight w:val="none"/>
                    </w:rPr>
                  </w:pPr>
                </w:p>
              </w:tc>
            </w:tr>
            <w:tr w14:paraId="28C532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1500E9DB">
                  <w:pPr>
                    <w:pStyle w:val="114"/>
                    <w:keepNext w:val="0"/>
                    <w:keepLines w:val="0"/>
                    <w:suppressLineNumbers w:val="0"/>
                    <w:spacing w:before="0" w:beforeAutospacing="0" w:after="0" w:afterAutospacing="0"/>
                    <w:ind w:left="0" w:right="0"/>
                    <w:rPr>
                      <w:rFonts w:hint="default"/>
                      <w:color w:val="auto"/>
                      <w:highlight w:val="none"/>
                    </w:rPr>
                  </w:pPr>
                  <w:bookmarkStart w:id="287" w:name="_Toc20584"/>
                  <w:r>
                    <w:rPr>
                      <w:rFonts w:hint="default"/>
                      <w:color w:val="auto"/>
                      <w:highlight w:val="none"/>
                    </w:rPr>
                    <w:t>六价铬</w:t>
                  </w:r>
                  <w:bookmarkEnd w:id="287"/>
                </w:p>
              </w:tc>
              <w:tc>
                <w:tcPr>
                  <w:tcW w:w="905" w:type="dxa"/>
                  <w:vMerge w:val="continue"/>
                  <w:tcBorders>
                    <w:tl2br w:val="nil"/>
                    <w:tr2bl w:val="nil"/>
                  </w:tcBorders>
                  <w:vAlign w:val="center"/>
                </w:tcPr>
                <w:p w14:paraId="5F1829CF">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D08CD54">
                  <w:pPr>
                    <w:pStyle w:val="114"/>
                    <w:keepNext w:val="0"/>
                    <w:keepLines w:val="0"/>
                    <w:suppressLineNumbers w:val="0"/>
                    <w:spacing w:before="0" w:beforeAutospacing="0" w:after="0" w:afterAutospacing="0"/>
                    <w:ind w:left="0" w:right="0"/>
                    <w:rPr>
                      <w:rFonts w:hint="default"/>
                      <w:color w:val="auto"/>
                      <w:highlight w:val="none"/>
                    </w:rPr>
                  </w:pPr>
                  <w:bookmarkStart w:id="288" w:name="_Toc17515"/>
                  <w:r>
                    <w:rPr>
                      <w:rFonts w:hint="default"/>
                      <w:color w:val="auto"/>
                      <w:highlight w:val="none"/>
                    </w:rPr>
                    <w:t>≤0.05</w:t>
                  </w:r>
                  <w:bookmarkEnd w:id="288"/>
                </w:p>
              </w:tc>
              <w:tc>
                <w:tcPr>
                  <w:tcW w:w="1200" w:type="dxa"/>
                  <w:tcBorders>
                    <w:tl2br w:val="nil"/>
                    <w:tr2bl w:val="nil"/>
                  </w:tcBorders>
                  <w:vAlign w:val="center"/>
                </w:tcPr>
                <w:p w14:paraId="15B9F545">
                  <w:pPr>
                    <w:pStyle w:val="114"/>
                    <w:keepNext w:val="0"/>
                    <w:keepLines w:val="0"/>
                    <w:suppressLineNumbers w:val="0"/>
                    <w:spacing w:before="0" w:beforeAutospacing="0" w:after="0" w:afterAutospacing="0"/>
                    <w:ind w:left="0" w:right="0"/>
                    <w:rPr>
                      <w:rFonts w:hint="default"/>
                      <w:color w:val="auto"/>
                      <w:highlight w:val="none"/>
                    </w:rPr>
                  </w:pPr>
                  <w:bookmarkStart w:id="289" w:name="_Toc13134"/>
                  <w:r>
                    <w:rPr>
                      <w:rFonts w:hint="default"/>
                      <w:color w:val="auto"/>
                      <w:highlight w:val="none"/>
                    </w:rPr>
                    <w:t>mg/L</w:t>
                  </w:r>
                  <w:bookmarkEnd w:id="289"/>
                </w:p>
              </w:tc>
              <w:tc>
                <w:tcPr>
                  <w:tcW w:w="1362" w:type="dxa"/>
                  <w:tcBorders>
                    <w:tl2br w:val="nil"/>
                    <w:tr2bl w:val="nil"/>
                  </w:tcBorders>
                  <w:vAlign w:val="center"/>
                </w:tcPr>
                <w:p w14:paraId="1A03252C">
                  <w:pPr>
                    <w:pStyle w:val="114"/>
                    <w:keepNext w:val="0"/>
                    <w:keepLines w:val="0"/>
                    <w:suppressLineNumbers w:val="0"/>
                    <w:spacing w:before="0" w:beforeAutospacing="0" w:after="0" w:afterAutospacing="0"/>
                    <w:ind w:left="0" w:right="0"/>
                    <w:rPr>
                      <w:rFonts w:hint="default"/>
                      <w:color w:val="auto"/>
                      <w:highlight w:val="none"/>
                    </w:rPr>
                  </w:pPr>
                  <w:bookmarkStart w:id="290" w:name="_Toc9807"/>
                  <w:r>
                    <w:rPr>
                      <w:rFonts w:hint="default"/>
                      <w:color w:val="auto"/>
                      <w:highlight w:val="none"/>
                    </w:rPr>
                    <w:t>0.004</w:t>
                  </w:r>
                  <w:r>
                    <w:rPr>
                      <w:rFonts w:hint="default"/>
                      <w:color w:val="auto"/>
                      <w:highlight w:val="none"/>
                      <w:vertAlign w:val="subscript"/>
                    </w:rPr>
                    <w:t>L</w:t>
                  </w:r>
                  <w:bookmarkEnd w:id="290"/>
                </w:p>
              </w:tc>
              <w:tc>
                <w:tcPr>
                  <w:tcW w:w="1113" w:type="dxa"/>
                  <w:tcBorders>
                    <w:tl2br w:val="nil"/>
                    <w:tr2bl w:val="nil"/>
                  </w:tcBorders>
                  <w:vAlign w:val="center"/>
                </w:tcPr>
                <w:p w14:paraId="05B5B8F1">
                  <w:pPr>
                    <w:pStyle w:val="114"/>
                    <w:keepNext w:val="0"/>
                    <w:keepLines w:val="0"/>
                    <w:suppressLineNumbers w:val="0"/>
                    <w:spacing w:before="0" w:beforeAutospacing="0" w:after="0" w:afterAutospacing="0"/>
                    <w:ind w:left="0" w:right="0"/>
                    <w:rPr>
                      <w:rFonts w:hint="default"/>
                      <w:color w:val="auto"/>
                      <w:highlight w:val="none"/>
                    </w:rPr>
                  </w:pPr>
                  <w:bookmarkStart w:id="291" w:name="_Toc27906"/>
                  <w:r>
                    <w:rPr>
                      <w:rFonts w:hint="eastAsia"/>
                      <w:color w:val="auto"/>
                      <w:highlight w:val="none"/>
                    </w:rPr>
                    <w:t>/</w:t>
                  </w:r>
                  <w:bookmarkEnd w:id="291"/>
                </w:p>
              </w:tc>
              <w:tc>
                <w:tcPr>
                  <w:tcW w:w="964" w:type="dxa"/>
                  <w:vMerge w:val="continue"/>
                  <w:tcBorders>
                    <w:tl2br w:val="nil"/>
                    <w:tr2bl w:val="nil"/>
                  </w:tcBorders>
                  <w:vAlign w:val="center"/>
                </w:tcPr>
                <w:p w14:paraId="2784B29F">
                  <w:pPr>
                    <w:pStyle w:val="114"/>
                    <w:keepNext w:val="0"/>
                    <w:keepLines w:val="0"/>
                    <w:suppressLineNumbers w:val="0"/>
                    <w:spacing w:before="0" w:beforeAutospacing="0" w:after="0" w:afterAutospacing="0"/>
                    <w:ind w:left="0" w:right="0"/>
                    <w:rPr>
                      <w:rFonts w:hint="default"/>
                      <w:color w:val="auto"/>
                      <w:highlight w:val="none"/>
                    </w:rPr>
                  </w:pPr>
                </w:p>
              </w:tc>
            </w:tr>
            <w:tr w14:paraId="7552C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0ABF1AB2">
                  <w:pPr>
                    <w:pStyle w:val="114"/>
                    <w:keepNext w:val="0"/>
                    <w:keepLines w:val="0"/>
                    <w:suppressLineNumbers w:val="0"/>
                    <w:spacing w:before="0" w:beforeAutospacing="0" w:after="0" w:afterAutospacing="0"/>
                    <w:ind w:left="0" w:right="0"/>
                    <w:rPr>
                      <w:rFonts w:hint="default"/>
                      <w:color w:val="auto"/>
                      <w:highlight w:val="none"/>
                    </w:rPr>
                  </w:pPr>
                  <w:bookmarkStart w:id="292" w:name="_Toc23984"/>
                  <w:r>
                    <w:rPr>
                      <w:rFonts w:hint="default"/>
                      <w:color w:val="auto"/>
                      <w:highlight w:val="none"/>
                    </w:rPr>
                    <w:t>氟化物</w:t>
                  </w:r>
                  <w:bookmarkEnd w:id="292"/>
                </w:p>
              </w:tc>
              <w:tc>
                <w:tcPr>
                  <w:tcW w:w="905" w:type="dxa"/>
                  <w:vMerge w:val="continue"/>
                  <w:tcBorders>
                    <w:tl2br w:val="nil"/>
                    <w:tr2bl w:val="nil"/>
                  </w:tcBorders>
                  <w:vAlign w:val="center"/>
                </w:tcPr>
                <w:p w14:paraId="606FCDA4">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C310883">
                  <w:pPr>
                    <w:pStyle w:val="114"/>
                    <w:keepNext w:val="0"/>
                    <w:keepLines w:val="0"/>
                    <w:suppressLineNumbers w:val="0"/>
                    <w:spacing w:before="0" w:beforeAutospacing="0" w:after="0" w:afterAutospacing="0"/>
                    <w:ind w:left="0" w:right="0"/>
                    <w:rPr>
                      <w:rFonts w:hint="default"/>
                      <w:color w:val="auto"/>
                      <w:highlight w:val="none"/>
                    </w:rPr>
                  </w:pPr>
                  <w:bookmarkStart w:id="293" w:name="_Toc4480"/>
                  <w:r>
                    <w:rPr>
                      <w:rFonts w:hint="default"/>
                      <w:color w:val="auto"/>
                      <w:highlight w:val="none"/>
                    </w:rPr>
                    <w:t>≤1.0</w:t>
                  </w:r>
                  <w:bookmarkEnd w:id="293"/>
                </w:p>
              </w:tc>
              <w:tc>
                <w:tcPr>
                  <w:tcW w:w="1200" w:type="dxa"/>
                  <w:tcBorders>
                    <w:tl2br w:val="nil"/>
                    <w:tr2bl w:val="nil"/>
                  </w:tcBorders>
                  <w:vAlign w:val="center"/>
                </w:tcPr>
                <w:p w14:paraId="40204DB3">
                  <w:pPr>
                    <w:pStyle w:val="114"/>
                    <w:keepNext w:val="0"/>
                    <w:keepLines w:val="0"/>
                    <w:suppressLineNumbers w:val="0"/>
                    <w:spacing w:before="0" w:beforeAutospacing="0" w:after="0" w:afterAutospacing="0"/>
                    <w:ind w:left="0" w:right="0"/>
                    <w:rPr>
                      <w:rFonts w:hint="default"/>
                      <w:color w:val="auto"/>
                      <w:highlight w:val="none"/>
                    </w:rPr>
                  </w:pPr>
                  <w:bookmarkStart w:id="294" w:name="_Toc10226"/>
                  <w:r>
                    <w:rPr>
                      <w:rFonts w:hint="default"/>
                      <w:color w:val="auto"/>
                      <w:highlight w:val="none"/>
                    </w:rPr>
                    <w:t>mg/L</w:t>
                  </w:r>
                  <w:bookmarkEnd w:id="294"/>
                </w:p>
              </w:tc>
              <w:tc>
                <w:tcPr>
                  <w:tcW w:w="1362" w:type="dxa"/>
                  <w:tcBorders>
                    <w:tl2br w:val="nil"/>
                    <w:tr2bl w:val="nil"/>
                  </w:tcBorders>
                  <w:vAlign w:val="center"/>
                </w:tcPr>
                <w:p w14:paraId="3251AA23">
                  <w:pPr>
                    <w:pStyle w:val="114"/>
                    <w:keepNext w:val="0"/>
                    <w:keepLines w:val="0"/>
                    <w:suppressLineNumbers w:val="0"/>
                    <w:spacing w:before="0" w:beforeAutospacing="0" w:after="0" w:afterAutospacing="0"/>
                    <w:ind w:left="0" w:right="0"/>
                    <w:rPr>
                      <w:rFonts w:hint="default"/>
                      <w:color w:val="auto"/>
                      <w:highlight w:val="none"/>
                    </w:rPr>
                  </w:pPr>
                  <w:bookmarkStart w:id="295" w:name="_Toc17575"/>
                  <w:r>
                    <w:rPr>
                      <w:rFonts w:hint="default"/>
                      <w:color w:val="auto"/>
                      <w:highlight w:val="none"/>
                    </w:rPr>
                    <w:t>0.002</w:t>
                  </w:r>
                  <w:r>
                    <w:rPr>
                      <w:rFonts w:hint="default"/>
                      <w:color w:val="auto"/>
                      <w:highlight w:val="none"/>
                      <w:vertAlign w:val="subscript"/>
                    </w:rPr>
                    <w:t>L</w:t>
                  </w:r>
                  <w:bookmarkEnd w:id="295"/>
                </w:p>
              </w:tc>
              <w:tc>
                <w:tcPr>
                  <w:tcW w:w="1113" w:type="dxa"/>
                  <w:tcBorders>
                    <w:tl2br w:val="nil"/>
                    <w:tr2bl w:val="nil"/>
                  </w:tcBorders>
                  <w:vAlign w:val="center"/>
                </w:tcPr>
                <w:p w14:paraId="01F8DFF4">
                  <w:pPr>
                    <w:pStyle w:val="114"/>
                    <w:keepNext w:val="0"/>
                    <w:keepLines w:val="0"/>
                    <w:suppressLineNumbers w:val="0"/>
                    <w:spacing w:before="0" w:beforeAutospacing="0" w:after="0" w:afterAutospacing="0"/>
                    <w:ind w:left="0" w:right="0"/>
                    <w:rPr>
                      <w:rFonts w:hint="default"/>
                      <w:color w:val="auto"/>
                      <w:highlight w:val="none"/>
                    </w:rPr>
                  </w:pPr>
                  <w:bookmarkStart w:id="296" w:name="_Toc11609"/>
                  <w:r>
                    <w:rPr>
                      <w:rFonts w:hint="eastAsia"/>
                      <w:color w:val="auto"/>
                      <w:highlight w:val="none"/>
                    </w:rPr>
                    <w:t>/</w:t>
                  </w:r>
                  <w:bookmarkEnd w:id="296"/>
                </w:p>
              </w:tc>
              <w:tc>
                <w:tcPr>
                  <w:tcW w:w="964" w:type="dxa"/>
                  <w:vMerge w:val="continue"/>
                  <w:tcBorders>
                    <w:tl2br w:val="nil"/>
                    <w:tr2bl w:val="nil"/>
                  </w:tcBorders>
                  <w:vAlign w:val="center"/>
                </w:tcPr>
                <w:p w14:paraId="43B441F2">
                  <w:pPr>
                    <w:pStyle w:val="114"/>
                    <w:keepNext w:val="0"/>
                    <w:keepLines w:val="0"/>
                    <w:suppressLineNumbers w:val="0"/>
                    <w:spacing w:before="0" w:beforeAutospacing="0" w:after="0" w:afterAutospacing="0"/>
                    <w:ind w:left="0" w:right="0"/>
                    <w:rPr>
                      <w:rFonts w:hint="default"/>
                      <w:color w:val="auto"/>
                      <w:highlight w:val="none"/>
                    </w:rPr>
                  </w:pPr>
                </w:p>
              </w:tc>
            </w:tr>
            <w:tr w14:paraId="31286F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25DCE992">
                  <w:pPr>
                    <w:pStyle w:val="114"/>
                    <w:keepNext w:val="0"/>
                    <w:keepLines w:val="0"/>
                    <w:suppressLineNumbers w:val="0"/>
                    <w:spacing w:before="0" w:beforeAutospacing="0" w:after="0" w:afterAutospacing="0"/>
                    <w:ind w:left="0" w:right="0"/>
                    <w:rPr>
                      <w:rFonts w:hint="default"/>
                      <w:color w:val="auto"/>
                      <w:highlight w:val="none"/>
                    </w:rPr>
                  </w:pPr>
                  <w:bookmarkStart w:id="297" w:name="_Toc23046"/>
                  <w:r>
                    <w:rPr>
                      <w:rFonts w:hint="default"/>
                      <w:color w:val="auto"/>
                      <w:highlight w:val="none"/>
                    </w:rPr>
                    <w:t>镉</w:t>
                  </w:r>
                  <w:bookmarkEnd w:id="297"/>
                </w:p>
              </w:tc>
              <w:tc>
                <w:tcPr>
                  <w:tcW w:w="905" w:type="dxa"/>
                  <w:vMerge w:val="continue"/>
                  <w:tcBorders>
                    <w:tl2br w:val="nil"/>
                    <w:tr2bl w:val="nil"/>
                  </w:tcBorders>
                  <w:vAlign w:val="center"/>
                </w:tcPr>
                <w:p w14:paraId="26F9400A">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31A7A60">
                  <w:pPr>
                    <w:pStyle w:val="114"/>
                    <w:keepNext w:val="0"/>
                    <w:keepLines w:val="0"/>
                    <w:suppressLineNumbers w:val="0"/>
                    <w:spacing w:before="0" w:beforeAutospacing="0" w:after="0" w:afterAutospacing="0"/>
                    <w:ind w:left="0" w:right="0"/>
                    <w:rPr>
                      <w:rFonts w:hint="default"/>
                      <w:color w:val="auto"/>
                      <w:highlight w:val="none"/>
                    </w:rPr>
                  </w:pPr>
                  <w:bookmarkStart w:id="298" w:name="_Toc30245"/>
                  <w:r>
                    <w:rPr>
                      <w:rFonts w:hint="default"/>
                      <w:color w:val="auto"/>
                      <w:highlight w:val="none"/>
                    </w:rPr>
                    <w:t>≤0.005</w:t>
                  </w:r>
                  <w:bookmarkEnd w:id="298"/>
                </w:p>
              </w:tc>
              <w:tc>
                <w:tcPr>
                  <w:tcW w:w="1200" w:type="dxa"/>
                  <w:tcBorders>
                    <w:tl2br w:val="nil"/>
                    <w:tr2bl w:val="nil"/>
                  </w:tcBorders>
                  <w:vAlign w:val="center"/>
                </w:tcPr>
                <w:p w14:paraId="69D59E4C">
                  <w:pPr>
                    <w:pStyle w:val="114"/>
                    <w:keepNext w:val="0"/>
                    <w:keepLines w:val="0"/>
                    <w:suppressLineNumbers w:val="0"/>
                    <w:spacing w:before="0" w:beforeAutospacing="0" w:after="0" w:afterAutospacing="0"/>
                    <w:ind w:left="0" w:right="0"/>
                    <w:rPr>
                      <w:rFonts w:hint="default"/>
                      <w:color w:val="auto"/>
                      <w:highlight w:val="none"/>
                    </w:rPr>
                  </w:pPr>
                  <w:bookmarkStart w:id="299" w:name="_Toc30723"/>
                  <w:r>
                    <w:rPr>
                      <w:rFonts w:hint="default"/>
                      <w:color w:val="auto"/>
                      <w:highlight w:val="none"/>
                    </w:rPr>
                    <w:t>mg/L</w:t>
                  </w:r>
                  <w:bookmarkEnd w:id="299"/>
                </w:p>
              </w:tc>
              <w:tc>
                <w:tcPr>
                  <w:tcW w:w="1362" w:type="dxa"/>
                  <w:tcBorders>
                    <w:tl2br w:val="nil"/>
                    <w:tr2bl w:val="nil"/>
                  </w:tcBorders>
                  <w:vAlign w:val="center"/>
                </w:tcPr>
                <w:p w14:paraId="4326B941">
                  <w:pPr>
                    <w:pStyle w:val="114"/>
                    <w:keepNext w:val="0"/>
                    <w:keepLines w:val="0"/>
                    <w:suppressLineNumbers w:val="0"/>
                    <w:spacing w:before="0" w:beforeAutospacing="0" w:after="0" w:afterAutospacing="0"/>
                    <w:ind w:left="0" w:right="0"/>
                    <w:rPr>
                      <w:rFonts w:hint="default"/>
                      <w:color w:val="auto"/>
                      <w:highlight w:val="none"/>
                    </w:rPr>
                  </w:pPr>
                  <w:bookmarkStart w:id="300" w:name="_Toc31147"/>
                  <w:r>
                    <w:rPr>
                      <w:rFonts w:hint="default"/>
                      <w:color w:val="auto"/>
                      <w:highlight w:val="none"/>
                    </w:rPr>
                    <w:t>0.00006</w:t>
                  </w:r>
                  <w:bookmarkEnd w:id="300"/>
                </w:p>
              </w:tc>
              <w:tc>
                <w:tcPr>
                  <w:tcW w:w="1113" w:type="dxa"/>
                  <w:tcBorders>
                    <w:tl2br w:val="nil"/>
                    <w:tr2bl w:val="nil"/>
                  </w:tcBorders>
                  <w:vAlign w:val="center"/>
                </w:tcPr>
                <w:p w14:paraId="3F9DBED1">
                  <w:pPr>
                    <w:pStyle w:val="114"/>
                    <w:keepNext w:val="0"/>
                    <w:keepLines w:val="0"/>
                    <w:suppressLineNumbers w:val="0"/>
                    <w:spacing w:before="0" w:beforeAutospacing="0" w:after="0" w:afterAutospacing="0"/>
                    <w:ind w:left="0" w:right="0"/>
                    <w:rPr>
                      <w:rFonts w:hint="default"/>
                      <w:color w:val="auto"/>
                      <w:highlight w:val="none"/>
                    </w:rPr>
                  </w:pPr>
                  <w:bookmarkStart w:id="301" w:name="_Toc284"/>
                  <w:r>
                    <w:rPr>
                      <w:rFonts w:hint="default"/>
                      <w:color w:val="auto"/>
                      <w:szCs w:val="21"/>
                      <w:highlight w:val="none"/>
                    </w:rPr>
                    <w:t>1.33E-07</w:t>
                  </w:r>
                  <w:bookmarkEnd w:id="301"/>
                </w:p>
              </w:tc>
              <w:tc>
                <w:tcPr>
                  <w:tcW w:w="964" w:type="dxa"/>
                  <w:vMerge w:val="continue"/>
                  <w:tcBorders>
                    <w:tl2br w:val="nil"/>
                    <w:tr2bl w:val="nil"/>
                  </w:tcBorders>
                  <w:vAlign w:val="center"/>
                </w:tcPr>
                <w:p w14:paraId="21AE275A">
                  <w:pPr>
                    <w:pStyle w:val="114"/>
                    <w:keepNext w:val="0"/>
                    <w:keepLines w:val="0"/>
                    <w:suppressLineNumbers w:val="0"/>
                    <w:spacing w:before="0" w:beforeAutospacing="0" w:after="0" w:afterAutospacing="0"/>
                    <w:ind w:left="0" w:right="0"/>
                    <w:rPr>
                      <w:rFonts w:hint="default"/>
                      <w:color w:val="auto"/>
                      <w:highlight w:val="none"/>
                    </w:rPr>
                  </w:pPr>
                </w:p>
              </w:tc>
            </w:tr>
            <w:tr w14:paraId="37163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70900CC1">
                  <w:pPr>
                    <w:pStyle w:val="114"/>
                    <w:keepNext w:val="0"/>
                    <w:keepLines w:val="0"/>
                    <w:suppressLineNumbers w:val="0"/>
                    <w:spacing w:before="0" w:beforeAutospacing="0" w:after="0" w:afterAutospacing="0"/>
                    <w:ind w:left="0" w:right="0"/>
                    <w:rPr>
                      <w:rFonts w:hint="default"/>
                      <w:color w:val="auto"/>
                      <w:highlight w:val="none"/>
                    </w:rPr>
                  </w:pPr>
                  <w:bookmarkStart w:id="302" w:name="_Toc7937"/>
                  <w:r>
                    <w:rPr>
                      <w:rFonts w:hint="default"/>
                      <w:color w:val="auto"/>
                      <w:highlight w:val="none"/>
                    </w:rPr>
                    <w:t>总大肠菌群</w:t>
                  </w:r>
                  <w:bookmarkEnd w:id="302"/>
                </w:p>
              </w:tc>
              <w:tc>
                <w:tcPr>
                  <w:tcW w:w="905" w:type="dxa"/>
                  <w:vMerge w:val="continue"/>
                  <w:tcBorders>
                    <w:tl2br w:val="nil"/>
                    <w:tr2bl w:val="nil"/>
                  </w:tcBorders>
                  <w:vAlign w:val="center"/>
                </w:tcPr>
                <w:p w14:paraId="61464E02">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612B9358">
                  <w:pPr>
                    <w:pStyle w:val="114"/>
                    <w:keepNext w:val="0"/>
                    <w:keepLines w:val="0"/>
                    <w:suppressLineNumbers w:val="0"/>
                    <w:spacing w:before="0" w:beforeAutospacing="0" w:after="0" w:afterAutospacing="0"/>
                    <w:ind w:left="0" w:right="0"/>
                    <w:rPr>
                      <w:rFonts w:hint="default"/>
                      <w:color w:val="auto"/>
                      <w:highlight w:val="none"/>
                    </w:rPr>
                  </w:pPr>
                  <w:bookmarkStart w:id="303" w:name="_Toc23639"/>
                  <w:r>
                    <w:rPr>
                      <w:rFonts w:hint="default"/>
                      <w:color w:val="auto"/>
                      <w:highlight w:val="none"/>
                    </w:rPr>
                    <w:t>≤30</w:t>
                  </w:r>
                  <w:bookmarkEnd w:id="303"/>
                </w:p>
              </w:tc>
              <w:tc>
                <w:tcPr>
                  <w:tcW w:w="1200" w:type="dxa"/>
                  <w:tcBorders>
                    <w:tl2br w:val="nil"/>
                    <w:tr2bl w:val="nil"/>
                  </w:tcBorders>
                  <w:vAlign w:val="center"/>
                </w:tcPr>
                <w:p w14:paraId="5FC07108">
                  <w:pPr>
                    <w:pStyle w:val="114"/>
                    <w:keepNext w:val="0"/>
                    <w:keepLines w:val="0"/>
                    <w:suppressLineNumbers w:val="0"/>
                    <w:spacing w:before="0" w:beforeAutospacing="0" w:after="0" w:afterAutospacing="0"/>
                    <w:ind w:left="0" w:right="0"/>
                    <w:rPr>
                      <w:rFonts w:hint="default"/>
                      <w:color w:val="auto"/>
                      <w:highlight w:val="none"/>
                    </w:rPr>
                  </w:pPr>
                  <w:bookmarkStart w:id="304" w:name="_Toc1078"/>
                  <w:r>
                    <w:rPr>
                      <w:rFonts w:hint="default"/>
                      <w:color w:val="auto"/>
                      <w:highlight w:val="none"/>
                    </w:rPr>
                    <w:t>MPN/100mL</w:t>
                  </w:r>
                  <w:bookmarkEnd w:id="304"/>
                </w:p>
              </w:tc>
              <w:tc>
                <w:tcPr>
                  <w:tcW w:w="1362" w:type="dxa"/>
                  <w:tcBorders>
                    <w:tl2br w:val="nil"/>
                    <w:tr2bl w:val="nil"/>
                  </w:tcBorders>
                  <w:vAlign w:val="center"/>
                </w:tcPr>
                <w:p w14:paraId="74BD267B">
                  <w:pPr>
                    <w:pStyle w:val="114"/>
                    <w:keepNext w:val="0"/>
                    <w:keepLines w:val="0"/>
                    <w:suppressLineNumbers w:val="0"/>
                    <w:spacing w:before="0" w:beforeAutospacing="0" w:after="0" w:afterAutospacing="0"/>
                    <w:ind w:left="0" w:right="0"/>
                    <w:rPr>
                      <w:rFonts w:hint="default"/>
                      <w:color w:val="auto"/>
                      <w:highlight w:val="none"/>
                    </w:rPr>
                  </w:pPr>
                  <w:bookmarkStart w:id="305" w:name="_Toc15906"/>
                  <w:r>
                    <w:rPr>
                      <w:rFonts w:hint="eastAsia"/>
                      <w:color w:val="auto"/>
                      <w:highlight w:val="none"/>
                    </w:rPr>
                    <w:t>2</w:t>
                  </w:r>
                  <w:bookmarkEnd w:id="305"/>
                </w:p>
              </w:tc>
              <w:tc>
                <w:tcPr>
                  <w:tcW w:w="1113" w:type="dxa"/>
                  <w:tcBorders>
                    <w:tl2br w:val="nil"/>
                    <w:tr2bl w:val="nil"/>
                  </w:tcBorders>
                  <w:vAlign w:val="center"/>
                </w:tcPr>
                <w:p w14:paraId="177A3013">
                  <w:pPr>
                    <w:pStyle w:val="114"/>
                    <w:keepNext w:val="0"/>
                    <w:keepLines w:val="0"/>
                    <w:suppressLineNumbers w:val="0"/>
                    <w:spacing w:before="0" w:beforeAutospacing="0" w:after="0" w:afterAutospacing="0"/>
                    <w:ind w:left="0" w:right="0"/>
                    <w:rPr>
                      <w:rFonts w:hint="default"/>
                      <w:color w:val="auto"/>
                      <w:highlight w:val="none"/>
                    </w:rPr>
                  </w:pPr>
                  <w:bookmarkStart w:id="306" w:name="_Toc18484"/>
                  <w:r>
                    <w:rPr>
                      <w:rFonts w:hint="default"/>
                      <w:color w:val="auto"/>
                      <w:szCs w:val="21"/>
                      <w:highlight w:val="none"/>
                    </w:rPr>
                    <w:t>4.44E-03</w:t>
                  </w:r>
                  <w:bookmarkEnd w:id="306"/>
                </w:p>
              </w:tc>
              <w:tc>
                <w:tcPr>
                  <w:tcW w:w="964" w:type="dxa"/>
                  <w:vMerge w:val="continue"/>
                  <w:tcBorders>
                    <w:tl2br w:val="nil"/>
                    <w:tr2bl w:val="nil"/>
                  </w:tcBorders>
                  <w:vAlign w:val="center"/>
                </w:tcPr>
                <w:p w14:paraId="45931840">
                  <w:pPr>
                    <w:pStyle w:val="114"/>
                    <w:keepNext w:val="0"/>
                    <w:keepLines w:val="0"/>
                    <w:suppressLineNumbers w:val="0"/>
                    <w:spacing w:before="0" w:beforeAutospacing="0" w:after="0" w:afterAutospacing="0"/>
                    <w:ind w:left="0" w:right="0"/>
                    <w:rPr>
                      <w:rFonts w:hint="default"/>
                      <w:color w:val="auto"/>
                      <w:highlight w:val="none"/>
                    </w:rPr>
                  </w:pPr>
                </w:p>
              </w:tc>
            </w:tr>
            <w:tr w14:paraId="12B23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20F7CEC">
                  <w:pPr>
                    <w:pStyle w:val="114"/>
                    <w:keepNext w:val="0"/>
                    <w:keepLines w:val="0"/>
                    <w:suppressLineNumbers w:val="0"/>
                    <w:spacing w:before="0" w:beforeAutospacing="0" w:after="0" w:afterAutospacing="0"/>
                    <w:ind w:left="0" w:right="0"/>
                    <w:rPr>
                      <w:rFonts w:hint="default"/>
                      <w:color w:val="auto"/>
                      <w:highlight w:val="none"/>
                    </w:rPr>
                  </w:pPr>
                  <w:bookmarkStart w:id="307" w:name="_Toc23850"/>
                  <w:r>
                    <w:rPr>
                      <w:rFonts w:hint="default"/>
                      <w:color w:val="auto"/>
                      <w:highlight w:val="none"/>
                    </w:rPr>
                    <w:t>细菌总数</w:t>
                  </w:r>
                  <w:bookmarkEnd w:id="307"/>
                </w:p>
              </w:tc>
              <w:tc>
                <w:tcPr>
                  <w:tcW w:w="905" w:type="dxa"/>
                  <w:vMerge w:val="continue"/>
                  <w:tcBorders>
                    <w:tl2br w:val="nil"/>
                    <w:tr2bl w:val="nil"/>
                  </w:tcBorders>
                  <w:vAlign w:val="center"/>
                </w:tcPr>
                <w:p w14:paraId="07385629">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174E1001">
                  <w:pPr>
                    <w:pStyle w:val="114"/>
                    <w:keepNext w:val="0"/>
                    <w:keepLines w:val="0"/>
                    <w:suppressLineNumbers w:val="0"/>
                    <w:spacing w:before="0" w:beforeAutospacing="0" w:after="0" w:afterAutospacing="0"/>
                    <w:ind w:left="0" w:right="0"/>
                    <w:rPr>
                      <w:rFonts w:hint="default"/>
                      <w:color w:val="auto"/>
                      <w:highlight w:val="none"/>
                    </w:rPr>
                  </w:pPr>
                  <w:bookmarkStart w:id="308" w:name="_Toc13496"/>
                  <w:r>
                    <w:rPr>
                      <w:rFonts w:hint="default"/>
                      <w:color w:val="auto"/>
                      <w:highlight w:val="none"/>
                    </w:rPr>
                    <w:t>≤100</w:t>
                  </w:r>
                  <w:bookmarkEnd w:id="308"/>
                </w:p>
              </w:tc>
              <w:tc>
                <w:tcPr>
                  <w:tcW w:w="1200" w:type="dxa"/>
                  <w:tcBorders>
                    <w:tl2br w:val="nil"/>
                    <w:tr2bl w:val="nil"/>
                  </w:tcBorders>
                  <w:vAlign w:val="center"/>
                </w:tcPr>
                <w:p w14:paraId="28C8B72E">
                  <w:pPr>
                    <w:pStyle w:val="114"/>
                    <w:keepNext w:val="0"/>
                    <w:keepLines w:val="0"/>
                    <w:suppressLineNumbers w:val="0"/>
                    <w:spacing w:before="0" w:beforeAutospacing="0" w:after="0" w:afterAutospacing="0"/>
                    <w:ind w:left="0" w:right="0"/>
                    <w:rPr>
                      <w:rFonts w:hint="default"/>
                      <w:color w:val="auto"/>
                      <w:highlight w:val="none"/>
                    </w:rPr>
                  </w:pPr>
                  <w:bookmarkStart w:id="309" w:name="_Toc6898"/>
                  <w:r>
                    <w:rPr>
                      <w:rFonts w:hint="default"/>
                      <w:color w:val="auto"/>
                      <w:highlight w:val="none"/>
                    </w:rPr>
                    <w:t>CFU/mL</w:t>
                  </w:r>
                  <w:bookmarkEnd w:id="309"/>
                </w:p>
              </w:tc>
              <w:tc>
                <w:tcPr>
                  <w:tcW w:w="1362" w:type="dxa"/>
                  <w:tcBorders>
                    <w:tl2br w:val="nil"/>
                    <w:tr2bl w:val="nil"/>
                  </w:tcBorders>
                  <w:vAlign w:val="center"/>
                </w:tcPr>
                <w:p w14:paraId="372817C2">
                  <w:pPr>
                    <w:pStyle w:val="114"/>
                    <w:keepNext w:val="0"/>
                    <w:keepLines w:val="0"/>
                    <w:suppressLineNumbers w:val="0"/>
                    <w:spacing w:before="0" w:beforeAutospacing="0" w:after="0" w:afterAutospacing="0"/>
                    <w:ind w:left="0" w:right="0"/>
                    <w:rPr>
                      <w:rFonts w:hint="default"/>
                      <w:color w:val="auto"/>
                      <w:highlight w:val="none"/>
                    </w:rPr>
                  </w:pPr>
                  <w:bookmarkStart w:id="310" w:name="_Toc20741"/>
                  <w:r>
                    <w:rPr>
                      <w:rFonts w:hint="eastAsia"/>
                      <w:color w:val="auto"/>
                      <w:highlight w:val="none"/>
                    </w:rPr>
                    <w:t>34</w:t>
                  </w:r>
                  <w:bookmarkEnd w:id="310"/>
                </w:p>
              </w:tc>
              <w:tc>
                <w:tcPr>
                  <w:tcW w:w="1113" w:type="dxa"/>
                  <w:tcBorders>
                    <w:tl2br w:val="nil"/>
                    <w:tr2bl w:val="nil"/>
                  </w:tcBorders>
                  <w:vAlign w:val="center"/>
                </w:tcPr>
                <w:p w14:paraId="18244239">
                  <w:pPr>
                    <w:pStyle w:val="114"/>
                    <w:keepNext w:val="0"/>
                    <w:keepLines w:val="0"/>
                    <w:suppressLineNumbers w:val="0"/>
                    <w:spacing w:before="0" w:beforeAutospacing="0" w:after="0" w:afterAutospacing="0"/>
                    <w:ind w:left="0" w:right="0"/>
                    <w:rPr>
                      <w:rFonts w:hint="default"/>
                      <w:color w:val="auto"/>
                      <w:highlight w:val="none"/>
                    </w:rPr>
                  </w:pPr>
                  <w:bookmarkStart w:id="311" w:name="_Toc9787"/>
                  <w:r>
                    <w:rPr>
                      <w:rFonts w:hint="eastAsia"/>
                      <w:color w:val="auto"/>
                      <w:highlight w:val="none"/>
                    </w:rPr>
                    <w:t>0.08</w:t>
                  </w:r>
                  <w:bookmarkEnd w:id="311"/>
                </w:p>
              </w:tc>
              <w:tc>
                <w:tcPr>
                  <w:tcW w:w="964" w:type="dxa"/>
                  <w:vMerge w:val="continue"/>
                  <w:tcBorders>
                    <w:tl2br w:val="nil"/>
                    <w:tr2bl w:val="nil"/>
                  </w:tcBorders>
                  <w:vAlign w:val="center"/>
                </w:tcPr>
                <w:p w14:paraId="420D48E4">
                  <w:pPr>
                    <w:pStyle w:val="114"/>
                    <w:keepNext w:val="0"/>
                    <w:keepLines w:val="0"/>
                    <w:suppressLineNumbers w:val="0"/>
                    <w:spacing w:before="0" w:beforeAutospacing="0" w:after="0" w:afterAutospacing="0"/>
                    <w:ind w:left="0" w:right="0"/>
                    <w:rPr>
                      <w:rFonts w:hint="default"/>
                      <w:color w:val="auto"/>
                      <w:highlight w:val="none"/>
                    </w:rPr>
                  </w:pPr>
                </w:p>
              </w:tc>
            </w:tr>
            <w:tr w14:paraId="1B067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68AE9BC">
                  <w:pPr>
                    <w:pStyle w:val="114"/>
                    <w:keepNext w:val="0"/>
                    <w:keepLines w:val="0"/>
                    <w:suppressLineNumbers w:val="0"/>
                    <w:spacing w:before="0" w:beforeAutospacing="0" w:after="0" w:afterAutospacing="0"/>
                    <w:ind w:left="0" w:right="0"/>
                    <w:rPr>
                      <w:rFonts w:hint="default"/>
                      <w:color w:val="auto"/>
                      <w:highlight w:val="none"/>
                    </w:rPr>
                  </w:pPr>
                  <w:bookmarkStart w:id="312" w:name="_Toc27455"/>
                  <w:r>
                    <w:rPr>
                      <w:rFonts w:hint="default"/>
                      <w:color w:val="auto"/>
                      <w:highlight w:val="none"/>
                    </w:rPr>
                    <w:t>钾</w:t>
                  </w:r>
                  <w:bookmarkEnd w:id="312"/>
                </w:p>
              </w:tc>
              <w:tc>
                <w:tcPr>
                  <w:tcW w:w="905" w:type="dxa"/>
                  <w:vMerge w:val="continue"/>
                  <w:tcBorders>
                    <w:tl2br w:val="nil"/>
                    <w:tr2bl w:val="nil"/>
                  </w:tcBorders>
                  <w:vAlign w:val="center"/>
                </w:tcPr>
                <w:p w14:paraId="2A35B15B">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68E1C4A7">
                  <w:pPr>
                    <w:pStyle w:val="114"/>
                    <w:keepNext w:val="0"/>
                    <w:keepLines w:val="0"/>
                    <w:suppressLineNumbers w:val="0"/>
                    <w:spacing w:before="0" w:beforeAutospacing="0" w:after="0" w:afterAutospacing="0"/>
                    <w:ind w:left="0" w:right="0"/>
                    <w:rPr>
                      <w:rFonts w:hint="default"/>
                      <w:color w:val="auto"/>
                      <w:highlight w:val="none"/>
                    </w:rPr>
                  </w:pPr>
                  <w:bookmarkStart w:id="313" w:name="_Toc3440"/>
                  <w:r>
                    <w:rPr>
                      <w:rFonts w:hint="default"/>
                      <w:color w:val="auto"/>
                      <w:highlight w:val="none"/>
                    </w:rPr>
                    <w:t>/</w:t>
                  </w:r>
                  <w:bookmarkEnd w:id="313"/>
                </w:p>
              </w:tc>
              <w:tc>
                <w:tcPr>
                  <w:tcW w:w="1200" w:type="dxa"/>
                  <w:tcBorders>
                    <w:tl2br w:val="nil"/>
                    <w:tr2bl w:val="nil"/>
                  </w:tcBorders>
                  <w:vAlign w:val="center"/>
                </w:tcPr>
                <w:p w14:paraId="38421748">
                  <w:pPr>
                    <w:pStyle w:val="114"/>
                    <w:keepNext w:val="0"/>
                    <w:keepLines w:val="0"/>
                    <w:suppressLineNumbers w:val="0"/>
                    <w:spacing w:before="0" w:beforeAutospacing="0" w:after="0" w:afterAutospacing="0"/>
                    <w:ind w:left="0" w:right="0"/>
                    <w:rPr>
                      <w:rFonts w:hint="default"/>
                      <w:color w:val="auto"/>
                      <w:highlight w:val="none"/>
                    </w:rPr>
                  </w:pPr>
                  <w:bookmarkStart w:id="314" w:name="_Toc21906"/>
                  <w:r>
                    <w:rPr>
                      <w:rFonts w:hint="default"/>
                      <w:color w:val="auto"/>
                      <w:highlight w:val="none"/>
                    </w:rPr>
                    <w:t>mg/L</w:t>
                  </w:r>
                  <w:bookmarkEnd w:id="314"/>
                </w:p>
              </w:tc>
              <w:tc>
                <w:tcPr>
                  <w:tcW w:w="1362" w:type="dxa"/>
                  <w:tcBorders>
                    <w:tl2br w:val="nil"/>
                    <w:tr2bl w:val="nil"/>
                  </w:tcBorders>
                  <w:vAlign w:val="center"/>
                </w:tcPr>
                <w:p w14:paraId="5A83EC1D">
                  <w:pPr>
                    <w:pStyle w:val="114"/>
                    <w:keepNext w:val="0"/>
                    <w:keepLines w:val="0"/>
                    <w:suppressLineNumbers w:val="0"/>
                    <w:spacing w:before="0" w:beforeAutospacing="0" w:after="0" w:afterAutospacing="0"/>
                    <w:ind w:left="0" w:right="0"/>
                    <w:rPr>
                      <w:rFonts w:hint="default"/>
                      <w:color w:val="auto"/>
                      <w:highlight w:val="none"/>
                    </w:rPr>
                  </w:pPr>
                  <w:bookmarkStart w:id="315" w:name="_Toc10681"/>
                  <w:r>
                    <w:rPr>
                      <w:rFonts w:hint="default"/>
                      <w:color w:val="auto"/>
                      <w:highlight w:val="none"/>
                    </w:rPr>
                    <w:t>7.88</w:t>
                  </w:r>
                  <w:bookmarkEnd w:id="315"/>
                </w:p>
              </w:tc>
              <w:tc>
                <w:tcPr>
                  <w:tcW w:w="1113" w:type="dxa"/>
                  <w:tcBorders>
                    <w:tl2br w:val="nil"/>
                    <w:tr2bl w:val="nil"/>
                  </w:tcBorders>
                  <w:vAlign w:val="center"/>
                </w:tcPr>
                <w:p w14:paraId="1205EEE7">
                  <w:pPr>
                    <w:pStyle w:val="114"/>
                    <w:keepNext w:val="0"/>
                    <w:keepLines w:val="0"/>
                    <w:suppressLineNumbers w:val="0"/>
                    <w:spacing w:before="0" w:beforeAutospacing="0" w:after="0" w:afterAutospacing="0"/>
                    <w:ind w:left="0" w:right="0"/>
                    <w:rPr>
                      <w:rFonts w:hint="default"/>
                      <w:color w:val="auto"/>
                      <w:highlight w:val="none"/>
                    </w:rPr>
                  </w:pPr>
                  <w:bookmarkStart w:id="316" w:name="_Toc15758"/>
                  <w:r>
                    <w:rPr>
                      <w:rFonts w:hint="eastAsia"/>
                      <w:color w:val="auto"/>
                      <w:highlight w:val="none"/>
                    </w:rPr>
                    <w:t>/</w:t>
                  </w:r>
                  <w:bookmarkEnd w:id="316"/>
                </w:p>
              </w:tc>
              <w:tc>
                <w:tcPr>
                  <w:tcW w:w="964" w:type="dxa"/>
                  <w:vMerge w:val="continue"/>
                  <w:tcBorders>
                    <w:tl2br w:val="nil"/>
                    <w:tr2bl w:val="nil"/>
                  </w:tcBorders>
                  <w:vAlign w:val="center"/>
                </w:tcPr>
                <w:p w14:paraId="08AAC9A5">
                  <w:pPr>
                    <w:pStyle w:val="114"/>
                    <w:keepNext w:val="0"/>
                    <w:keepLines w:val="0"/>
                    <w:suppressLineNumbers w:val="0"/>
                    <w:spacing w:before="0" w:beforeAutospacing="0" w:after="0" w:afterAutospacing="0"/>
                    <w:ind w:left="0" w:right="0"/>
                    <w:rPr>
                      <w:rFonts w:hint="default"/>
                      <w:color w:val="auto"/>
                      <w:highlight w:val="none"/>
                    </w:rPr>
                  </w:pPr>
                </w:p>
              </w:tc>
            </w:tr>
            <w:tr w14:paraId="38427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47A6EA7">
                  <w:pPr>
                    <w:pStyle w:val="114"/>
                    <w:keepNext w:val="0"/>
                    <w:keepLines w:val="0"/>
                    <w:suppressLineNumbers w:val="0"/>
                    <w:spacing w:before="0" w:beforeAutospacing="0" w:after="0" w:afterAutospacing="0"/>
                    <w:ind w:left="0" w:right="0"/>
                    <w:rPr>
                      <w:rFonts w:hint="default"/>
                      <w:color w:val="auto"/>
                      <w:highlight w:val="none"/>
                    </w:rPr>
                  </w:pPr>
                  <w:bookmarkStart w:id="317" w:name="_Toc20323"/>
                  <w:r>
                    <w:rPr>
                      <w:rFonts w:hint="default"/>
                      <w:color w:val="auto"/>
                      <w:highlight w:val="none"/>
                    </w:rPr>
                    <w:t>钠</w:t>
                  </w:r>
                  <w:bookmarkEnd w:id="317"/>
                </w:p>
              </w:tc>
              <w:tc>
                <w:tcPr>
                  <w:tcW w:w="905" w:type="dxa"/>
                  <w:vMerge w:val="continue"/>
                  <w:tcBorders>
                    <w:tl2br w:val="nil"/>
                    <w:tr2bl w:val="nil"/>
                  </w:tcBorders>
                  <w:vAlign w:val="center"/>
                </w:tcPr>
                <w:p w14:paraId="47F3F839">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58690B3">
                  <w:pPr>
                    <w:pStyle w:val="114"/>
                    <w:keepNext w:val="0"/>
                    <w:keepLines w:val="0"/>
                    <w:suppressLineNumbers w:val="0"/>
                    <w:spacing w:before="0" w:beforeAutospacing="0" w:after="0" w:afterAutospacing="0"/>
                    <w:ind w:left="0" w:right="0"/>
                    <w:rPr>
                      <w:rFonts w:hint="default"/>
                      <w:color w:val="auto"/>
                      <w:highlight w:val="none"/>
                    </w:rPr>
                  </w:pPr>
                  <w:bookmarkStart w:id="318" w:name="_Toc30556"/>
                  <w:r>
                    <w:rPr>
                      <w:rFonts w:hint="default"/>
                      <w:color w:val="auto"/>
                      <w:highlight w:val="none"/>
                    </w:rPr>
                    <w:t>≤200</w:t>
                  </w:r>
                  <w:bookmarkEnd w:id="318"/>
                </w:p>
              </w:tc>
              <w:tc>
                <w:tcPr>
                  <w:tcW w:w="1200" w:type="dxa"/>
                  <w:tcBorders>
                    <w:tl2br w:val="nil"/>
                    <w:tr2bl w:val="nil"/>
                  </w:tcBorders>
                  <w:vAlign w:val="center"/>
                </w:tcPr>
                <w:p w14:paraId="466A15BE">
                  <w:pPr>
                    <w:pStyle w:val="114"/>
                    <w:keepNext w:val="0"/>
                    <w:keepLines w:val="0"/>
                    <w:suppressLineNumbers w:val="0"/>
                    <w:spacing w:before="0" w:beforeAutospacing="0" w:after="0" w:afterAutospacing="0"/>
                    <w:ind w:left="0" w:right="0"/>
                    <w:rPr>
                      <w:rFonts w:hint="default"/>
                      <w:color w:val="auto"/>
                      <w:highlight w:val="none"/>
                    </w:rPr>
                  </w:pPr>
                  <w:bookmarkStart w:id="319" w:name="_Toc22198"/>
                  <w:r>
                    <w:rPr>
                      <w:rFonts w:hint="default"/>
                      <w:color w:val="auto"/>
                      <w:highlight w:val="none"/>
                    </w:rPr>
                    <w:t>mg/L</w:t>
                  </w:r>
                  <w:bookmarkEnd w:id="319"/>
                </w:p>
              </w:tc>
              <w:tc>
                <w:tcPr>
                  <w:tcW w:w="1362" w:type="dxa"/>
                  <w:tcBorders>
                    <w:tl2br w:val="nil"/>
                    <w:tr2bl w:val="nil"/>
                  </w:tcBorders>
                  <w:vAlign w:val="center"/>
                </w:tcPr>
                <w:p w14:paraId="6ED0F775">
                  <w:pPr>
                    <w:pStyle w:val="114"/>
                    <w:keepNext w:val="0"/>
                    <w:keepLines w:val="0"/>
                    <w:suppressLineNumbers w:val="0"/>
                    <w:spacing w:before="0" w:beforeAutospacing="0" w:after="0" w:afterAutospacing="0"/>
                    <w:ind w:left="0" w:right="0"/>
                    <w:rPr>
                      <w:rFonts w:hint="default"/>
                      <w:color w:val="auto"/>
                      <w:highlight w:val="none"/>
                    </w:rPr>
                  </w:pPr>
                  <w:bookmarkStart w:id="320" w:name="_Toc9154"/>
                  <w:r>
                    <w:rPr>
                      <w:rFonts w:hint="eastAsia"/>
                      <w:color w:val="auto"/>
                      <w:highlight w:val="none"/>
                    </w:rPr>
                    <w:t>5.80</w:t>
                  </w:r>
                  <w:bookmarkEnd w:id="320"/>
                </w:p>
              </w:tc>
              <w:tc>
                <w:tcPr>
                  <w:tcW w:w="1113" w:type="dxa"/>
                  <w:tcBorders>
                    <w:tl2br w:val="nil"/>
                    <w:tr2bl w:val="nil"/>
                  </w:tcBorders>
                  <w:vAlign w:val="center"/>
                </w:tcPr>
                <w:p w14:paraId="61B230BF">
                  <w:pPr>
                    <w:pStyle w:val="114"/>
                    <w:keepNext w:val="0"/>
                    <w:keepLines w:val="0"/>
                    <w:suppressLineNumbers w:val="0"/>
                    <w:spacing w:before="0" w:beforeAutospacing="0" w:after="0" w:afterAutospacing="0"/>
                    <w:ind w:left="0" w:right="0"/>
                    <w:rPr>
                      <w:rFonts w:hint="default"/>
                      <w:color w:val="auto"/>
                      <w:highlight w:val="none"/>
                    </w:rPr>
                  </w:pPr>
                  <w:bookmarkStart w:id="321" w:name="_Toc26755"/>
                  <w:r>
                    <w:rPr>
                      <w:rFonts w:hint="eastAsia"/>
                      <w:color w:val="auto"/>
                      <w:highlight w:val="none"/>
                    </w:rPr>
                    <w:t>0.01</w:t>
                  </w:r>
                  <w:bookmarkEnd w:id="321"/>
                </w:p>
              </w:tc>
              <w:tc>
                <w:tcPr>
                  <w:tcW w:w="964" w:type="dxa"/>
                  <w:vMerge w:val="continue"/>
                  <w:tcBorders>
                    <w:tl2br w:val="nil"/>
                    <w:tr2bl w:val="nil"/>
                  </w:tcBorders>
                  <w:vAlign w:val="center"/>
                </w:tcPr>
                <w:p w14:paraId="0C05094C">
                  <w:pPr>
                    <w:pStyle w:val="114"/>
                    <w:keepNext w:val="0"/>
                    <w:keepLines w:val="0"/>
                    <w:suppressLineNumbers w:val="0"/>
                    <w:spacing w:before="0" w:beforeAutospacing="0" w:after="0" w:afterAutospacing="0"/>
                    <w:ind w:left="0" w:right="0"/>
                    <w:rPr>
                      <w:rFonts w:hint="default"/>
                      <w:color w:val="auto"/>
                      <w:highlight w:val="none"/>
                    </w:rPr>
                  </w:pPr>
                </w:p>
              </w:tc>
            </w:tr>
            <w:tr w14:paraId="6E51D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EDF3084">
                  <w:pPr>
                    <w:pStyle w:val="114"/>
                    <w:keepNext w:val="0"/>
                    <w:keepLines w:val="0"/>
                    <w:suppressLineNumbers w:val="0"/>
                    <w:spacing w:before="0" w:beforeAutospacing="0" w:after="0" w:afterAutospacing="0"/>
                    <w:ind w:left="0" w:right="0"/>
                    <w:rPr>
                      <w:rFonts w:hint="default"/>
                      <w:color w:val="auto"/>
                      <w:highlight w:val="none"/>
                    </w:rPr>
                  </w:pPr>
                  <w:bookmarkStart w:id="322" w:name="_Toc3846"/>
                  <w:r>
                    <w:rPr>
                      <w:rFonts w:hint="default"/>
                      <w:color w:val="auto"/>
                      <w:highlight w:val="none"/>
                    </w:rPr>
                    <w:t>钙</w:t>
                  </w:r>
                  <w:bookmarkEnd w:id="322"/>
                </w:p>
              </w:tc>
              <w:tc>
                <w:tcPr>
                  <w:tcW w:w="905" w:type="dxa"/>
                  <w:vMerge w:val="continue"/>
                  <w:tcBorders>
                    <w:tl2br w:val="nil"/>
                    <w:tr2bl w:val="nil"/>
                  </w:tcBorders>
                  <w:vAlign w:val="center"/>
                </w:tcPr>
                <w:p w14:paraId="33551EFB">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639253A8">
                  <w:pPr>
                    <w:pStyle w:val="114"/>
                    <w:keepNext w:val="0"/>
                    <w:keepLines w:val="0"/>
                    <w:suppressLineNumbers w:val="0"/>
                    <w:spacing w:before="0" w:beforeAutospacing="0" w:after="0" w:afterAutospacing="0"/>
                    <w:ind w:left="0" w:right="0"/>
                    <w:rPr>
                      <w:rFonts w:hint="default"/>
                      <w:color w:val="auto"/>
                      <w:highlight w:val="none"/>
                    </w:rPr>
                  </w:pPr>
                  <w:bookmarkStart w:id="323" w:name="_Toc5082"/>
                  <w:r>
                    <w:rPr>
                      <w:rFonts w:hint="default"/>
                      <w:color w:val="auto"/>
                      <w:highlight w:val="none"/>
                    </w:rPr>
                    <w:t>/</w:t>
                  </w:r>
                  <w:bookmarkEnd w:id="323"/>
                </w:p>
              </w:tc>
              <w:tc>
                <w:tcPr>
                  <w:tcW w:w="1200" w:type="dxa"/>
                  <w:tcBorders>
                    <w:tl2br w:val="nil"/>
                    <w:tr2bl w:val="nil"/>
                  </w:tcBorders>
                  <w:vAlign w:val="center"/>
                </w:tcPr>
                <w:p w14:paraId="7FA03104">
                  <w:pPr>
                    <w:pStyle w:val="114"/>
                    <w:keepNext w:val="0"/>
                    <w:keepLines w:val="0"/>
                    <w:suppressLineNumbers w:val="0"/>
                    <w:spacing w:before="0" w:beforeAutospacing="0" w:after="0" w:afterAutospacing="0"/>
                    <w:ind w:left="0" w:right="0"/>
                    <w:rPr>
                      <w:rFonts w:hint="default"/>
                      <w:color w:val="auto"/>
                      <w:highlight w:val="none"/>
                    </w:rPr>
                  </w:pPr>
                  <w:bookmarkStart w:id="324" w:name="_Toc22581"/>
                  <w:r>
                    <w:rPr>
                      <w:rFonts w:hint="default"/>
                      <w:color w:val="auto"/>
                      <w:highlight w:val="none"/>
                    </w:rPr>
                    <w:t>mg/L</w:t>
                  </w:r>
                  <w:bookmarkEnd w:id="324"/>
                </w:p>
              </w:tc>
              <w:tc>
                <w:tcPr>
                  <w:tcW w:w="1362" w:type="dxa"/>
                  <w:tcBorders>
                    <w:tl2br w:val="nil"/>
                    <w:tr2bl w:val="nil"/>
                  </w:tcBorders>
                  <w:vAlign w:val="center"/>
                </w:tcPr>
                <w:p w14:paraId="3F855041">
                  <w:pPr>
                    <w:pStyle w:val="114"/>
                    <w:keepNext w:val="0"/>
                    <w:keepLines w:val="0"/>
                    <w:suppressLineNumbers w:val="0"/>
                    <w:spacing w:before="0" w:beforeAutospacing="0" w:after="0" w:afterAutospacing="0"/>
                    <w:ind w:left="0" w:right="0"/>
                    <w:rPr>
                      <w:rFonts w:hint="default"/>
                      <w:color w:val="auto"/>
                      <w:highlight w:val="none"/>
                    </w:rPr>
                  </w:pPr>
                  <w:bookmarkStart w:id="325" w:name="_Toc7890"/>
                  <w:r>
                    <w:rPr>
                      <w:rFonts w:hint="eastAsia"/>
                      <w:color w:val="auto"/>
                      <w:highlight w:val="none"/>
                    </w:rPr>
                    <w:t>56.0</w:t>
                  </w:r>
                  <w:bookmarkEnd w:id="325"/>
                </w:p>
              </w:tc>
              <w:tc>
                <w:tcPr>
                  <w:tcW w:w="1113" w:type="dxa"/>
                  <w:tcBorders>
                    <w:tl2br w:val="nil"/>
                    <w:tr2bl w:val="nil"/>
                  </w:tcBorders>
                  <w:vAlign w:val="center"/>
                </w:tcPr>
                <w:p w14:paraId="7864935E">
                  <w:pPr>
                    <w:pStyle w:val="114"/>
                    <w:keepNext w:val="0"/>
                    <w:keepLines w:val="0"/>
                    <w:suppressLineNumbers w:val="0"/>
                    <w:spacing w:before="0" w:beforeAutospacing="0" w:after="0" w:afterAutospacing="0"/>
                    <w:ind w:left="0" w:right="0"/>
                    <w:rPr>
                      <w:rFonts w:hint="default"/>
                      <w:color w:val="auto"/>
                      <w:highlight w:val="none"/>
                    </w:rPr>
                  </w:pPr>
                  <w:bookmarkStart w:id="326" w:name="_Toc11098"/>
                  <w:r>
                    <w:rPr>
                      <w:rFonts w:hint="eastAsia"/>
                      <w:color w:val="auto"/>
                      <w:highlight w:val="none"/>
                    </w:rPr>
                    <w:t>/</w:t>
                  </w:r>
                  <w:bookmarkEnd w:id="326"/>
                </w:p>
              </w:tc>
              <w:tc>
                <w:tcPr>
                  <w:tcW w:w="964" w:type="dxa"/>
                  <w:vMerge w:val="continue"/>
                  <w:tcBorders>
                    <w:tl2br w:val="nil"/>
                    <w:tr2bl w:val="nil"/>
                  </w:tcBorders>
                  <w:vAlign w:val="center"/>
                </w:tcPr>
                <w:p w14:paraId="45768179">
                  <w:pPr>
                    <w:pStyle w:val="114"/>
                    <w:keepNext w:val="0"/>
                    <w:keepLines w:val="0"/>
                    <w:suppressLineNumbers w:val="0"/>
                    <w:spacing w:before="0" w:beforeAutospacing="0" w:after="0" w:afterAutospacing="0"/>
                    <w:ind w:left="0" w:right="0"/>
                    <w:rPr>
                      <w:rFonts w:hint="default"/>
                      <w:color w:val="auto"/>
                      <w:highlight w:val="none"/>
                    </w:rPr>
                  </w:pPr>
                </w:p>
              </w:tc>
            </w:tr>
            <w:tr w14:paraId="608834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E8C0D71">
                  <w:pPr>
                    <w:pStyle w:val="114"/>
                    <w:keepNext w:val="0"/>
                    <w:keepLines w:val="0"/>
                    <w:suppressLineNumbers w:val="0"/>
                    <w:spacing w:before="0" w:beforeAutospacing="0" w:after="0" w:afterAutospacing="0"/>
                    <w:ind w:left="0" w:right="0"/>
                    <w:rPr>
                      <w:rFonts w:hint="default"/>
                      <w:color w:val="auto"/>
                      <w:highlight w:val="none"/>
                    </w:rPr>
                  </w:pPr>
                  <w:bookmarkStart w:id="327" w:name="_Toc21076"/>
                  <w:r>
                    <w:rPr>
                      <w:rFonts w:hint="default"/>
                      <w:color w:val="auto"/>
                      <w:highlight w:val="none"/>
                    </w:rPr>
                    <w:t>镁</w:t>
                  </w:r>
                  <w:bookmarkEnd w:id="327"/>
                </w:p>
              </w:tc>
              <w:tc>
                <w:tcPr>
                  <w:tcW w:w="905" w:type="dxa"/>
                  <w:vMerge w:val="continue"/>
                  <w:tcBorders>
                    <w:tl2br w:val="nil"/>
                    <w:tr2bl w:val="nil"/>
                  </w:tcBorders>
                  <w:vAlign w:val="center"/>
                </w:tcPr>
                <w:p w14:paraId="3DEC809E">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50EFBB3">
                  <w:pPr>
                    <w:pStyle w:val="114"/>
                    <w:keepNext w:val="0"/>
                    <w:keepLines w:val="0"/>
                    <w:suppressLineNumbers w:val="0"/>
                    <w:spacing w:before="0" w:beforeAutospacing="0" w:after="0" w:afterAutospacing="0"/>
                    <w:ind w:left="0" w:right="0"/>
                    <w:rPr>
                      <w:rFonts w:hint="default"/>
                      <w:color w:val="auto"/>
                      <w:highlight w:val="none"/>
                    </w:rPr>
                  </w:pPr>
                  <w:bookmarkStart w:id="328" w:name="_Toc28323"/>
                  <w:r>
                    <w:rPr>
                      <w:rFonts w:hint="default"/>
                      <w:color w:val="auto"/>
                      <w:highlight w:val="none"/>
                    </w:rPr>
                    <w:t>/</w:t>
                  </w:r>
                  <w:bookmarkEnd w:id="328"/>
                </w:p>
              </w:tc>
              <w:tc>
                <w:tcPr>
                  <w:tcW w:w="1200" w:type="dxa"/>
                  <w:tcBorders>
                    <w:tl2br w:val="nil"/>
                    <w:tr2bl w:val="nil"/>
                  </w:tcBorders>
                  <w:vAlign w:val="center"/>
                </w:tcPr>
                <w:p w14:paraId="1ADAD4C0">
                  <w:pPr>
                    <w:pStyle w:val="114"/>
                    <w:keepNext w:val="0"/>
                    <w:keepLines w:val="0"/>
                    <w:suppressLineNumbers w:val="0"/>
                    <w:spacing w:before="0" w:beforeAutospacing="0" w:after="0" w:afterAutospacing="0"/>
                    <w:ind w:left="0" w:right="0"/>
                    <w:rPr>
                      <w:rFonts w:hint="default"/>
                      <w:color w:val="auto"/>
                      <w:highlight w:val="none"/>
                    </w:rPr>
                  </w:pPr>
                  <w:bookmarkStart w:id="329" w:name="_Toc16688"/>
                  <w:r>
                    <w:rPr>
                      <w:rFonts w:hint="default"/>
                      <w:color w:val="auto"/>
                      <w:highlight w:val="none"/>
                    </w:rPr>
                    <w:t>mg/L</w:t>
                  </w:r>
                  <w:bookmarkEnd w:id="329"/>
                </w:p>
              </w:tc>
              <w:tc>
                <w:tcPr>
                  <w:tcW w:w="1362" w:type="dxa"/>
                  <w:tcBorders>
                    <w:tl2br w:val="nil"/>
                    <w:tr2bl w:val="nil"/>
                  </w:tcBorders>
                  <w:vAlign w:val="center"/>
                </w:tcPr>
                <w:p w14:paraId="5820919B">
                  <w:pPr>
                    <w:pStyle w:val="114"/>
                    <w:keepNext w:val="0"/>
                    <w:keepLines w:val="0"/>
                    <w:suppressLineNumbers w:val="0"/>
                    <w:spacing w:before="0" w:beforeAutospacing="0" w:after="0" w:afterAutospacing="0"/>
                    <w:ind w:left="0" w:right="0"/>
                    <w:rPr>
                      <w:rFonts w:hint="default"/>
                      <w:color w:val="auto"/>
                      <w:highlight w:val="none"/>
                    </w:rPr>
                  </w:pPr>
                  <w:bookmarkStart w:id="330" w:name="_Toc397"/>
                  <w:r>
                    <w:rPr>
                      <w:rFonts w:hint="eastAsia"/>
                      <w:color w:val="auto"/>
                      <w:highlight w:val="none"/>
                    </w:rPr>
                    <w:t>13.5</w:t>
                  </w:r>
                  <w:bookmarkEnd w:id="330"/>
                </w:p>
              </w:tc>
              <w:tc>
                <w:tcPr>
                  <w:tcW w:w="1113" w:type="dxa"/>
                  <w:tcBorders>
                    <w:tl2br w:val="nil"/>
                    <w:tr2bl w:val="nil"/>
                  </w:tcBorders>
                  <w:vAlign w:val="center"/>
                </w:tcPr>
                <w:p w14:paraId="747EC890">
                  <w:pPr>
                    <w:pStyle w:val="114"/>
                    <w:keepNext w:val="0"/>
                    <w:keepLines w:val="0"/>
                    <w:suppressLineNumbers w:val="0"/>
                    <w:spacing w:before="0" w:beforeAutospacing="0" w:after="0" w:afterAutospacing="0"/>
                    <w:ind w:left="0" w:right="0"/>
                    <w:rPr>
                      <w:rFonts w:hint="default"/>
                      <w:color w:val="auto"/>
                      <w:highlight w:val="none"/>
                    </w:rPr>
                  </w:pPr>
                  <w:bookmarkStart w:id="331" w:name="_Toc19734"/>
                  <w:r>
                    <w:rPr>
                      <w:rFonts w:hint="eastAsia"/>
                      <w:color w:val="auto"/>
                      <w:highlight w:val="none"/>
                    </w:rPr>
                    <w:t>/</w:t>
                  </w:r>
                  <w:bookmarkEnd w:id="331"/>
                </w:p>
              </w:tc>
              <w:tc>
                <w:tcPr>
                  <w:tcW w:w="964" w:type="dxa"/>
                  <w:vMerge w:val="continue"/>
                  <w:tcBorders>
                    <w:tl2br w:val="nil"/>
                    <w:tr2bl w:val="nil"/>
                  </w:tcBorders>
                  <w:vAlign w:val="center"/>
                </w:tcPr>
                <w:p w14:paraId="3EE133AC">
                  <w:pPr>
                    <w:pStyle w:val="114"/>
                    <w:keepNext w:val="0"/>
                    <w:keepLines w:val="0"/>
                    <w:suppressLineNumbers w:val="0"/>
                    <w:spacing w:before="0" w:beforeAutospacing="0" w:after="0" w:afterAutospacing="0"/>
                    <w:ind w:left="0" w:right="0"/>
                    <w:rPr>
                      <w:rFonts w:hint="default"/>
                      <w:color w:val="auto"/>
                      <w:highlight w:val="none"/>
                    </w:rPr>
                  </w:pPr>
                </w:p>
              </w:tc>
            </w:tr>
            <w:tr w14:paraId="1F7648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01BFFC26">
                  <w:pPr>
                    <w:pStyle w:val="114"/>
                    <w:keepNext w:val="0"/>
                    <w:keepLines w:val="0"/>
                    <w:suppressLineNumbers w:val="0"/>
                    <w:spacing w:before="0" w:beforeAutospacing="0" w:after="0" w:afterAutospacing="0"/>
                    <w:ind w:left="0" w:right="0"/>
                    <w:rPr>
                      <w:rFonts w:hint="default"/>
                      <w:color w:val="auto"/>
                      <w:highlight w:val="none"/>
                    </w:rPr>
                  </w:pPr>
                  <w:bookmarkStart w:id="332" w:name="_Toc26251"/>
                  <w:r>
                    <w:rPr>
                      <w:rFonts w:hint="default"/>
                      <w:color w:val="auto"/>
                      <w:highlight w:val="none"/>
                    </w:rPr>
                    <w:t>碳酸氢根</w:t>
                  </w:r>
                  <w:bookmarkEnd w:id="332"/>
                </w:p>
              </w:tc>
              <w:tc>
                <w:tcPr>
                  <w:tcW w:w="905" w:type="dxa"/>
                  <w:vMerge w:val="continue"/>
                  <w:tcBorders>
                    <w:tl2br w:val="nil"/>
                    <w:tr2bl w:val="nil"/>
                  </w:tcBorders>
                  <w:vAlign w:val="center"/>
                </w:tcPr>
                <w:p w14:paraId="3D38DD20">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987EB9E">
                  <w:pPr>
                    <w:pStyle w:val="114"/>
                    <w:keepNext w:val="0"/>
                    <w:keepLines w:val="0"/>
                    <w:suppressLineNumbers w:val="0"/>
                    <w:spacing w:before="0" w:beforeAutospacing="0" w:after="0" w:afterAutospacing="0"/>
                    <w:ind w:left="0" w:right="0"/>
                    <w:rPr>
                      <w:rFonts w:hint="default"/>
                      <w:color w:val="auto"/>
                      <w:highlight w:val="none"/>
                    </w:rPr>
                  </w:pPr>
                  <w:bookmarkStart w:id="333" w:name="_Toc42"/>
                  <w:r>
                    <w:rPr>
                      <w:rFonts w:hint="default"/>
                      <w:color w:val="auto"/>
                      <w:highlight w:val="none"/>
                    </w:rPr>
                    <w:t>/</w:t>
                  </w:r>
                  <w:bookmarkEnd w:id="333"/>
                </w:p>
              </w:tc>
              <w:tc>
                <w:tcPr>
                  <w:tcW w:w="1200" w:type="dxa"/>
                  <w:tcBorders>
                    <w:tl2br w:val="nil"/>
                    <w:tr2bl w:val="nil"/>
                  </w:tcBorders>
                  <w:vAlign w:val="center"/>
                </w:tcPr>
                <w:p w14:paraId="7E66F8D1">
                  <w:pPr>
                    <w:pStyle w:val="114"/>
                    <w:keepNext w:val="0"/>
                    <w:keepLines w:val="0"/>
                    <w:suppressLineNumbers w:val="0"/>
                    <w:spacing w:before="0" w:beforeAutospacing="0" w:after="0" w:afterAutospacing="0"/>
                    <w:ind w:left="0" w:right="0"/>
                    <w:rPr>
                      <w:rFonts w:hint="default"/>
                      <w:color w:val="auto"/>
                      <w:highlight w:val="none"/>
                    </w:rPr>
                  </w:pPr>
                  <w:bookmarkStart w:id="334" w:name="_Toc12996"/>
                  <w:r>
                    <w:rPr>
                      <w:rFonts w:hint="default"/>
                      <w:color w:val="auto"/>
                      <w:highlight w:val="none"/>
                    </w:rPr>
                    <w:t>mg/L</w:t>
                  </w:r>
                  <w:bookmarkEnd w:id="334"/>
                </w:p>
              </w:tc>
              <w:tc>
                <w:tcPr>
                  <w:tcW w:w="1362" w:type="dxa"/>
                  <w:tcBorders>
                    <w:tl2br w:val="nil"/>
                    <w:tr2bl w:val="nil"/>
                  </w:tcBorders>
                  <w:vAlign w:val="center"/>
                </w:tcPr>
                <w:p w14:paraId="4F6463C2">
                  <w:pPr>
                    <w:pStyle w:val="114"/>
                    <w:keepNext w:val="0"/>
                    <w:keepLines w:val="0"/>
                    <w:suppressLineNumbers w:val="0"/>
                    <w:spacing w:before="0" w:beforeAutospacing="0" w:after="0" w:afterAutospacing="0"/>
                    <w:ind w:left="0" w:right="0"/>
                    <w:rPr>
                      <w:rFonts w:hint="default"/>
                      <w:color w:val="auto"/>
                      <w:highlight w:val="none"/>
                    </w:rPr>
                  </w:pPr>
                  <w:bookmarkStart w:id="335" w:name="_Toc18498"/>
                  <w:r>
                    <w:rPr>
                      <w:rFonts w:hint="eastAsia"/>
                      <w:color w:val="auto"/>
                      <w:highlight w:val="none"/>
                    </w:rPr>
                    <w:t>142</w:t>
                  </w:r>
                  <w:bookmarkEnd w:id="335"/>
                </w:p>
              </w:tc>
              <w:tc>
                <w:tcPr>
                  <w:tcW w:w="1113" w:type="dxa"/>
                  <w:tcBorders>
                    <w:tl2br w:val="nil"/>
                    <w:tr2bl w:val="nil"/>
                  </w:tcBorders>
                  <w:vAlign w:val="center"/>
                </w:tcPr>
                <w:p w14:paraId="5953F0CD">
                  <w:pPr>
                    <w:pStyle w:val="114"/>
                    <w:keepNext w:val="0"/>
                    <w:keepLines w:val="0"/>
                    <w:suppressLineNumbers w:val="0"/>
                    <w:spacing w:before="0" w:beforeAutospacing="0" w:after="0" w:afterAutospacing="0"/>
                    <w:ind w:left="0" w:right="0"/>
                    <w:rPr>
                      <w:rFonts w:hint="default"/>
                      <w:color w:val="auto"/>
                      <w:highlight w:val="none"/>
                    </w:rPr>
                  </w:pPr>
                  <w:bookmarkStart w:id="336" w:name="_Toc15576"/>
                  <w:r>
                    <w:rPr>
                      <w:rFonts w:hint="eastAsia"/>
                      <w:color w:val="auto"/>
                      <w:highlight w:val="none"/>
                    </w:rPr>
                    <w:t>/</w:t>
                  </w:r>
                  <w:bookmarkEnd w:id="336"/>
                </w:p>
              </w:tc>
              <w:tc>
                <w:tcPr>
                  <w:tcW w:w="964" w:type="dxa"/>
                  <w:vMerge w:val="continue"/>
                  <w:tcBorders>
                    <w:tl2br w:val="nil"/>
                    <w:tr2bl w:val="nil"/>
                  </w:tcBorders>
                  <w:vAlign w:val="center"/>
                </w:tcPr>
                <w:p w14:paraId="0449D4D3">
                  <w:pPr>
                    <w:pStyle w:val="114"/>
                    <w:keepNext w:val="0"/>
                    <w:keepLines w:val="0"/>
                    <w:suppressLineNumbers w:val="0"/>
                    <w:spacing w:before="0" w:beforeAutospacing="0" w:after="0" w:afterAutospacing="0"/>
                    <w:ind w:left="0" w:right="0"/>
                    <w:rPr>
                      <w:rFonts w:hint="default"/>
                      <w:color w:val="auto"/>
                      <w:highlight w:val="none"/>
                    </w:rPr>
                  </w:pPr>
                </w:p>
              </w:tc>
            </w:tr>
            <w:tr w14:paraId="72A738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21FDE940">
                  <w:pPr>
                    <w:pStyle w:val="114"/>
                    <w:keepNext w:val="0"/>
                    <w:keepLines w:val="0"/>
                    <w:suppressLineNumbers w:val="0"/>
                    <w:spacing w:before="0" w:beforeAutospacing="0" w:after="0" w:afterAutospacing="0"/>
                    <w:ind w:left="0" w:right="0"/>
                    <w:rPr>
                      <w:rFonts w:hint="default"/>
                      <w:color w:val="auto"/>
                      <w:highlight w:val="none"/>
                    </w:rPr>
                  </w:pPr>
                  <w:bookmarkStart w:id="337" w:name="_Toc18708"/>
                  <w:r>
                    <w:rPr>
                      <w:rFonts w:hint="default"/>
                      <w:color w:val="auto"/>
                      <w:highlight w:val="none"/>
                    </w:rPr>
                    <w:t>碳酸根</w:t>
                  </w:r>
                  <w:bookmarkEnd w:id="337"/>
                </w:p>
              </w:tc>
              <w:tc>
                <w:tcPr>
                  <w:tcW w:w="905" w:type="dxa"/>
                  <w:vMerge w:val="continue"/>
                  <w:tcBorders>
                    <w:tl2br w:val="nil"/>
                    <w:tr2bl w:val="nil"/>
                  </w:tcBorders>
                  <w:vAlign w:val="center"/>
                </w:tcPr>
                <w:p w14:paraId="24E9EE27">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D6226F5">
                  <w:pPr>
                    <w:pStyle w:val="114"/>
                    <w:keepNext w:val="0"/>
                    <w:keepLines w:val="0"/>
                    <w:suppressLineNumbers w:val="0"/>
                    <w:spacing w:before="0" w:beforeAutospacing="0" w:after="0" w:afterAutospacing="0"/>
                    <w:ind w:left="0" w:right="0"/>
                    <w:rPr>
                      <w:rFonts w:hint="default"/>
                      <w:color w:val="auto"/>
                      <w:highlight w:val="none"/>
                    </w:rPr>
                  </w:pPr>
                  <w:bookmarkStart w:id="338" w:name="_Toc2774"/>
                  <w:r>
                    <w:rPr>
                      <w:rFonts w:hint="default"/>
                      <w:color w:val="auto"/>
                      <w:highlight w:val="none"/>
                    </w:rPr>
                    <w:t>/</w:t>
                  </w:r>
                  <w:bookmarkEnd w:id="338"/>
                </w:p>
              </w:tc>
              <w:tc>
                <w:tcPr>
                  <w:tcW w:w="1200" w:type="dxa"/>
                  <w:tcBorders>
                    <w:tl2br w:val="nil"/>
                    <w:tr2bl w:val="nil"/>
                  </w:tcBorders>
                  <w:vAlign w:val="center"/>
                </w:tcPr>
                <w:p w14:paraId="797D6835">
                  <w:pPr>
                    <w:pStyle w:val="114"/>
                    <w:keepNext w:val="0"/>
                    <w:keepLines w:val="0"/>
                    <w:suppressLineNumbers w:val="0"/>
                    <w:spacing w:before="0" w:beforeAutospacing="0" w:after="0" w:afterAutospacing="0"/>
                    <w:ind w:left="0" w:right="0"/>
                    <w:rPr>
                      <w:rFonts w:hint="default"/>
                      <w:color w:val="auto"/>
                      <w:highlight w:val="none"/>
                    </w:rPr>
                  </w:pPr>
                  <w:bookmarkStart w:id="339" w:name="_Toc25823"/>
                  <w:r>
                    <w:rPr>
                      <w:rFonts w:hint="default"/>
                      <w:color w:val="auto"/>
                      <w:highlight w:val="none"/>
                    </w:rPr>
                    <w:t>mg/L</w:t>
                  </w:r>
                  <w:bookmarkEnd w:id="339"/>
                </w:p>
              </w:tc>
              <w:tc>
                <w:tcPr>
                  <w:tcW w:w="1362" w:type="dxa"/>
                  <w:tcBorders>
                    <w:tl2br w:val="nil"/>
                    <w:tr2bl w:val="nil"/>
                  </w:tcBorders>
                  <w:vAlign w:val="center"/>
                </w:tcPr>
                <w:p w14:paraId="5B13A5F9">
                  <w:pPr>
                    <w:pStyle w:val="114"/>
                    <w:keepNext w:val="0"/>
                    <w:keepLines w:val="0"/>
                    <w:suppressLineNumbers w:val="0"/>
                    <w:spacing w:before="0" w:beforeAutospacing="0" w:after="0" w:afterAutospacing="0"/>
                    <w:ind w:left="0" w:right="0"/>
                    <w:rPr>
                      <w:rFonts w:hint="default"/>
                      <w:color w:val="auto"/>
                      <w:highlight w:val="none"/>
                    </w:rPr>
                  </w:pPr>
                  <w:bookmarkStart w:id="340" w:name="_Toc16577"/>
                  <w:r>
                    <w:rPr>
                      <w:rFonts w:hint="default"/>
                      <w:color w:val="auto"/>
                      <w:highlight w:val="none"/>
                    </w:rPr>
                    <w:t>5</w:t>
                  </w:r>
                  <w:r>
                    <w:rPr>
                      <w:rFonts w:hint="default"/>
                      <w:color w:val="auto"/>
                      <w:highlight w:val="none"/>
                      <w:vertAlign w:val="subscript"/>
                    </w:rPr>
                    <w:t>L</w:t>
                  </w:r>
                  <w:bookmarkEnd w:id="340"/>
                </w:p>
              </w:tc>
              <w:tc>
                <w:tcPr>
                  <w:tcW w:w="1113" w:type="dxa"/>
                  <w:tcBorders>
                    <w:tl2br w:val="nil"/>
                    <w:tr2bl w:val="nil"/>
                  </w:tcBorders>
                  <w:vAlign w:val="center"/>
                </w:tcPr>
                <w:p w14:paraId="1BD330E1">
                  <w:pPr>
                    <w:pStyle w:val="114"/>
                    <w:keepNext w:val="0"/>
                    <w:keepLines w:val="0"/>
                    <w:suppressLineNumbers w:val="0"/>
                    <w:spacing w:before="0" w:beforeAutospacing="0" w:after="0" w:afterAutospacing="0"/>
                    <w:ind w:left="0" w:right="0"/>
                    <w:rPr>
                      <w:rFonts w:hint="default"/>
                      <w:color w:val="auto"/>
                      <w:highlight w:val="none"/>
                    </w:rPr>
                  </w:pPr>
                  <w:bookmarkStart w:id="341" w:name="_Toc22359"/>
                  <w:r>
                    <w:rPr>
                      <w:rFonts w:hint="eastAsia"/>
                      <w:color w:val="auto"/>
                      <w:highlight w:val="none"/>
                    </w:rPr>
                    <w:t>/</w:t>
                  </w:r>
                  <w:bookmarkEnd w:id="341"/>
                </w:p>
              </w:tc>
              <w:tc>
                <w:tcPr>
                  <w:tcW w:w="964" w:type="dxa"/>
                  <w:vMerge w:val="continue"/>
                  <w:tcBorders>
                    <w:tl2br w:val="nil"/>
                    <w:tr2bl w:val="nil"/>
                  </w:tcBorders>
                  <w:vAlign w:val="center"/>
                </w:tcPr>
                <w:p w14:paraId="1006DF0A">
                  <w:pPr>
                    <w:pStyle w:val="114"/>
                    <w:keepNext w:val="0"/>
                    <w:keepLines w:val="0"/>
                    <w:suppressLineNumbers w:val="0"/>
                    <w:spacing w:before="0" w:beforeAutospacing="0" w:after="0" w:afterAutospacing="0"/>
                    <w:ind w:left="0" w:right="0"/>
                    <w:rPr>
                      <w:rFonts w:hint="default"/>
                      <w:color w:val="auto"/>
                      <w:highlight w:val="none"/>
                    </w:rPr>
                  </w:pPr>
                </w:p>
              </w:tc>
            </w:tr>
            <w:tr w14:paraId="51D898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C1B7603">
                  <w:pPr>
                    <w:pStyle w:val="114"/>
                    <w:keepNext w:val="0"/>
                    <w:keepLines w:val="0"/>
                    <w:suppressLineNumbers w:val="0"/>
                    <w:spacing w:before="0" w:beforeAutospacing="0" w:after="0" w:afterAutospacing="0"/>
                    <w:ind w:left="0" w:right="0"/>
                    <w:rPr>
                      <w:rFonts w:hint="default"/>
                      <w:color w:val="auto"/>
                      <w:highlight w:val="none"/>
                    </w:rPr>
                  </w:pPr>
                  <w:bookmarkStart w:id="342" w:name="_Toc7252"/>
                  <w:r>
                    <w:rPr>
                      <w:rFonts w:hint="default"/>
                      <w:color w:val="auto"/>
                      <w:highlight w:val="none"/>
                    </w:rPr>
                    <w:t>硫酸盐</w:t>
                  </w:r>
                  <w:bookmarkEnd w:id="342"/>
                </w:p>
              </w:tc>
              <w:tc>
                <w:tcPr>
                  <w:tcW w:w="905" w:type="dxa"/>
                  <w:vMerge w:val="continue"/>
                  <w:tcBorders>
                    <w:tl2br w:val="nil"/>
                    <w:tr2bl w:val="nil"/>
                  </w:tcBorders>
                  <w:vAlign w:val="center"/>
                </w:tcPr>
                <w:p w14:paraId="748B4F6B">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1F729F4E">
                  <w:pPr>
                    <w:pStyle w:val="114"/>
                    <w:keepNext w:val="0"/>
                    <w:keepLines w:val="0"/>
                    <w:suppressLineNumbers w:val="0"/>
                    <w:spacing w:before="0" w:beforeAutospacing="0" w:after="0" w:afterAutospacing="0"/>
                    <w:ind w:left="0" w:right="0"/>
                    <w:rPr>
                      <w:rFonts w:hint="default"/>
                      <w:color w:val="auto"/>
                      <w:highlight w:val="none"/>
                    </w:rPr>
                  </w:pPr>
                  <w:bookmarkStart w:id="343" w:name="_Toc23761"/>
                  <w:r>
                    <w:rPr>
                      <w:rFonts w:hint="default"/>
                      <w:color w:val="auto"/>
                      <w:highlight w:val="none"/>
                    </w:rPr>
                    <w:t>≤250</w:t>
                  </w:r>
                  <w:bookmarkEnd w:id="343"/>
                </w:p>
              </w:tc>
              <w:tc>
                <w:tcPr>
                  <w:tcW w:w="1200" w:type="dxa"/>
                  <w:tcBorders>
                    <w:tl2br w:val="nil"/>
                    <w:tr2bl w:val="nil"/>
                  </w:tcBorders>
                  <w:vAlign w:val="center"/>
                </w:tcPr>
                <w:p w14:paraId="0B562850">
                  <w:pPr>
                    <w:pStyle w:val="114"/>
                    <w:keepNext w:val="0"/>
                    <w:keepLines w:val="0"/>
                    <w:suppressLineNumbers w:val="0"/>
                    <w:spacing w:before="0" w:beforeAutospacing="0" w:after="0" w:afterAutospacing="0"/>
                    <w:ind w:left="0" w:right="0"/>
                    <w:rPr>
                      <w:rFonts w:hint="default"/>
                      <w:color w:val="auto"/>
                      <w:highlight w:val="none"/>
                    </w:rPr>
                  </w:pPr>
                  <w:bookmarkStart w:id="344" w:name="_Toc12270"/>
                  <w:r>
                    <w:rPr>
                      <w:rFonts w:hint="default"/>
                      <w:color w:val="auto"/>
                      <w:highlight w:val="none"/>
                    </w:rPr>
                    <w:t>mg/L</w:t>
                  </w:r>
                  <w:bookmarkEnd w:id="344"/>
                </w:p>
              </w:tc>
              <w:tc>
                <w:tcPr>
                  <w:tcW w:w="1362" w:type="dxa"/>
                  <w:tcBorders>
                    <w:tl2br w:val="nil"/>
                    <w:tr2bl w:val="nil"/>
                  </w:tcBorders>
                  <w:vAlign w:val="center"/>
                </w:tcPr>
                <w:p w14:paraId="035548A7">
                  <w:pPr>
                    <w:pStyle w:val="114"/>
                    <w:keepNext w:val="0"/>
                    <w:keepLines w:val="0"/>
                    <w:suppressLineNumbers w:val="0"/>
                    <w:spacing w:before="0" w:beforeAutospacing="0" w:after="0" w:afterAutospacing="0"/>
                    <w:ind w:left="0" w:right="0"/>
                    <w:rPr>
                      <w:rFonts w:hint="default"/>
                      <w:color w:val="auto"/>
                      <w:highlight w:val="none"/>
                    </w:rPr>
                  </w:pPr>
                  <w:bookmarkStart w:id="345" w:name="_Toc28683"/>
                  <w:r>
                    <w:rPr>
                      <w:rFonts w:hint="default"/>
                      <w:color w:val="auto"/>
                      <w:highlight w:val="none"/>
                    </w:rPr>
                    <w:t>61.8</w:t>
                  </w:r>
                  <w:bookmarkEnd w:id="345"/>
                </w:p>
              </w:tc>
              <w:tc>
                <w:tcPr>
                  <w:tcW w:w="1113" w:type="dxa"/>
                  <w:tcBorders>
                    <w:tl2br w:val="nil"/>
                    <w:tr2bl w:val="nil"/>
                  </w:tcBorders>
                  <w:vAlign w:val="center"/>
                </w:tcPr>
                <w:p w14:paraId="79D0DBFF">
                  <w:pPr>
                    <w:pStyle w:val="114"/>
                    <w:keepNext w:val="0"/>
                    <w:keepLines w:val="0"/>
                    <w:suppressLineNumbers w:val="0"/>
                    <w:spacing w:before="0" w:beforeAutospacing="0" w:after="0" w:afterAutospacing="0"/>
                    <w:ind w:left="0" w:right="0"/>
                    <w:rPr>
                      <w:rFonts w:hint="default"/>
                      <w:color w:val="auto"/>
                      <w:highlight w:val="none"/>
                    </w:rPr>
                  </w:pPr>
                  <w:bookmarkStart w:id="346" w:name="_Toc24007"/>
                  <w:r>
                    <w:rPr>
                      <w:rFonts w:hint="default"/>
                      <w:color w:val="auto"/>
                      <w:szCs w:val="21"/>
                      <w:highlight w:val="none"/>
                    </w:rPr>
                    <w:t>0.14</w:t>
                  </w:r>
                  <w:bookmarkEnd w:id="346"/>
                </w:p>
              </w:tc>
              <w:tc>
                <w:tcPr>
                  <w:tcW w:w="964" w:type="dxa"/>
                  <w:vMerge w:val="continue"/>
                  <w:tcBorders>
                    <w:tl2br w:val="nil"/>
                    <w:tr2bl w:val="nil"/>
                  </w:tcBorders>
                  <w:vAlign w:val="center"/>
                </w:tcPr>
                <w:p w14:paraId="5C94C1B8">
                  <w:pPr>
                    <w:pStyle w:val="114"/>
                    <w:keepNext w:val="0"/>
                    <w:keepLines w:val="0"/>
                    <w:suppressLineNumbers w:val="0"/>
                    <w:spacing w:before="0" w:beforeAutospacing="0" w:after="0" w:afterAutospacing="0"/>
                    <w:ind w:left="0" w:right="0"/>
                    <w:rPr>
                      <w:rFonts w:hint="default"/>
                      <w:color w:val="auto"/>
                      <w:highlight w:val="none"/>
                    </w:rPr>
                  </w:pPr>
                </w:p>
              </w:tc>
            </w:tr>
            <w:tr w14:paraId="38A142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7B2C3BF8">
                  <w:pPr>
                    <w:pStyle w:val="114"/>
                    <w:keepNext w:val="0"/>
                    <w:keepLines w:val="0"/>
                    <w:suppressLineNumbers w:val="0"/>
                    <w:spacing w:before="0" w:beforeAutospacing="0" w:after="0" w:afterAutospacing="0"/>
                    <w:ind w:left="0" w:right="0"/>
                    <w:rPr>
                      <w:rFonts w:hint="default"/>
                      <w:color w:val="auto"/>
                      <w:highlight w:val="none"/>
                    </w:rPr>
                  </w:pPr>
                  <w:bookmarkStart w:id="347" w:name="_Toc15112"/>
                  <w:r>
                    <w:rPr>
                      <w:rFonts w:hint="default"/>
                      <w:color w:val="auto"/>
                      <w:highlight w:val="none"/>
                    </w:rPr>
                    <w:t>氯化物</w:t>
                  </w:r>
                  <w:bookmarkEnd w:id="347"/>
                </w:p>
              </w:tc>
              <w:tc>
                <w:tcPr>
                  <w:tcW w:w="905" w:type="dxa"/>
                  <w:vMerge w:val="continue"/>
                  <w:tcBorders>
                    <w:tl2br w:val="nil"/>
                    <w:tr2bl w:val="nil"/>
                  </w:tcBorders>
                  <w:vAlign w:val="center"/>
                </w:tcPr>
                <w:p w14:paraId="6B058D75">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4F109ECA">
                  <w:pPr>
                    <w:pStyle w:val="114"/>
                    <w:keepNext w:val="0"/>
                    <w:keepLines w:val="0"/>
                    <w:suppressLineNumbers w:val="0"/>
                    <w:spacing w:before="0" w:beforeAutospacing="0" w:after="0" w:afterAutospacing="0"/>
                    <w:ind w:left="0" w:right="0"/>
                    <w:rPr>
                      <w:rFonts w:hint="default"/>
                      <w:color w:val="auto"/>
                      <w:highlight w:val="none"/>
                    </w:rPr>
                  </w:pPr>
                  <w:bookmarkStart w:id="348" w:name="_Toc24028"/>
                  <w:r>
                    <w:rPr>
                      <w:rFonts w:hint="default"/>
                      <w:color w:val="auto"/>
                      <w:highlight w:val="none"/>
                    </w:rPr>
                    <w:t>≤250</w:t>
                  </w:r>
                  <w:bookmarkEnd w:id="348"/>
                </w:p>
              </w:tc>
              <w:tc>
                <w:tcPr>
                  <w:tcW w:w="1200" w:type="dxa"/>
                  <w:tcBorders>
                    <w:tl2br w:val="nil"/>
                    <w:tr2bl w:val="nil"/>
                  </w:tcBorders>
                  <w:vAlign w:val="center"/>
                </w:tcPr>
                <w:p w14:paraId="4BA88AC4">
                  <w:pPr>
                    <w:pStyle w:val="114"/>
                    <w:keepNext w:val="0"/>
                    <w:keepLines w:val="0"/>
                    <w:suppressLineNumbers w:val="0"/>
                    <w:spacing w:before="0" w:beforeAutospacing="0" w:after="0" w:afterAutospacing="0"/>
                    <w:ind w:left="0" w:right="0"/>
                    <w:rPr>
                      <w:rFonts w:hint="default"/>
                      <w:color w:val="auto"/>
                      <w:highlight w:val="none"/>
                    </w:rPr>
                  </w:pPr>
                  <w:bookmarkStart w:id="349" w:name="_Toc31689"/>
                  <w:r>
                    <w:rPr>
                      <w:rFonts w:hint="default"/>
                      <w:color w:val="auto"/>
                      <w:highlight w:val="none"/>
                    </w:rPr>
                    <w:t>mg/L</w:t>
                  </w:r>
                  <w:bookmarkEnd w:id="349"/>
                </w:p>
              </w:tc>
              <w:tc>
                <w:tcPr>
                  <w:tcW w:w="1362" w:type="dxa"/>
                  <w:tcBorders>
                    <w:tl2br w:val="nil"/>
                    <w:tr2bl w:val="nil"/>
                  </w:tcBorders>
                  <w:vAlign w:val="center"/>
                </w:tcPr>
                <w:p w14:paraId="1BE063D0">
                  <w:pPr>
                    <w:pStyle w:val="114"/>
                    <w:keepNext w:val="0"/>
                    <w:keepLines w:val="0"/>
                    <w:suppressLineNumbers w:val="0"/>
                    <w:spacing w:before="0" w:beforeAutospacing="0" w:after="0" w:afterAutospacing="0"/>
                    <w:ind w:left="0" w:right="0"/>
                    <w:rPr>
                      <w:rFonts w:hint="default"/>
                      <w:color w:val="auto"/>
                      <w:highlight w:val="none"/>
                    </w:rPr>
                  </w:pPr>
                  <w:bookmarkStart w:id="350" w:name="_Toc11320"/>
                  <w:r>
                    <w:rPr>
                      <w:rFonts w:hint="default"/>
                      <w:color w:val="auto"/>
                      <w:highlight w:val="none"/>
                    </w:rPr>
                    <w:t>10.4</w:t>
                  </w:r>
                  <w:bookmarkEnd w:id="350"/>
                </w:p>
              </w:tc>
              <w:tc>
                <w:tcPr>
                  <w:tcW w:w="1113" w:type="dxa"/>
                  <w:tcBorders>
                    <w:tl2br w:val="nil"/>
                    <w:tr2bl w:val="nil"/>
                  </w:tcBorders>
                  <w:vAlign w:val="center"/>
                </w:tcPr>
                <w:p w14:paraId="0A61D78A">
                  <w:pPr>
                    <w:pStyle w:val="114"/>
                    <w:keepNext w:val="0"/>
                    <w:keepLines w:val="0"/>
                    <w:suppressLineNumbers w:val="0"/>
                    <w:spacing w:before="0" w:beforeAutospacing="0" w:after="0" w:afterAutospacing="0"/>
                    <w:ind w:left="0" w:right="0"/>
                    <w:rPr>
                      <w:rFonts w:hint="default"/>
                      <w:color w:val="auto"/>
                      <w:highlight w:val="none"/>
                    </w:rPr>
                  </w:pPr>
                  <w:bookmarkStart w:id="351" w:name="_Toc27266"/>
                  <w:r>
                    <w:rPr>
                      <w:rFonts w:hint="default"/>
                      <w:color w:val="auto"/>
                      <w:szCs w:val="21"/>
                      <w:highlight w:val="none"/>
                    </w:rPr>
                    <w:t>0.02</w:t>
                  </w:r>
                  <w:bookmarkEnd w:id="351"/>
                </w:p>
              </w:tc>
              <w:tc>
                <w:tcPr>
                  <w:tcW w:w="964" w:type="dxa"/>
                  <w:vMerge w:val="continue"/>
                  <w:tcBorders>
                    <w:tl2br w:val="nil"/>
                    <w:tr2bl w:val="nil"/>
                  </w:tcBorders>
                  <w:vAlign w:val="center"/>
                </w:tcPr>
                <w:p w14:paraId="66968CB7">
                  <w:pPr>
                    <w:pStyle w:val="114"/>
                    <w:keepNext w:val="0"/>
                    <w:keepLines w:val="0"/>
                    <w:suppressLineNumbers w:val="0"/>
                    <w:spacing w:before="0" w:beforeAutospacing="0" w:after="0" w:afterAutospacing="0"/>
                    <w:ind w:left="0" w:right="0"/>
                    <w:rPr>
                      <w:rFonts w:hint="default"/>
                      <w:color w:val="auto"/>
                      <w:highlight w:val="none"/>
                    </w:rPr>
                  </w:pPr>
                </w:p>
              </w:tc>
            </w:tr>
            <w:tr w14:paraId="3F5162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3222E63E">
                  <w:pPr>
                    <w:pStyle w:val="114"/>
                    <w:keepNext w:val="0"/>
                    <w:keepLines w:val="0"/>
                    <w:suppressLineNumbers w:val="0"/>
                    <w:spacing w:before="0" w:beforeAutospacing="0" w:after="0" w:afterAutospacing="0"/>
                    <w:ind w:left="0" w:right="0"/>
                    <w:rPr>
                      <w:rFonts w:hint="default"/>
                      <w:color w:val="auto"/>
                      <w:highlight w:val="none"/>
                    </w:rPr>
                  </w:pPr>
                  <w:bookmarkStart w:id="352" w:name="_Toc29370"/>
                  <w:r>
                    <w:rPr>
                      <w:rFonts w:hint="eastAsia"/>
                      <w:color w:val="auto"/>
                      <w:highlight w:val="none"/>
                    </w:rPr>
                    <w:t>硫化物</w:t>
                  </w:r>
                  <w:bookmarkEnd w:id="352"/>
                </w:p>
              </w:tc>
              <w:tc>
                <w:tcPr>
                  <w:tcW w:w="905" w:type="dxa"/>
                  <w:vMerge w:val="continue"/>
                  <w:tcBorders>
                    <w:tl2br w:val="nil"/>
                    <w:tr2bl w:val="nil"/>
                  </w:tcBorders>
                  <w:vAlign w:val="center"/>
                </w:tcPr>
                <w:p w14:paraId="7FE7AE63">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61A124F">
                  <w:pPr>
                    <w:pStyle w:val="114"/>
                    <w:keepNext w:val="0"/>
                    <w:keepLines w:val="0"/>
                    <w:suppressLineNumbers w:val="0"/>
                    <w:spacing w:before="0" w:beforeAutospacing="0" w:after="0" w:afterAutospacing="0"/>
                    <w:ind w:left="0" w:right="0"/>
                    <w:rPr>
                      <w:rFonts w:hint="default"/>
                      <w:color w:val="auto"/>
                      <w:highlight w:val="none"/>
                    </w:rPr>
                  </w:pPr>
                  <w:bookmarkStart w:id="353" w:name="_Toc22262"/>
                  <w:r>
                    <w:rPr>
                      <w:rFonts w:hint="default"/>
                      <w:color w:val="auto"/>
                      <w:highlight w:val="none"/>
                    </w:rPr>
                    <w:t>≤</w:t>
                  </w:r>
                  <w:r>
                    <w:rPr>
                      <w:rFonts w:hint="eastAsia"/>
                      <w:color w:val="auto"/>
                      <w:highlight w:val="none"/>
                    </w:rPr>
                    <w:t>0.02</w:t>
                  </w:r>
                  <w:bookmarkEnd w:id="353"/>
                </w:p>
              </w:tc>
              <w:tc>
                <w:tcPr>
                  <w:tcW w:w="1200" w:type="dxa"/>
                  <w:tcBorders>
                    <w:tl2br w:val="nil"/>
                    <w:tr2bl w:val="nil"/>
                  </w:tcBorders>
                  <w:vAlign w:val="center"/>
                </w:tcPr>
                <w:p w14:paraId="613D54C3">
                  <w:pPr>
                    <w:pStyle w:val="114"/>
                    <w:keepNext w:val="0"/>
                    <w:keepLines w:val="0"/>
                    <w:suppressLineNumbers w:val="0"/>
                    <w:spacing w:before="0" w:beforeAutospacing="0" w:after="0" w:afterAutospacing="0"/>
                    <w:ind w:left="0" w:right="0"/>
                    <w:rPr>
                      <w:rFonts w:hint="default"/>
                      <w:color w:val="auto"/>
                      <w:highlight w:val="none"/>
                    </w:rPr>
                  </w:pPr>
                  <w:bookmarkStart w:id="354" w:name="_Toc584"/>
                  <w:r>
                    <w:rPr>
                      <w:rFonts w:hint="default"/>
                      <w:color w:val="auto"/>
                      <w:highlight w:val="none"/>
                    </w:rPr>
                    <w:t>mg/L</w:t>
                  </w:r>
                  <w:bookmarkEnd w:id="354"/>
                </w:p>
              </w:tc>
              <w:tc>
                <w:tcPr>
                  <w:tcW w:w="1362" w:type="dxa"/>
                  <w:tcBorders>
                    <w:tl2br w:val="nil"/>
                    <w:tr2bl w:val="nil"/>
                  </w:tcBorders>
                  <w:vAlign w:val="center"/>
                </w:tcPr>
                <w:p w14:paraId="08E9A49F">
                  <w:pPr>
                    <w:pStyle w:val="114"/>
                    <w:keepNext w:val="0"/>
                    <w:keepLines w:val="0"/>
                    <w:suppressLineNumbers w:val="0"/>
                    <w:spacing w:before="0" w:beforeAutospacing="0" w:after="0" w:afterAutospacing="0"/>
                    <w:ind w:left="0" w:right="0"/>
                    <w:rPr>
                      <w:rFonts w:hint="default"/>
                      <w:color w:val="auto"/>
                      <w:highlight w:val="none"/>
                    </w:rPr>
                  </w:pPr>
                  <w:bookmarkStart w:id="355" w:name="_Toc19509"/>
                  <w:r>
                    <w:rPr>
                      <w:rFonts w:hint="default"/>
                      <w:color w:val="auto"/>
                      <w:highlight w:val="none"/>
                    </w:rPr>
                    <w:t>61.8</w:t>
                  </w:r>
                  <w:bookmarkEnd w:id="355"/>
                </w:p>
              </w:tc>
              <w:tc>
                <w:tcPr>
                  <w:tcW w:w="1113" w:type="dxa"/>
                  <w:tcBorders>
                    <w:tl2br w:val="nil"/>
                    <w:tr2bl w:val="nil"/>
                  </w:tcBorders>
                  <w:vAlign w:val="center"/>
                </w:tcPr>
                <w:p w14:paraId="065D0AD5">
                  <w:pPr>
                    <w:pStyle w:val="114"/>
                    <w:keepNext w:val="0"/>
                    <w:keepLines w:val="0"/>
                    <w:suppressLineNumbers w:val="0"/>
                    <w:spacing w:before="0" w:beforeAutospacing="0" w:after="0" w:afterAutospacing="0"/>
                    <w:ind w:left="0" w:right="0"/>
                    <w:rPr>
                      <w:rFonts w:hint="default"/>
                      <w:color w:val="auto"/>
                      <w:highlight w:val="none"/>
                    </w:rPr>
                  </w:pPr>
                  <w:bookmarkStart w:id="356" w:name="_Toc20212"/>
                  <w:r>
                    <w:rPr>
                      <w:rFonts w:hint="default"/>
                      <w:color w:val="auto"/>
                      <w:szCs w:val="21"/>
                      <w:highlight w:val="none"/>
                    </w:rPr>
                    <w:t>0.14</w:t>
                  </w:r>
                  <w:bookmarkEnd w:id="356"/>
                </w:p>
              </w:tc>
              <w:tc>
                <w:tcPr>
                  <w:tcW w:w="964" w:type="dxa"/>
                  <w:vMerge w:val="continue"/>
                  <w:tcBorders>
                    <w:tl2br w:val="nil"/>
                    <w:tr2bl w:val="nil"/>
                  </w:tcBorders>
                  <w:vAlign w:val="center"/>
                </w:tcPr>
                <w:p w14:paraId="3A754128">
                  <w:pPr>
                    <w:pStyle w:val="114"/>
                    <w:keepNext w:val="0"/>
                    <w:keepLines w:val="0"/>
                    <w:suppressLineNumbers w:val="0"/>
                    <w:spacing w:before="0" w:beforeAutospacing="0" w:after="0" w:afterAutospacing="0"/>
                    <w:ind w:left="0" w:right="0"/>
                    <w:rPr>
                      <w:rFonts w:hint="default"/>
                      <w:color w:val="auto"/>
                      <w:highlight w:val="none"/>
                    </w:rPr>
                  </w:pPr>
                </w:p>
              </w:tc>
            </w:tr>
            <w:tr w14:paraId="4F2035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AD4D8B0">
                  <w:pPr>
                    <w:pStyle w:val="114"/>
                    <w:keepNext w:val="0"/>
                    <w:keepLines w:val="0"/>
                    <w:suppressLineNumbers w:val="0"/>
                    <w:spacing w:before="0" w:beforeAutospacing="0" w:after="0" w:afterAutospacing="0"/>
                    <w:ind w:left="0" w:right="0"/>
                    <w:rPr>
                      <w:rFonts w:hint="default"/>
                      <w:color w:val="auto"/>
                      <w:highlight w:val="none"/>
                    </w:rPr>
                  </w:pPr>
                  <w:bookmarkStart w:id="357" w:name="_Toc6291"/>
                  <w:r>
                    <w:rPr>
                      <w:rFonts w:hint="eastAsia"/>
                      <w:color w:val="auto"/>
                      <w:highlight w:val="none"/>
                    </w:rPr>
                    <w:t>铝</w:t>
                  </w:r>
                  <w:bookmarkEnd w:id="357"/>
                </w:p>
              </w:tc>
              <w:tc>
                <w:tcPr>
                  <w:tcW w:w="905" w:type="dxa"/>
                  <w:vMerge w:val="continue"/>
                  <w:tcBorders>
                    <w:tl2br w:val="nil"/>
                    <w:tr2bl w:val="nil"/>
                  </w:tcBorders>
                  <w:vAlign w:val="center"/>
                </w:tcPr>
                <w:p w14:paraId="3289BBF8">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68FCDF60">
                  <w:pPr>
                    <w:pStyle w:val="114"/>
                    <w:keepNext w:val="0"/>
                    <w:keepLines w:val="0"/>
                    <w:suppressLineNumbers w:val="0"/>
                    <w:spacing w:before="0" w:beforeAutospacing="0" w:after="0" w:afterAutospacing="0"/>
                    <w:ind w:left="0" w:right="0"/>
                    <w:rPr>
                      <w:rFonts w:hint="default"/>
                      <w:color w:val="auto"/>
                      <w:highlight w:val="none"/>
                    </w:rPr>
                  </w:pPr>
                  <w:bookmarkStart w:id="358" w:name="_Toc11214"/>
                  <w:r>
                    <w:rPr>
                      <w:rFonts w:hint="default"/>
                      <w:color w:val="auto"/>
                      <w:highlight w:val="none"/>
                    </w:rPr>
                    <w:t>≤</w:t>
                  </w:r>
                  <w:r>
                    <w:rPr>
                      <w:rFonts w:hint="eastAsia"/>
                      <w:color w:val="auto"/>
                      <w:highlight w:val="none"/>
                    </w:rPr>
                    <w:t>0.20</w:t>
                  </w:r>
                  <w:bookmarkEnd w:id="358"/>
                </w:p>
              </w:tc>
              <w:tc>
                <w:tcPr>
                  <w:tcW w:w="1200" w:type="dxa"/>
                  <w:tcBorders>
                    <w:tl2br w:val="nil"/>
                    <w:tr2bl w:val="nil"/>
                  </w:tcBorders>
                  <w:vAlign w:val="center"/>
                </w:tcPr>
                <w:p w14:paraId="48124E40">
                  <w:pPr>
                    <w:pStyle w:val="114"/>
                    <w:keepNext w:val="0"/>
                    <w:keepLines w:val="0"/>
                    <w:suppressLineNumbers w:val="0"/>
                    <w:spacing w:before="0" w:beforeAutospacing="0" w:after="0" w:afterAutospacing="0"/>
                    <w:ind w:left="0" w:right="0"/>
                    <w:rPr>
                      <w:rFonts w:hint="default"/>
                      <w:color w:val="auto"/>
                      <w:highlight w:val="none"/>
                    </w:rPr>
                  </w:pPr>
                  <w:bookmarkStart w:id="359" w:name="_Toc12489"/>
                  <w:r>
                    <w:rPr>
                      <w:rFonts w:hint="default"/>
                      <w:color w:val="auto"/>
                      <w:highlight w:val="none"/>
                    </w:rPr>
                    <w:t>mg/L</w:t>
                  </w:r>
                  <w:bookmarkEnd w:id="359"/>
                </w:p>
              </w:tc>
              <w:tc>
                <w:tcPr>
                  <w:tcW w:w="1362" w:type="dxa"/>
                  <w:tcBorders>
                    <w:tl2br w:val="nil"/>
                    <w:tr2bl w:val="nil"/>
                  </w:tcBorders>
                  <w:vAlign w:val="center"/>
                </w:tcPr>
                <w:p w14:paraId="0150C811">
                  <w:pPr>
                    <w:pStyle w:val="114"/>
                    <w:keepNext w:val="0"/>
                    <w:keepLines w:val="0"/>
                    <w:suppressLineNumbers w:val="0"/>
                    <w:spacing w:before="0" w:beforeAutospacing="0" w:after="0" w:afterAutospacing="0"/>
                    <w:ind w:left="0" w:right="0"/>
                    <w:rPr>
                      <w:rFonts w:hint="default"/>
                      <w:color w:val="auto"/>
                      <w:highlight w:val="none"/>
                    </w:rPr>
                  </w:pPr>
                  <w:bookmarkStart w:id="360" w:name="_Toc30983"/>
                  <w:r>
                    <w:rPr>
                      <w:rFonts w:hint="default"/>
                      <w:color w:val="auto"/>
                      <w:highlight w:val="none"/>
                    </w:rPr>
                    <w:t>0.118</w:t>
                  </w:r>
                  <w:bookmarkEnd w:id="360"/>
                </w:p>
              </w:tc>
              <w:tc>
                <w:tcPr>
                  <w:tcW w:w="1113" w:type="dxa"/>
                  <w:tcBorders>
                    <w:tl2br w:val="nil"/>
                    <w:tr2bl w:val="nil"/>
                  </w:tcBorders>
                  <w:vAlign w:val="center"/>
                </w:tcPr>
                <w:p w14:paraId="1317ED59">
                  <w:pPr>
                    <w:pStyle w:val="114"/>
                    <w:keepNext w:val="0"/>
                    <w:keepLines w:val="0"/>
                    <w:suppressLineNumbers w:val="0"/>
                    <w:spacing w:before="0" w:beforeAutospacing="0" w:after="0" w:afterAutospacing="0"/>
                    <w:ind w:left="0" w:right="0"/>
                    <w:rPr>
                      <w:rFonts w:hint="default"/>
                      <w:color w:val="auto"/>
                      <w:highlight w:val="none"/>
                    </w:rPr>
                  </w:pPr>
                  <w:bookmarkStart w:id="361" w:name="_Toc8496"/>
                  <w:r>
                    <w:rPr>
                      <w:rFonts w:hint="default"/>
                      <w:color w:val="auto"/>
                      <w:szCs w:val="21"/>
                      <w:highlight w:val="none"/>
                    </w:rPr>
                    <w:t>2.62E-04</w:t>
                  </w:r>
                  <w:bookmarkEnd w:id="361"/>
                </w:p>
              </w:tc>
              <w:tc>
                <w:tcPr>
                  <w:tcW w:w="964" w:type="dxa"/>
                  <w:vMerge w:val="continue"/>
                  <w:tcBorders>
                    <w:tl2br w:val="nil"/>
                    <w:tr2bl w:val="nil"/>
                  </w:tcBorders>
                  <w:vAlign w:val="center"/>
                </w:tcPr>
                <w:p w14:paraId="17F93984">
                  <w:pPr>
                    <w:pStyle w:val="114"/>
                    <w:keepNext w:val="0"/>
                    <w:keepLines w:val="0"/>
                    <w:suppressLineNumbers w:val="0"/>
                    <w:spacing w:before="0" w:beforeAutospacing="0" w:after="0" w:afterAutospacing="0"/>
                    <w:ind w:left="0" w:right="0"/>
                    <w:rPr>
                      <w:rFonts w:hint="default"/>
                      <w:color w:val="auto"/>
                      <w:highlight w:val="none"/>
                    </w:rPr>
                  </w:pPr>
                </w:p>
              </w:tc>
            </w:tr>
            <w:tr w14:paraId="124EA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C650D42">
                  <w:pPr>
                    <w:pStyle w:val="114"/>
                    <w:keepNext w:val="0"/>
                    <w:keepLines w:val="0"/>
                    <w:suppressLineNumbers w:val="0"/>
                    <w:spacing w:before="0" w:beforeAutospacing="0" w:after="0" w:afterAutospacing="0"/>
                    <w:ind w:left="0" w:right="0"/>
                    <w:rPr>
                      <w:rFonts w:hint="default"/>
                      <w:color w:val="auto"/>
                      <w:highlight w:val="none"/>
                    </w:rPr>
                  </w:pPr>
                  <w:bookmarkStart w:id="362" w:name="_Toc21179"/>
                  <w:r>
                    <w:rPr>
                      <w:rFonts w:hint="eastAsia"/>
                      <w:color w:val="auto"/>
                      <w:highlight w:val="none"/>
                    </w:rPr>
                    <w:t>钡</w:t>
                  </w:r>
                  <w:bookmarkEnd w:id="362"/>
                </w:p>
              </w:tc>
              <w:tc>
                <w:tcPr>
                  <w:tcW w:w="905" w:type="dxa"/>
                  <w:vMerge w:val="continue"/>
                  <w:tcBorders>
                    <w:tl2br w:val="nil"/>
                    <w:tr2bl w:val="nil"/>
                  </w:tcBorders>
                  <w:vAlign w:val="center"/>
                </w:tcPr>
                <w:p w14:paraId="2BBA92B1">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2F9A517D">
                  <w:pPr>
                    <w:pStyle w:val="114"/>
                    <w:keepNext w:val="0"/>
                    <w:keepLines w:val="0"/>
                    <w:suppressLineNumbers w:val="0"/>
                    <w:spacing w:before="0" w:beforeAutospacing="0" w:after="0" w:afterAutospacing="0"/>
                    <w:ind w:left="0" w:right="0"/>
                    <w:rPr>
                      <w:rFonts w:hint="default"/>
                      <w:color w:val="auto"/>
                      <w:highlight w:val="none"/>
                    </w:rPr>
                  </w:pPr>
                  <w:bookmarkStart w:id="363" w:name="_Toc31225"/>
                  <w:r>
                    <w:rPr>
                      <w:rFonts w:hint="default"/>
                      <w:color w:val="auto"/>
                      <w:highlight w:val="none"/>
                    </w:rPr>
                    <w:t>≤</w:t>
                  </w:r>
                  <w:r>
                    <w:rPr>
                      <w:rFonts w:hint="eastAsia"/>
                      <w:color w:val="auto"/>
                      <w:highlight w:val="none"/>
                    </w:rPr>
                    <w:t>0.70</w:t>
                  </w:r>
                  <w:bookmarkEnd w:id="363"/>
                </w:p>
              </w:tc>
              <w:tc>
                <w:tcPr>
                  <w:tcW w:w="1200" w:type="dxa"/>
                  <w:tcBorders>
                    <w:tl2br w:val="nil"/>
                    <w:tr2bl w:val="nil"/>
                  </w:tcBorders>
                  <w:vAlign w:val="center"/>
                </w:tcPr>
                <w:p w14:paraId="4E35034C">
                  <w:pPr>
                    <w:pStyle w:val="114"/>
                    <w:keepNext w:val="0"/>
                    <w:keepLines w:val="0"/>
                    <w:suppressLineNumbers w:val="0"/>
                    <w:spacing w:before="0" w:beforeAutospacing="0" w:after="0" w:afterAutospacing="0"/>
                    <w:ind w:left="0" w:right="0"/>
                    <w:rPr>
                      <w:rFonts w:hint="default"/>
                      <w:color w:val="auto"/>
                      <w:highlight w:val="none"/>
                    </w:rPr>
                  </w:pPr>
                  <w:bookmarkStart w:id="364" w:name="_Toc25298"/>
                  <w:r>
                    <w:rPr>
                      <w:rFonts w:hint="default"/>
                      <w:color w:val="auto"/>
                      <w:highlight w:val="none"/>
                    </w:rPr>
                    <w:t>mg/L</w:t>
                  </w:r>
                  <w:bookmarkEnd w:id="364"/>
                </w:p>
              </w:tc>
              <w:tc>
                <w:tcPr>
                  <w:tcW w:w="1362" w:type="dxa"/>
                  <w:tcBorders>
                    <w:tl2br w:val="nil"/>
                    <w:tr2bl w:val="nil"/>
                  </w:tcBorders>
                  <w:vAlign w:val="center"/>
                </w:tcPr>
                <w:p w14:paraId="62CC611C">
                  <w:pPr>
                    <w:pStyle w:val="114"/>
                    <w:keepNext w:val="0"/>
                    <w:keepLines w:val="0"/>
                    <w:suppressLineNumbers w:val="0"/>
                    <w:spacing w:before="0" w:beforeAutospacing="0" w:after="0" w:afterAutospacing="0"/>
                    <w:ind w:left="0" w:right="0"/>
                    <w:rPr>
                      <w:rFonts w:hint="default"/>
                      <w:color w:val="auto"/>
                      <w:highlight w:val="none"/>
                    </w:rPr>
                  </w:pPr>
                  <w:bookmarkStart w:id="365" w:name="_Toc5626"/>
                  <w:r>
                    <w:rPr>
                      <w:rFonts w:hint="default"/>
                      <w:color w:val="auto"/>
                      <w:highlight w:val="none"/>
                    </w:rPr>
                    <w:t>0.0588</w:t>
                  </w:r>
                  <w:bookmarkEnd w:id="365"/>
                </w:p>
              </w:tc>
              <w:tc>
                <w:tcPr>
                  <w:tcW w:w="1113" w:type="dxa"/>
                  <w:tcBorders>
                    <w:tl2br w:val="nil"/>
                    <w:tr2bl w:val="nil"/>
                  </w:tcBorders>
                  <w:vAlign w:val="center"/>
                </w:tcPr>
                <w:p w14:paraId="55B65B98">
                  <w:pPr>
                    <w:pStyle w:val="114"/>
                    <w:keepNext w:val="0"/>
                    <w:keepLines w:val="0"/>
                    <w:suppressLineNumbers w:val="0"/>
                    <w:spacing w:before="0" w:beforeAutospacing="0" w:after="0" w:afterAutospacing="0"/>
                    <w:ind w:left="0" w:right="0"/>
                    <w:rPr>
                      <w:rFonts w:hint="default"/>
                      <w:color w:val="auto"/>
                      <w:highlight w:val="none"/>
                    </w:rPr>
                  </w:pPr>
                  <w:bookmarkStart w:id="366" w:name="_Toc22291"/>
                  <w:r>
                    <w:rPr>
                      <w:rFonts w:hint="default"/>
                      <w:color w:val="auto"/>
                      <w:szCs w:val="21"/>
                      <w:highlight w:val="none"/>
                    </w:rPr>
                    <w:t>1.31E-04</w:t>
                  </w:r>
                  <w:bookmarkEnd w:id="366"/>
                </w:p>
              </w:tc>
              <w:tc>
                <w:tcPr>
                  <w:tcW w:w="964" w:type="dxa"/>
                  <w:vMerge w:val="continue"/>
                  <w:tcBorders>
                    <w:tl2br w:val="nil"/>
                    <w:tr2bl w:val="nil"/>
                  </w:tcBorders>
                  <w:vAlign w:val="center"/>
                </w:tcPr>
                <w:p w14:paraId="4FE4A9B0">
                  <w:pPr>
                    <w:pStyle w:val="114"/>
                    <w:keepNext w:val="0"/>
                    <w:keepLines w:val="0"/>
                    <w:suppressLineNumbers w:val="0"/>
                    <w:spacing w:before="0" w:beforeAutospacing="0" w:after="0" w:afterAutospacing="0"/>
                    <w:ind w:left="0" w:right="0"/>
                    <w:rPr>
                      <w:rFonts w:hint="default"/>
                      <w:color w:val="auto"/>
                      <w:highlight w:val="none"/>
                    </w:rPr>
                  </w:pPr>
                </w:p>
              </w:tc>
            </w:tr>
            <w:tr w14:paraId="6D80D0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4736C2A8">
                  <w:pPr>
                    <w:pStyle w:val="114"/>
                    <w:keepNext w:val="0"/>
                    <w:keepLines w:val="0"/>
                    <w:suppressLineNumbers w:val="0"/>
                    <w:spacing w:before="0" w:beforeAutospacing="0" w:after="0" w:afterAutospacing="0"/>
                    <w:ind w:left="0" w:right="0"/>
                    <w:rPr>
                      <w:rFonts w:hint="default"/>
                      <w:color w:val="auto"/>
                      <w:highlight w:val="none"/>
                    </w:rPr>
                  </w:pPr>
                  <w:bookmarkStart w:id="367" w:name="_Toc22792"/>
                  <w:r>
                    <w:rPr>
                      <w:rFonts w:hint="eastAsia"/>
                      <w:color w:val="auto"/>
                      <w:highlight w:val="none"/>
                    </w:rPr>
                    <w:t>铍</w:t>
                  </w:r>
                  <w:bookmarkEnd w:id="367"/>
                </w:p>
              </w:tc>
              <w:tc>
                <w:tcPr>
                  <w:tcW w:w="905" w:type="dxa"/>
                  <w:vMerge w:val="continue"/>
                  <w:tcBorders>
                    <w:tl2br w:val="nil"/>
                    <w:tr2bl w:val="nil"/>
                  </w:tcBorders>
                  <w:vAlign w:val="center"/>
                </w:tcPr>
                <w:p w14:paraId="1AD691A8">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49E9FB7">
                  <w:pPr>
                    <w:pStyle w:val="114"/>
                    <w:keepNext w:val="0"/>
                    <w:keepLines w:val="0"/>
                    <w:suppressLineNumbers w:val="0"/>
                    <w:spacing w:before="0" w:beforeAutospacing="0" w:after="0" w:afterAutospacing="0"/>
                    <w:ind w:left="0" w:right="0"/>
                    <w:rPr>
                      <w:rFonts w:hint="default"/>
                      <w:color w:val="auto"/>
                      <w:highlight w:val="none"/>
                    </w:rPr>
                  </w:pPr>
                  <w:bookmarkStart w:id="368" w:name="_Toc17564"/>
                  <w:r>
                    <w:rPr>
                      <w:rFonts w:hint="default"/>
                      <w:color w:val="auto"/>
                      <w:highlight w:val="none"/>
                    </w:rPr>
                    <w:t>≤</w:t>
                  </w:r>
                  <w:r>
                    <w:rPr>
                      <w:rFonts w:hint="eastAsia"/>
                      <w:color w:val="auto"/>
                      <w:highlight w:val="none"/>
                    </w:rPr>
                    <w:t>0.002</w:t>
                  </w:r>
                  <w:bookmarkEnd w:id="368"/>
                </w:p>
              </w:tc>
              <w:tc>
                <w:tcPr>
                  <w:tcW w:w="1200" w:type="dxa"/>
                  <w:tcBorders>
                    <w:tl2br w:val="nil"/>
                    <w:tr2bl w:val="nil"/>
                  </w:tcBorders>
                  <w:vAlign w:val="center"/>
                </w:tcPr>
                <w:p w14:paraId="44620679">
                  <w:pPr>
                    <w:pStyle w:val="114"/>
                    <w:keepNext w:val="0"/>
                    <w:keepLines w:val="0"/>
                    <w:suppressLineNumbers w:val="0"/>
                    <w:spacing w:before="0" w:beforeAutospacing="0" w:after="0" w:afterAutospacing="0"/>
                    <w:ind w:left="0" w:right="0"/>
                    <w:rPr>
                      <w:rFonts w:hint="default"/>
                      <w:color w:val="auto"/>
                      <w:highlight w:val="none"/>
                    </w:rPr>
                  </w:pPr>
                  <w:bookmarkStart w:id="369" w:name="_Toc10741"/>
                  <w:r>
                    <w:rPr>
                      <w:rFonts w:hint="default"/>
                      <w:color w:val="auto"/>
                      <w:highlight w:val="none"/>
                    </w:rPr>
                    <w:t>mg/L</w:t>
                  </w:r>
                  <w:bookmarkEnd w:id="369"/>
                </w:p>
              </w:tc>
              <w:tc>
                <w:tcPr>
                  <w:tcW w:w="1362" w:type="dxa"/>
                  <w:tcBorders>
                    <w:tl2br w:val="nil"/>
                    <w:tr2bl w:val="nil"/>
                  </w:tcBorders>
                  <w:vAlign w:val="center"/>
                </w:tcPr>
                <w:p w14:paraId="7F9F255F">
                  <w:pPr>
                    <w:pStyle w:val="114"/>
                    <w:keepNext w:val="0"/>
                    <w:keepLines w:val="0"/>
                    <w:suppressLineNumbers w:val="0"/>
                    <w:spacing w:before="0" w:beforeAutospacing="0" w:after="0" w:afterAutospacing="0"/>
                    <w:ind w:left="0" w:right="0"/>
                    <w:rPr>
                      <w:rFonts w:hint="default"/>
                      <w:color w:val="auto"/>
                      <w:highlight w:val="none"/>
                    </w:rPr>
                  </w:pPr>
                  <w:bookmarkStart w:id="370" w:name="_Toc19552"/>
                  <w:r>
                    <w:rPr>
                      <w:rFonts w:hint="default"/>
                      <w:color w:val="auto"/>
                      <w:highlight w:val="none"/>
                    </w:rPr>
                    <w:t>0.00010</w:t>
                  </w:r>
                  <w:bookmarkEnd w:id="370"/>
                </w:p>
              </w:tc>
              <w:tc>
                <w:tcPr>
                  <w:tcW w:w="1113" w:type="dxa"/>
                  <w:tcBorders>
                    <w:tl2br w:val="nil"/>
                    <w:tr2bl w:val="nil"/>
                  </w:tcBorders>
                  <w:vAlign w:val="center"/>
                </w:tcPr>
                <w:p w14:paraId="1769B06A">
                  <w:pPr>
                    <w:pStyle w:val="114"/>
                    <w:keepNext w:val="0"/>
                    <w:keepLines w:val="0"/>
                    <w:suppressLineNumbers w:val="0"/>
                    <w:spacing w:before="0" w:beforeAutospacing="0" w:after="0" w:afterAutospacing="0"/>
                    <w:ind w:left="0" w:right="0"/>
                    <w:rPr>
                      <w:rFonts w:hint="default"/>
                      <w:color w:val="auto"/>
                      <w:highlight w:val="none"/>
                    </w:rPr>
                  </w:pPr>
                  <w:bookmarkStart w:id="371" w:name="_Toc19881"/>
                  <w:r>
                    <w:rPr>
                      <w:rFonts w:hint="default"/>
                      <w:color w:val="auto"/>
                      <w:szCs w:val="21"/>
                      <w:highlight w:val="none"/>
                    </w:rPr>
                    <w:t>2.22E-07</w:t>
                  </w:r>
                  <w:bookmarkEnd w:id="371"/>
                </w:p>
              </w:tc>
              <w:tc>
                <w:tcPr>
                  <w:tcW w:w="964" w:type="dxa"/>
                  <w:vMerge w:val="continue"/>
                  <w:tcBorders>
                    <w:tl2br w:val="nil"/>
                    <w:tr2bl w:val="nil"/>
                  </w:tcBorders>
                  <w:vAlign w:val="center"/>
                </w:tcPr>
                <w:p w14:paraId="4CA19292">
                  <w:pPr>
                    <w:pStyle w:val="114"/>
                    <w:keepNext w:val="0"/>
                    <w:keepLines w:val="0"/>
                    <w:suppressLineNumbers w:val="0"/>
                    <w:spacing w:before="0" w:beforeAutospacing="0" w:after="0" w:afterAutospacing="0"/>
                    <w:ind w:left="0" w:right="0"/>
                    <w:rPr>
                      <w:rFonts w:hint="default"/>
                      <w:color w:val="auto"/>
                      <w:highlight w:val="none"/>
                    </w:rPr>
                  </w:pPr>
                </w:p>
              </w:tc>
            </w:tr>
            <w:tr w14:paraId="7514A8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6ECA5BA9">
                  <w:pPr>
                    <w:pStyle w:val="114"/>
                    <w:keepNext w:val="0"/>
                    <w:keepLines w:val="0"/>
                    <w:suppressLineNumbers w:val="0"/>
                    <w:spacing w:before="0" w:beforeAutospacing="0" w:after="0" w:afterAutospacing="0"/>
                    <w:ind w:left="0" w:right="0"/>
                    <w:rPr>
                      <w:rFonts w:hint="default"/>
                      <w:color w:val="auto"/>
                      <w:highlight w:val="none"/>
                    </w:rPr>
                  </w:pPr>
                  <w:bookmarkStart w:id="372" w:name="_Toc12384"/>
                  <w:r>
                    <w:rPr>
                      <w:rFonts w:hint="eastAsia"/>
                      <w:color w:val="auto"/>
                      <w:highlight w:val="none"/>
                    </w:rPr>
                    <w:t>钴</w:t>
                  </w:r>
                  <w:bookmarkEnd w:id="372"/>
                </w:p>
              </w:tc>
              <w:tc>
                <w:tcPr>
                  <w:tcW w:w="905" w:type="dxa"/>
                  <w:vMerge w:val="continue"/>
                  <w:tcBorders>
                    <w:tl2br w:val="nil"/>
                    <w:tr2bl w:val="nil"/>
                  </w:tcBorders>
                  <w:vAlign w:val="center"/>
                </w:tcPr>
                <w:p w14:paraId="642B4B4B">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6BF4788D">
                  <w:pPr>
                    <w:pStyle w:val="114"/>
                    <w:keepNext w:val="0"/>
                    <w:keepLines w:val="0"/>
                    <w:suppressLineNumbers w:val="0"/>
                    <w:spacing w:before="0" w:beforeAutospacing="0" w:after="0" w:afterAutospacing="0"/>
                    <w:ind w:left="0" w:right="0"/>
                    <w:rPr>
                      <w:rFonts w:hint="default"/>
                      <w:color w:val="auto"/>
                      <w:highlight w:val="none"/>
                    </w:rPr>
                  </w:pPr>
                  <w:bookmarkStart w:id="373" w:name="_Toc13305"/>
                  <w:r>
                    <w:rPr>
                      <w:rFonts w:hint="default"/>
                      <w:color w:val="auto"/>
                      <w:highlight w:val="none"/>
                    </w:rPr>
                    <w:t>≤</w:t>
                  </w:r>
                  <w:r>
                    <w:rPr>
                      <w:rFonts w:hint="eastAsia"/>
                      <w:color w:val="auto"/>
                      <w:highlight w:val="none"/>
                    </w:rPr>
                    <w:t>0.05</w:t>
                  </w:r>
                  <w:bookmarkEnd w:id="373"/>
                </w:p>
              </w:tc>
              <w:tc>
                <w:tcPr>
                  <w:tcW w:w="1200" w:type="dxa"/>
                  <w:tcBorders>
                    <w:tl2br w:val="nil"/>
                    <w:tr2bl w:val="nil"/>
                  </w:tcBorders>
                  <w:vAlign w:val="center"/>
                </w:tcPr>
                <w:p w14:paraId="1CC1A02D">
                  <w:pPr>
                    <w:pStyle w:val="114"/>
                    <w:keepNext w:val="0"/>
                    <w:keepLines w:val="0"/>
                    <w:suppressLineNumbers w:val="0"/>
                    <w:spacing w:before="0" w:beforeAutospacing="0" w:after="0" w:afterAutospacing="0"/>
                    <w:ind w:left="0" w:right="0"/>
                    <w:rPr>
                      <w:rFonts w:hint="default"/>
                      <w:color w:val="auto"/>
                      <w:highlight w:val="none"/>
                    </w:rPr>
                  </w:pPr>
                  <w:bookmarkStart w:id="374" w:name="_Toc18344"/>
                  <w:r>
                    <w:rPr>
                      <w:rFonts w:hint="default"/>
                      <w:color w:val="auto"/>
                      <w:highlight w:val="none"/>
                    </w:rPr>
                    <w:t>mg/L</w:t>
                  </w:r>
                  <w:bookmarkEnd w:id="374"/>
                </w:p>
              </w:tc>
              <w:tc>
                <w:tcPr>
                  <w:tcW w:w="1362" w:type="dxa"/>
                  <w:tcBorders>
                    <w:tl2br w:val="nil"/>
                    <w:tr2bl w:val="nil"/>
                  </w:tcBorders>
                  <w:vAlign w:val="center"/>
                </w:tcPr>
                <w:p w14:paraId="4B2AA800">
                  <w:pPr>
                    <w:pStyle w:val="114"/>
                    <w:keepNext w:val="0"/>
                    <w:keepLines w:val="0"/>
                    <w:suppressLineNumbers w:val="0"/>
                    <w:spacing w:before="0" w:beforeAutospacing="0" w:after="0" w:afterAutospacing="0"/>
                    <w:ind w:left="0" w:right="0"/>
                    <w:rPr>
                      <w:rFonts w:hint="default"/>
                      <w:color w:val="auto"/>
                      <w:highlight w:val="none"/>
                    </w:rPr>
                  </w:pPr>
                  <w:bookmarkStart w:id="375" w:name="_Toc3101"/>
                  <w:r>
                    <w:rPr>
                      <w:rFonts w:hint="default"/>
                      <w:color w:val="auto"/>
                      <w:highlight w:val="none"/>
                    </w:rPr>
                    <w:t>0.00004</w:t>
                  </w:r>
                  <w:bookmarkEnd w:id="375"/>
                </w:p>
              </w:tc>
              <w:tc>
                <w:tcPr>
                  <w:tcW w:w="1113" w:type="dxa"/>
                  <w:tcBorders>
                    <w:tl2br w:val="nil"/>
                    <w:tr2bl w:val="nil"/>
                  </w:tcBorders>
                  <w:vAlign w:val="center"/>
                </w:tcPr>
                <w:p w14:paraId="3E7BF70B">
                  <w:pPr>
                    <w:pStyle w:val="114"/>
                    <w:keepNext w:val="0"/>
                    <w:keepLines w:val="0"/>
                    <w:suppressLineNumbers w:val="0"/>
                    <w:spacing w:before="0" w:beforeAutospacing="0" w:after="0" w:afterAutospacing="0"/>
                    <w:ind w:left="0" w:right="0"/>
                    <w:rPr>
                      <w:rFonts w:hint="default"/>
                      <w:color w:val="auto"/>
                      <w:highlight w:val="none"/>
                    </w:rPr>
                  </w:pPr>
                  <w:bookmarkStart w:id="376" w:name="_Toc28519"/>
                  <w:r>
                    <w:rPr>
                      <w:rFonts w:hint="default"/>
                      <w:color w:val="auto"/>
                      <w:szCs w:val="21"/>
                      <w:highlight w:val="none"/>
                    </w:rPr>
                    <w:t>8.89E-08</w:t>
                  </w:r>
                  <w:bookmarkEnd w:id="376"/>
                </w:p>
              </w:tc>
              <w:tc>
                <w:tcPr>
                  <w:tcW w:w="964" w:type="dxa"/>
                  <w:vMerge w:val="continue"/>
                  <w:tcBorders>
                    <w:tl2br w:val="nil"/>
                    <w:tr2bl w:val="nil"/>
                  </w:tcBorders>
                  <w:vAlign w:val="center"/>
                </w:tcPr>
                <w:p w14:paraId="34C1422E">
                  <w:pPr>
                    <w:pStyle w:val="114"/>
                    <w:keepNext w:val="0"/>
                    <w:keepLines w:val="0"/>
                    <w:suppressLineNumbers w:val="0"/>
                    <w:spacing w:before="0" w:beforeAutospacing="0" w:after="0" w:afterAutospacing="0"/>
                    <w:ind w:left="0" w:right="0"/>
                    <w:rPr>
                      <w:rFonts w:hint="default"/>
                      <w:color w:val="auto"/>
                      <w:highlight w:val="none"/>
                    </w:rPr>
                  </w:pPr>
                </w:p>
              </w:tc>
            </w:tr>
            <w:tr w14:paraId="20854E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1D8345BA">
                  <w:pPr>
                    <w:pStyle w:val="114"/>
                    <w:keepNext w:val="0"/>
                    <w:keepLines w:val="0"/>
                    <w:suppressLineNumbers w:val="0"/>
                    <w:spacing w:before="0" w:beforeAutospacing="0" w:after="0" w:afterAutospacing="0"/>
                    <w:ind w:left="0" w:right="0"/>
                    <w:rPr>
                      <w:rFonts w:hint="default"/>
                      <w:color w:val="auto"/>
                      <w:highlight w:val="none"/>
                    </w:rPr>
                  </w:pPr>
                  <w:bookmarkStart w:id="377" w:name="_Toc26106"/>
                  <w:r>
                    <w:rPr>
                      <w:rFonts w:hint="eastAsia"/>
                      <w:color w:val="auto"/>
                      <w:highlight w:val="none"/>
                    </w:rPr>
                    <w:t>铜</w:t>
                  </w:r>
                  <w:bookmarkEnd w:id="377"/>
                </w:p>
              </w:tc>
              <w:tc>
                <w:tcPr>
                  <w:tcW w:w="905" w:type="dxa"/>
                  <w:vMerge w:val="continue"/>
                  <w:tcBorders>
                    <w:tl2br w:val="nil"/>
                    <w:tr2bl w:val="nil"/>
                  </w:tcBorders>
                  <w:vAlign w:val="center"/>
                </w:tcPr>
                <w:p w14:paraId="5016C371">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14549BD9">
                  <w:pPr>
                    <w:pStyle w:val="114"/>
                    <w:keepNext w:val="0"/>
                    <w:keepLines w:val="0"/>
                    <w:suppressLineNumbers w:val="0"/>
                    <w:spacing w:before="0" w:beforeAutospacing="0" w:after="0" w:afterAutospacing="0"/>
                    <w:ind w:left="0" w:right="0"/>
                    <w:rPr>
                      <w:rFonts w:hint="default"/>
                      <w:color w:val="auto"/>
                      <w:highlight w:val="none"/>
                    </w:rPr>
                  </w:pPr>
                  <w:bookmarkStart w:id="378" w:name="_Toc18844"/>
                  <w:r>
                    <w:rPr>
                      <w:rFonts w:hint="default"/>
                      <w:color w:val="auto"/>
                      <w:highlight w:val="none"/>
                    </w:rPr>
                    <w:t>≤</w:t>
                  </w:r>
                  <w:r>
                    <w:rPr>
                      <w:rFonts w:hint="eastAsia"/>
                      <w:color w:val="auto"/>
                      <w:highlight w:val="none"/>
                    </w:rPr>
                    <w:t>1.00</w:t>
                  </w:r>
                  <w:bookmarkEnd w:id="378"/>
                </w:p>
              </w:tc>
              <w:tc>
                <w:tcPr>
                  <w:tcW w:w="1200" w:type="dxa"/>
                  <w:tcBorders>
                    <w:tl2br w:val="nil"/>
                    <w:tr2bl w:val="nil"/>
                  </w:tcBorders>
                  <w:vAlign w:val="center"/>
                </w:tcPr>
                <w:p w14:paraId="0CEB867D">
                  <w:pPr>
                    <w:pStyle w:val="114"/>
                    <w:keepNext w:val="0"/>
                    <w:keepLines w:val="0"/>
                    <w:suppressLineNumbers w:val="0"/>
                    <w:spacing w:before="0" w:beforeAutospacing="0" w:after="0" w:afterAutospacing="0"/>
                    <w:ind w:left="0" w:right="0"/>
                    <w:rPr>
                      <w:rFonts w:hint="default"/>
                      <w:color w:val="auto"/>
                      <w:highlight w:val="none"/>
                    </w:rPr>
                  </w:pPr>
                  <w:bookmarkStart w:id="379" w:name="_Toc3739"/>
                  <w:r>
                    <w:rPr>
                      <w:rFonts w:hint="default"/>
                      <w:color w:val="auto"/>
                      <w:highlight w:val="none"/>
                    </w:rPr>
                    <w:t>mg/L</w:t>
                  </w:r>
                  <w:bookmarkEnd w:id="379"/>
                </w:p>
              </w:tc>
              <w:tc>
                <w:tcPr>
                  <w:tcW w:w="1362" w:type="dxa"/>
                  <w:tcBorders>
                    <w:tl2br w:val="nil"/>
                    <w:tr2bl w:val="nil"/>
                  </w:tcBorders>
                  <w:vAlign w:val="center"/>
                </w:tcPr>
                <w:p w14:paraId="429314CB">
                  <w:pPr>
                    <w:pStyle w:val="114"/>
                    <w:keepNext w:val="0"/>
                    <w:keepLines w:val="0"/>
                    <w:suppressLineNumbers w:val="0"/>
                    <w:spacing w:before="0" w:beforeAutospacing="0" w:after="0" w:afterAutospacing="0"/>
                    <w:ind w:left="0" w:right="0"/>
                    <w:rPr>
                      <w:rFonts w:hint="default"/>
                      <w:color w:val="auto"/>
                      <w:highlight w:val="none"/>
                    </w:rPr>
                  </w:pPr>
                  <w:bookmarkStart w:id="380" w:name="_Toc24092"/>
                  <w:r>
                    <w:rPr>
                      <w:rFonts w:hint="default"/>
                      <w:color w:val="auto"/>
                      <w:highlight w:val="none"/>
                    </w:rPr>
                    <w:t>0.00141</w:t>
                  </w:r>
                  <w:bookmarkEnd w:id="380"/>
                </w:p>
              </w:tc>
              <w:tc>
                <w:tcPr>
                  <w:tcW w:w="1113" w:type="dxa"/>
                  <w:tcBorders>
                    <w:tl2br w:val="nil"/>
                    <w:tr2bl w:val="nil"/>
                  </w:tcBorders>
                  <w:vAlign w:val="center"/>
                </w:tcPr>
                <w:p w14:paraId="1F91901B">
                  <w:pPr>
                    <w:pStyle w:val="114"/>
                    <w:keepNext w:val="0"/>
                    <w:keepLines w:val="0"/>
                    <w:suppressLineNumbers w:val="0"/>
                    <w:spacing w:before="0" w:beforeAutospacing="0" w:after="0" w:afterAutospacing="0"/>
                    <w:ind w:left="0" w:right="0"/>
                    <w:rPr>
                      <w:rFonts w:hint="default"/>
                      <w:color w:val="auto"/>
                      <w:highlight w:val="none"/>
                    </w:rPr>
                  </w:pPr>
                  <w:bookmarkStart w:id="381" w:name="_Toc2444"/>
                  <w:r>
                    <w:rPr>
                      <w:rFonts w:hint="default"/>
                      <w:color w:val="auto"/>
                      <w:szCs w:val="21"/>
                      <w:highlight w:val="none"/>
                    </w:rPr>
                    <w:t>3.13E-06</w:t>
                  </w:r>
                  <w:bookmarkEnd w:id="381"/>
                </w:p>
              </w:tc>
              <w:tc>
                <w:tcPr>
                  <w:tcW w:w="964" w:type="dxa"/>
                  <w:vMerge w:val="continue"/>
                  <w:tcBorders>
                    <w:tl2br w:val="nil"/>
                    <w:tr2bl w:val="nil"/>
                  </w:tcBorders>
                  <w:vAlign w:val="center"/>
                </w:tcPr>
                <w:p w14:paraId="2E5225EA">
                  <w:pPr>
                    <w:pStyle w:val="114"/>
                    <w:keepNext w:val="0"/>
                    <w:keepLines w:val="0"/>
                    <w:suppressLineNumbers w:val="0"/>
                    <w:spacing w:before="0" w:beforeAutospacing="0" w:after="0" w:afterAutospacing="0"/>
                    <w:ind w:left="0" w:right="0"/>
                    <w:rPr>
                      <w:rFonts w:hint="default"/>
                      <w:color w:val="auto"/>
                      <w:highlight w:val="none"/>
                    </w:rPr>
                  </w:pPr>
                </w:p>
              </w:tc>
            </w:tr>
            <w:tr w14:paraId="41B8DA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42EA2D43">
                  <w:pPr>
                    <w:pStyle w:val="114"/>
                    <w:keepNext w:val="0"/>
                    <w:keepLines w:val="0"/>
                    <w:suppressLineNumbers w:val="0"/>
                    <w:spacing w:before="0" w:beforeAutospacing="0" w:after="0" w:afterAutospacing="0"/>
                    <w:ind w:left="0" w:right="0"/>
                    <w:rPr>
                      <w:rFonts w:hint="default"/>
                      <w:color w:val="auto"/>
                      <w:highlight w:val="none"/>
                    </w:rPr>
                  </w:pPr>
                  <w:bookmarkStart w:id="382" w:name="_Toc6418"/>
                  <w:r>
                    <w:rPr>
                      <w:rFonts w:hint="eastAsia"/>
                      <w:color w:val="auto"/>
                      <w:highlight w:val="none"/>
                    </w:rPr>
                    <w:t>镍</w:t>
                  </w:r>
                  <w:bookmarkEnd w:id="382"/>
                </w:p>
              </w:tc>
              <w:tc>
                <w:tcPr>
                  <w:tcW w:w="905" w:type="dxa"/>
                  <w:vMerge w:val="continue"/>
                  <w:tcBorders>
                    <w:tl2br w:val="nil"/>
                    <w:tr2bl w:val="nil"/>
                  </w:tcBorders>
                  <w:vAlign w:val="center"/>
                </w:tcPr>
                <w:p w14:paraId="2CD739BC">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57CEA555">
                  <w:pPr>
                    <w:pStyle w:val="114"/>
                    <w:keepNext w:val="0"/>
                    <w:keepLines w:val="0"/>
                    <w:suppressLineNumbers w:val="0"/>
                    <w:spacing w:before="0" w:beforeAutospacing="0" w:after="0" w:afterAutospacing="0"/>
                    <w:ind w:left="0" w:right="0"/>
                    <w:rPr>
                      <w:rFonts w:hint="default"/>
                      <w:color w:val="auto"/>
                      <w:highlight w:val="none"/>
                    </w:rPr>
                  </w:pPr>
                  <w:bookmarkStart w:id="383" w:name="_Toc22004"/>
                  <w:r>
                    <w:rPr>
                      <w:rFonts w:hint="default"/>
                      <w:color w:val="auto"/>
                      <w:highlight w:val="none"/>
                    </w:rPr>
                    <w:t>≤</w:t>
                  </w:r>
                  <w:r>
                    <w:rPr>
                      <w:rFonts w:hint="eastAsia"/>
                      <w:color w:val="auto"/>
                      <w:highlight w:val="none"/>
                    </w:rPr>
                    <w:t>0.02</w:t>
                  </w:r>
                  <w:bookmarkEnd w:id="383"/>
                </w:p>
              </w:tc>
              <w:tc>
                <w:tcPr>
                  <w:tcW w:w="1200" w:type="dxa"/>
                  <w:tcBorders>
                    <w:tl2br w:val="nil"/>
                    <w:tr2bl w:val="nil"/>
                  </w:tcBorders>
                  <w:vAlign w:val="center"/>
                </w:tcPr>
                <w:p w14:paraId="2DA98506">
                  <w:pPr>
                    <w:pStyle w:val="114"/>
                    <w:keepNext w:val="0"/>
                    <w:keepLines w:val="0"/>
                    <w:suppressLineNumbers w:val="0"/>
                    <w:spacing w:before="0" w:beforeAutospacing="0" w:after="0" w:afterAutospacing="0"/>
                    <w:ind w:left="0" w:right="0"/>
                    <w:rPr>
                      <w:rFonts w:hint="default"/>
                      <w:color w:val="auto"/>
                      <w:highlight w:val="none"/>
                    </w:rPr>
                  </w:pPr>
                  <w:bookmarkStart w:id="384" w:name="_Toc14877"/>
                  <w:r>
                    <w:rPr>
                      <w:rFonts w:hint="default"/>
                      <w:color w:val="auto"/>
                      <w:highlight w:val="none"/>
                    </w:rPr>
                    <w:t>mg/L</w:t>
                  </w:r>
                  <w:bookmarkEnd w:id="384"/>
                </w:p>
              </w:tc>
              <w:tc>
                <w:tcPr>
                  <w:tcW w:w="1362" w:type="dxa"/>
                  <w:tcBorders>
                    <w:tl2br w:val="nil"/>
                    <w:tr2bl w:val="nil"/>
                  </w:tcBorders>
                  <w:vAlign w:val="center"/>
                </w:tcPr>
                <w:p w14:paraId="5B60F42C">
                  <w:pPr>
                    <w:pStyle w:val="114"/>
                    <w:keepNext w:val="0"/>
                    <w:keepLines w:val="0"/>
                    <w:suppressLineNumbers w:val="0"/>
                    <w:spacing w:before="0" w:beforeAutospacing="0" w:after="0" w:afterAutospacing="0"/>
                    <w:ind w:left="0" w:right="0"/>
                    <w:rPr>
                      <w:rFonts w:hint="default"/>
                      <w:color w:val="auto"/>
                      <w:highlight w:val="none"/>
                    </w:rPr>
                  </w:pPr>
                  <w:bookmarkStart w:id="385" w:name="_Toc26021"/>
                  <w:r>
                    <w:rPr>
                      <w:rFonts w:hint="default"/>
                      <w:color w:val="auto"/>
                      <w:highlight w:val="none"/>
                    </w:rPr>
                    <w:t>0.00070</w:t>
                  </w:r>
                  <w:bookmarkEnd w:id="385"/>
                </w:p>
              </w:tc>
              <w:tc>
                <w:tcPr>
                  <w:tcW w:w="1113" w:type="dxa"/>
                  <w:tcBorders>
                    <w:tl2br w:val="nil"/>
                    <w:tr2bl w:val="nil"/>
                  </w:tcBorders>
                  <w:vAlign w:val="center"/>
                </w:tcPr>
                <w:p w14:paraId="31841048">
                  <w:pPr>
                    <w:pStyle w:val="114"/>
                    <w:keepNext w:val="0"/>
                    <w:keepLines w:val="0"/>
                    <w:suppressLineNumbers w:val="0"/>
                    <w:spacing w:before="0" w:beforeAutospacing="0" w:after="0" w:afterAutospacing="0"/>
                    <w:ind w:left="0" w:right="0"/>
                    <w:rPr>
                      <w:rFonts w:hint="default"/>
                      <w:color w:val="auto"/>
                      <w:highlight w:val="none"/>
                    </w:rPr>
                  </w:pPr>
                  <w:bookmarkStart w:id="386" w:name="_Toc8629"/>
                  <w:r>
                    <w:rPr>
                      <w:rFonts w:hint="default"/>
                      <w:color w:val="auto"/>
                      <w:szCs w:val="21"/>
                      <w:highlight w:val="none"/>
                    </w:rPr>
                    <w:t>1.56E-06</w:t>
                  </w:r>
                  <w:bookmarkEnd w:id="386"/>
                </w:p>
              </w:tc>
              <w:tc>
                <w:tcPr>
                  <w:tcW w:w="964" w:type="dxa"/>
                  <w:vMerge w:val="continue"/>
                  <w:tcBorders>
                    <w:tl2br w:val="nil"/>
                    <w:tr2bl w:val="nil"/>
                  </w:tcBorders>
                  <w:vAlign w:val="center"/>
                </w:tcPr>
                <w:p w14:paraId="32715AE5">
                  <w:pPr>
                    <w:pStyle w:val="114"/>
                    <w:keepNext w:val="0"/>
                    <w:keepLines w:val="0"/>
                    <w:suppressLineNumbers w:val="0"/>
                    <w:spacing w:before="0" w:beforeAutospacing="0" w:after="0" w:afterAutospacing="0"/>
                    <w:ind w:left="0" w:right="0"/>
                    <w:rPr>
                      <w:rFonts w:hint="default"/>
                      <w:color w:val="auto"/>
                      <w:highlight w:val="none"/>
                    </w:rPr>
                  </w:pPr>
                </w:p>
              </w:tc>
            </w:tr>
            <w:tr w14:paraId="159232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3353C3A8">
                  <w:pPr>
                    <w:pStyle w:val="114"/>
                    <w:keepNext w:val="0"/>
                    <w:keepLines w:val="0"/>
                    <w:suppressLineNumbers w:val="0"/>
                    <w:spacing w:before="0" w:beforeAutospacing="0" w:after="0" w:afterAutospacing="0"/>
                    <w:ind w:left="0" w:right="0"/>
                    <w:rPr>
                      <w:rFonts w:hint="default"/>
                      <w:color w:val="auto"/>
                      <w:highlight w:val="none"/>
                    </w:rPr>
                  </w:pPr>
                  <w:bookmarkStart w:id="387" w:name="_Toc7543"/>
                  <w:r>
                    <w:rPr>
                      <w:rFonts w:hint="eastAsia"/>
                      <w:color w:val="auto"/>
                      <w:highlight w:val="none"/>
                    </w:rPr>
                    <w:t>锌</w:t>
                  </w:r>
                  <w:bookmarkEnd w:id="387"/>
                </w:p>
              </w:tc>
              <w:tc>
                <w:tcPr>
                  <w:tcW w:w="905" w:type="dxa"/>
                  <w:vMerge w:val="continue"/>
                  <w:tcBorders>
                    <w:tl2br w:val="nil"/>
                    <w:tr2bl w:val="nil"/>
                  </w:tcBorders>
                  <w:vAlign w:val="center"/>
                </w:tcPr>
                <w:p w14:paraId="2F85C658">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3A16EE4B">
                  <w:pPr>
                    <w:pStyle w:val="114"/>
                    <w:keepNext w:val="0"/>
                    <w:keepLines w:val="0"/>
                    <w:suppressLineNumbers w:val="0"/>
                    <w:spacing w:before="0" w:beforeAutospacing="0" w:after="0" w:afterAutospacing="0"/>
                    <w:ind w:left="0" w:right="0"/>
                    <w:rPr>
                      <w:rFonts w:hint="default"/>
                      <w:color w:val="auto"/>
                      <w:highlight w:val="none"/>
                    </w:rPr>
                  </w:pPr>
                  <w:bookmarkStart w:id="388" w:name="_Toc5774"/>
                  <w:r>
                    <w:rPr>
                      <w:rFonts w:hint="default"/>
                      <w:color w:val="auto"/>
                      <w:highlight w:val="none"/>
                    </w:rPr>
                    <w:t>≤</w:t>
                  </w:r>
                  <w:r>
                    <w:rPr>
                      <w:rFonts w:hint="eastAsia"/>
                      <w:color w:val="auto"/>
                      <w:highlight w:val="none"/>
                    </w:rPr>
                    <w:t>1.00</w:t>
                  </w:r>
                  <w:bookmarkEnd w:id="388"/>
                </w:p>
              </w:tc>
              <w:tc>
                <w:tcPr>
                  <w:tcW w:w="1200" w:type="dxa"/>
                  <w:tcBorders>
                    <w:tl2br w:val="nil"/>
                    <w:tr2bl w:val="nil"/>
                  </w:tcBorders>
                  <w:vAlign w:val="center"/>
                </w:tcPr>
                <w:p w14:paraId="1CC0824C">
                  <w:pPr>
                    <w:pStyle w:val="114"/>
                    <w:keepNext w:val="0"/>
                    <w:keepLines w:val="0"/>
                    <w:suppressLineNumbers w:val="0"/>
                    <w:spacing w:before="0" w:beforeAutospacing="0" w:after="0" w:afterAutospacing="0"/>
                    <w:ind w:left="0" w:right="0"/>
                    <w:rPr>
                      <w:rFonts w:hint="default"/>
                      <w:color w:val="auto"/>
                      <w:highlight w:val="none"/>
                    </w:rPr>
                  </w:pPr>
                  <w:bookmarkStart w:id="389" w:name="_Toc12709"/>
                  <w:r>
                    <w:rPr>
                      <w:rFonts w:hint="default"/>
                      <w:color w:val="auto"/>
                      <w:highlight w:val="none"/>
                    </w:rPr>
                    <w:t>mg/L</w:t>
                  </w:r>
                  <w:bookmarkEnd w:id="389"/>
                </w:p>
              </w:tc>
              <w:tc>
                <w:tcPr>
                  <w:tcW w:w="1362" w:type="dxa"/>
                  <w:tcBorders>
                    <w:tl2br w:val="nil"/>
                    <w:tr2bl w:val="nil"/>
                  </w:tcBorders>
                  <w:vAlign w:val="center"/>
                </w:tcPr>
                <w:p w14:paraId="2053694A">
                  <w:pPr>
                    <w:pStyle w:val="114"/>
                    <w:keepNext w:val="0"/>
                    <w:keepLines w:val="0"/>
                    <w:suppressLineNumbers w:val="0"/>
                    <w:spacing w:before="0" w:beforeAutospacing="0" w:after="0" w:afterAutospacing="0"/>
                    <w:ind w:left="0" w:right="0"/>
                    <w:rPr>
                      <w:rFonts w:hint="default"/>
                      <w:color w:val="auto"/>
                      <w:highlight w:val="none"/>
                    </w:rPr>
                  </w:pPr>
                  <w:bookmarkStart w:id="390" w:name="_Toc11003"/>
                  <w:r>
                    <w:rPr>
                      <w:rFonts w:hint="default"/>
                      <w:color w:val="auto"/>
                      <w:highlight w:val="none"/>
                    </w:rPr>
                    <w:t>0.05</w:t>
                  </w:r>
                  <w:r>
                    <w:rPr>
                      <w:rFonts w:hint="default"/>
                      <w:color w:val="auto"/>
                      <w:highlight w:val="none"/>
                      <w:vertAlign w:val="subscript"/>
                    </w:rPr>
                    <w:t>L</w:t>
                  </w:r>
                  <w:bookmarkEnd w:id="390"/>
                </w:p>
              </w:tc>
              <w:tc>
                <w:tcPr>
                  <w:tcW w:w="1113" w:type="dxa"/>
                  <w:tcBorders>
                    <w:tl2br w:val="nil"/>
                    <w:tr2bl w:val="nil"/>
                  </w:tcBorders>
                  <w:vAlign w:val="center"/>
                </w:tcPr>
                <w:p w14:paraId="3AFB00E4">
                  <w:pPr>
                    <w:pStyle w:val="114"/>
                    <w:keepNext w:val="0"/>
                    <w:keepLines w:val="0"/>
                    <w:suppressLineNumbers w:val="0"/>
                    <w:spacing w:before="0" w:beforeAutospacing="0" w:after="0" w:afterAutospacing="0"/>
                    <w:ind w:left="0" w:right="0"/>
                    <w:rPr>
                      <w:rFonts w:hint="default"/>
                      <w:color w:val="auto"/>
                      <w:highlight w:val="none"/>
                    </w:rPr>
                  </w:pPr>
                  <w:bookmarkStart w:id="391" w:name="_Toc1554"/>
                  <w:r>
                    <w:rPr>
                      <w:rFonts w:hint="eastAsia"/>
                      <w:color w:val="auto"/>
                      <w:highlight w:val="none"/>
                    </w:rPr>
                    <w:t>/</w:t>
                  </w:r>
                  <w:bookmarkEnd w:id="391"/>
                </w:p>
              </w:tc>
              <w:tc>
                <w:tcPr>
                  <w:tcW w:w="964" w:type="dxa"/>
                  <w:vMerge w:val="continue"/>
                  <w:tcBorders>
                    <w:tl2br w:val="nil"/>
                    <w:tr2bl w:val="nil"/>
                  </w:tcBorders>
                  <w:vAlign w:val="center"/>
                </w:tcPr>
                <w:p w14:paraId="4A5E0FD5">
                  <w:pPr>
                    <w:pStyle w:val="114"/>
                    <w:keepNext w:val="0"/>
                    <w:keepLines w:val="0"/>
                    <w:suppressLineNumbers w:val="0"/>
                    <w:spacing w:before="0" w:beforeAutospacing="0" w:after="0" w:afterAutospacing="0"/>
                    <w:ind w:left="0" w:right="0"/>
                    <w:rPr>
                      <w:rFonts w:hint="default"/>
                      <w:color w:val="auto"/>
                      <w:highlight w:val="none"/>
                    </w:rPr>
                  </w:pPr>
                </w:p>
              </w:tc>
            </w:tr>
            <w:tr w14:paraId="78F97B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06049928">
                  <w:pPr>
                    <w:pStyle w:val="114"/>
                    <w:keepNext w:val="0"/>
                    <w:keepLines w:val="0"/>
                    <w:suppressLineNumbers w:val="0"/>
                    <w:spacing w:before="0" w:beforeAutospacing="0" w:after="0" w:afterAutospacing="0"/>
                    <w:ind w:left="0" w:right="0"/>
                    <w:rPr>
                      <w:rFonts w:hint="default"/>
                      <w:color w:val="auto"/>
                      <w:highlight w:val="none"/>
                    </w:rPr>
                  </w:pPr>
                  <w:bookmarkStart w:id="392" w:name="_Toc27314"/>
                  <w:r>
                    <w:rPr>
                      <w:rFonts w:hint="eastAsia"/>
                      <w:color w:val="auto"/>
                      <w:highlight w:val="none"/>
                    </w:rPr>
                    <w:t>硼</w:t>
                  </w:r>
                  <w:bookmarkEnd w:id="392"/>
                </w:p>
              </w:tc>
              <w:tc>
                <w:tcPr>
                  <w:tcW w:w="905" w:type="dxa"/>
                  <w:vMerge w:val="continue"/>
                  <w:tcBorders>
                    <w:tl2br w:val="nil"/>
                    <w:tr2bl w:val="nil"/>
                  </w:tcBorders>
                  <w:vAlign w:val="center"/>
                </w:tcPr>
                <w:p w14:paraId="79744548">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7C92CC5F">
                  <w:pPr>
                    <w:pStyle w:val="114"/>
                    <w:keepNext w:val="0"/>
                    <w:keepLines w:val="0"/>
                    <w:suppressLineNumbers w:val="0"/>
                    <w:spacing w:before="0" w:beforeAutospacing="0" w:after="0" w:afterAutospacing="0"/>
                    <w:ind w:left="0" w:right="0"/>
                    <w:rPr>
                      <w:rFonts w:hint="default"/>
                      <w:color w:val="auto"/>
                      <w:highlight w:val="none"/>
                    </w:rPr>
                  </w:pPr>
                  <w:bookmarkStart w:id="393" w:name="_Toc14741"/>
                  <w:r>
                    <w:rPr>
                      <w:rFonts w:hint="default"/>
                      <w:color w:val="auto"/>
                      <w:highlight w:val="none"/>
                    </w:rPr>
                    <w:t>≤</w:t>
                  </w:r>
                  <w:r>
                    <w:rPr>
                      <w:rFonts w:hint="eastAsia"/>
                      <w:color w:val="auto"/>
                      <w:highlight w:val="none"/>
                    </w:rPr>
                    <w:t>0.50</w:t>
                  </w:r>
                  <w:bookmarkEnd w:id="393"/>
                </w:p>
              </w:tc>
              <w:tc>
                <w:tcPr>
                  <w:tcW w:w="1200" w:type="dxa"/>
                  <w:tcBorders>
                    <w:tl2br w:val="nil"/>
                    <w:tr2bl w:val="nil"/>
                  </w:tcBorders>
                  <w:vAlign w:val="center"/>
                </w:tcPr>
                <w:p w14:paraId="26B74409">
                  <w:pPr>
                    <w:pStyle w:val="114"/>
                    <w:keepNext w:val="0"/>
                    <w:keepLines w:val="0"/>
                    <w:suppressLineNumbers w:val="0"/>
                    <w:spacing w:before="0" w:beforeAutospacing="0" w:after="0" w:afterAutospacing="0"/>
                    <w:ind w:left="0" w:right="0"/>
                    <w:rPr>
                      <w:rFonts w:hint="default"/>
                      <w:color w:val="auto"/>
                      <w:highlight w:val="none"/>
                    </w:rPr>
                  </w:pPr>
                  <w:bookmarkStart w:id="394" w:name="_Toc31576"/>
                  <w:r>
                    <w:rPr>
                      <w:rFonts w:hint="default"/>
                      <w:color w:val="auto"/>
                      <w:highlight w:val="none"/>
                    </w:rPr>
                    <w:t>mg/L</w:t>
                  </w:r>
                  <w:bookmarkEnd w:id="394"/>
                </w:p>
              </w:tc>
              <w:tc>
                <w:tcPr>
                  <w:tcW w:w="1362" w:type="dxa"/>
                  <w:tcBorders>
                    <w:tl2br w:val="nil"/>
                    <w:tr2bl w:val="nil"/>
                  </w:tcBorders>
                  <w:vAlign w:val="center"/>
                </w:tcPr>
                <w:p w14:paraId="5FB9D9EB">
                  <w:pPr>
                    <w:pStyle w:val="114"/>
                    <w:keepNext w:val="0"/>
                    <w:keepLines w:val="0"/>
                    <w:suppressLineNumbers w:val="0"/>
                    <w:spacing w:before="0" w:beforeAutospacing="0" w:after="0" w:afterAutospacing="0"/>
                    <w:ind w:left="0" w:right="0"/>
                    <w:rPr>
                      <w:rFonts w:hint="default"/>
                      <w:color w:val="auto"/>
                      <w:highlight w:val="none"/>
                    </w:rPr>
                  </w:pPr>
                  <w:bookmarkStart w:id="395" w:name="_Toc31931"/>
                  <w:r>
                    <w:rPr>
                      <w:rFonts w:hint="default"/>
                      <w:color w:val="auto"/>
                      <w:highlight w:val="none"/>
                    </w:rPr>
                    <w:t>0.00629</w:t>
                  </w:r>
                  <w:bookmarkEnd w:id="395"/>
                </w:p>
              </w:tc>
              <w:tc>
                <w:tcPr>
                  <w:tcW w:w="1113" w:type="dxa"/>
                  <w:tcBorders>
                    <w:tl2br w:val="nil"/>
                    <w:tr2bl w:val="nil"/>
                  </w:tcBorders>
                  <w:vAlign w:val="center"/>
                </w:tcPr>
                <w:p w14:paraId="77EA059A">
                  <w:pPr>
                    <w:pStyle w:val="114"/>
                    <w:keepNext w:val="0"/>
                    <w:keepLines w:val="0"/>
                    <w:suppressLineNumbers w:val="0"/>
                    <w:spacing w:before="0" w:beforeAutospacing="0" w:after="0" w:afterAutospacing="0"/>
                    <w:ind w:left="0" w:right="0"/>
                    <w:rPr>
                      <w:rFonts w:hint="default"/>
                      <w:color w:val="auto"/>
                      <w:highlight w:val="none"/>
                    </w:rPr>
                  </w:pPr>
                  <w:bookmarkStart w:id="396" w:name="_Toc28348"/>
                  <w:r>
                    <w:rPr>
                      <w:rFonts w:hint="default"/>
                      <w:color w:val="auto"/>
                      <w:szCs w:val="21"/>
                      <w:highlight w:val="none"/>
                    </w:rPr>
                    <w:t>1.40E-05</w:t>
                  </w:r>
                  <w:bookmarkEnd w:id="396"/>
                </w:p>
              </w:tc>
              <w:tc>
                <w:tcPr>
                  <w:tcW w:w="964" w:type="dxa"/>
                  <w:vMerge w:val="continue"/>
                  <w:tcBorders>
                    <w:tl2br w:val="nil"/>
                    <w:tr2bl w:val="nil"/>
                  </w:tcBorders>
                  <w:vAlign w:val="center"/>
                </w:tcPr>
                <w:p w14:paraId="67E5E119">
                  <w:pPr>
                    <w:pStyle w:val="114"/>
                    <w:keepNext w:val="0"/>
                    <w:keepLines w:val="0"/>
                    <w:suppressLineNumbers w:val="0"/>
                    <w:spacing w:before="0" w:beforeAutospacing="0" w:after="0" w:afterAutospacing="0"/>
                    <w:ind w:left="0" w:right="0"/>
                    <w:rPr>
                      <w:rFonts w:hint="default"/>
                      <w:color w:val="auto"/>
                      <w:highlight w:val="none"/>
                    </w:rPr>
                  </w:pPr>
                </w:p>
              </w:tc>
            </w:tr>
            <w:tr w14:paraId="4A085F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0" w:hRule="atLeast"/>
                <w:jc w:val="center"/>
              </w:trPr>
              <w:tc>
                <w:tcPr>
                  <w:tcW w:w="1455" w:type="dxa"/>
                  <w:tcBorders>
                    <w:tl2br w:val="nil"/>
                    <w:tr2bl w:val="nil"/>
                  </w:tcBorders>
                  <w:vAlign w:val="center"/>
                </w:tcPr>
                <w:p w14:paraId="5B2FE448">
                  <w:pPr>
                    <w:pStyle w:val="114"/>
                    <w:keepNext w:val="0"/>
                    <w:keepLines w:val="0"/>
                    <w:suppressLineNumbers w:val="0"/>
                    <w:spacing w:before="0" w:beforeAutospacing="0" w:after="0" w:afterAutospacing="0"/>
                    <w:ind w:left="0" w:right="0"/>
                    <w:rPr>
                      <w:rFonts w:hint="default"/>
                      <w:color w:val="auto"/>
                      <w:highlight w:val="none"/>
                    </w:rPr>
                  </w:pPr>
                  <w:bookmarkStart w:id="397" w:name="_Toc6060"/>
                  <w:r>
                    <w:rPr>
                      <w:rFonts w:hint="eastAsia"/>
                      <w:color w:val="auto"/>
                      <w:highlight w:val="none"/>
                    </w:rPr>
                    <w:t>铊</w:t>
                  </w:r>
                  <w:bookmarkEnd w:id="397"/>
                </w:p>
              </w:tc>
              <w:tc>
                <w:tcPr>
                  <w:tcW w:w="905" w:type="dxa"/>
                  <w:vMerge w:val="continue"/>
                  <w:tcBorders>
                    <w:tl2br w:val="nil"/>
                    <w:tr2bl w:val="nil"/>
                  </w:tcBorders>
                  <w:vAlign w:val="center"/>
                </w:tcPr>
                <w:p w14:paraId="57558EFF">
                  <w:pPr>
                    <w:pStyle w:val="114"/>
                    <w:keepNext w:val="0"/>
                    <w:keepLines w:val="0"/>
                    <w:suppressLineNumbers w:val="0"/>
                    <w:spacing w:before="0" w:beforeAutospacing="0" w:after="0" w:afterAutospacing="0"/>
                    <w:ind w:left="0" w:right="0"/>
                    <w:rPr>
                      <w:rFonts w:hint="default"/>
                      <w:color w:val="auto"/>
                      <w:highlight w:val="none"/>
                    </w:rPr>
                  </w:pPr>
                </w:p>
              </w:tc>
              <w:tc>
                <w:tcPr>
                  <w:tcW w:w="1191" w:type="dxa"/>
                  <w:tcBorders>
                    <w:tl2br w:val="nil"/>
                    <w:tr2bl w:val="nil"/>
                  </w:tcBorders>
                  <w:vAlign w:val="center"/>
                </w:tcPr>
                <w:p w14:paraId="085BBB9C">
                  <w:pPr>
                    <w:pStyle w:val="114"/>
                    <w:keepNext w:val="0"/>
                    <w:keepLines w:val="0"/>
                    <w:suppressLineNumbers w:val="0"/>
                    <w:spacing w:before="0" w:beforeAutospacing="0" w:after="0" w:afterAutospacing="0"/>
                    <w:ind w:left="0" w:right="0"/>
                    <w:rPr>
                      <w:rFonts w:hint="default"/>
                      <w:color w:val="auto"/>
                      <w:highlight w:val="none"/>
                    </w:rPr>
                  </w:pPr>
                  <w:bookmarkStart w:id="398" w:name="_Toc15282"/>
                  <w:r>
                    <w:rPr>
                      <w:rFonts w:hint="default"/>
                      <w:color w:val="auto"/>
                      <w:highlight w:val="none"/>
                    </w:rPr>
                    <w:t>≤</w:t>
                  </w:r>
                  <w:r>
                    <w:rPr>
                      <w:rFonts w:hint="eastAsia"/>
                      <w:color w:val="auto"/>
                      <w:highlight w:val="none"/>
                    </w:rPr>
                    <w:t>0.0001</w:t>
                  </w:r>
                  <w:bookmarkEnd w:id="398"/>
                </w:p>
              </w:tc>
              <w:tc>
                <w:tcPr>
                  <w:tcW w:w="1200" w:type="dxa"/>
                  <w:tcBorders>
                    <w:tl2br w:val="nil"/>
                    <w:tr2bl w:val="nil"/>
                  </w:tcBorders>
                  <w:vAlign w:val="center"/>
                </w:tcPr>
                <w:p w14:paraId="42390386">
                  <w:pPr>
                    <w:pStyle w:val="114"/>
                    <w:keepNext w:val="0"/>
                    <w:keepLines w:val="0"/>
                    <w:suppressLineNumbers w:val="0"/>
                    <w:spacing w:before="0" w:beforeAutospacing="0" w:after="0" w:afterAutospacing="0"/>
                    <w:ind w:left="0" w:right="0"/>
                    <w:rPr>
                      <w:rFonts w:hint="default"/>
                      <w:color w:val="auto"/>
                      <w:highlight w:val="none"/>
                    </w:rPr>
                  </w:pPr>
                  <w:bookmarkStart w:id="399" w:name="_Toc24590"/>
                  <w:r>
                    <w:rPr>
                      <w:rFonts w:hint="default"/>
                      <w:color w:val="auto"/>
                      <w:highlight w:val="none"/>
                    </w:rPr>
                    <w:t>mg/L</w:t>
                  </w:r>
                  <w:bookmarkEnd w:id="399"/>
                </w:p>
              </w:tc>
              <w:tc>
                <w:tcPr>
                  <w:tcW w:w="1362" w:type="dxa"/>
                  <w:tcBorders>
                    <w:tl2br w:val="nil"/>
                    <w:tr2bl w:val="nil"/>
                  </w:tcBorders>
                  <w:vAlign w:val="center"/>
                </w:tcPr>
                <w:p w14:paraId="2048F9D5">
                  <w:pPr>
                    <w:pStyle w:val="114"/>
                    <w:keepNext w:val="0"/>
                    <w:keepLines w:val="0"/>
                    <w:suppressLineNumbers w:val="0"/>
                    <w:spacing w:before="0" w:beforeAutospacing="0" w:after="0" w:afterAutospacing="0"/>
                    <w:ind w:left="0" w:right="0"/>
                    <w:rPr>
                      <w:rFonts w:hint="default"/>
                      <w:color w:val="auto"/>
                      <w:highlight w:val="none"/>
                    </w:rPr>
                  </w:pPr>
                  <w:bookmarkStart w:id="400" w:name="_Toc15074"/>
                  <w:r>
                    <w:rPr>
                      <w:rFonts w:hint="default"/>
                      <w:color w:val="auto"/>
                      <w:highlight w:val="none"/>
                    </w:rPr>
                    <w:t>0.000005</w:t>
                  </w:r>
                  <w:bookmarkEnd w:id="400"/>
                </w:p>
              </w:tc>
              <w:tc>
                <w:tcPr>
                  <w:tcW w:w="1113" w:type="dxa"/>
                  <w:tcBorders>
                    <w:tl2br w:val="nil"/>
                    <w:tr2bl w:val="nil"/>
                  </w:tcBorders>
                  <w:vAlign w:val="center"/>
                </w:tcPr>
                <w:p w14:paraId="2AA5252A">
                  <w:pPr>
                    <w:pStyle w:val="114"/>
                    <w:keepNext w:val="0"/>
                    <w:keepLines w:val="0"/>
                    <w:suppressLineNumbers w:val="0"/>
                    <w:spacing w:before="0" w:beforeAutospacing="0" w:after="0" w:afterAutospacing="0"/>
                    <w:ind w:left="0" w:right="0"/>
                    <w:rPr>
                      <w:rFonts w:hint="default"/>
                      <w:color w:val="auto"/>
                      <w:highlight w:val="none"/>
                    </w:rPr>
                  </w:pPr>
                  <w:bookmarkStart w:id="401" w:name="_Toc10008"/>
                  <w:r>
                    <w:rPr>
                      <w:rFonts w:hint="default"/>
                      <w:color w:val="auto"/>
                      <w:szCs w:val="21"/>
                      <w:highlight w:val="none"/>
                    </w:rPr>
                    <w:t>1.11E-08</w:t>
                  </w:r>
                  <w:bookmarkEnd w:id="401"/>
                </w:p>
              </w:tc>
              <w:tc>
                <w:tcPr>
                  <w:tcW w:w="964" w:type="dxa"/>
                  <w:vMerge w:val="continue"/>
                  <w:tcBorders>
                    <w:tl2br w:val="nil"/>
                    <w:tr2bl w:val="nil"/>
                  </w:tcBorders>
                  <w:vAlign w:val="center"/>
                </w:tcPr>
                <w:p w14:paraId="1C8F8C5C">
                  <w:pPr>
                    <w:pStyle w:val="114"/>
                    <w:keepNext w:val="0"/>
                    <w:keepLines w:val="0"/>
                    <w:suppressLineNumbers w:val="0"/>
                    <w:spacing w:before="0" w:beforeAutospacing="0" w:after="0" w:afterAutospacing="0"/>
                    <w:ind w:left="0" w:right="0"/>
                    <w:rPr>
                      <w:rFonts w:hint="default"/>
                      <w:color w:val="auto"/>
                      <w:highlight w:val="none"/>
                    </w:rPr>
                  </w:pPr>
                </w:p>
              </w:tc>
            </w:tr>
          </w:tbl>
          <w:p w14:paraId="4D0653DC">
            <w:pPr>
              <w:pStyle w:val="76"/>
              <w:keepNext w:val="0"/>
              <w:keepLines w:val="0"/>
              <w:suppressLineNumbers w:val="0"/>
              <w:bidi w:val="0"/>
              <w:spacing w:before="0" w:beforeAutospacing="0" w:after="0" w:afterAutospacing="0"/>
              <w:ind w:left="0" w:right="0"/>
              <w:rPr>
                <w:rFonts w:hint="eastAsia"/>
                <w:b w:val="0"/>
                <w:bCs/>
                <w:color w:val="auto"/>
                <w:highlight w:val="none"/>
                <w:lang w:val="en-US" w:eastAsia="zh-CN"/>
              </w:rPr>
            </w:pPr>
            <w:r>
              <w:rPr>
                <w:rFonts w:hint="eastAsia"/>
                <w:b w:val="0"/>
                <w:bCs/>
                <w:color w:val="auto"/>
                <w:highlight w:val="none"/>
                <w:lang w:val="en-US" w:eastAsia="zh-CN"/>
              </w:rPr>
              <w:t>由上表监测结果可知，各项污染因子均满足《地下水质量标准》（GB/T 14848-2017）Ⅲ类标准。</w:t>
            </w:r>
          </w:p>
          <w:p w14:paraId="27127AC2">
            <w:pPr>
              <w:pStyle w:val="76"/>
              <w:keepNext w:val="0"/>
              <w:keepLines w:val="0"/>
              <w:suppressLineNumbers w:val="0"/>
              <w:bidi w:val="0"/>
              <w:spacing w:before="0" w:beforeAutospacing="0" w:after="0" w:afterAutospacing="0"/>
              <w:ind w:left="0" w:right="0"/>
              <w:rPr>
                <w:rFonts w:hint="eastAsia"/>
                <w:b/>
                <w:bCs w:val="0"/>
                <w:color w:val="auto"/>
                <w:highlight w:val="none"/>
                <w:lang w:val="en-US" w:eastAsia="zh-CN"/>
              </w:rPr>
            </w:pPr>
            <w:r>
              <w:rPr>
                <w:rFonts w:hint="eastAsia"/>
                <w:b/>
                <w:bCs w:val="0"/>
                <w:color w:val="auto"/>
                <w:highlight w:val="none"/>
                <w:lang w:val="en-US" w:eastAsia="zh-CN"/>
              </w:rPr>
              <w:t>4.2、土壤环境现状</w:t>
            </w:r>
          </w:p>
          <w:p w14:paraId="3A9AD4A7">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highlight w:val="none"/>
                <w:lang w:val="en-US" w:eastAsia="zh-CN"/>
              </w:rPr>
              <w:t>（1）监测因子</w:t>
            </w:r>
          </w:p>
          <w:p w14:paraId="76DC4724">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为了解项目区域土壤现状，本次评价</w:t>
            </w:r>
            <w:r>
              <w:rPr>
                <w:rFonts w:hint="eastAsia"/>
                <w:color w:val="auto"/>
                <w:highlight w:val="none"/>
                <w:lang w:eastAsia="zh-CN"/>
              </w:rPr>
              <w:t>引用现有项目</w:t>
            </w:r>
            <w:r>
              <w:rPr>
                <w:rFonts w:hint="eastAsia"/>
                <w:color w:val="auto"/>
                <w:highlight w:val="none"/>
              </w:rPr>
              <w:t>占地范围内布设</w:t>
            </w:r>
            <w:r>
              <w:rPr>
                <w:rFonts w:hint="eastAsia"/>
                <w:color w:val="auto"/>
                <w:highlight w:val="none"/>
                <w:lang w:eastAsia="zh-CN"/>
              </w:rPr>
              <w:t>的</w:t>
            </w:r>
            <w:r>
              <w:rPr>
                <w:rFonts w:hint="eastAsia"/>
                <w:color w:val="auto"/>
                <w:highlight w:val="none"/>
              </w:rPr>
              <w:t>1个土壤监测点，监测表层样，采样深度为0~0.2m，</w:t>
            </w:r>
            <w:r>
              <w:rPr>
                <w:rFonts w:hint="default"/>
                <w:color w:val="auto"/>
                <w:highlight w:val="none"/>
              </w:rPr>
              <w:t>现状</w:t>
            </w:r>
            <w:r>
              <w:rPr>
                <w:rFonts w:hint="eastAsia"/>
                <w:color w:val="auto"/>
                <w:highlight w:val="none"/>
                <w:lang w:eastAsia="zh-CN"/>
              </w:rPr>
              <w:t>监测</w:t>
            </w:r>
            <w:r>
              <w:rPr>
                <w:rFonts w:hint="eastAsia"/>
                <w:color w:val="auto"/>
                <w:highlight w:val="none"/>
              </w:rPr>
              <w:t>结果见</w:t>
            </w:r>
            <w:r>
              <w:rPr>
                <w:rFonts w:hint="eastAsia"/>
                <w:color w:val="auto"/>
                <w:highlight w:val="none"/>
                <w:lang w:val="en-US" w:eastAsia="zh-CN"/>
              </w:rPr>
              <w:t>下</w:t>
            </w:r>
            <w:r>
              <w:rPr>
                <w:rFonts w:hint="eastAsia"/>
                <w:color w:val="auto"/>
                <w:highlight w:val="none"/>
              </w:rPr>
              <w:t>表。</w:t>
            </w:r>
          </w:p>
          <w:p w14:paraId="7375092A">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w:t>
            </w:r>
            <w:r>
              <w:rPr>
                <w:rFonts w:hint="eastAsia"/>
                <w:color w:val="auto"/>
                <w:sz w:val="21"/>
                <w:szCs w:val="21"/>
                <w:highlight w:val="none"/>
                <w:lang w:val="en-US" w:eastAsia="zh-CN"/>
              </w:rPr>
              <w:t>3-4</w:t>
            </w:r>
            <w:r>
              <w:rPr>
                <w:rFonts w:hint="default"/>
                <w:color w:val="auto"/>
                <w:sz w:val="21"/>
                <w:szCs w:val="21"/>
                <w:highlight w:val="none"/>
                <w:lang w:val="en-US" w:eastAsia="zh-CN"/>
              </w:rPr>
              <w:t xml:space="preserve"> 土壤环境质量现状监测统计结果</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613"/>
              <w:gridCol w:w="1676"/>
              <w:gridCol w:w="963"/>
              <w:gridCol w:w="875"/>
              <w:gridCol w:w="1055"/>
              <w:gridCol w:w="1237"/>
              <w:gridCol w:w="1120"/>
              <w:gridCol w:w="651"/>
            </w:tblGrid>
            <w:tr w14:paraId="268BB2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tblHeader/>
                <w:jc w:val="center"/>
              </w:trPr>
              <w:tc>
                <w:tcPr>
                  <w:tcW w:w="374" w:type="pct"/>
                  <w:vMerge w:val="restart"/>
                  <w:tcBorders>
                    <w:tl2br w:val="nil"/>
                    <w:tr2bl w:val="nil"/>
                  </w:tcBorders>
                  <w:vAlign w:val="center"/>
                </w:tcPr>
                <w:p w14:paraId="3EBBD34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监测点位</w:t>
                  </w:r>
                </w:p>
              </w:tc>
              <w:tc>
                <w:tcPr>
                  <w:tcW w:w="1023" w:type="pct"/>
                  <w:vMerge w:val="restart"/>
                  <w:tcBorders>
                    <w:tl2br w:val="nil"/>
                    <w:tr2bl w:val="nil"/>
                  </w:tcBorders>
                  <w:vAlign w:val="center"/>
                </w:tcPr>
                <w:p w14:paraId="596EC79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w:t>
                  </w:r>
                </w:p>
              </w:tc>
              <w:tc>
                <w:tcPr>
                  <w:tcW w:w="587" w:type="pct"/>
                  <w:vMerge w:val="restart"/>
                  <w:tcBorders>
                    <w:tl2br w:val="nil"/>
                    <w:tr2bl w:val="nil"/>
                  </w:tcBorders>
                  <w:vAlign w:val="center"/>
                </w:tcPr>
                <w:p w14:paraId="7176DE2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监测时间</w:t>
                  </w:r>
                </w:p>
              </w:tc>
              <w:tc>
                <w:tcPr>
                  <w:tcW w:w="1178" w:type="pct"/>
                  <w:gridSpan w:val="2"/>
                  <w:tcBorders>
                    <w:tl2br w:val="nil"/>
                    <w:tr2bl w:val="nil"/>
                  </w:tcBorders>
                  <w:vAlign w:val="center"/>
                </w:tcPr>
                <w:p w14:paraId="0FD48A1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评价标准</w:t>
                  </w:r>
                </w:p>
              </w:tc>
              <w:tc>
                <w:tcPr>
                  <w:tcW w:w="755" w:type="pct"/>
                  <w:vMerge w:val="restart"/>
                  <w:tcBorders>
                    <w:tl2br w:val="nil"/>
                    <w:tr2bl w:val="nil"/>
                  </w:tcBorders>
                  <w:vAlign w:val="center"/>
                </w:tcPr>
                <w:p w14:paraId="044418A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监测数据</w:t>
                  </w:r>
                </w:p>
              </w:tc>
              <w:tc>
                <w:tcPr>
                  <w:tcW w:w="683" w:type="pct"/>
                  <w:vMerge w:val="restart"/>
                  <w:tcBorders>
                    <w:tl2br w:val="nil"/>
                    <w:tr2bl w:val="nil"/>
                  </w:tcBorders>
                  <w:vAlign w:val="center"/>
                </w:tcPr>
                <w:p w14:paraId="49DAEBB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标准指数</w:t>
                  </w:r>
                </w:p>
              </w:tc>
              <w:tc>
                <w:tcPr>
                  <w:tcW w:w="397" w:type="pct"/>
                  <w:vMerge w:val="restart"/>
                  <w:tcBorders>
                    <w:tl2br w:val="nil"/>
                    <w:tr2bl w:val="nil"/>
                  </w:tcBorders>
                  <w:vAlign w:val="center"/>
                </w:tcPr>
                <w:p w14:paraId="0738446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达标情况</w:t>
                  </w:r>
                </w:p>
              </w:tc>
            </w:tr>
            <w:tr w14:paraId="670328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tblHeader/>
                <w:jc w:val="center"/>
              </w:trPr>
              <w:tc>
                <w:tcPr>
                  <w:tcW w:w="374" w:type="pct"/>
                  <w:vMerge w:val="continue"/>
                  <w:tcBorders>
                    <w:tl2br w:val="nil"/>
                    <w:tr2bl w:val="nil"/>
                  </w:tcBorders>
                  <w:vAlign w:val="center"/>
                </w:tcPr>
                <w:p w14:paraId="0DF3327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c>
                <w:tcPr>
                  <w:tcW w:w="1023" w:type="pct"/>
                  <w:vMerge w:val="continue"/>
                  <w:tcBorders>
                    <w:tl2br w:val="nil"/>
                    <w:tr2bl w:val="nil"/>
                  </w:tcBorders>
                  <w:vAlign w:val="center"/>
                </w:tcPr>
                <w:p w14:paraId="42B7E14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c>
                <w:tcPr>
                  <w:tcW w:w="587" w:type="pct"/>
                  <w:vMerge w:val="continue"/>
                  <w:tcBorders>
                    <w:tl2br w:val="nil"/>
                    <w:tr2bl w:val="nil"/>
                  </w:tcBorders>
                  <w:vAlign w:val="center"/>
                </w:tcPr>
                <w:p w14:paraId="15AF85B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c>
                <w:tcPr>
                  <w:tcW w:w="534" w:type="pct"/>
                  <w:tcBorders>
                    <w:tl2br w:val="nil"/>
                    <w:tr2bl w:val="nil"/>
                  </w:tcBorders>
                  <w:vAlign w:val="center"/>
                </w:tcPr>
                <w:p w14:paraId="3D7D3C7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标准值</w:t>
                  </w:r>
                </w:p>
              </w:tc>
              <w:tc>
                <w:tcPr>
                  <w:tcW w:w="644" w:type="pct"/>
                  <w:tcBorders>
                    <w:tl2br w:val="nil"/>
                    <w:tr2bl w:val="nil"/>
                  </w:tcBorders>
                  <w:vAlign w:val="center"/>
                </w:tcPr>
                <w:p w14:paraId="6B12F44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单位</w:t>
                  </w:r>
                </w:p>
              </w:tc>
              <w:tc>
                <w:tcPr>
                  <w:tcW w:w="755" w:type="pct"/>
                  <w:vMerge w:val="continue"/>
                  <w:tcBorders>
                    <w:tl2br w:val="nil"/>
                    <w:tr2bl w:val="nil"/>
                  </w:tcBorders>
                  <w:vAlign w:val="center"/>
                </w:tcPr>
                <w:p w14:paraId="4D9DF7F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c>
                <w:tcPr>
                  <w:tcW w:w="683" w:type="pct"/>
                  <w:vMerge w:val="continue"/>
                  <w:tcBorders>
                    <w:tl2br w:val="nil"/>
                    <w:tr2bl w:val="nil"/>
                  </w:tcBorders>
                  <w:vAlign w:val="center"/>
                </w:tcPr>
                <w:p w14:paraId="23493D0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c>
                <w:tcPr>
                  <w:tcW w:w="397" w:type="pct"/>
                  <w:vMerge w:val="continue"/>
                  <w:tcBorders>
                    <w:tl2br w:val="nil"/>
                    <w:tr2bl w:val="nil"/>
                  </w:tcBorders>
                  <w:vAlign w:val="center"/>
                </w:tcPr>
                <w:p w14:paraId="352DECB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b/>
                      <w:bCs/>
                      <w:color w:val="auto"/>
                      <w:sz w:val="21"/>
                      <w:szCs w:val="21"/>
                      <w:highlight w:val="none"/>
                    </w:rPr>
                  </w:pPr>
                </w:p>
              </w:tc>
            </w:tr>
            <w:tr w14:paraId="0DFE5A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restart"/>
                  <w:tcBorders>
                    <w:tl2br w:val="nil"/>
                    <w:tr2bl w:val="nil"/>
                  </w:tcBorders>
                  <w:vAlign w:val="center"/>
                </w:tcPr>
                <w:p w14:paraId="4774283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S1</w:t>
                  </w:r>
                </w:p>
              </w:tc>
              <w:tc>
                <w:tcPr>
                  <w:tcW w:w="1023" w:type="pct"/>
                  <w:tcBorders>
                    <w:tl2br w:val="nil"/>
                    <w:tr2bl w:val="nil"/>
                  </w:tcBorders>
                  <w:vAlign w:val="center"/>
                </w:tcPr>
                <w:p w14:paraId="3C2A9CB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pH值</w:t>
                  </w:r>
                </w:p>
              </w:tc>
              <w:tc>
                <w:tcPr>
                  <w:tcW w:w="587" w:type="pct"/>
                  <w:vMerge w:val="restart"/>
                  <w:tcBorders>
                    <w:tl2br w:val="nil"/>
                    <w:tr2bl w:val="nil"/>
                  </w:tcBorders>
                  <w:vAlign w:val="center"/>
                </w:tcPr>
                <w:p w14:paraId="3B4CD86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2025.7.28~7.30</w:t>
                  </w:r>
                </w:p>
              </w:tc>
              <w:tc>
                <w:tcPr>
                  <w:tcW w:w="534" w:type="pct"/>
                  <w:tcBorders>
                    <w:tl2br w:val="nil"/>
                    <w:tr2bl w:val="nil"/>
                  </w:tcBorders>
                  <w:vAlign w:val="center"/>
                </w:tcPr>
                <w:p w14:paraId="631F98F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44" w:type="pct"/>
                  <w:tcBorders>
                    <w:tl2br w:val="nil"/>
                    <w:tr2bl w:val="nil"/>
                  </w:tcBorders>
                  <w:vAlign w:val="center"/>
                </w:tcPr>
                <w:p w14:paraId="701087E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无量纲</w:t>
                  </w:r>
                </w:p>
              </w:tc>
              <w:tc>
                <w:tcPr>
                  <w:tcW w:w="755" w:type="pct"/>
                  <w:tcBorders>
                    <w:tl2br w:val="nil"/>
                    <w:tr2bl w:val="nil"/>
                  </w:tcBorders>
                  <w:vAlign w:val="center"/>
                </w:tcPr>
                <w:p w14:paraId="7974FBD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6.2</w:t>
                  </w:r>
                </w:p>
              </w:tc>
              <w:tc>
                <w:tcPr>
                  <w:tcW w:w="683" w:type="pct"/>
                  <w:tcBorders>
                    <w:tl2br w:val="nil"/>
                    <w:tr2bl w:val="nil"/>
                  </w:tcBorders>
                  <w:vAlign w:val="center"/>
                </w:tcPr>
                <w:p w14:paraId="788A489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restart"/>
                  <w:tcBorders>
                    <w:tl2br w:val="nil"/>
                    <w:tr2bl w:val="nil"/>
                  </w:tcBorders>
                  <w:vAlign w:val="center"/>
                </w:tcPr>
                <w:p w14:paraId="11C96FE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79442D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F392C9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369F26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汞（Hg）</w:t>
                  </w:r>
                </w:p>
              </w:tc>
              <w:tc>
                <w:tcPr>
                  <w:tcW w:w="587" w:type="pct"/>
                  <w:vMerge w:val="continue"/>
                  <w:tcBorders>
                    <w:tl2br w:val="nil"/>
                    <w:tr2bl w:val="nil"/>
                  </w:tcBorders>
                  <w:vAlign w:val="center"/>
                </w:tcPr>
                <w:p w14:paraId="719742E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E0C3A6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38</w:t>
                  </w:r>
                </w:p>
              </w:tc>
              <w:tc>
                <w:tcPr>
                  <w:tcW w:w="644" w:type="pct"/>
                  <w:tcBorders>
                    <w:tl2br w:val="nil"/>
                    <w:tr2bl w:val="nil"/>
                  </w:tcBorders>
                  <w:vAlign w:val="center"/>
                </w:tcPr>
                <w:p w14:paraId="796792D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2BB83D4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0.172</w:t>
                  </w:r>
                </w:p>
              </w:tc>
              <w:tc>
                <w:tcPr>
                  <w:tcW w:w="683" w:type="pct"/>
                  <w:tcBorders>
                    <w:tl2br w:val="nil"/>
                    <w:tr2bl w:val="nil"/>
                  </w:tcBorders>
                  <w:vAlign w:val="center"/>
                </w:tcPr>
                <w:p w14:paraId="6E3FF0D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0.045</w:t>
                  </w:r>
                </w:p>
              </w:tc>
              <w:tc>
                <w:tcPr>
                  <w:tcW w:w="397" w:type="pct"/>
                  <w:vMerge w:val="continue"/>
                  <w:tcBorders>
                    <w:tl2br w:val="nil"/>
                    <w:tr2bl w:val="nil"/>
                  </w:tcBorders>
                  <w:vAlign w:val="center"/>
                </w:tcPr>
                <w:p w14:paraId="6CCBE44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35BEA4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A0B7A8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730A32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砷（As）</w:t>
                  </w:r>
                </w:p>
              </w:tc>
              <w:tc>
                <w:tcPr>
                  <w:tcW w:w="587" w:type="pct"/>
                  <w:vMerge w:val="continue"/>
                  <w:tcBorders>
                    <w:tl2br w:val="nil"/>
                    <w:tr2bl w:val="nil"/>
                  </w:tcBorders>
                  <w:vAlign w:val="center"/>
                </w:tcPr>
                <w:p w14:paraId="58F2206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479552D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60</w:t>
                  </w:r>
                </w:p>
              </w:tc>
              <w:tc>
                <w:tcPr>
                  <w:tcW w:w="644" w:type="pct"/>
                  <w:tcBorders>
                    <w:tl2br w:val="nil"/>
                    <w:tr2bl w:val="nil"/>
                  </w:tcBorders>
                  <w:vAlign w:val="center"/>
                </w:tcPr>
                <w:p w14:paraId="5468B7B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9566FE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16.1</w:t>
                  </w:r>
                </w:p>
              </w:tc>
              <w:tc>
                <w:tcPr>
                  <w:tcW w:w="683" w:type="pct"/>
                  <w:tcBorders>
                    <w:tl2br w:val="nil"/>
                    <w:tr2bl w:val="nil"/>
                  </w:tcBorders>
                  <w:vAlign w:val="center"/>
                </w:tcPr>
                <w:p w14:paraId="1CB8B83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0.27</w:t>
                  </w:r>
                </w:p>
              </w:tc>
              <w:tc>
                <w:tcPr>
                  <w:tcW w:w="397" w:type="pct"/>
                  <w:vMerge w:val="continue"/>
                  <w:tcBorders>
                    <w:tl2br w:val="nil"/>
                    <w:tr2bl w:val="nil"/>
                  </w:tcBorders>
                  <w:vAlign w:val="center"/>
                </w:tcPr>
                <w:p w14:paraId="6BFA991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BF6D6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FDB165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3C6B1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铅（Pb）</w:t>
                  </w:r>
                </w:p>
              </w:tc>
              <w:tc>
                <w:tcPr>
                  <w:tcW w:w="587" w:type="pct"/>
                  <w:vMerge w:val="continue"/>
                  <w:tcBorders>
                    <w:tl2br w:val="nil"/>
                    <w:tr2bl w:val="nil"/>
                  </w:tcBorders>
                  <w:vAlign w:val="center"/>
                </w:tcPr>
                <w:p w14:paraId="2E28898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3355CC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800</w:t>
                  </w:r>
                </w:p>
              </w:tc>
              <w:tc>
                <w:tcPr>
                  <w:tcW w:w="644" w:type="pct"/>
                  <w:tcBorders>
                    <w:tl2br w:val="nil"/>
                    <w:tr2bl w:val="nil"/>
                  </w:tcBorders>
                  <w:vAlign w:val="center"/>
                </w:tcPr>
                <w:p w14:paraId="3B0548B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608A30F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w:t>
                  </w:r>
                </w:p>
              </w:tc>
              <w:tc>
                <w:tcPr>
                  <w:tcW w:w="683" w:type="pct"/>
                  <w:tcBorders>
                    <w:tl2br w:val="nil"/>
                    <w:tr2bl w:val="nil"/>
                  </w:tcBorders>
                  <w:vAlign w:val="center"/>
                </w:tcPr>
                <w:p w14:paraId="7EFEE0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0.035</w:t>
                  </w:r>
                </w:p>
              </w:tc>
              <w:tc>
                <w:tcPr>
                  <w:tcW w:w="397" w:type="pct"/>
                  <w:vMerge w:val="continue"/>
                  <w:tcBorders>
                    <w:tl2br w:val="nil"/>
                    <w:tr2bl w:val="nil"/>
                  </w:tcBorders>
                  <w:vAlign w:val="center"/>
                </w:tcPr>
                <w:p w14:paraId="4A9185E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3413D6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59204D5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58D240C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镉（Cd）</w:t>
                  </w:r>
                </w:p>
              </w:tc>
              <w:tc>
                <w:tcPr>
                  <w:tcW w:w="587" w:type="pct"/>
                  <w:vMerge w:val="continue"/>
                  <w:tcBorders>
                    <w:tl2br w:val="nil"/>
                    <w:tr2bl w:val="nil"/>
                  </w:tcBorders>
                  <w:vAlign w:val="center"/>
                </w:tcPr>
                <w:p w14:paraId="6D058D5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4660FC6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65</w:t>
                  </w:r>
                </w:p>
              </w:tc>
              <w:tc>
                <w:tcPr>
                  <w:tcW w:w="644" w:type="pct"/>
                  <w:tcBorders>
                    <w:tl2br w:val="nil"/>
                    <w:tr2bl w:val="nil"/>
                  </w:tcBorders>
                  <w:vAlign w:val="center"/>
                </w:tcPr>
                <w:p w14:paraId="5105E97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02D9EE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0.14</w:t>
                  </w:r>
                </w:p>
              </w:tc>
              <w:tc>
                <w:tcPr>
                  <w:tcW w:w="683" w:type="pct"/>
                  <w:tcBorders>
                    <w:tl2br w:val="nil"/>
                    <w:tr2bl w:val="nil"/>
                  </w:tcBorders>
                  <w:vAlign w:val="center"/>
                </w:tcPr>
                <w:p w14:paraId="4B73E93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0.0021</w:t>
                  </w:r>
                </w:p>
              </w:tc>
              <w:tc>
                <w:tcPr>
                  <w:tcW w:w="397" w:type="pct"/>
                  <w:vMerge w:val="continue"/>
                  <w:tcBorders>
                    <w:tl2br w:val="nil"/>
                    <w:tr2bl w:val="nil"/>
                  </w:tcBorders>
                  <w:vAlign w:val="center"/>
                </w:tcPr>
                <w:p w14:paraId="1D18725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B2385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0AB89B8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35C93E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铜（Cu）</w:t>
                  </w:r>
                </w:p>
              </w:tc>
              <w:tc>
                <w:tcPr>
                  <w:tcW w:w="587" w:type="pct"/>
                  <w:vMerge w:val="continue"/>
                  <w:tcBorders>
                    <w:tl2br w:val="nil"/>
                    <w:tr2bl w:val="nil"/>
                  </w:tcBorders>
                  <w:vAlign w:val="center"/>
                </w:tcPr>
                <w:p w14:paraId="68FC11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AE9D16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18000</w:t>
                  </w:r>
                </w:p>
              </w:tc>
              <w:tc>
                <w:tcPr>
                  <w:tcW w:w="644" w:type="pct"/>
                  <w:tcBorders>
                    <w:tl2br w:val="nil"/>
                    <w:tr2bl w:val="nil"/>
                  </w:tcBorders>
                  <w:vAlign w:val="center"/>
                </w:tcPr>
                <w:p w14:paraId="777251C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84A023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35.5</w:t>
                  </w:r>
                </w:p>
              </w:tc>
              <w:tc>
                <w:tcPr>
                  <w:tcW w:w="683" w:type="pct"/>
                  <w:tcBorders>
                    <w:tl2br w:val="nil"/>
                    <w:tr2bl w:val="nil"/>
                  </w:tcBorders>
                  <w:vAlign w:val="center"/>
                </w:tcPr>
                <w:p w14:paraId="588833A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0.002</w:t>
                  </w:r>
                </w:p>
              </w:tc>
              <w:tc>
                <w:tcPr>
                  <w:tcW w:w="397" w:type="pct"/>
                  <w:vMerge w:val="continue"/>
                  <w:tcBorders>
                    <w:tl2br w:val="nil"/>
                    <w:tr2bl w:val="nil"/>
                  </w:tcBorders>
                  <w:vAlign w:val="center"/>
                </w:tcPr>
                <w:p w14:paraId="301A8E9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B1F3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F0F44D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57379EF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镍（Ni）</w:t>
                  </w:r>
                </w:p>
              </w:tc>
              <w:tc>
                <w:tcPr>
                  <w:tcW w:w="587" w:type="pct"/>
                  <w:vMerge w:val="continue"/>
                  <w:tcBorders>
                    <w:tl2br w:val="nil"/>
                    <w:tr2bl w:val="nil"/>
                  </w:tcBorders>
                  <w:vAlign w:val="center"/>
                </w:tcPr>
                <w:p w14:paraId="1688332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F45F4A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w:t>
                  </w:r>
                </w:p>
              </w:tc>
              <w:tc>
                <w:tcPr>
                  <w:tcW w:w="644" w:type="pct"/>
                  <w:tcBorders>
                    <w:tl2br w:val="nil"/>
                    <w:tr2bl w:val="nil"/>
                  </w:tcBorders>
                  <w:vAlign w:val="center"/>
                </w:tcPr>
                <w:p w14:paraId="63DC220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05A8C56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w:t>
                  </w:r>
                </w:p>
              </w:tc>
              <w:tc>
                <w:tcPr>
                  <w:tcW w:w="683" w:type="pct"/>
                  <w:tcBorders>
                    <w:tl2br w:val="nil"/>
                    <w:tr2bl w:val="nil"/>
                  </w:tcBorders>
                  <w:vAlign w:val="center"/>
                </w:tcPr>
                <w:p w14:paraId="53C60FB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0.07</w:t>
                  </w:r>
                </w:p>
              </w:tc>
              <w:tc>
                <w:tcPr>
                  <w:tcW w:w="397" w:type="pct"/>
                  <w:vMerge w:val="continue"/>
                  <w:tcBorders>
                    <w:tl2br w:val="nil"/>
                    <w:tr2bl w:val="nil"/>
                  </w:tcBorders>
                  <w:vAlign w:val="center"/>
                </w:tcPr>
                <w:p w14:paraId="283B1E9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94FAF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6B78B0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A5C9F6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六价铬</w:t>
                  </w:r>
                </w:p>
              </w:tc>
              <w:tc>
                <w:tcPr>
                  <w:tcW w:w="587" w:type="pct"/>
                  <w:vMerge w:val="continue"/>
                  <w:tcBorders>
                    <w:tl2br w:val="nil"/>
                    <w:tr2bl w:val="nil"/>
                  </w:tcBorders>
                  <w:vAlign w:val="center"/>
                </w:tcPr>
                <w:p w14:paraId="6E5CC7F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86FADA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w:t>
                  </w:r>
                </w:p>
              </w:tc>
              <w:tc>
                <w:tcPr>
                  <w:tcW w:w="644" w:type="pct"/>
                  <w:tcBorders>
                    <w:tl2br w:val="nil"/>
                    <w:tr2bl w:val="nil"/>
                  </w:tcBorders>
                  <w:vAlign w:val="center"/>
                </w:tcPr>
                <w:p w14:paraId="6F670EE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5FB2B4C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＜0.5</w:t>
                  </w:r>
                </w:p>
              </w:tc>
              <w:tc>
                <w:tcPr>
                  <w:tcW w:w="683" w:type="pct"/>
                  <w:tcBorders>
                    <w:tl2br w:val="nil"/>
                    <w:tr2bl w:val="nil"/>
                  </w:tcBorders>
                  <w:vAlign w:val="center"/>
                </w:tcPr>
                <w:p w14:paraId="65CD93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1AAA10B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1E176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4AE7B6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5240C11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四氯化碳</w:t>
                  </w:r>
                </w:p>
              </w:tc>
              <w:tc>
                <w:tcPr>
                  <w:tcW w:w="587" w:type="pct"/>
                  <w:vMerge w:val="continue"/>
                  <w:tcBorders>
                    <w:tl2br w:val="nil"/>
                    <w:tr2bl w:val="nil"/>
                  </w:tcBorders>
                  <w:vAlign w:val="center"/>
                </w:tcPr>
                <w:p w14:paraId="6591DE3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2DE56B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2800</w:t>
                  </w:r>
                </w:p>
              </w:tc>
              <w:tc>
                <w:tcPr>
                  <w:tcW w:w="644" w:type="pct"/>
                  <w:tcBorders>
                    <w:tl2br w:val="nil"/>
                    <w:tr2bl w:val="nil"/>
                  </w:tcBorders>
                  <w:vAlign w:val="center"/>
                </w:tcPr>
                <w:p w14:paraId="5C78575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2ACD700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0CE9765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3C1D8D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D927A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4D773A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843DCE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氯仿</w:t>
                  </w:r>
                </w:p>
              </w:tc>
              <w:tc>
                <w:tcPr>
                  <w:tcW w:w="587" w:type="pct"/>
                  <w:vMerge w:val="continue"/>
                  <w:tcBorders>
                    <w:tl2br w:val="nil"/>
                    <w:tr2bl w:val="nil"/>
                  </w:tcBorders>
                  <w:vAlign w:val="center"/>
                </w:tcPr>
                <w:p w14:paraId="1C9834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3F98015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w:t>
                  </w:r>
                </w:p>
              </w:tc>
              <w:tc>
                <w:tcPr>
                  <w:tcW w:w="644" w:type="pct"/>
                  <w:tcBorders>
                    <w:tl2br w:val="nil"/>
                    <w:tr2bl w:val="nil"/>
                  </w:tcBorders>
                  <w:vAlign w:val="center"/>
                </w:tcPr>
                <w:p w14:paraId="258E04A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4E3885D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6B8603C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6DFEAD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4381C6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9F5485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3F8235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氯甲烷</w:t>
                  </w:r>
                </w:p>
              </w:tc>
              <w:tc>
                <w:tcPr>
                  <w:tcW w:w="587" w:type="pct"/>
                  <w:vMerge w:val="continue"/>
                  <w:tcBorders>
                    <w:tl2br w:val="nil"/>
                    <w:tr2bl w:val="nil"/>
                  </w:tcBorders>
                  <w:vAlign w:val="center"/>
                </w:tcPr>
                <w:p w14:paraId="7E3C9B6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100D7F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37000</w:t>
                  </w:r>
                </w:p>
              </w:tc>
              <w:tc>
                <w:tcPr>
                  <w:tcW w:w="644" w:type="pct"/>
                  <w:tcBorders>
                    <w:tl2br w:val="nil"/>
                    <w:tr2bl w:val="nil"/>
                  </w:tcBorders>
                  <w:vAlign w:val="center"/>
                </w:tcPr>
                <w:p w14:paraId="1AD16B1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7D8BE59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23FE047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0086ED0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FBC50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401222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D7E3AF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1，1-二氯乙烷</w:t>
                  </w:r>
                </w:p>
              </w:tc>
              <w:tc>
                <w:tcPr>
                  <w:tcW w:w="587" w:type="pct"/>
                  <w:vMerge w:val="continue"/>
                  <w:tcBorders>
                    <w:tl2br w:val="nil"/>
                    <w:tr2bl w:val="nil"/>
                  </w:tcBorders>
                  <w:vAlign w:val="center"/>
                </w:tcPr>
                <w:p w14:paraId="04ADB7C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7C6823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9000</w:t>
                  </w:r>
                </w:p>
              </w:tc>
              <w:tc>
                <w:tcPr>
                  <w:tcW w:w="644" w:type="pct"/>
                  <w:tcBorders>
                    <w:tl2br w:val="nil"/>
                    <w:tr2bl w:val="nil"/>
                  </w:tcBorders>
                  <w:vAlign w:val="center"/>
                </w:tcPr>
                <w:p w14:paraId="508EC9E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7632955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3DE8179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A98668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59AAE7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6DB881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EB476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1，2-二氯乙烷</w:t>
                  </w:r>
                </w:p>
              </w:tc>
              <w:tc>
                <w:tcPr>
                  <w:tcW w:w="587" w:type="pct"/>
                  <w:vMerge w:val="continue"/>
                  <w:tcBorders>
                    <w:tl2br w:val="nil"/>
                    <w:tr2bl w:val="nil"/>
                  </w:tcBorders>
                  <w:vAlign w:val="center"/>
                </w:tcPr>
                <w:p w14:paraId="1C8280C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3852E9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5000</w:t>
                  </w:r>
                </w:p>
              </w:tc>
              <w:tc>
                <w:tcPr>
                  <w:tcW w:w="644" w:type="pct"/>
                  <w:tcBorders>
                    <w:tl2br w:val="nil"/>
                    <w:tr2bl w:val="nil"/>
                  </w:tcBorders>
                  <w:vAlign w:val="center"/>
                </w:tcPr>
                <w:p w14:paraId="3F359C9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874D4D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979F0A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3E581B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836A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FE410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35324B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1，1-二氯乙烯</w:t>
                  </w:r>
                </w:p>
              </w:tc>
              <w:tc>
                <w:tcPr>
                  <w:tcW w:w="587" w:type="pct"/>
                  <w:vMerge w:val="continue"/>
                  <w:tcBorders>
                    <w:tl2br w:val="nil"/>
                    <w:tr2bl w:val="nil"/>
                  </w:tcBorders>
                  <w:vAlign w:val="center"/>
                </w:tcPr>
                <w:p w14:paraId="1F41AB9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10FCBF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66000</w:t>
                  </w:r>
                </w:p>
              </w:tc>
              <w:tc>
                <w:tcPr>
                  <w:tcW w:w="644" w:type="pct"/>
                  <w:tcBorders>
                    <w:tl2br w:val="nil"/>
                    <w:tr2bl w:val="nil"/>
                  </w:tcBorders>
                  <w:vAlign w:val="center"/>
                </w:tcPr>
                <w:p w14:paraId="7837B66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DAC606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B0B13D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6480CF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807B4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F1C3CD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EC3421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顺式1，2-二氯乙烯</w:t>
                  </w:r>
                </w:p>
              </w:tc>
              <w:tc>
                <w:tcPr>
                  <w:tcW w:w="587" w:type="pct"/>
                  <w:vMerge w:val="continue"/>
                  <w:tcBorders>
                    <w:tl2br w:val="nil"/>
                    <w:tr2bl w:val="nil"/>
                  </w:tcBorders>
                  <w:vAlign w:val="center"/>
                </w:tcPr>
                <w:p w14:paraId="1C89D2B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4273D92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596000</w:t>
                  </w:r>
                </w:p>
              </w:tc>
              <w:tc>
                <w:tcPr>
                  <w:tcW w:w="644" w:type="pct"/>
                  <w:tcBorders>
                    <w:tl2br w:val="nil"/>
                    <w:tr2bl w:val="nil"/>
                  </w:tcBorders>
                  <w:vAlign w:val="center"/>
                </w:tcPr>
                <w:p w14:paraId="16D4E50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DB62B7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6B5D2E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64C9EE2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4AB35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1A996E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BD0886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反式1，2-二氯乙烯</w:t>
                  </w:r>
                </w:p>
              </w:tc>
              <w:tc>
                <w:tcPr>
                  <w:tcW w:w="587" w:type="pct"/>
                  <w:vMerge w:val="continue"/>
                  <w:tcBorders>
                    <w:tl2br w:val="nil"/>
                    <w:tr2bl w:val="nil"/>
                  </w:tcBorders>
                  <w:vAlign w:val="center"/>
                </w:tcPr>
                <w:p w14:paraId="008E9CC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D9F37B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54000</w:t>
                  </w:r>
                </w:p>
              </w:tc>
              <w:tc>
                <w:tcPr>
                  <w:tcW w:w="644" w:type="pct"/>
                  <w:tcBorders>
                    <w:tl2br w:val="nil"/>
                    <w:tr2bl w:val="nil"/>
                  </w:tcBorders>
                  <w:vAlign w:val="center"/>
                </w:tcPr>
                <w:p w14:paraId="481C881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5B0FDE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70BB8D9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066177C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3ED351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962B46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EE0B26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二氯甲烷</w:t>
                  </w:r>
                </w:p>
              </w:tc>
              <w:tc>
                <w:tcPr>
                  <w:tcW w:w="587" w:type="pct"/>
                  <w:vMerge w:val="continue"/>
                  <w:tcBorders>
                    <w:tl2br w:val="nil"/>
                    <w:tr2bl w:val="nil"/>
                  </w:tcBorders>
                  <w:vAlign w:val="center"/>
                </w:tcPr>
                <w:p w14:paraId="629B0CB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B9510F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616000</w:t>
                  </w:r>
                </w:p>
              </w:tc>
              <w:tc>
                <w:tcPr>
                  <w:tcW w:w="644" w:type="pct"/>
                  <w:tcBorders>
                    <w:tl2br w:val="nil"/>
                    <w:tr2bl w:val="nil"/>
                  </w:tcBorders>
                  <w:vAlign w:val="center"/>
                </w:tcPr>
                <w:p w14:paraId="3260642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5EF640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391C891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A7772D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0EF8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B4C361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5BE56C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1，2-二氯丙烷</w:t>
                  </w:r>
                </w:p>
              </w:tc>
              <w:tc>
                <w:tcPr>
                  <w:tcW w:w="587" w:type="pct"/>
                  <w:vMerge w:val="continue"/>
                  <w:tcBorders>
                    <w:tl2br w:val="nil"/>
                    <w:tr2bl w:val="nil"/>
                  </w:tcBorders>
                  <w:vAlign w:val="center"/>
                </w:tcPr>
                <w:p w14:paraId="0699702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428F7C6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5000</w:t>
                  </w:r>
                </w:p>
              </w:tc>
              <w:tc>
                <w:tcPr>
                  <w:tcW w:w="644" w:type="pct"/>
                  <w:tcBorders>
                    <w:tl2br w:val="nil"/>
                    <w:tr2bl w:val="nil"/>
                  </w:tcBorders>
                  <w:vAlign w:val="center"/>
                </w:tcPr>
                <w:p w14:paraId="3D33D11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288092D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98AB4F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245AC82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F5248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BF2FA7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467933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1，1，1，2-四氯乙烷</w:t>
                  </w:r>
                </w:p>
              </w:tc>
              <w:tc>
                <w:tcPr>
                  <w:tcW w:w="587" w:type="pct"/>
                  <w:vMerge w:val="continue"/>
                  <w:tcBorders>
                    <w:tl2br w:val="nil"/>
                    <w:tr2bl w:val="nil"/>
                  </w:tcBorders>
                  <w:vAlign w:val="center"/>
                </w:tcPr>
                <w:p w14:paraId="1D1AA64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60DD5F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10000</w:t>
                  </w:r>
                </w:p>
              </w:tc>
              <w:tc>
                <w:tcPr>
                  <w:tcW w:w="644" w:type="pct"/>
                  <w:tcBorders>
                    <w:tl2br w:val="nil"/>
                    <w:tr2bl w:val="nil"/>
                  </w:tcBorders>
                  <w:vAlign w:val="center"/>
                </w:tcPr>
                <w:p w14:paraId="77A28CB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732AEF0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6C7E2E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26DE04A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CCFC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824A08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5FD27C1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1，1，2，2-四氯乙烷</w:t>
                  </w:r>
                </w:p>
              </w:tc>
              <w:tc>
                <w:tcPr>
                  <w:tcW w:w="587" w:type="pct"/>
                  <w:vMerge w:val="continue"/>
                  <w:tcBorders>
                    <w:tl2br w:val="nil"/>
                    <w:tr2bl w:val="nil"/>
                  </w:tcBorders>
                  <w:vAlign w:val="center"/>
                </w:tcPr>
                <w:p w14:paraId="2D0B469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3DFA94E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6800</w:t>
                  </w:r>
                </w:p>
              </w:tc>
              <w:tc>
                <w:tcPr>
                  <w:tcW w:w="644" w:type="pct"/>
                  <w:tcBorders>
                    <w:tl2br w:val="nil"/>
                    <w:tr2bl w:val="nil"/>
                  </w:tcBorders>
                  <w:vAlign w:val="center"/>
                </w:tcPr>
                <w:p w14:paraId="605330D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A0A38E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25DE03D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E6630C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5DDAEB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EEB1CD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02B973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四氯乙烯</w:t>
                  </w:r>
                </w:p>
              </w:tc>
              <w:tc>
                <w:tcPr>
                  <w:tcW w:w="587" w:type="pct"/>
                  <w:vMerge w:val="continue"/>
                  <w:tcBorders>
                    <w:tl2br w:val="nil"/>
                    <w:tr2bl w:val="nil"/>
                  </w:tcBorders>
                  <w:vAlign w:val="center"/>
                </w:tcPr>
                <w:p w14:paraId="2ADAE8B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BF63C1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53000</w:t>
                  </w:r>
                </w:p>
              </w:tc>
              <w:tc>
                <w:tcPr>
                  <w:tcW w:w="644" w:type="pct"/>
                  <w:tcBorders>
                    <w:tl2br w:val="nil"/>
                    <w:tr2bl w:val="nil"/>
                  </w:tcBorders>
                  <w:vAlign w:val="center"/>
                </w:tcPr>
                <w:p w14:paraId="263CE91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9A89F6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255ACE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526CC9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3E36F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EB8C57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2FE322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1，1，1-三氯乙烷</w:t>
                  </w:r>
                </w:p>
              </w:tc>
              <w:tc>
                <w:tcPr>
                  <w:tcW w:w="587" w:type="pct"/>
                  <w:vMerge w:val="continue"/>
                  <w:tcBorders>
                    <w:tl2br w:val="nil"/>
                    <w:tr2bl w:val="nil"/>
                  </w:tcBorders>
                  <w:vAlign w:val="center"/>
                </w:tcPr>
                <w:p w14:paraId="25BE0B2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0466ED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840000</w:t>
                  </w:r>
                </w:p>
              </w:tc>
              <w:tc>
                <w:tcPr>
                  <w:tcW w:w="644" w:type="pct"/>
                  <w:tcBorders>
                    <w:tl2br w:val="nil"/>
                    <w:tr2bl w:val="nil"/>
                  </w:tcBorders>
                  <w:vAlign w:val="center"/>
                </w:tcPr>
                <w:p w14:paraId="0DD2866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F44917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00FF9EC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3C9FAF5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89B34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D4DE15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D41DA2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1，1，2-三氯乙烷</w:t>
                  </w:r>
                </w:p>
              </w:tc>
              <w:tc>
                <w:tcPr>
                  <w:tcW w:w="587" w:type="pct"/>
                  <w:vMerge w:val="continue"/>
                  <w:tcBorders>
                    <w:tl2br w:val="nil"/>
                    <w:tr2bl w:val="nil"/>
                  </w:tcBorders>
                  <w:vAlign w:val="center"/>
                </w:tcPr>
                <w:p w14:paraId="215415E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EC8380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2800</w:t>
                  </w:r>
                </w:p>
              </w:tc>
              <w:tc>
                <w:tcPr>
                  <w:tcW w:w="644" w:type="pct"/>
                  <w:tcBorders>
                    <w:tl2br w:val="nil"/>
                    <w:tr2bl w:val="nil"/>
                  </w:tcBorders>
                  <w:vAlign w:val="center"/>
                </w:tcPr>
                <w:p w14:paraId="573EF1D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83BFF6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69CF402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3398535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02C48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DF70CB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0B1981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三氯乙烯</w:t>
                  </w:r>
                </w:p>
              </w:tc>
              <w:tc>
                <w:tcPr>
                  <w:tcW w:w="587" w:type="pct"/>
                  <w:vMerge w:val="continue"/>
                  <w:tcBorders>
                    <w:tl2br w:val="nil"/>
                    <w:tr2bl w:val="nil"/>
                  </w:tcBorders>
                  <w:vAlign w:val="center"/>
                </w:tcPr>
                <w:p w14:paraId="7BA0844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16DF82D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2800</w:t>
                  </w:r>
                </w:p>
              </w:tc>
              <w:tc>
                <w:tcPr>
                  <w:tcW w:w="644" w:type="pct"/>
                  <w:tcBorders>
                    <w:tl2br w:val="nil"/>
                    <w:tr2bl w:val="nil"/>
                  </w:tcBorders>
                  <w:vAlign w:val="center"/>
                </w:tcPr>
                <w:p w14:paraId="04D5629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0078E9D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7767C13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5FF20F4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363A0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FC3AEB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0298CF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1,2,3-三氯丙烷</w:t>
                  </w:r>
                </w:p>
              </w:tc>
              <w:tc>
                <w:tcPr>
                  <w:tcW w:w="587" w:type="pct"/>
                  <w:vMerge w:val="continue"/>
                  <w:tcBorders>
                    <w:tl2br w:val="nil"/>
                    <w:tr2bl w:val="nil"/>
                  </w:tcBorders>
                  <w:vAlign w:val="center"/>
                </w:tcPr>
                <w:p w14:paraId="3FC6407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0C0954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w:t>
                  </w:r>
                </w:p>
              </w:tc>
              <w:tc>
                <w:tcPr>
                  <w:tcW w:w="644" w:type="pct"/>
                  <w:tcBorders>
                    <w:tl2br w:val="nil"/>
                    <w:tr2bl w:val="nil"/>
                  </w:tcBorders>
                  <w:vAlign w:val="center"/>
                </w:tcPr>
                <w:p w14:paraId="399223D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0E687E0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6380AE6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AB26EE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8238B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DFE14D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7C31F8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氯乙烯</w:t>
                  </w:r>
                </w:p>
              </w:tc>
              <w:tc>
                <w:tcPr>
                  <w:tcW w:w="587" w:type="pct"/>
                  <w:vMerge w:val="continue"/>
                  <w:tcBorders>
                    <w:tl2br w:val="nil"/>
                    <w:tr2bl w:val="nil"/>
                  </w:tcBorders>
                  <w:vAlign w:val="center"/>
                </w:tcPr>
                <w:p w14:paraId="7E2D302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AABFFB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430</w:t>
                  </w:r>
                </w:p>
              </w:tc>
              <w:tc>
                <w:tcPr>
                  <w:tcW w:w="644" w:type="pct"/>
                  <w:tcBorders>
                    <w:tl2br w:val="nil"/>
                    <w:tr2bl w:val="nil"/>
                  </w:tcBorders>
                  <w:vAlign w:val="center"/>
                </w:tcPr>
                <w:p w14:paraId="4E68C96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11E2B0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5E11E2C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E45F4D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31D9A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C09271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AF4397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w:t>
                  </w:r>
                </w:p>
              </w:tc>
              <w:tc>
                <w:tcPr>
                  <w:tcW w:w="587" w:type="pct"/>
                  <w:vMerge w:val="continue"/>
                  <w:tcBorders>
                    <w:tl2br w:val="nil"/>
                    <w:tr2bl w:val="nil"/>
                  </w:tcBorders>
                  <w:vAlign w:val="center"/>
                </w:tcPr>
                <w:p w14:paraId="3EBBA7E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4DD412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4000</w:t>
                  </w:r>
                </w:p>
              </w:tc>
              <w:tc>
                <w:tcPr>
                  <w:tcW w:w="644" w:type="pct"/>
                  <w:tcBorders>
                    <w:tl2br w:val="nil"/>
                    <w:tr2bl w:val="nil"/>
                  </w:tcBorders>
                  <w:vAlign w:val="center"/>
                </w:tcPr>
                <w:p w14:paraId="67F6B02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483F68F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126A949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63308D3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EAEBB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6FE644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C3F16A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氯苯</w:t>
                  </w:r>
                </w:p>
              </w:tc>
              <w:tc>
                <w:tcPr>
                  <w:tcW w:w="587" w:type="pct"/>
                  <w:vMerge w:val="continue"/>
                  <w:tcBorders>
                    <w:tl2br w:val="nil"/>
                    <w:tr2bl w:val="nil"/>
                  </w:tcBorders>
                  <w:vAlign w:val="center"/>
                </w:tcPr>
                <w:p w14:paraId="43BBE3D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932C5D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270000</w:t>
                  </w:r>
                </w:p>
              </w:tc>
              <w:tc>
                <w:tcPr>
                  <w:tcW w:w="644" w:type="pct"/>
                  <w:tcBorders>
                    <w:tl2br w:val="nil"/>
                    <w:tr2bl w:val="nil"/>
                  </w:tcBorders>
                  <w:vAlign w:val="center"/>
                </w:tcPr>
                <w:p w14:paraId="1407E47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349D97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2CD41FA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42C519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4F2213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C0F52E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8E2BEB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1,2-二氯苯</w:t>
                  </w:r>
                </w:p>
              </w:tc>
              <w:tc>
                <w:tcPr>
                  <w:tcW w:w="587" w:type="pct"/>
                  <w:vMerge w:val="continue"/>
                  <w:tcBorders>
                    <w:tl2br w:val="nil"/>
                    <w:tr2bl w:val="nil"/>
                  </w:tcBorders>
                  <w:vAlign w:val="center"/>
                </w:tcPr>
                <w:p w14:paraId="1A87039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599058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560000</w:t>
                  </w:r>
                </w:p>
              </w:tc>
              <w:tc>
                <w:tcPr>
                  <w:tcW w:w="644" w:type="pct"/>
                  <w:tcBorders>
                    <w:tl2br w:val="nil"/>
                    <w:tr2bl w:val="nil"/>
                  </w:tcBorders>
                  <w:vAlign w:val="center"/>
                </w:tcPr>
                <w:p w14:paraId="7958E09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4AAD95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0384292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00A280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F3A7E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601381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0DD091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1,4-二氯苯</w:t>
                  </w:r>
                </w:p>
              </w:tc>
              <w:tc>
                <w:tcPr>
                  <w:tcW w:w="587" w:type="pct"/>
                  <w:vMerge w:val="continue"/>
                  <w:tcBorders>
                    <w:tl2br w:val="nil"/>
                    <w:tr2bl w:val="nil"/>
                  </w:tcBorders>
                  <w:vAlign w:val="center"/>
                </w:tcPr>
                <w:p w14:paraId="7722584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1A66F20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20000</w:t>
                  </w:r>
                </w:p>
              </w:tc>
              <w:tc>
                <w:tcPr>
                  <w:tcW w:w="644" w:type="pct"/>
                  <w:tcBorders>
                    <w:tl2br w:val="nil"/>
                    <w:tr2bl w:val="nil"/>
                  </w:tcBorders>
                  <w:vAlign w:val="center"/>
                </w:tcPr>
                <w:p w14:paraId="7B46ECF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20B41FF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1DF91F7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826EFE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4B62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0AD043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55F413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乙苯</w:t>
                  </w:r>
                </w:p>
              </w:tc>
              <w:tc>
                <w:tcPr>
                  <w:tcW w:w="587" w:type="pct"/>
                  <w:vMerge w:val="continue"/>
                  <w:tcBorders>
                    <w:tl2br w:val="nil"/>
                    <w:tr2bl w:val="nil"/>
                  </w:tcBorders>
                  <w:vAlign w:val="center"/>
                </w:tcPr>
                <w:p w14:paraId="768FCDD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0D020B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28000</w:t>
                  </w:r>
                </w:p>
              </w:tc>
              <w:tc>
                <w:tcPr>
                  <w:tcW w:w="644" w:type="pct"/>
                  <w:tcBorders>
                    <w:tl2br w:val="nil"/>
                    <w:tr2bl w:val="nil"/>
                  </w:tcBorders>
                  <w:vAlign w:val="center"/>
                </w:tcPr>
                <w:p w14:paraId="1102829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492B62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732E745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64C0DA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9FFDC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C2E2A0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7323F5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苯乙烯</w:t>
                  </w:r>
                </w:p>
              </w:tc>
              <w:tc>
                <w:tcPr>
                  <w:tcW w:w="587" w:type="pct"/>
                  <w:vMerge w:val="continue"/>
                  <w:tcBorders>
                    <w:tl2br w:val="nil"/>
                    <w:tr2bl w:val="nil"/>
                  </w:tcBorders>
                  <w:vAlign w:val="center"/>
                </w:tcPr>
                <w:p w14:paraId="69CC3B5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D22AD0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1290000</w:t>
                  </w:r>
                </w:p>
              </w:tc>
              <w:tc>
                <w:tcPr>
                  <w:tcW w:w="644" w:type="pct"/>
                  <w:tcBorders>
                    <w:tl2br w:val="nil"/>
                    <w:tr2bl w:val="nil"/>
                  </w:tcBorders>
                  <w:vAlign w:val="center"/>
                </w:tcPr>
                <w:p w14:paraId="2223906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1C441E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＜1.1×10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2CDD1E9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681C62D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F207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30EBA2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0CAC1C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甲苯</w:t>
                  </w:r>
                </w:p>
              </w:tc>
              <w:tc>
                <w:tcPr>
                  <w:tcW w:w="587" w:type="pct"/>
                  <w:vMerge w:val="continue"/>
                  <w:tcBorders>
                    <w:tl2br w:val="nil"/>
                    <w:tr2bl w:val="nil"/>
                  </w:tcBorders>
                  <w:vAlign w:val="center"/>
                </w:tcPr>
                <w:p w14:paraId="09C826C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A1B581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12000000</w:t>
                  </w:r>
                </w:p>
              </w:tc>
              <w:tc>
                <w:tcPr>
                  <w:tcW w:w="644" w:type="pct"/>
                  <w:tcBorders>
                    <w:tl2br w:val="nil"/>
                    <w:tr2bl w:val="nil"/>
                  </w:tcBorders>
                  <w:vAlign w:val="center"/>
                </w:tcPr>
                <w:p w14:paraId="2BD1DFF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57A9A8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684C5D1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3F9B41B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495DC4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070F62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ABBB15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对/间二甲苯</w:t>
                  </w:r>
                </w:p>
              </w:tc>
              <w:tc>
                <w:tcPr>
                  <w:tcW w:w="587" w:type="pct"/>
                  <w:vMerge w:val="continue"/>
                  <w:tcBorders>
                    <w:tl2br w:val="nil"/>
                    <w:tr2bl w:val="nil"/>
                  </w:tcBorders>
                  <w:vAlign w:val="center"/>
                </w:tcPr>
                <w:p w14:paraId="779A02A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899BB5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570000</w:t>
                  </w:r>
                </w:p>
              </w:tc>
              <w:tc>
                <w:tcPr>
                  <w:tcW w:w="644" w:type="pct"/>
                  <w:tcBorders>
                    <w:tl2br w:val="nil"/>
                    <w:tr2bl w:val="nil"/>
                  </w:tcBorders>
                  <w:vAlign w:val="center"/>
                </w:tcPr>
                <w:p w14:paraId="0ADBBF5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245AB51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130B8C5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53448E0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B5931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0D24024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5265B7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邻二甲苯</w:t>
                  </w:r>
                </w:p>
              </w:tc>
              <w:tc>
                <w:tcPr>
                  <w:tcW w:w="587" w:type="pct"/>
                  <w:vMerge w:val="continue"/>
                  <w:tcBorders>
                    <w:tl2br w:val="nil"/>
                    <w:tr2bl w:val="nil"/>
                  </w:tcBorders>
                  <w:vAlign w:val="center"/>
                </w:tcPr>
                <w:p w14:paraId="392561F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2CDA04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640000</w:t>
                  </w:r>
                </w:p>
              </w:tc>
              <w:tc>
                <w:tcPr>
                  <w:tcW w:w="644" w:type="pct"/>
                  <w:tcBorders>
                    <w:tl2br w:val="nil"/>
                    <w:tr2bl w:val="nil"/>
                  </w:tcBorders>
                  <w:vAlign w:val="center"/>
                </w:tcPr>
                <w:p w14:paraId="568A532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F68565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＜1.2×10</w:t>
                  </w:r>
                  <w:r>
                    <w:rPr>
                      <w:rFonts w:hint="default" w:ascii="Times New Roman" w:hAnsi="Times New Roman" w:eastAsia="宋体" w:cs="Times New Roman"/>
                      <w:color w:val="auto"/>
                      <w:sz w:val="21"/>
                      <w:szCs w:val="21"/>
                      <w:highlight w:val="none"/>
                      <w:vertAlign w:val="superscript"/>
                    </w:rPr>
                    <w:t>-3</w:t>
                  </w:r>
                </w:p>
              </w:tc>
              <w:tc>
                <w:tcPr>
                  <w:tcW w:w="683" w:type="pct"/>
                  <w:tcBorders>
                    <w:tl2br w:val="nil"/>
                    <w:tr2bl w:val="nil"/>
                  </w:tcBorders>
                  <w:vAlign w:val="center"/>
                </w:tcPr>
                <w:p w14:paraId="4169968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57314AC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AB38A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79A437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CF55A5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硝基苯</w:t>
                  </w:r>
                </w:p>
              </w:tc>
              <w:tc>
                <w:tcPr>
                  <w:tcW w:w="587" w:type="pct"/>
                  <w:vMerge w:val="continue"/>
                  <w:tcBorders>
                    <w:tl2br w:val="nil"/>
                    <w:tr2bl w:val="nil"/>
                  </w:tcBorders>
                  <w:vAlign w:val="center"/>
                </w:tcPr>
                <w:p w14:paraId="5F9331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F0994D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76</w:t>
                  </w:r>
                </w:p>
              </w:tc>
              <w:tc>
                <w:tcPr>
                  <w:tcW w:w="644" w:type="pct"/>
                  <w:tcBorders>
                    <w:tl2br w:val="nil"/>
                    <w:tr2bl w:val="nil"/>
                  </w:tcBorders>
                  <w:vAlign w:val="center"/>
                </w:tcPr>
                <w:p w14:paraId="439718B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3CF4151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＜0.09</w:t>
                  </w:r>
                </w:p>
              </w:tc>
              <w:tc>
                <w:tcPr>
                  <w:tcW w:w="683" w:type="pct"/>
                  <w:tcBorders>
                    <w:tl2br w:val="nil"/>
                    <w:tr2bl w:val="nil"/>
                  </w:tcBorders>
                  <w:vAlign w:val="center"/>
                </w:tcPr>
                <w:p w14:paraId="362FB7E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4159E6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5AD1B6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9FC647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095D1AC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苯胺</w:t>
                  </w:r>
                </w:p>
              </w:tc>
              <w:tc>
                <w:tcPr>
                  <w:tcW w:w="587" w:type="pct"/>
                  <w:vMerge w:val="continue"/>
                  <w:tcBorders>
                    <w:tl2br w:val="nil"/>
                    <w:tr2bl w:val="nil"/>
                  </w:tcBorders>
                  <w:vAlign w:val="center"/>
                </w:tcPr>
                <w:p w14:paraId="673BBA0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D12641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260</w:t>
                  </w:r>
                </w:p>
              </w:tc>
              <w:tc>
                <w:tcPr>
                  <w:tcW w:w="644" w:type="pct"/>
                  <w:tcBorders>
                    <w:tl2br w:val="nil"/>
                    <w:tr2bl w:val="nil"/>
                  </w:tcBorders>
                  <w:vAlign w:val="center"/>
                </w:tcPr>
                <w:p w14:paraId="19F7992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4FC4BA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34180A9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1BF2552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11BD6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C56D1C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878D09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2-氯酚</w:t>
                  </w:r>
                </w:p>
              </w:tc>
              <w:tc>
                <w:tcPr>
                  <w:tcW w:w="587" w:type="pct"/>
                  <w:vMerge w:val="continue"/>
                  <w:tcBorders>
                    <w:tl2br w:val="nil"/>
                    <w:tr2bl w:val="nil"/>
                  </w:tcBorders>
                  <w:vAlign w:val="center"/>
                </w:tcPr>
                <w:p w14:paraId="2754B2D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49DA71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2256</w:t>
                  </w:r>
                </w:p>
              </w:tc>
              <w:tc>
                <w:tcPr>
                  <w:tcW w:w="644" w:type="pct"/>
                  <w:tcBorders>
                    <w:tl2br w:val="nil"/>
                    <w:tr2bl w:val="nil"/>
                  </w:tcBorders>
                  <w:vAlign w:val="center"/>
                </w:tcPr>
                <w:p w14:paraId="6641881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526928B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w:t>
                  </w:r>
                </w:p>
              </w:tc>
              <w:tc>
                <w:tcPr>
                  <w:tcW w:w="683" w:type="pct"/>
                  <w:tcBorders>
                    <w:tl2br w:val="nil"/>
                    <w:tr2bl w:val="nil"/>
                  </w:tcBorders>
                  <w:vAlign w:val="center"/>
                </w:tcPr>
                <w:p w14:paraId="56CAE80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1EF5BD5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5B116C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6E2168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AE813A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苯并【a】蒽</w:t>
                  </w:r>
                </w:p>
              </w:tc>
              <w:tc>
                <w:tcPr>
                  <w:tcW w:w="587" w:type="pct"/>
                  <w:vMerge w:val="continue"/>
                  <w:tcBorders>
                    <w:tl2br w:val="nil"/>
                    <w:tr2bl w:val="nil"/>
                  </w:tcBorders>
                  <w:vAlign w:val="center"/>
                </w:tcPr>
                <w:p w14:paraId="3BC8BBF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B39685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44" w:type="pct"/>
                  <w:tcBorders>
                    <w:tl2br w:val="nil"/>
                    <w:tr2bl w:val="nil"/>
                  </w:tcBorders>
                  <w:vAlign w:val="center"/>
                </w:tcPr>
                <w:p w14:paraId="02F3630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7D2F5A4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17FF654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1E7AA7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2FACA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F973EA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6D85594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苯并【a】芘</w:t>
                  </w:r>
                </w:p>
              </w:tc>
              <w:tc>
                <w:tcPr>
                  <w:tcW w:w="587" w:type="pct"/>
                  <w:vMerge w:val="continue"/>
                  <w:tcBorders>
                    <w:tl2br w:val="nil"/>
                    <w:tr2bl w:val="nil"/>
                  </w:tcBorders>
                  <w:vAlign w:val="center"/>
                </w:tcPr>
                <w:p w14:paraId="72B2C7C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011CAC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44" w:type="pct"/>
                  <w:tcBorders>
                    <w:tl2br w:val="nil"/>
                    <w:tr2bl w:val="nil"/>
                  </w:tcBorders>
                  <w:vAlign w:val="center"/>
                </w:tcPr>
                <w:p w14:paraId="308F02A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5E689A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095CB3F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1FC0779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039A78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88B07F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40A292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苯并【b】荧蒽</w:t>
                  </w:r>
                </w:p>
              </w:tc>
              <w:tc>
                <w:tcPr>
                  <w:tcW w:w="587" w:type="pct"/>
                  <w:vMerge w:val="continue"/>
                  <w:tcBorders>
                    <w:tl2br w:val="nil"/>
                    <w:tr2bl w:val="nil"/>
                  </w:tcBorders>
                  <w:vAlign w:val="center"/>
                </w:tcPr>
                <w:p w14:paraId="378287C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BD9420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44" w:type="pct"/>
                  <w:tcBorders>
                    <w:tl2br w:val="nil"/>
                    <w:tr2bl w:val="nil"/>
                  </w:tcBorders>
                  <w:vAlign w:val="center"/>
                </w:tcPr>
                <w:p w14:paraId="1BEF798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002D8DB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＜0.2</w:t>
                  </w:r>
                </w:p>
              </w:tc>
              <w:tc>
                <w:tcPr>
                  <w:tcW w:w="683" w:type="pct"/>
                  <w:tcBorders>
                    <w:tl2br w:val="nil"/>
                    <w:tr2bl w:val="nil"/>
                  </w:tcBorders>
                  <w:vAlign w:val="center"/>
                </w:tcPr>
                <w:p w14:paraId="7C04EB3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5619043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3266C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1E261F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E552CB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苯并【k】荧蒽</w:t>
                  </w:r>
                </w:p>
              </w:tc>
              <w:tc>
                <w:tcPr>
                  <w:tcW w:w="587" w:type="pct"/>
                  <w:vMerge w:val="continue"/>
                  <w:tcBorders>
                    <w:tl2br w:val="nil"/>
                    <w:tr2bl w:val="nil"/>
                  </w:tcBorders>
                  <w:vAlign w:val="center"/>
                </w:tcPr>
                <w:p w14:paraId="6A26FAD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0FBE08D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151</w:t>
                  </w:r>
                </w:p>
              </w:tc>
              <w:tc>
                <w:tcPr>
                  <w:tcW w:w="644" w:type="pct"/>
                  <w:tcBorders>
                    <w:tl2br w:val="nil"/>
                    <w:tr2bl w:val="nil"/>
                  </w:tcBorders>
                  <w:vAlign w:val="center"/>
                </w:tcPr>
                <w:p w14:paraId="3439092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7E1767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328A590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1F28F2F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DC38F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9E7D2E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AFFFC0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䓛</w:t>
                  </w:r>
                </w:p>
              </w:tc>
              <w:tc>
                <w:tcPr>
                  <w:tcW w:w="587" w:type="pct"/>
                  <w:vMerge w:val="continue"/>
                  <w:tcBorders>
                    <w:tl2br w:val="nil"/>
                    <w:tr2bl w:val="nil"/>
                  </w:tcBorders>
                  <w:vAlign w:val="center"/>
                </w:tcPr>
                <w:p w14:paraId="5A675A0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4BDB4F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1293</w:t>
                  </w:r>
                </w:p>
              </w:tc>
              <w:tc>
                <w:tcPr>
                  <w:tcW w:w="644" w:type="pct"/>
                  <w:tcBorders>
                    <w:tl2br w:val="nil"/>
                    <w:tr2bl w:val="nil"/>
                  </w:tcBorders>
                  <w:vAlign w:val="center"/>
                </w:tcPr>
                <w:p w14:paraId="58C6629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B66A1A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2EA5E76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766EE5A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2756F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A4A4FE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74584D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二苯并【a、h】蒽</w:t>
                  </w:r>
                </w:p>
              </w:tc>
              <w:tc>
                <w:tcPr>
                  <w:tcW w:w="587" w:type="pct"/>
                  <w:vMerge w:val="continue"/>
                  <w:tcBorders>
                    <w:tl2br w:val="nil"/>
                    <w:tr2bl w:val="nil"/>
                  </w:tcBorders>
                  <w:vAlign w:val="center"/>
                </w:tcPr>
                <w:p w14:paraId="55CE30C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45EABC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44" w:type="pct"/>
                  <w:tcBorders>
                    <w:tl2br w:val="nil"/>
                    <w:tr2bl w:val="nil"/>
                  </w:tcBorders>
                  <w:vAlign w:val="center"/>
                </w:tcPr>
                <w:p w14:paraId="42BB45B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6EED318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2CA56CD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076FE49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DFAB2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09AC49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7411FD5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茚并【1,2,3-cd】芘</w:t>
                  </w:r>
                </w:p>
              </w:tc>
              <w:tc>
                <w:tcPr>
                  <w:tcW w:w="587" w:type="pct"/>
                  <w:vMerge w:val="continue"/>
                  <w:tcBorders>
                    <w:tl2br w:val="nil"/>
                    <w:tr2bl w:val="nil"/>
                  </w:tcBorders>
                  <w:vAlign w:val="center"/>
                </w:tcPr>
                <w:p w14:paraId="54AFA4D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4D2E438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15</w:t>
                  </w:r>
                </w:p>
              </w:tc>
              <w:tc>
                <w:tcPr>
                  <w:tcW w:w="644" w:type="pct"/>
                  <w:tcBorders>
                    <w:tl2br w:val="nil"/>
                    <w:tr2bl w:val="nil"/>
                  </w:tcBorders>
                  <w:vAlign w:val="center"/>
                </w:tcPr>
                <w:p w14:paraId="55A34CB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10659F8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＜0.1</w:t>
                  </w:r>
                </w:p>
              </w:tc>
              <w:tc>
                <w:tcPr>
                  <w:tcW w:w="683" w:type="pct"/>
                  <w:tcBorders>
                    <w:tl2br w:val="nil"/>
                    <w:tr2bl w:val="nil"/>
                  </w:tcBorders>
                  <w:vAlign w:val="center"/>
                </w:tcPr>
                <w:p w14:paraId="3594B5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4278CC6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E26C1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13AF0C7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31773E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萘</w:t>
                  </w:r>
                </w:p>
              </w:tc>
              <w:tc>
                <w:tcPr>
                  <w:tcW w:w="587" w:type="pct"/>
                  <w:vMerge w:val="continue"/>
                  <w:tcBorders>
                    <w:tl2br w:val="nil"/>
                    <w:tr2bl w:val="nil"/>
                  </w:tcBorders>
                  <w:vAlign w:val="center"/>
                </w:tcPr>
                <w:p w14:paraId="72C6F8F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965086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c>
                <w:tcPr>
                  <w:tcW w:w="644" w:type="pct"/>
                  <w:tcBorders>
                    <w:tl2br w:val="nil"/>
                    <w:tr2bl w:val="nil"/>
                  </w:tcBorders>
                  <w:vAlign w:val="center"/>
                </w:tcPr>
                <w:p w14:paraId="5700D03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μg/kg</w:t>
                  </w:r>
                </w:p>
              </w:tc>
              <w:tc>
                <w:tcPr>
                  <w:tcW w:w="755" w:type="pct"/>
                  <w:tcBorders>
                    <w:tl2br w:val="nil"/>
                    <w:tr2bl w:val="nil"/>
                  </w:tcBorders>
                  <w:vAlign w:val="center"/>
                </w:tcPr>
                <w:p w14:paraId="271AC06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bookmarkStart w:id="402" w:name="OLE_LINK153"/>
                  <w:r>
                    <w:rPr>
                      <w:rFonts w:hint="default" w:ascii="Times New Roman" w:hAnsi="Times New Roman" w:eastAsia="宋体" w:cs="Times New Roman"/>
                      <w:color w:val="auto"/>
                      <w:sz w:val="21"/>
                      <w:szCs w:val="21"/>
                      <w:highlight w:val="none"/>
                    </w:rPr>
                    <w:t>＜</w:t>
                  </w:r>
                  <w:bookmarkEnd w:id="402"/>
                  <w:r>
                    <w:rPr>
                      <w:rFonts w:hint="default" w:ascii="Times New Roman" w:hAnsi="Times New Roman" w:eastAsia="宋体" w:cs="Times New Roman"/>
                      <w:color w:val="auto"/>
                      <w:sz w:val="21"/>
                      <w:szCs w:val="21"/>
                      <w:highlight w:val="none"/>
                    </w:rPr>
                    <w:t>0.09</w:t>
                  </w:r>
                </w:p>
              </w:tc>
              <w:tc>
                <w:tcPr>
                  <w:tcW w:w="683" w:type="pct"/>
                  <w:tcBorders>
                    <w:tl2br w:val="nil"/>
                    <w:tr2bl w:val="nil"/>
                  </w:tcBorders>
                  <w:vAlign w:val="center"/>
                </w:tcPr>
                <w:p w14:paraId="0B49324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67F9A62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5E2CF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407BA1E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10AC51B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锰</w:t>
                  </w:r>
                </w:p>
              </w:tc>
              <w:tc>
                <w:tcPr>
                  <w:tcW w:w="587" w:type="pct"/>
                  <w:vMerge w:val="continue"/>
                  <w:tcBorders>
                    <w:tl2br w:val="nil"/>
                    <w:tr2bl w:val="nil"/>
                  </w:tcBorders>
                  <w:vAlign w:val="center"/>
                </w:tcPr>
                <w:p w14:paraId="363DC1C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26BCEF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10000</w:t>
                  </w:r>
                </w:p>
              </w:tc>
              <w:tc>
                <w:tcPr>
                  <w:tcW w:w="644" w:type="pct"/>
                  <w:tcBorders>
                    <w:tl2br w:val="nil"/>
                    <w:tr2bl w:val="nil"/>
                  </w:tcBorders>
                  <w:vAlign w:val="center"/>
                </w:tcPr>
                <w:p w14:paraId="054E6D6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1273203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364</w:t>
                  </w:r>
                </w:p>
              </w:tc>
              <w:tc>
                <w:tcPr>
                  <w:tcW w:w="683" w:type="pct"/>
                  <w:tcBorders>
                    <w:tl2br w:val="nil"/>
                    <w:tr2bl w:val="nil"/>
                  </w:tcBorders>
                  <w:vAlign w:val="center"/>
                </w:tcPr>
                <w:p w14:paraId="58EF313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0.036</w:t>
                  </w:r>
                </w:p>
              </w:tc>
              <w:tc>
                <w:tcPr>
                  <w:tcW w:w="397" w:type="pct"/>
                  <w:vMerge w:val="continue"/>
                  <w:tcBorders>
                    <w:tl2br w:val="nil"/>
                    <w:tr2bl w:val="nil"/>
                  </w:tcBorders>
                  <w:vAlign w:val="center"/>
                </w:tcPr>
                <w:p w14:paraId="7C068B5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618DC7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C2381E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043F182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钴</w:t>
                  </w:r>
                </w:p>
              </w:tc>
              <w:tc>
                <w:tcPr>
                  <w:tcW w:w="587" w:type="pct"/>
                  <w:vMerge w:val="continue"/>
                  <w:tcBorders>
                    <w:tl2br w:val="nil"/>
                    <w:tr2bl w:val="nil"/>
                  </w:tcBorders>
                  <w:vAlign w:val="center"/>
                </w:tcPr>
                <w:p w14:paraId="2ABDFD7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178EE2D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70</w:t>
                  </w:r>
                </w:p>
              </w:tc>
              <w:tc>
                <w:tcPr>
                  <w:tcW w:w="644" w:type="pct"/>
                  <w:tcBorders>
                    <w:tl2br w:val="nil"/>
                    <w:tr2bl w:val="nil"/>
                  </w:tcBorders>
                  <w:vAlign w:val="center"/>
                </w:tcPr>
                <w:p w14:paraId="37AA15C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52D60D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59.8</w:t>
                  </w:r>
                </w:p>
              </w:tc>
              <w:tc>
                <w:tcPr>
                  <w:tcW w:w="683" w:type="pct"/>
                  <w:tcBorders>
                    <w:tl2br w:val="nil"/>
                    <w:tr2bl w:val="nil"/>
                  </w:tcBorders>
                  <w:vAlign w:val="center"/>
                </w:tcPr>
                <w:p w14:paraId="536C19A0">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0.85</w:t>
                  </w:r>
                </w:p>
              </w:tc>
              <w:tc>
                <w:tcPr>
                  <w:tcW w:w="397" w:type="pct"/>
                  <w:vMerge w:val="continue"/>
                  <w:tcBorders>
                    <w:tl2br w:val="nil"/>
                    <w:tr2bl w:val="nil"/>
                  </w:tcBorders>
                  <w:vAlign w:val="center"/>
                </w:tcPr>
                <w:p w14:paraId="753551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D2ACE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4229436">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F00161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锑</w:t>
                  </w:r>
                </w:p>
              </w:tc>
              <w:tc>
                <w:tcPr>
                  <w:tcW w:w="587" w:type="pct"/>
                  <w:vMerge w:val="continue"/>
                  <w:tcBorders>
                    <w:tl2br w:val="nil"/>
                    <w:tr2bl w:val="nil"/>
                  </w:tcBorders>
                  <w:vAlign w:val="center"/>
                </w:tcPr>
                <w:p w14:paraId="728E33A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6EDDA96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180</w:t>
                  </w:r>
                </w:p>
              </w:tc>
              <w:tc>
                <w:tcPr>
                  <w:tcW w:w="644" w:type="pct"/>
                  <w:tcBorders>
                    <w:tl2br w:val="nil"/>
                    <w:tr2bl w:val="nil"/>
                  </w:tcBorders>
                  <w:vAlign w:val="center"/>
                </w:tcPr>
                <w:p w14:paraId="4FDF82E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E402003">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1.8</w:t>
                  </w:r>
                </w:p>
              </w:tc>
              <w:tc>
                <w:tcPr>
                  <w:tcW w:w="683" w:type="pct"/>
                  <w:tcBorders>
                    <w:tl2br w:val="nil"/>
                    <w:tr2bl w:val="nil"/>
                  </w:tcBorders>
                  <w:vAlign w:val="center"/>
                </w:tcPr>
                <w:p w14:paraId="7D5168A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0.01</w:t>
                  </w:r>
                </w:p>
              </w:tc>
              <w:tc>
                <w:tcPr>
                  <w:tcW w:w="397" w:type="pct"/>
                  <w:vMerge w:val="continue"/>
                  <w:tcBorders>
                    <w:tl2br w:val="nil"/>
                    <w:tr2bl w:val="nil"/>
                  </w:tcBorders>
                  <w:vAlign w:val="center"/>
                </w:tcPr>
                <w:p w14:paraId="0F8A8E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C6E5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45A52C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203A004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铊</w:t>
                  </w:r>
                </w:p>
              </w:tc>
              <w:tc>
                <w:tcPr>
                  <w:tcW w:w="587" w:type="pct"/>
                  <w:vMerge w:val="continue"/>
                  <w:tcBorders>
                    <w:tl2br w:val="nil"/>
                    <w:tr2bl w:val="nil"/>
                  </w:tcBorders>
                  <w:vAlign w:val="center"/>
                </w:tcPr>
                <w:p w14:paraId="70B7E43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2F0C398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1.6</w:t>
                  </w:r>
                </w:p>
              </w:tc>
              <w:tc>
                <w:tcPr>
                  <w:tcW w:w="644" w:type="pct"/>
                  <w:tcBorders>
                    <w:tl2br w:val="nil"/>
                    <w:tr2bl w:val="nil"/>
                  </w:tcBorders>
                  <w:vAlign w:val="center"/>
                </w:tcPr>
                <w:p w14:paraId="0E08137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68638C6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0.68</w:t>
                  </w:r>
                </w:p>
              </w:tc>
              <w:tc>
                <w:tcPr>
                  <w:tcW w:w="683" w:type="pct"/>
                  <w:tcBorders>
                    <w:tl2br w:val="nil"/>
                    <w:tr2bl w:val="nil"/>
                  </w:tcBorders>
                  <w:vAlign w:val="center"/>
                </w:tcPr>
                <w:p w14:paraId="199D2E0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0.425</w:t>
                  </w:r>
                </w:p>
              </w:tc>
              <w:tc>
                <w:tcPr>
                  <w:tcW w:w="397" w:type="pct"/>
                  <w:vMerge w:val="continue"/>
                  <w:tcBorders>
                    <w:tl2br w:val="nil"/>
                    <w:tr2bl w:val="nil"/>
                  </w:tcBorders>
                  <w:vAlign w:val="center"/>
                </w:tcPr>
                <w:p w14:paraId="5D4BF56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CF497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60E2F39F">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6FCA0A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总铬</w:t>
                  </w:r>
                </w:p>
              </w:tc>
              <w:tc>
                <w:tcPr>
                  <w:tcW w:w="587" w:type="pct"/>
                  <w:vMerge w:val="continue"/>
                  <w:tcBorders>
                    <w:tl2br w:val="nil"/>
                    <w:tr2bl w:val="nil"/>
                  </w:tcBorders>
                  <w:vAlign w:val="center"/>
                </w:tcPr>
                <w:p w14:paraId="18082AE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7A670F0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644" w:type="pct"/>
                  <w:tcBorders>
                    <w:tl2br w:val="nil"/>
                    <w:tr2bl w:val="nil"/>
                  </w:tcBorders>
                  <w:vAlign w:val="center"/>
                </w:tcPr>
                <w:p w14:paraId="7FC2B9A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0880A42D">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294</w:t>
                  </w:r>
                </w:p>
              </w:tc>
              <w:tc>
                <w:tcPr>
                  <w:tcW w:w="683" w:type="pct"/>
                  <w:tcBorders>
                    <w:tl2br w:val="nil"/>
                    <w:tr2bl w:val="nil"/>
                  </w:tcBorders>
                  <w:vAlign w:val="center"/>
                </w:tcPr>
                <w:p w14:paraId="6AF725D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w:t>
                  </w:r>
                </w:p>
              </w:tc>
              <w:tc>
                <w:tcPr>
                  <w:tcW w:w="397" w:type="pct"/>
                  <w:vMerge w:val="continue"/>
                  <w:tcBorders>
                    <w:tl2br w:val="nil"/>
                    <w:tr2bl w:val="nil"/>
                  </w:tcBorders>
                  <w:vAlign w:val="center"/>
                </w:tcPr>
                <w:p w14:paraId="3770A59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26A66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365C6E2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68D6B0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铍</w:t>
                  </w:r>
                </w:p>
              </w:tc>
              <w:tc>
                <w:tcPr>
                  <w:tcW w:w="587" w:type="pct"/>
                  <w:vMerge w:val="continue"/>
                  <w:tcBorders>
                    <w:tl2br w:val="nil"/>
                    <w:tr2bl w:val="nil"/>
                  </w:tcBorders>
                  <w:vAlign w:val="center"/>
                </w:tcPr>
                <w:p w14:paraId="35757757">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25DD5F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29</w:t>
                  </w:r>
                </w:p>
              </w:tc>
              <w:tc>
                <w:tcPr>
                  <w:tcW w:w="644" w:type="pct"/>
                  <w:tcBorders>
                    <w:tl2br w:val="nil"/>
                    <w:tr2bl w:val="nil"/>
                  </w:tcBorders>
                  <w:vAlign w:val="center"/>
                </w:tcPr>
                <w:p w14:paraId="110524F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35E8C6E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1.98</w:t>
                  </w:r>
                </w:p>
              </w:tc>
              <w:tc>
                <w:tcPr>
                  <w:tcW w:w="683" w:type="pct"/>
                  <w:tcBorders>
                    <w:tl2br w:val="nil"/>
                    <w:tr2bl w:val="nil"/>
                  </w:tcBorders>
                  <w:vAlign w:val="center"/>
                </w:tcPr>
                <w:p w14:paraId="42FE906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0.069</w:t>
                  </w:r>
                </w:p>
              </w:tc>
              <w:tc>
                <w:tcPr>
                  <w:tcW w:w="397" w:type="pct"/>
                  <w:vMerge w:val="continue"/>
                  <w:tcBorders>
                    <w:tl2br w:val="nil"/>
                    <w:tr2bl w:val="nil"/>
                  </w:tcBorders>
                  <w:vAlign w:val="center"/>
                </w:tcPr>
                <w:p w14:paraId="0E6ACDE5">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71AF7B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2F93CA7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3E066CA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锌</w:t>
                  </w:r>
                </w:p>
              </w:tc>
              <w:tc>
                <w:tcPr>
                  <w:tcW w:w="587" w:type="pct"/>
                  <w:vMerge w:val="continue"/>
                  <w:tcBorders>
                    <w:tl2br w:val="nil"/>
                    <w:tr2bl w:val="nil"/>
                  </w:tcBorders>
                  <w:vAlign w:val="center"/>
                </w:tcPr>
                <w:p w14:paraId="5731348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A535C4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10000</w:t>
                  </w:r>
                </w:p>
              </w:tc>
              <w:tc>
                <w:tcPr>
                  <w:tcW w:w="644" w:type="pct"/>
                  <w:tcBorders>
                    <w:tl2br w:val="nil"/>
                    <w:tr2bl w:val="nil"/>
                  </w:tcBorders>
                  <w:vAlign w:val="center"/>
                </w:tcPr>
                <w:p w14:paraId="2EFDF36C">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7D3FC248">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79</w:t>
                  </w:r>
                </w:p>
              </w:tc>
              <w:tc>
                <w:tcPr>
                  <w:tcW w:w="683" w:type="pct"/>
                  <w:tcBorders>
                    <w:tl2br w:val="nil"/>
                    <w:tr2bl w:val="nil"/>
                  </w:tcBorders>
                  <w:vAlign w:val="center"/>
                </w:tcPr>
                <w:p w14:paraId="5615455E">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0.0079</w:t>
                  </w:r>
                </w:p>
              </w:tc>
              <w:tc>
                <w:tcPr>
                  <w:tcW w:w="397" w:type="pct"/>
                  <w:vMerge w:val="continue"/>
                  <w:tcBorders>
                    <w:tl2br w:val="nil"/>
                    <w:tr2bl w:val="nil"/>
                  </w:tcBorders>
                  <w:vAlign w:val="center"/>
                </w:tcPr>
                <w:p w14:paraId="0AECF5AB">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r w14:paraId="17C010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374" w:type="pct"/>
                  <w:vMerge w:val="continue"/>
                  <w:tcBorders>
                    <w:tl2br w:val="nil"/>
                    <w:tr2bl w:val="nil"/>
                  </w:tcBorders>
                  <w:vAlign w:val="center"/>
                </w:tcPr>
                <w:p w14:paraId="77D34E3A">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1023" w:type="pct"/>
                  <w:tcBorders>
                    <w:tl2br w:val="nil"/>
                    <w:tr2bl w:val="nil"/>
                  </w:tcBorders>
                  <w:vAlign w:val="center"/>
                </w:tcPr>
                <w:p w14:paraId="487591A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氟化物</w:t>
                  </w:r>
                </w:p>
              </w:tc>
              <w:tc>
                <w:tcPr>
                  <w:tcW w:w="587" w:type="pct"/>
                  <w:vMerge w:val="continue"/>
                  <w:tcBorders>
                    <w:tl2br w:val="nil"/>
                    <w:tr2bl w:val="nil"/>
                  </w:tcBorders>
                  <w:vAlign w:val="center"/>
                </w:tcPr>
                <w:p w14:paraId="0377964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c>
                <w:tcPr>
                  <w:tcW w:w="534" w:type="pct"/>
                  <w:tcBorders>
                    <w:tl2br w:val="nil"/>
                    <w:tr2bl w:val="nil"/>
                  </w:tcBorders>
                  <w:vAlign w:val="center"/>
                </w:tcPr>
                <w:p w14:paraId="5B874524">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5938</w:t>
                  </w:r>
                </w:p>
              </w:tc>
              <w:tc>
                <w:tcPr>
                  <w:tcW w:w="644" w:type="pct"/>
                  <w:tcBorders>
                    <w:tl2br w:val="nil"/>
                    <w:tr2bl w:val="nil"/>
                  </w:tcBorders>
                  <w:vAlign w:val="center"/>
                </w:tcPr>
                <w:p w14:paraId="6F272D0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mg/kg</w:t>
                  </w:r>
                </w:p>
              </w:tc>
              <w:tc>
                <w:tcPr>
                  <w:tcW w:w="755" w:type="pct"/>
                  <w:tcBorders>
                    <w:tl2br w:val="nil"/>
                    <w:tr2bl w:val="nil"/>
                  </w:tcBorders>
                  <w:vAlign w:val="center"/>
                </w:tcPr>
                <w:p w14:paraId="10D84202">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500</w:t>
                  </w:r>
                </w:p>
              </w:tc>
              <w:tc>
                <w:tcPr>
                  <w:tcW w:w="683" w:type="pct"/>
                  <w:tcBorders>
                    <w:tl2br w:val="nil"/>
                    <w:tr2bl w:val="nil"/>
                  </w:tcBorders>
                  <w:vAlign w:val="center"/>
                </w:tcPr>
                <w:p w14:paraId="788BA251">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0.084</w:t>
                  </w:r>
                </w:p>
              </w:tc>
              <w:tc>
                <w:tcPr>
                  <w:tcW w:w="397" w:type="pct"/>
                  <w:vMerge w:val="continue"/>
                  <w:tcBorders>
                    <w:tl2br w:val="nil"/>
                    <w:tr2bl w:val="nil"/>
                  </w:tcBorders>
                  <w:vAlign w:val="center"/>
                </w:tcPr>
                <w:p w14:paraId="27A72349">
                  <w:pPr>
                    <w:pStyle w:val="43"/>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textAlignment w:val="auto"/>
                    <w:rPr>
                      <w:rFonts w:hint="default" w:ascii="Times New Roman" w:hAnsi="Times New Roman" w:eastAsia="宋体" w:cs="Times New Roman"/>
                      <w:color w:val="auto"/>
                      <w:sz w:val="21"/>
                      <w:szCs w:val="21"/>
                      <w:highlight w:val="none"/>
                    </w:rPr>
                  </w:pPr>
                </w:p>
              </w:tc>
            </w:tr>
          </w:tbl>
          <w:p w14:paraId="1955776F">
            <w:pPr>
              <w:pStyle w:val="11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textAlignment w:val="auto"/>
              <w:rPr>
                <w:rFonts w:hint="default"/>
                <w:color w:val="auto"/>
                <w:highlight w:val="none"/>
              </w:rPr>
            </w:pPr>
            <w:r>
              <w:rPr>
                <w:rFonts w:hint="default"/>
                <w:color w:val="auto"/>
                <w:sz w:val="21"/>
                <w:szCs w:val="21"/>
                <w:highlight w:val="none"/>
              </w:rPr>
              <w:t>备注：“＜”表示低于检出限。</w:t>
            </w:r>
          </w:p>
          <w:p w14:paraId="441540CC">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color w:val="auto"/>
                <w:highlight w:val="none"/>
              </w:rPr>
              <w:t>由上表可见，各测点中因子的单项标准指数均小于1，说明监测点S1各因子满足《建设用地土壤污染风险管控标准（试行）》（DB36/1282-2020）表1中的第二类用地筛选值</w:t>
            </w:r>
            <w:r>
              <w:rPr>
                <w:rFonts w:hint="eastAsia"/>
                <w:color w:val="auto"/>
                <w:highlight w:val="none"/>
                <w:lang w:eastAsia="zh-CN"/>
              </w:rPr>
              <w:t>，</w:t>
            </w:r>
            <w:r>
              <w:rPr>
                <w:rFonts w:hint="eastAsia"/>
                <w:color w:val="auto"/>
                <w:highlight w:val="none"/>
              </w:rPr>
              <w:t>因此，土壤环境质量较好。</w:t>
            </w:r>
          </w:p>
          <w:p w14:paraId="4FA44CE8">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五、生态环境现状</w:t>
            </w:r>
          </w:p>
          <w:p w14:paraId="435B378E">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经过调查和现场踏勘，本项目</w:t>
            </w:r>
            <w:r>
              <w:rPr>
                <w:rFonts w:hint="eastAsia"/>
                <w:color w:val="auto"/>
                <w:highlight w:val="none"/>
                <w:lang w:val="en-US" w:eastAsia="zh-CN"/>
              </w:rPr>
              <w:t>位于工业园区内，属于</w:t>
            </w:r>
            <w:r>
              <w:rPr>
                <w:rFonts w:hint="default"/>
                <w:color w:val="auto"/>
                <w:highlight w:val="none"/>
              </w:rPr>
              <w:t>人工改造程度较高的区域，生态环境质量一般，评价范围不属于自然保护区、风景名胜区、农田保护区、水源保护区、无文物保护点，同时无探明的矿床和珍稀动、植物资源。</w:t>
            </w:r>
          </w:p>
        </w:tc>
      </w:tr>
      <w:tr w14:paraId="2B4E7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37" w:hRule="atLeast"/>
          <w:jc w:val="center"/>
        </w:trPr>
        <w:tc>
          <w:tcPr>
            <w:tcW w:w="727" w:type="dxa"/>
            <w:vAlign w:val="center"/>
          </w:tcPr>
          <w:p w14:paraId="4F521FAE">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环境保护目标</w:t>
            </w:r>
          </w:p>
        </w:tc>
        <w:tc>
          <w:tcPr>
            <w:tcW w:w="8406" w:type="dxa"/>
          </w:tcPr>
          <w:p w14:paraId="2034A618">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根据现场踏勘，评价范围内无自然保护区、风景旅游点和文物古迹等需要特殊保护的环境敏感对象。根据区域环境特征和建设项目污染特征，确定本次评价环境保护目标见下表。</w:t>
            </w:r>
          </w:p>
          <w:p w14:paraId="12A7D5F3">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5</w:t>
            </w:r>
            <w:r>
              <w:rPr>
                <w:rFonts w:hint="default"/>
                <w:color w:val="auto"/>
                <w:sz w:val="21"/>
                <w:szCs w:val="21"/>
                <w:highlight w:val="none"/>
                <w:lang w:val="en-US" w:eastAsia="zh-CN"/>
              </w:rPr>
              <w:t xml:space="preserve"> 环境保护目标一览表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3"/>
              <w:gridCol w:w="660"/>
              <w:gridCol w:w="740"/>
              <w:gridCol w:w="792"/>
              <w:gridCol w:w="781"/>
              <w:gridCol w:w="1354"/>
              <w:gridCol w:w="683"/>
              <w:gridCol w:w="763"/>
              <w:gridCol w:w="1714"/>
            </w:tblGrid>
            <w:tr w14:paraId="2C3FAA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03" w:type="dxa"/>
                  <w:vMerge w:val="restart"/>
                  <w:tcBorders>
                    <w:tl2br w:val="nil"/>
                    <w:tr2bl w:val="nil"/>
                  </w:tcBorders>
                  <w:vAlign w:val="center"/>
                </w:tcPr>
                <w:p w14:paraId="0B5E3B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环境要素</w:t>
                  </w:r>
                </w:p>
              </w:tc>
              <w:tc>
                <w:tcPr>
                  <w:tcW w:w="1400" w:type="dxa"/>
                  <w:gridSpan w:val="2"/>
                  <w:tcBorders>
                    <w:tl2br w:val="nil"/>
                    <w:tr2bl w:val="nil"/>
                  </w:tcBorders>
                  <w:vAlign w:val="center"/>
                </w:tcPr>
                <w:p w14:paraId="31AA60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坐标</w:t>
                  </w:r>
                </w:p>
              </w:tc>
              <w:tc>
                <w:tcPr>
                  <w:tcW w:w="792" w:type="dxa"/>
                  <w:vMerge w:val="restart"/>
                  <w:tcBorders>
                    <w:tl2br w:val="nil"/>
                    <w:tr2bl w:val="nil"/>
                  </w:tcBorders>
                  <w:vAlign w:val="center"/>
                </w:tcPr>
                <w:p w14:paraId="3BAFDE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对象名称</w:t>
                  </w:r>
                </w:p>
              </w:tc>
              <w:tc>
                <w:tcPr>
                  <w:tcW w:w="781" w:type="dxa"/>
                  <w:vMerge w:val="restart"/>
                  <w:tcBorders>
                    <w:tl2br w:val="nil"/>
                    <w:tr2bl w:val="nil"/>
                  </w:tcBorders>
                  <w:vAlign w:val="center"/>
                </w:tcPr>
                <w:p w14:paraId="5621E7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方位</w:t>
                  </w:r>
                </w:p>
              </w:tc>
              <w:tc>
                <w:tcPr>
                  <w:tcW w:w="1354" w:type="dxa"/>
                  <w:vMerge w:val="restart"/>
                  <w:tcBorders>
                    <w:tl2br w:val="nil"/>
                    <w:tr2bl w:val="nil"/>
                  </w:tcBorders>
                  <w:vAlign w:val="center"/>
                </w:tcPr>
                <w:p w14:paraId="10D55F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与本项目边界距离（m）</w:t>
                  </w:r>
                </w:p>
              </w:tc>
              <w:tc>
                <w:tcPr>
                  <w:tcW w:w="683" w:type="dxa"/>
                  <w:vMerge w:val="restart"/>
                  <w:tcBorders>
                    <w:tl2br w:val="nil"/>
                    <w:tr2bl w:val="nil"/>
                  </w:tcBorders>
                  <w:vAlign w:val="center"/>
                </w:tcPr>
                <w:p w14:paraId="76BDE6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b/>
                      <w:bCs/>
                      <w:color w:val="auto"/>
                      <w:highlight w:val="none"/>
                      <w:lang w:eastAsia="zh-CN"/>
                    </w:rPr>
                  </w:pPr>
                  <w:r>
                    <w:rPr>
                      <w:rFonts w:hint="eastAsia"/>
                      <w:b/>
                      <w:bCs/>
                      <w:color w:val="auto"/>
                      <w:highlight w:val="none"/>
                      <w:lang w:eastAsia="zh-CN"/>
                    </w:rPr>
                    <w:t>保护内容</w:t>
                  </w:r>
                </w:p>
              </w:tc>
              <w:tc>
                <w:tcPr>
                  <w:tcW w:w="763" w:type="dxa"/>
                  <w:vMerge w:val="restart"/>
                  <w:tcBorders>
                    <w:tl2br w:val="nil"/>
                    <w:tr2bl w:val="nil"/>
                  </w:tcBorders>
                  <w:vAlign w:val="center"/>
                </w:tcPr>
                <w:p w14:paraId="657CFA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规模（人）</w:t>
                  </w:r>
                </w:p>
              </w:tc>
              <w:tc>
                <w:tcPr>
                  <w:tcW w:w="1714" w:type="dxa"/>
                  <w:vMerge w:val="restart"/>
                  <w:tcBorders>
                    <w:tl2br w:val="nil"/>
                    <w:tr2bl w:val="nil"/>
                  </w:tcBorders>
                  <w:vAlign w:val="center"/>
                </w:tcPr>
                <w:p w14:paraId="1013FF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环境功能</w:t>
                  </w:r>
                </w:p>
              </w:tc>
            </w:tr>
            <w:tr w14:paraId="0432D8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03" w:type="dxa"/>
                  <w:vMerge w:val="continue"/>
                  <w:tcBorders>
                    <w:tl2br w:val="nil"/>
                    <w:tr2bl w:val="nil"/>
                  </w:tcBorders>
                  <w:vAlign w:val="center"/>
                </w:tcPr>
                <w:p w14:paraId="26BF14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660" w:type="dxa"/>
                  <w:tcBorders>
                    <w:tl2br w:val="nil"/>
                    <w:tr2bl w:val="nil"/>
                  </w:tcBorders>
                  <w:vAlign w:val="center"/>
                </w:tcPr>
                <w:p w14:paraId="35DAEE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X</w:t>
                  </w:r>
                </w:p>
              </w:tc>
              <w:tc>
                <w:tcPr>
                  <w:tcW w:w="740" w:type="dxa"/>
                  <w:tcBorders>
                    <w:tl2br w:val="nil"/>
                    <w:tr2bl w:val="nil"/>
                  </w:tcBorders>
                  <w:vAlign w:val="center"/>
                </w:tcPr>
                <w:p w14:paraId="502904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Y</w:t>
                  </w:r>
                </w:p>
              </w:tc>
              <w:tc>
                <w:tcPr>
                  <w:tcW w:w="792" w:type="dxa"/>
                  <w:vMerge w:val="continue"/>
                  <w:tcBorders>
                    <w:tl2br w:val="nil"/>
                    <w:tr2bl w:val="nil"/>
                  </w:tcBorders>
                  <w:vAlign w:val="center"/>
                </w:tcPr>
                <w:p w14:paraId="7595C7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781" w:type="dxa"/>
                  <w:vMerge w:val="continue"/>
                  <w:tcBorders>
                    <w:tl2br w:val="nil"/>
                    <w:tr2bl w:val="nil"/>
                  </w:tcBorders>
                  <w:vAlign w:val="center"/>
                </w:tcPr>
                <w:p w14:paraId="122080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354" w:type="dxa"/>
                  <w:vMerge w:val="continue"/>
                  <w:tcBorders>
                    <w:tl2br w:val="nil"/>
                    <w:tr2bl w:val="nil"/>
                  </w:tcBorders>
                  <w:vAlign w:val="center"/>
                </w:tcPr>
                <w:p w14:paraId="16B1CB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683" w:type="dxa"/>
                  <w:vMerge w:val="continue"/>
                  <w:tcBorders>
                    <w:tl2br w:val="nil"/>
                    <w:tr2bl w:val="nil"/>
                  </w:tcBorders>
                  <w:vAlign w:val="center"/>
                </w:tcPr>
                <w:p w14:paraId="5852D5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763" w:type="dxa"/>
                  <w:vMerge w:val="continue"/>
                  <w:tcBorders>
                    <w:tl2br w:val="nil"/>
                    <w:tr2bl w:val="nil"/>
                  </w:tcBorders>
                  <w:vAlign w:val="center"/>
                </w:tcPr>
                <w:p w14:paraId="649B63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714" w:type="dxa"/>
                  <w:vMerge w:val="continue"/>
                  <w:tcBorders>
                    <w:tl2br w:val="nil"/>
                    <w:tr2bl w:val="nil"/>
                  </w:tcBorders>
                  <w:vAlign w:val="center"/>
                </w:tcPr>
                <w:p w14:paraId="174DAD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0D9980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03" w:type="dxa"/>
                  <w:tcBorders>
                    <w:tl2br w:val="nil"/>
                    <w:tr2bl w:val="nil"/>
                  </w:tcBorders>
                  <w:vAlign w:val="center"/>
                </w:tcPr>
                <w:p w14:paraId="6ABDD4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环境空气</w:t>
                  </w:r>
                </w:p>
              </w:tc>
              <w:tc>
                <w:tcPr>
                  <w:tcW w:w="660" w:type="dxa"/>
                  <w:tcBorders>
                    <w:tl2br w:val="nil"/>
                    <w:tr2bl w:val="nil"/>
                  </w:tcBorders>
                  <w:vAlign w:val="center"/>
                </w:tcPr>
                <w:p w14:paraId="4CD3B4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577</w:t>
                  </w:r>
                </w:p>
              </w:tc>
              <w:tc>
                <w:tcPr>
                  <w:tcW w:w="740" w:type="dxa"/>
                  <w:tcBorders>
                    <w:tl2br w:val="nil"/>
                    <w:tr2bl w:val="nil"/>
                  </w:tcBorders>
                  <w:vAlign w:val="center"/>
                </w:tcPr>
                <w:p w14:paraId="4DF579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342</w:t>
                  </w:r>
                </w:p>
              </w:tc>
              <w:tc>
                <w:tcPr>
                  <w:tcW w:w="792" w:type="dxa"/>
                  <w:tcBorders>
                    <w:tl2br w:val="nil"/>
                    <w:tr2bl w:val="nil"/>
                  </w:tcBorders>
                  <w:vAlign w:val="center"/>
                </w:tcPr>
                <w:p w14:paraId="651D98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毛家</w:t>
                  </w:r>
                </w:p>
              </w:tc>
              <w:tc>
                <w:tcPr>
                  <w:tcW w:w="781" w:type="dxa"/>
                  <w:tcBorders>
                    <w:tl2br w:val="nil"/>
                    <w:tr2bl w:val="nil"/>
                  </w:tcBorders>
                  <w:vAlign w:val="center"/>
                </w:tcPr>
                <w:p w14:paraId="2F373C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东北</w:t>
                  </w:r>
                </w:p>
              </w:tc>
              <w:tc>
                <w:tcPr>
                  <w:tcW w:w="1354" w:type="dxa"/>
                  <w:tcBorders>
                    <w:tl2br w:val="nil"/>
                    <w:tr2bl w:val="nil"/>
                  </w:tcBorders>
                  <w:vAlign w:val="center"/>
                </w:tcPr>
                <w:p w14:paraId="3FDA4B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446</w:t>
                  </w:r>
                </w:p>
              </w:tc>
              <w:tc>
                <w:tcPr>
                  <w:tcW w:w="683" w:type="dxa"/>
                  <w:tcBorders>
                    <w:tl2br w:val="nil"/>
                    <w:tr2bl w:val="nil"/>
                  </w:tcBorders>
                  <w:vAlign w:val="center"/>
                </w:tcPr>
                <w:p w14:paraId="0166AC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居民</w:t>
                  </w:r>
                </w:p>
              </w:tc>
              <w:tc>
                <w:tcPr>
                  <w:tcW w:w="763" w:type="dxa"/>
                  <w:tcBorders>
                    <w:tl2br w:val="nil"/>
                    <w:tr2bl w:val="nil"/>
                  </w:tcBorders>
                  <w:vAlign w:val="center"/>
                </w:tcPr>
                <w:p w14:paraId="48B44E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600</w:t>
                  </w:r>
                </w:p>
              </w:tc>
              <w:tc>
                <w:tcPr>
                  <w:tcW w:w="1714" w:type="dxa"/>
                  <w:tcBorders>
                    <w:tl2br w:val="nil"/>
                    <w:tr2bl w:val="nil"/>
                  </w:tcBorders>
                  <w:vAlign w:val="center"/>
                </w:tcPr>
                <w:p w14:paraId="109478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二类区</w:t>
                  </w:r>
                </w:p>
              </w:tc>
            </w:tr>
            <w:tr w14:paraId="0D0B16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703" w:type="dxa"/>
                  <w:vMerge w:val="restart"/>
                  <w:tcBorders>
                    <w:tl2br w:val="nil"/>
                    <w:tr2bl w:val="nil"/>
                  </w:tcBorders>
                  <w:vAlign w:val="center"/>
                </w:tcPr>
                <w:p w14:paraId="2E3B80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水环境</w:t>
                  </w:r>
                </w:p>
              </w:tc>
              <w:tc>
                <w:tcPr>
                  <w:tcW w:w="2192" w:type="dxa"/>
                  <w:gridSpan w:val="3"/>
                  <w:tcBorders>
                    <w:tl2br w:val="nil"/>
                    <w:tr2bl w:val="nil"/>
                  </w:tcBorders>
                  <w:vAlign w:val="center"/>
                </w:tcPr>
                <w:p w14:paraId="44DEE3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无名水库</w:t>
                  </w:r>
                </w:p>
              </w:tc>
              <w:tc>
                <w:tcPr>
                  <w:tcW w:w="781" w:type="dxa"/>
                  <w:tcBorders>
                    <w:tl2br w:val="nil"/>
                    <w:tr2bl w:val="nil"/>
                  </w:tcBorders>
                  <w:vAlign w:val="center"/>
                </w:tcPr>
                <w:p w14:paraId="543722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val="en-US" w:eastAsia="zh-CN"/>
                    </w:rPr>
                    <w:t>西</w:t>
                  </w:r>
                </w:p>
              </w:tc>
              <w:tc>
                <w:tcPr>
                  <w:tcW w:w="1354" w:type="dxa"/>
                  <w:tcBorders>
                    <w:tl2br w:val="nil"/>
                    <w:tr2bl w:val="nil"/>
                  </w:tcBorders>
                  <w:vAlign w:val="center"/>
                </w:tcPr>
                <w:p w14:paraId="15A64C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857</w:t>
                  </w:r>
                </w:p>
              </w:tc>
              <w:tc>
                <w:tcPr>
                  <w:tcW w:w="1446" w:type="dxa"/>
                  <w:gridSpan w:val="2"/>
                  <w:vMerge w:val="restart"/>
                  <w:tcBorders>
                    <w:tl2br w:val="nil"/>
                    <w:tr2bl w:val="nil"/>
                  </w:tcBorders>
                  <w:vAlign w:val="center"/>
                </w:tcPr>
                <w:p w14:paraId="57BF9D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小型</w:t>
                  </w:r>
                  <w:r>
                    <w:rPr>
                      <w:rFonts w:hint="eastAsia"/>
                      <w:color w:val="auto"/>
                      <w:highlight w:val="none"/>
                      <w:lang w:eastAsia="zh-CN"/>
                    </w:rPr>
                    <w:t>水库</w:t>
                  </w:r>
                </w:p>
              </w:tc>
              <w:tc>
                <w:tcPr>
                  <w:tcW w:w="1714" w:type="dxa"/>
                  <w:tcBorders>
                    <w:tl2br w:val="nil"/>
                    <w:tr2bl w:val="nil"/>
                  </w:tcBorders>
                  <w:vAlign w:val="center"/>
                </w:tcPr>
                <w:p w14:paraId="7F09F2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rPr>
                    <w:t>Ⅲ类</w:t>
                  </w:r>
                  <w:r>
                    <w:rPr>
                      <w:rFonts w:hint="eastAsia"/>
                      <w:color w:val="auto"/>
                      <w:highlight w:val="none"/>
                      <w:lang w:eastAsia="zh-CN"/>
                    </w:rPr>
                    <w:t>功能区</w:t>
                  </w:r>
                </w:p>
              </w:tc>
            </w:tr>
            <w:tr w14:paraId="67B480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703" w:type="dxa"/>
                  <w:vMerge w:val="continue"/>
                  <w:tcBorders>
                    <w:tl2br w:val="nil"/>
                    <w:tr2bl w:val="nil"/>
                  </w:tcBorders>
                  <w:vAlign w:val="center"/>
                </w:tcPr>
                <w:p w14:paraId="4A18E7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192" w:type="dxa"/>
                  <w:gridSpan w:val="3"/>
                  <w:tcBorders>
                    <w:tl2br w:val="nil"/>
                    <w:tr2bl w:val="nil"/>
                  </w:tcBorders>
                  <w:shd w:val="clear" w:color="auto" w:fill="auto"/>
                  <w:vAlign w:val="center"/>
                </w:tcPr>
                <w:p w14:paraId="6CAF0D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毛家水库</w:t>
                  </w:r>
                </w:p>
              </w:tc>
              <w:tc>
                <w:tcPr>
                  <w:tcW w:w="781" w:type="dxa"/>
                  <w:tcBorders>
                    <w:tl2br w:val="nil"/>
                    <w:tr2bl w:val="nil"/>
                  </w:tcBorders>
                  <w:shd w:val="clear" w:color="auto" w:fill="auto"/>
                  <w:vAlign w:val="center"/>
                </w:tcPr>
                <w:p w14:paraId="3BBEE8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东北</w:t>
                  </w:r>
                </w:p>
              </w:tc>
              <w:tc>
                <w:tcPr>
                  <w:tcW w:w="1354" w:type="dxa"/>
                  <w:tcBorders>
                    <w:tl2br w:val="nil"/>
                    <w:tr2bl w:val="nil"/>
                  </w:tcBorders>
                  <w:shd w:val="clear" w:color="auto" w:fill="auto"/>
                  <w:vAlign w:val="center"/>
                </w:tcPr>
                <w:p w14:paraId="0FA634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71</w:t>
                  </w:r>
                </w:p>
              </w:tc>
              <w:tc>
                <w:tcPr>
                  <w:tcW w:w="1446" w:type="dxa"/>
                  <w:gridSpan w:val="2"/>
                  <w:vMerge w:val="continue"/>
                  <w:tcBorders>
                    <w:tl2br w:val="nil"/>
                    <w:tr2bl w:val="nil"/>
                  </w:tcBorders>
                  <w:shd w:val="clear" w:color="auto" w:fill="auto"/>
                  <w:vAlign w:val="center"/>
                </w:tcPr>
                <w:p w14:paraId="4A660C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p>
              </w:tc>
              <w:tc>
                <w:tcPr>
                  <w:tcW w:w="1714" w:type="dxa"/>
                  <w:tcBorders>
                    <w:tl2br w:val="nil"/>
                    <w:tr2bl w:val="nil"/>
                  </w:tcBorders>
                  <w:shd w:val="clear" w:color="auto" w:fill="auto"/>
                  <w:vAlign w:val="center"/>
                </w:tcPr>
                <w:p w14:paraId="4A69E4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Ⅲ类</w:t>
                  </w:r>
                  <w:r>
                    <w:rPr>
                      <w:rFonts w:hint="eastAsia"/>
                      <w:color w:val="auto"/>
                      <w:highlight w:val="none"/>
                      <w:lang w:eastAsia="zh-CN"/>
                    </w:rPr>
                    <w:t>功能区</w:t>
                  </w:r>
                </w:p>
              </w:tc>
            </w:tr>
            <w:tr w14:paraId="2C251C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703" w:type="dxa"/>
                  <w:vMerge w:val="continue"/>
                  <w:tcBorders>
                    <w:tl2br w:val="nil"/>
                    <w:tr2bl w:val="nil"/>
                  </w:tcBorders>
                  <w:vAlign w:val="center"/>
                </w:tcPr>
                <w:p w14:paraId="20E73A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192" w:type="dxa"/>
                  <w:gridSpan w:val="3"/>
                  <w:tcBorders>
                    <w:tl2br w:val="nil"/>
                    <w:tr2bl w:val="nil"/>
                  </w:tcBorders>
                  <w:vAlign w:val="center"/>
                </w:tcPr>
                <w:p w14:paraId="4690E2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肖江</w:t>
                  </w:r>
                </w:p>
              </w:tc>
              <w:tc>
                <w:tcPr>
                  <w:tcW w:w="781" w:type="dxa"/>
                  <w:tcBorders>
                    <w:tl2br w:val="nil"/>
                    <w:tr2bl w:val="nil"/>
                  </w:tcBorders>
                  <w:vAlign w:val="center"/>
                </w:tcPr>
                <w:p w14:paraId="754C97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南</w:t>
                  </w:r>
                </w:p>
              </w:tc>
              <w:tc>
                <w:tcPr>
                  <w:tcW w:w="1354" w:type="dxa"/>
                  <w:tcBorders>
                    <w:tl2br w:val="nil"/>
                    <w:tr2bl w:val="nil"/>
                  </w:tcBorders>
                  <w:vAlign w:val="center"/>
                </w:tcPr>
                <w:p w14:paraId="646AEB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5452</w:t>
                  </w:r>
                </w:p>
              </w:tc>
              <w:tc>
                <w:tcPr>
                  <w:tcW w:w="1446" w:type="dxa"/>
                  <w:gridSpan w:val="2"/>
                  <w:tcBorders>
                    <w:tl2br w:val="nil"/>
                    <w:tr2bl w:val="nil"/>
                  </w:tcBorders>
                  <w:vAlign w:val="center"/>
                </w:tcPr>
                <w:p w14:paraId="796CC9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中河</w:t>
                  </w:r>
                </w:p>
              </w:tc>
              <w:tc>
                <w:tcPr>
                  <w:tcW w:w="1714" w:type="dxa"/>
                  <w:tcBorders>
                    <w:tl2br w:val="nil"/>
                    <w:tr2bl w:val="nil"/>
                  </w:tcBorders>
                  <w:vAlign w:val="center"/>
                </w:tcPr>
                <w:p w14:paraId="7B0682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Ⅲ类</w:t>
                  </w:r>
                  <w:r>
                    <w:rPr>
                      <w:rFonts w:hint="eastAsia"/>
                      <w:color w:val="auto"/>
                      <w:highlight w:val="none"/>
                      <w:lang w:eastAsia="zh-CN"/>
                    </w:rPr>
                    <w:t>功能区</w:t>
                  </w:r>
                </w:p>
              </w:tc>
            </w:tr>
            <w:tr w14:paraId="7A0B0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703" w:type="dxa"/>
                  <w:tcBorders>
                    <w:tl2br w:val="nil"/>
                    <w:tr2bl w:val="nil"/>
                  </w:tcBorders>
                  <w:vAlign w:val="center"/>
                </w:tcPr>
                <w:p w14:paraId="1CC274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地下水环境</w:t>
                  </w:r>
                </w:p>
              </w:tc>
              <w:tc>
                <w:tcPr>
                  <w:tcW w:w="7487" w:type="dxa"/>
                  <w:gridSpan w:val="8"/>
                  <w:tcBorders>
                    <w:tl2br w:val="nil"/>
                    <w:tr2bl w:val="nil"/>
                  </w:tcBorders>
                  <w:vAlign w:val="center"/>
                </w:tcPr>
                <w:p w14:paraId="1CBACC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厂界范围外500米范围内无集中式饮用水水源和热水、矿泉水、温泉等特殊地下水资源</w:t>
                  </w:r>
                </w:p>
              </w:tc>
            </w:tr>
            <w:tr w14:paraId="2157D1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190" w:type="dxa"/>
                  <w:gridSpan w:val="9"/>
                  <w:tcBorders>
                    <w:tl2br w:val="nil"/>
                    <w:tr2bl w:val="nil"/>
                  </w:tcBorders>
                  <w:vAlign w:val="center"/>
                </w:tcPr>
                <w:p w14:paraId="74F10B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left"/>
                    <w:textAlignment w:val="auto"/>
                    <w:rPr>
                      <w:rFonts w:hint="eastAsia"/>
                      <w:color w:val="auto"/>
                      <w:highlight w:val="none"/>
                    </w:rPr>
                  </w:pPr>
                  <w:r>
                    <w:rPr>
                      <w:rFonts w:hint="eastAsia"/>
                      <w:color w:val="auto"/>
                      <w:highlight w:val="none"/>
                    </w:rPr>
                    <w:t>备注：本次评价以厂区中</w:t>
                  </w:r>
                  <w:r>
                    <w:rPr>
                      <w:rFonts w:hint="default"/>
                      <w:color w:val="auto"/>
                      <w:highlight w:val="none"/>
                    </w:rPr>
                    <w:t>心E115°2</w:t>
                  </w:r>
                  <w:r>
                    <w:rPr>
                      <w:rFonts w:hint="eastAsia"/>
                      <w:color w:val="auto"/>
                      <w:highlight w:val="none"/>
                      <w:lang w:val="en-US" w:eastAsia="zh-CN"/>
                    </w:rPr>
                    <w:t>7</w:t>
                  </w:r>
                  <w:r>
                    <w:rPr>
                      <w:rFonts w:hint="default"/>
                      <w:color w:val="auto"/>
                      <w:highlight w:val="none"/>
                    </w:rPr>
                    <w:t>′</w:t>
                  </w:r>
                  <w:r>
                    <w:rPr>
                      <w:rFonts w:hint="eastAsia"/>
                      <w:color w:val="auto"/>
                      <w:highlight w:val="none"/>
                      <w:lang w:val="en-US" w:eastAsia="zh-CN"/>
                    </w:rPr>
                    <w:t>21.090</w:t>
                  </w:r>
                  <w:r>
                    <w:rPr>
                      <w:rFonts w:hint="default"/>
                      <w:color w:val="auto"/>
                      <w:highlight w:val="none"/>
                    </w:rPr>
                    <w:t>″，N28°1</w:t>
                  </w:r>
                  <w:r>
                    <w:rPr>
                      <w:rFonts w:hint="eastAsia"/>
                      <w:color w:val="auto"/>
                      <w:highlight w:val="none"/>
                      <w:lang w:val="en-US" w:eastAsia="zh-CN"/>
                    </w:rPr>
                    <w:t>2</w:t>
                  </w:r>
                  <w:r>
                    <w:rPr>
                      <w:rFonts w:hint="default"/>
                      <w:color w:val="auto"/>
                      <w:highlight w:val="none"/>
                    </w:rPr>
                    <w:t>′</w:t>
                  </w:r>
                  <w:r>
                    <w:rPr>
                      <w:rFonts w:hint="eastAsia"/>
                      <w:color w:val="auto"/>
                      <w:highlight w:val="none"/>
                      <w:lang w:val="en-US" w:eastAsia="zh-CN"/>
                    </w:rPr>
                    <w:t>16.051</w:t>
                  </w:r>
                  <w:r>
                    <w:rPr>
                      <w:rFonts w:hint="default"/>
                      <w:color w:val="auto"/>
                      <w:highlight w:val="none"/>
                    </w:rPr>
                    <w:t>″为原点坐标</w:t>
                  </w:r>
                  <w:r>
                    <w:rPr>
                      <w:rFonts w:hint="eastAsia"/>
                      <w:color w:val="auto"/>
                      <w:highlight w:val="none"/>
                    </w:rPr>
                    <w:t>（0，0），正东X轴为正方向，正北Y轴为正方向建立直角坐标系。</w:t>
                  </w:r>
                </w:p>
              </w:tc>
            </w:tr>
          </w:tbl>
          <w:p w14:paraId="760DEBC6">
            <w:pPr>
              <w:pStyle w:val="76"/>
              <w:keepNext w:val="0"/>
              <w:keepLines w:val="0"/>
              <w:suppressLineNumbers w:val="0"/>
              <w:bidi w:val="0"/>
              <w:spacing w:before="0" w:beforeAutospacing="0" w:after="0" w:afterAutospacing="0"/>
              <w:ind w:left="0" w:right="0"/>
              <w:rPr>
                <w:rFonts w:hint="default"/>
                <w:color w:val="auto"/>
                <w:highlight w:val="none"/>
              </w:rPr>
            </w:pPr>
          </w:p>
        </w:tc>
      </w:tr>
      <w:tr w14:paraId="52EE9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7" w:hRule="atLeast"/>
          <w:jc w:val="center"/>
        </w:trPr>
        <w:tc>
          <w:tcPr>
            <w:tcW w:w="727" w:type="dxa"/>
            <w:vAlign w:val="center"/>
          </w:tcPr>
          <w:p w14:paraId="1C87A783">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污染物排放控制标准</w:t>
            </w:r>
          </w:p>
        </w:tc>
        <w:tc>
          <w:tcPr>
            <w:tcW w:w="8406" w:type="dxa"/>
          </w:tcPr>
          <w:p w14:paraId="7DDD6F9E">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一、废水</w:t>
            </w:r>
          </w:p>
          <w:p w14:paraId="36FA93B5">
            <w:pPr>
              <w:pStyle w:val="76"/>
              <w:keepNext w:val="0"/>
              <w:keepLines w:val="0"/>
              <w:suppressLineNumbers w:val="0"/>
              <w:bidi w:val="0"/>
              <w:spacing w:before="0" w:beforeAutospacing="0" w:after="0" w:afterAutospacing="0"/>
              <w:ind w:left="0" w:right="0"/>
              <w:rPr>
                <w:rFonts w:hint="default"/>
                <w:color w:val="auto"/>
                <w:highlight w:val="none"/>
              </w:rPr>
            </w:pPr>
            <w:bookmarkStart w:id="403" w:name="_Hlk138581527"/>
            <w:bookmarkStart w:id="404" w:name="_Hlk138777916"/>
            <w:r>
              <w:rPr>
                <w:rFonts w:hint="eastAsia"/>
                <w:color w:val="auto"/>
                <w:highlight w:val="none"/>
                <w:lang w:val="en-US" w:eastAsia="zh-CN"/>
              </w:rPr>
              <w:t>本项目属于建筑陶瓷产业园污水处理厂纳管范围，生活污水经隔油池、化粪池预处理，处理达到江西建筑陶瓷产业园污水处理厂接管标准要求后经市政污水管网纳入建筑陶瓷产业园污水处理厂处理，处理达标后尾水排放执行《城镇污水处理厂污染物排放标准》（GB18918-2002）中一级A标准。洗车废水、养护废水经沉淀池沉淀处理</w:t>
            </w:r>
            <w:r>
              <w:rPr>
                <w:rFonts w:hint="eastAsia" w:eastAsia="宋体"/>
                <w:color w:val="auto"/>
                <w:highlight w:val="none"/>
                <w:lang w:eastAsia="zh-CN"/>
              </w:rPr>
              <w:t>后</w:t>
            </w:r>
            <w:r>
              <w:rPr>
                <w:rFonts w:hint="eastAsia"/>
                <w:color w:val="auto"/>
                <w:highlight w:val="none"/>
                <w:lang w:val="en-US" w:eastAsia="zh-CN"/>
              </w:rPr>
              <w:t>，</w:t>
            </w:r>
            <w:r>
              <w:rPr>
                <w:rFonts w:hint="eastAsia" w:eastAsia="宋体"/>
                <w:color w:val="auto"/>
                <w:highlight w:val="none"/>
                <w:lang w:eastAsia="zh-CN"/>
              </w:rPr>
              <w:t>达《城市污水再生利用工业用水水质》（GB/T19923-2024）中洗涤水标准</w:t>
            </w:r>
            <w:r>
              <w:rPr>
                <w:rFonts w:hint="eastAsia"/>
                <w:color w:val="auto"/>
                <w:highlight w:val="none"/>
                <w:lang w:eastAsia="zh-CN"/>
              </w:rPr>
              <w:t>、</w:t>
            </w:r>
            <w:r>
              <w:rPr>
                <w:rFonts w:hint="eastAsia"/>
                <w:color w:val="auto"/>
                <w:highlight w:val="none"/>
                <w:lang w:val="en-US" w:eastAsia="zh-CN"/>
              </w:rPr>
              <w:t>《无机化学工业污染物排放标准》（GB31573-2015）</w:t>
            </w:r>
            <w:r>
              <w:rPr>
                <w:rFonts w:hint="eastAsia"/>
                <w:color w:val="auto"/>
                <w:highlight w:val="none"/>
              </w:rPr>
              <w:t>和《工业废水铊污染物排放标准》（DB36/1149-2019）标准</w:t>
            </w:r>
            <w:r>
              <w:rPr>
                <w:rFonts w:hint="eastAsia"/>
                <w:color w:val="FF0000"/>
                <w:highlight w:val="none"/>
                <w:lang w:eastAsia="zh-CN"/>
              </w:rPr>
              <w:t>中较严值</w:t>
            </w:r>
            <w:r>
              <w:rPr>
                <w:rFonts w:hint="eastAsia"/>
                <w:color w:val="auto"/>
                <w:highlight w:val="none"/>
                <w:lang w:eastAsia="zh-CN"/>
              </w:rPr>
              <w:t>后回用，</w:t>
            </w:r>
            <w:r>
              <w:rPr>
                <w:rFonts w:hint="eastAsia"/>
                <w:color w:val="auto"/>
                <w:highlight w:val="none"/>
                <w:lang w:val="en-US" w:eastAsia="zh-CN"/>
              </w:rPr>
              <w:t>初期雨水经</w:t>
            </w:r>
            <w:r>
              <w:rPr>
                <w:rFonts w:hint="eastAsia" w:cs="Times New Roman"/>
                <w:color w:val="auto"/>
                <w:sz w:val="24"/>
                <w:highlight w:val="none"/>
                <w:lang w:val="en-US" w:eastAsia="zh-CN"/>
              </w:rPr>
              <w:t>氧化+除铊除氟+絮凝沉淀</w:t>
            </w:r>
            <w:r>
              <w:rPr>
                <w:rFonts w:hint="eastAsia" w:ascii="Times New Roman" w:hAnsi="Times New Roman" w:eastAsia="宋体" w:cs="Times New Roman"/>
                <w:color w:val="auto"/>
                <w:sz w:val="24"/>
                <w:highlight w:val="none"/>
                <w:lang w:val="en-US" w:eastAsia="zh-CN"/>
              </w:rPr>
              <w:t>处理</w:t>
            </w:r>
            <w:r>
              <w:rPr>
                <w:rFonts w:hint="eastAsia"/>
                <w:color w:val="auto"/>
                <w:highlight w:val="none"/>
                <w:lang w:val="en-US" w:eastAsia="zh-CN"/>
              </w:rPr>
              <w:t>达到</w:t>
            </w:r>
            <w:r>
              <w:rPr>
                <w:rFonts w:hint="eastAsia"/>
                <w:color w:val="auto"/>
                <w:highlight w:val="none"/>
              </w:rPr>
              <w:t>《城市污水再生利用工业用水水质》（GB/T19923-2024）</w:t>
            </w:r>
            <w:r>
              <w:rPr>
                <w:rFonts w:hint="eastAsia"/>
                <w:color w:val="auto"/>
                <w:highlight w:val="none"/>
                <w:lang w:val="en-US" w:eastAsia="zh-CN"/>
              </w:rPr>
              <w:t>、《无机化学工业污染物排放标准》（GB31573-2015）</w:t>
            </w:r>
            <w:r>
              <w:rPr>
                <w:rFonts w:hint="eastAsia"/>
                <w:color w:val="auto"/>
                <w:highlight w:val="none"/>
              </w:rPr>
              <w:t>和《工业废水铊污染物排放标准》（DB36/1149-2019）标准</w:t>
            </w:r>
            <w:r>
              <w:rPr>
                <w:rFonts w:hint="eastAsia"/>
                <w:color w:val="FF0000"/>
                <w:highlight w:val="none"/>
                <w:lang w:eastAsia="zh-CN"/>
              </w:rPr>
              <w:t>中较严值</w:t>
            </w:r>
            <w:r>
              <w:rPr>
                <w:rFonts w:hint="eastAsia" w:ascii="Times New Roman" w:hAnsi="Times New Roman" w:eastAsia="宋体" w:cs="Times New Roman"/>
                <w:color w:val="auto"/>
                <w:sz w:val="24"/>
                <w:highlight w:val="none"/>
                <w:lang w:val="en-US" w:eastAsia="zh-CN"/>
              </w:rPr>
              <w:t>后</w:t>
            </w:r>
            <w:r>
              <w:rPr>
                <w:rFonts w:hint="eastAsia" w:cs="Times New Roman"/>
                <w:color w:val="auto"/>
                <w:sz w:val="24"/>
                <w:highlight w:val="none"/>
                <w:lang w:val="en-US" w:eastAsia="zh-CN"/>
              </w:rPr>
              <w:t>，</w:t>
            </w:r>
            <w:r>
              <w:rPr>
                <w:rFonts w:hint="eastAsia" w:ascii="Times New Roman" w:hAnsi="Times New Roman" w:eastAsia="宋体" w:cs="Times New Roman"/>
                <w:color w:val="auto"/>
                <w:sz w:val="24"/>
                <w:highlight w:val="none"/>
                <w:lang w:val="en-US" w:eastAsia="zh-CN"/>
              </w:rPr>
              <w:t>回用于抑尘用水</w:t>
            </w:r>
            <w:r>
              <w:rPr>
                <w:rFonts w:hint="default" w:ascii="Times New Roman" w:hAnsi="Times New Roman" w:eastAsia="宋体" w:cs="Times New Roman"/>
                <w:color w:val="auto"/>
                <w:sz w:val="24"/>
                <w:highlight w:val="none"/>
              </w:rPr>
              <w:t>。</w:t>
            </w:r>
            <w:r>
              <w:rPr>
                <w:rFonts w:hint="eastAsia"/>
                <w:color w:val="auto"/>
                <w:highlight w:val="none"/>
              </w:rPr>
              <w:t>项目后期雨水</w:t>
            </w:r>
            <w:r>
              <w:rPr>
                <w:rFonts w:hint="eastAsia"/>
                <w:color w:val="auto"/>
                <w:highlight w:val="none"/>
                <w:lang w:val="en-US" w:eastAsia="zh-CN"/>
              </w:rPr>
              <w:t>经园区雨水</w:t>
            </w:r>
            <w:r>
              <w:rPr>
                <w:rFonts w:hint="eastAsia"/>
                <w:color w:val="FF0000"/>
                <w:highlight w:val="none"/>
                <w:lang w:val="en-US" w:eastAsia="zh-CN"/>
              </w:rPr>
              <w:t>管</w:t>
            </w:r>
            <w:r>
              <w:rPr>
                <w:rFonts w:hint="eastAsia"/>
                <w:color w:val="FF0000"/>
                <w:highlight w:val="green"/>
              </w:rPr>
              <w:t>网</w:t>
            </w:r>
            <w:r>
              <w:rPr>
                <w:rFonts w:hint="eastAsia"/>
                <w:color w:val="auto"/>
                <w:highlight w:val="none"/>
                <w:lang w:val="en-US" w:eastAsia="zh-CN"/>
              </w:rPr>
              <w:t>排入项目西侧水库内，厂区雨水排口</w:t>
            </w:r>
            <w:r>
              <w:rPr>
                <w:rFonts w:hint="eastAsia"/>
                <w:color w:val="auto"/>
                <w:highlight w:val="none"/>
              </w:rPr>
              <w:t>铊预警限值浓度为</w:t>
            </w:r>
            <w:r>
              <w:rPr>
                <w:rFonts w:hint="eastAsia"/>
                <w:color w:val="auto"/>
                <w:highlight w:val="none"/>
                <w:lang w:val="en-US" w:eastAsia="zh-CN"/>
              </w:rPr>
              <w:t>5</w:t>
            </w:r>
            <w:r>
              <w:rPr>
                <w:rFonts w:hint="eastAsia"/>
                <w:color w:val="auto"/>
                <w:highlight w:val="none"/>
              </w:rPr>
              <w:t>μg/L（参照《工业废水铊污染物排放标准》（DB36/1149-2019）标准排放限值），氟化物预警限值浓度为2mg/L（参照《无机化学工业污染物排放标准》（GB31573-2015）的水污染物排放限值）。污染物浓度限值详见下表。</w:t>
            </w:r>
          </w:p>
          <w:p w14:paraId="3893AE6F">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6</w:t>
            </w:r>
            <w:r>
              <w:rPr>
                <w:rFonts w:hint="default"/>
                <w:color w:val="auto"/>
                <w:sz w:val="21"/>
                <w:szCs w:val="21"/>
                <w:highlight w:val="none"/>
                <w:lang w:val="en-US" w:eastAsia="zh-CN"/>
              </w:rPr>
              <w:t xml:space="preserve"> 废水排放标准限值</w:t>
            </w:r>
            <w:r>
              <w:rPr>
                <w:rFonts w:hint="eastAsia"/>
                <w:color w:val="auto"/>
                <w:sz w:val="21"/>
                <w:szCs w:val="21"/>
                <w:highlight w:val="none"/>
                <w:lang w:val="en-US" w:eastAsia="zh-CN"/>
              </w:rPr>
              <w:t>（单位：m</w:t>
            </w:r>
            <w:r>
              <w:rPr>
                <w:rFonts w:hint="default"/>
                <w:color w:val="auto"/>
                <w:sz w:val="21"/>
                <w:szCs w:val="21"/>
                <w:highlight w:val="none"/>
                <w:lang w:val="en-US" w:eastAsia="zh-CN"/>
              </w:rPr>
              <w:t>g/L</w:t>
            </w:r>
            <w:r>
              <w:rPr>
                <w:rFonts w:hint="eastAsia"/>
                <w:color w:val="auto"/>
                <w:sz w:val="21"/>
                <w:szCs w:val="21"/>
                <w:highlight w:val="none"/>
                <w:lang w:val="en-US" w:eastAsia="zh-CN"/>
              </w:rPr>
              <w:t>，p</w:t>
            </w:r>
            <w:r>
              <w:rPr>
                <w:rFonts w:hint="default"/>
                <w:color w:val="auto"/>
                <w:sz w:val="21"/>
                <w:szCs w:val="21"/>
                <w:highlight w:val="none"/>
                <w:lang w:val="en-US" w:eastAsia="zh-CN"/>
              </w:rPr>
              <w:t>H</w:t>
            </w:r>
            <w:r>
              <w:rPr>
                <w:rFonts w:hint="eastAsia"/>
                <w:color w:val="auto"/>
                <w:sz w:val="21"/>
                <w:szCs w:val="21"/>
                <w:highlight w:val="none"/>
                <w:lang w:val="en-US" w:eastAsia="zh-CN"/>
              </w:rPr>
              <w:t>无量纲）</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18"/>
              <w:gridCol w:w="772"/>
              <w:gridCol w:w="966"/>
              <w:gridCol w:w="903"/>
              <w:gridCol w:w="772"/>
              <w:gridCol w:w="740"/>
              <w:gridCol w:w="543"/>
              <w:gridCol w:w="613"/>
              <w:gridCol w:w="1163"/>
            </w:tblGrid>
            <w:tr w14:paraId="4DD22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1718" w:type="dxa"/>
                  <w:tcBorders>
                    <w:tl2br w:val="nil"/>
                    <w:tr2bl w:val="nil"/>
                  </w:tcBorders>
                  <w:vAlign w:val="center"/>
                </w:tcPr>
                <w:p w14:paraId="039C19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项目</w:t>
                  </w:r>
                </w:p>
              </w:tc>
              <w:tc>
                <w:tcPr>
                  <w:tcW w:w="772" w:type="dxa"/>
                  <w:tcBorders>
                    <w:tl2br w:val="nil"/>
                    <w:tr2bl w:val="nil"/>
                  </w:tcBorders>
                  <w:vAlign w:val="center"/>
                </w:tcPr>
                <w:p w14:paraId="6F11C0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pH</w:t>
                  </w:r>
                </w:p>
              </w:tc>
              <w:tc>
                <w:tcPr>
                  <w:tcW w:w="966" w:type="dxa"/>
                  <w:tcBorders>
                    <w:tl2br w:val="nil"/>
                    <w:tr2bl w:val="nil"/>
                  </w:tcBorders>
                  <w:vAlign w:val="center"/>
                </w:tcPr>
                <w:p w14:paraId="788FF4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COD</w:t>
                  </w:r>
                  <w:r>
                    <w:rPr>
                      <w:rFonts w:hint="default"/>
                      <w:b/>
                      <w:bCs/>
                      <w:color w:val="auto"/>
                      <w:highlight w:val="none"/>
                      <w:vertAlign w:val="subscript"/>
                    </w:rPr>
                    <w:t>Cr</w:t>
                  </w:r>
                </w:p>
              </w:tc>
              <w:tc>
                <w:tcPr>
                  <w:tcW w:w="903" w:type="dxa"/>
                  <w:tcBorders>
                    <w:tl2br w:val="nil"/>
                    <w:tr2bl w:val="nil"/>
                  </w:tcBorders>
                  <w:vAlign w:val="center"/>
                </w:tcPr>
                <w:p w14:paraId="31E1D1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BOD</w:t>
                  </w:r>
                  <w:r>
                    <w:rPr>
                      <w:rFonts w:hint="default"/>
                      <w:b/>
                      <w:bCs/>
                      <w:color w:val="auto"/>
                      <w:highlight w:val="none"/>
                      <w:vertAlign w:val="subscript"/>
                    </w:rPr>
                    <w:t>5</w:t>
                  </w:r>
                </w:p>
              </w:tc>
              <w:tc>
                <w:tcPr>
                  <w:tcW w:w="772" w:type="dxa"/>
                  <w:tcBorders>
                    <w:tl2br w:val="nil"/>
                    <w:tr2bl w:val="nil"/>
                  </w:tcBorders>
                  <w:vAlign w:val="center"/>
                </w:tcPr>
                <w:p w14:paraId="66A3D7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SS</w:t>
                  </w:r>
                </w:p>
              </w:tc>
              <w:tc>
                <w:tcPr>
                  <w:tcW w:w="740" w:type="dxa"/>
                  <w:tcBorders>
                    <w:tl2br w:val="nil"/>
                    <w:tr2bl w:val="nil"/>
                  </w:tcBorders>
                  <w:vAlign w:val="center"/>
                </w:tcPr>
                <w:p w14:paraId="14A616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氨氮</w:t>
                  </w:r>
                </w:p>
              </w:tc>
              <w:tc>
                <w:tcPr>
                  <w:tcW w:w="543" w:type="dxa"/>
                  <w:tcBorders>
                    <w:tl2br w:val="nil"/>
                    <w:tr2bl w:val="nil"/>
                  </w:tcBorders>
                  <w:vAlign w:val="center"/>
                </w:tcPr>
                <w:p w14:paraId="565A7B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T</w:t>
                  </w:r>
                  <w:r>
                    <w:rPr>
                      <w:rFonts w:hint="default"/>
                      <w:b/>
                      <w:bCs/>
                      <w:color w:val="auto"/>
                      <w:highlight w:val="none"/>
                    </w:rPr>
                    <w:t>P</w:t>
                  </w:r>
                </w:p>
              </w:tc>
              <w:tc>
                <w:tcPr>
                  <w:tcW w:w="613" w:type="dxa"/>
                  <w:tcBorders>
                    <w:tl2br w:val="nil"/>
                    <w:tr2bl w:val="nil"/>
                  </w:tcBorders>
                  <w:vAlign w:val="center"/>
                </w:tcPr>
                <w:p w14:paraId="565772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TN</w:t>
                  </w:r>
                </w:p>
              </w:tc>
              <w:tc>
                <w:tcPr>
                  <w:tcW w:w="1163" w:type="dxa"/>
                  <w:tcBorders>
                    <w:tl2br w:val="nil"/>
                    <w:tr2bl w:val="nil"/>
                  </w:tcBorders>
                  <w:vAlign w:val="center"/>
                </w:tcPr>
                <w:p w14:paraId="0BF6E9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b/>
                      <w:bCs/>
                      <w:color w:val="auto"/>
                      <w:highlight w:val="none"/>
                      <w:lang w:val="en-US" w:eastAsia="zh-CN"/>
                    </w:rPr>
                  </w:pPr>
                  <w:r>
                    <w:rPr>
                      <w:rFonts w:hint="eastAsia"/>
                      <w:b/>
                      <w:bCs/>
                      <w:color w:val="auto"/>
                      <w:highlight w:val="none"/>
                      <w:lang w:val="en-US" w:eastAsia="zh-CN"/>
                    </w:rPr>
                    <w:t>动植物油</w:t>
                  </w:r>
                </w:p>
              </w:tc>
            </w:tr>
            <w:tr w14:paraId="491599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18" w:type="dxa"/>
                  <w:tcBorders>
                    <w:tl2br w:val="nil"/>
                    <w:tr2bl w:val="nil"/>
                  </w:tcBorders>
                  <w:vAlign w:val="center"/>
                </w:tcPr>
                <w:p w14:paraId="151E70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lang w:val="en-US" w:eastAsia="en-US"/>
                    </w:rPr>
                    <w:t>江西建筑陶瓷产业园污水处理厂接管标准</w:t>
                  </w:r>
                </w:p>
              </w:tc>
              <w:tc>
                <w:tcPr>
                  <w:tcW w:w="772" w:type="dxa"/>
                  <w:tcBorders>
                    <w:tl2br w:val="nil"/>
                    <w:tr2bl w:val="nil"/>
                  </w:tcBorders>
                  <w:vAlign w:val="center"/>
                </w:tcPr>
                <w:p w14:paraId="662F60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6～9</w:t>
                  </w:r>
                </w:p>
              </w:tc>
              <w:tc>
                <w:tcPr>
                  <w:tcW w:w="966" w:type="dxa"/>
                  <w:tcBorders>
                    <w:tl2br w:val="nil"/>
                    <w:tr2bl w:val="nil"/>
                  </w:tcBorders>
                  <w:vAlign w:val="center"/>
                </w:tcPr>
                <w:p w14:paraId="691323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500</w:t>
                  </w:r>
                </w:p>
              </w:tc>
              <w:tc>
                <w:tcPr>
                  <w:tcW w:w="903" w:type="dxa"/>
                  <w:tcBorders>
                    <w:tl2br w:val="nil"/>
                    <w:tr2bl w:val="nil"/>
                  </w:tcBorders>
                  <w:vAlign w:val="center"/>
                </w:tcPr>
                <w:p w14:paraId="538517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150</w:t>
                  </w:r>
                </w:p>
              </w:tc>
              <w:tc>
                <w:tcPr>
                  <w:tcW w:w="772" w:type="dxa"/>
                  <w:tcBorders>
                    <w:tl2br w:val="nil"/>
                    <w:tr2bl w:val="nil"/>
                  </w:tcBorders>
                  <w:vAlign w:val="center"/>
                </w:tcPr>
                <w:p w14:paraId="471B65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400</w:t>
                  </w:r>
                </w:p>
              </w:tc>
              <w:tc>
                <w:tcPr>
                  <w:tcW w:w="740" w:type="dxa"/>
                  <w:tcBorders>
                    <w:tl2br w:val="nil"/>
                    <w:tr2bl w:val="nil"/>
                  </w:tcBorders>
                  <w:vAlign w:val="center"/>
                </w:tcPr>
                <w:p w14:paraId="1F9A0C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50</w:t>
                  </w:r>
                </w:p>
              </w:tc>
              <w:tc>
                <w:tcPr>
                  <w:tcW w:w="543" w:type="dxa"/>
                  <w:tcBorders>
                    <w:tl2br w:val="nil"/>
                    <w:tr2bl w:val="nil"/>
                  </w:tcBorders>
                  <w:vAlign w:val="center"/>
                </w:tcPr>
                <w:p w14:paraId="4806CC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3</w:t>
                  </w:r>
                </w:p>
              </w:tc>
              <w:tc>
                <w:tcPr>
                  <w:tcW w:w="613" w:type="dxa"/>
                  <w:tcBorders>
                    <w:tl2br w:val="nil"/>
                    <w:tr2bl w:val="nil"/>
                  </w:tcBorders>
                  <w:vAlign w:val="center"/>
                </w:tcPr>
                <w:p w14:paraId="13195E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val="en-US" w:eastAsia="zh-CN"/>
                    </w:rPr>
                    <w:t>/</w:t>
                  </w:r>
                </w:p>
              </w:tc>
              <w:tc>
                <w:tcPr>
                  <w:tcW w:w="1163" w:type="dxa"/>
                  <w:tcBorders>
                    <w:tl2br w:val="nil"/>
                    <w:tr2bl w:val="nil"/>
                  </w:tcBorders>
                  <w:vAlign w:val="center"/>
                </w:tcPr>
                <w:p w14:paraId="749136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100</w:t>
                  </w:r>
                </w:p>
              </w:tc>
            </w:tr>
            <w:tr w14:paraId="68E19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18" w:type="dxa"/>
                  <w:tcBorders>
                    <w:tl2br w:val="nil"/>
                    <w:tr2bl w:val="nil"/>
                  </w:tcBorders>
                  <w:vAlign w:val="center"/>
                </w:tcPr>
                <w:p w14:paraId="101F03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（GB18918-2002）一级A标准</w:t>
                  </w:r>
                </w:p>
              </w:tc>
              <w:tc>
                <w:tcPr>
                  <w:tcW w:w="772" w:type="dxa"/>
                  <w:tcBorders>
                    <w:tl2br w:val="nil"/>
                    <w:tr2bl w:val="nil"/>
                  </w:tcBorders>
                  <w:vAlign w:val="center"/>
                </w:tcPr>
                <w:p w14:paraId="7805F6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6～9</w:t>
                  </w:r>
                </w:p>
              </w:tc>
              <w:tc>
                <w:tcPr>
                  <w:tcW w:w="966" w:type="dxa"/>
                  <w:tcBorders>
                    <w:tl2br w:val="nil"/>
                    <w:tr2bl w:val="nil"/>
                  </w:tcBorders>
                  <w:vAlign w:val="center"/>
                </w:tcPr>
                <w:p w14:paraId="1DA5EC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50</w:t>
                  </w:r>
                </w:p>
              </w:tc>
              <w:tc>
                <w:tcPr>
                  <w:tcW w:w="903" w:type="dxa"/>
                  <w:tcBorders>
                    <w:tl2br w:val="nil"/>
                    <w:tr2bl w:val="nil"/>
                  </w:tcBorders>
                  <w:vAlign w:val="center"/>
                </w:tcPr>
                <w:p w14:paraId="53B19C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10</w:t>
                  </w:r>
                </w:p>
              </w:tc>
              <w:tc>
                <w:tcPr>
                  <w:tcW w:w="772" w:type="dxa"/>
                  <w:tcBorders>
                    <w:tl2br w:val="nil"/>
                    <w:tr2bl w:val="nil"/>
                  </w:tcBorders>
                  <w:vAlign w:val="center"/>
                </w:tcPr>
                <w:p w14:paraId="2D1C71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10</w:t>
                  </w:r>
                </w:p>
              </w:tc>
              <w:tc>
                <w:tcPr>
                  <w:tcW w:w="740" w:type="dxa"/>
                  <w:tcBorders>
                    <w:tl2br w:val="nil"/>
                    <w:tr2bl w:val="nil"/>
                  </w:tcBorders>
                  <w:vAlign w:val="center"/>
                </w:tcPr>
                <w:p w14:paraId="61BB9B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val="en-US" w:eastAsia="zh-CN"/>
                    </w:rPr>
                    <w:t>5</w:t>
                  </w:r>
                </w:p>
              </w:tc>
              <w:tc>
                <w:tcPr>
                  <w:tcW w:w="543" w:type="dxa"/>
                  <w:tcBorders>
                    <w:tl2br w:val="nil"/>
                    <w:tr2bl w:val="nil"/>
                  </w:tcBorders>
                  <w:vAlign w:val="center"/>
                </w:tcPr>
                <w:p w14:paraId="00D96C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0.5</w:t>
                  </w:r>
                </w:p>
              </w:tc>
              <w:tc>
                <w:tcPr>
                  <w:tcW w:w="613" w:type="dxa"/>
                  <w:tcBorders>
                    <w:tl2br w:val="nil"/>
                    <w:tr2bl w:val="nil"/>
                  </w:tcBorders>
                  <w:vAlign w:val="center"/>
                </w:tcPr>
                <w:p w14:paraId="6067B0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15</w:t>
                  </w:r>
                </w:p>
              </w:tc>
              <w:tc>
                <w:tcPr>
                  <w:tcW w:w="1163" w:type="dxa"/>
                  <w:tcBorders>
                    <w:tl2br w:val="nil"/>
                    <w:tr2bl w:val="nil"/>
                  </w:tcBorders>
                  <w:vAlign w:val="center"/>
                </w:tcPr>
                <w:p w14:paraId="55B8A5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1</w:t>
                  </w:r>
                </w:p>
              </w:tc>
            </w:tr>
          </w:tbl>
          <w:p w14:paraId="291D111F">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p>
          <w:p w14:paraId="6C9375DA">
            <w:pPr>
              <w:pStyle w:val="39"/>
              <w:keepNext w:val="0"/>
              <w:keepLines w:val="0"/>
              <w:suppressLineNumbers w:val="0"/>
              <w:bidi w:val="0"/>
              <w:spacing w:before="0" w:beforeAutospacing="0" w:after="0" w:afterAutospacing="0"/>
              <w:ind w:left="0" w:right="0"/>
              <w:rPr>
                <w:rFonts w:hint="eastAsia"/>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7</w:t>
            </w:r>
            <w:r>
              <w:rPr>
                <w:rFonts w:hint="default"/>
                <w:color w:val="auto"/>
                <w:sz w:val="21"/>
                <w:szCs w:val="21"/>
                <w:highlight w:val="none"/>
                <w:lang w:val="en-US" w:eastAsia="zh-CN"/>
              </w:rPr>
              <w:t xml:space="preserve"> 洗车</w:t>
            </w:r>
            <w:r>
              <w:rPr>
                <w:rFonts w:hint="eastAsia"/>
                <w:color w:val="auto"/>
                <w:sz w:val="21"/>
                <w:szCs w:val="21"/>
                <w:highlight w:val="none"/>
                <w:lang w:val="en-US" w:eastAsia="zh-CN"/>
              </w:rPr>
              <w:t>废</w:t>
            </w:r>
            <w:r>
              <w:rPr>
                <w:rFonts w:hint="default"/>
                <w:color w:val="auto"/>
                <w:sz w:val="21"/>
                <w:szCs w:val="21"/>
                <w:highlight w:val="none"/>
                <w:lang w:val="en-US" w:eastAsia="zh-CN"/>
              </w:rPr>
              <w:t>水、养护</w:t>
            </w:r>
            <w:r>
              <w:rPr>
                <w:rFonts w:hint="eastAsia"/>
                <w:color w:val="auto"/>
                <w:sz w:val="21"/>
                <w:szCs w:val="21"/>
                <w:highlight w:val="none"/>
                <w:lang w:val="en-US" w:eastAsia="zh-CN"/>
              </w:rPr>
              <w:t>废</w:t>
            </w:r>
            <w:r>
              <w:rPr>
                <w:rFonts w:hint="default"/>
                <w:color w:val="auto"/>
                <w:sz w:val="21"/>
                <w:szCs w:val="21"/>
                <w:highlight w:val="none"/>
                <w:lang w:val="en-US" w:eastAsia="zh-CN"/>
              </w:rPr>
              <w:t>水</w:t>
            </w:r>
            <w:r>
              <w:rPr>
                <w:rFonts w:hint="eastAsia"/>
                <w:color w:val="auto"/>
                <w:sz w:val="21"/>
                <w:szCs w:val="21"/>
                <w:highlight w:val="none"/>
                <w:lang w:val="en-US" w:eastAsia="zh-CN"/>
              </w:rPr>
              <w:t>和初期雨水回用</w:t>
            </w:r>
            <w:r>
              <w:rPr>
                <w:rFonts w:hint="default"/>
                <w:color w:val="auto"/>
                <w:sz w:val="21"/>
                <w:szCs w:val="21"/>
                <w:highlight w:val="none"/>
                <w:lang w:val="en-US" w:eastAsia="zh-CN"/>
              </w:rPr>
              <w:t>标准限值</w:t>
            </w:r>
            <w:r>
              <w:rPr>
                <w:rFonts w:hint="eastAsia"/>
                <w:color w:val="auto"/>
                <w:sz w:val="21"/>
                <w:szCs w:val="21"/>
                <w:highlight w:val="none"/>
                <w:lang w:val="en-US" w:eastAsia="zh-CN"/>
              </w:rPr>
              <w:t>（单位：m</w:t>
            </w:r>
            <w:r>
              <w:rPr>
                <w:rFonts w:hint="default"/>
                <w:color w:val="auto"/>
                <w:sz w:val="21"/>
                <w:szCs w:val="21"/>
                <w:highlight w:val="none"/>
                <w:lang w:val="en-US" w:eastAsia="zh-CN"/>
              </w:rPr>
              <w:t>g/L</w:t>
            </w:r>
            <w:r>
              <w:rPr>
                <w:rFonts w:hint="eastAsia"/>
                <w:color w:val="auto"/>
                <w:sz w:val="21"/>
                <w:szCs w:val="21"/>
                <w:highlight w:val="none"/>
                <w:lang w:val="en-US" w:eastAsia="zh-CN"/>
              </w:rPr>
              <w:t>，p</w:t>
            </w:r>
            <w:r>
              <w:rPr>
                <w:rFonts w:hint="default"/>
                <w:color w:val="auto"/>
                <w:sz w:val="21"/>
                <w:szCs w:val="21"/>
                <w:highlight w:val="none"/>
                <w:lang w:val="en-US" w:eastAsia="zh-CN"/>
              </w:rPr>
              <w:t>H</w:t>
            </w:r>
            <w:r>
              <w:rPr>
                <w:rFonts w:hint="eastAsia"/>
                <w:color w:val="auto"/>
                <w:sz w:val="21"/>
                <w:szCs w:val="21"/>
                <w:highlight w:val="none"/>
                <w:lang w:val="en-US" w:eastAsia="zh-CN"/>
              </w:rPr>
              <w:t>无量纲）</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54"/>
              <w:gridCol w:w="1003"/>
              <w:gridCol w:w="2270"/>
              <w:gridCol w:w="1662"/>
              <w:gridCol w:w="1838"/>
              <w:gridCol w:w="863"/>
            </w:tblGrid>
            <w:tr w14:paraId="567A54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54" w:type="dxa"/>
                  <w:tcBorders>
                    <w:tl2br w:val="nil"/>
                    <w:tr2bl w:val="nil"/>
                  </w:tcBorders>
                  <w:vAlign w:val="center"/>
                </w:tcPr>
                <w:p w14:paraId="669693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序号</w:t>
                  </w:r>
                </w:p>
              </w:tc>
              <w:tc>
                <w:tcPr>
                  <w:tcW w:w="1003" w:type="dxa"/>
                  <w:tcBorders>
                    <w:tl2br w:val="nil"/>
                    <w:tr2bl w:val="nil"/>
                  </w:tcBorders>
                  <w:vAlign w:val="center"/>
                </w:tcPr>
                <w:p w14:paraId="5B9F40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控制项目</w:t>
                  </w:r>
                </w:p>
              </w:tc>
              <w:tc>
                <w:tcPr>
                  <w:tcW w:w="2270" w:type="dxa"/>
                  <w:tcBorders>
                    <w:tl2br w:val="nil"/>
                    <w:tr2bl w:val="nil"/>
                  </w:tcBorders>
                  <w:vAlign w:val="center"/>
                </w:tcPr>
                <w:p w14:paraId="2E19B0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《城市污水再生利用工业用水水质》(GB/T19923-2024)工艺与产品用水</w:t>
                  </w:r>
                </w:p>
              </w:tc>
              <w:tc>
                <w:tcPr>
                  <w:tcW w:w="1662" w:type="dxa"/>
                  <w:tcBorders>
                    <w:tl2br w:val="nil"/>
                    <w:tr2bl w:val="nil"/>
                  </w:tcBorders>
                  <w:vAlign w:val="center"/>
                </w:tcPr>
                <w:p w14:paraId="093310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《无机化学工业污染物排放标准》（GB31573-2015）</w:t>
                  </w:r>
                </w:p>
              </w:tc>
              <w:tc>
                <w:tcPr>
                  <w:tcW w:w="1838" w:type="dxa"/>
                  <w:tcBorders>
                    <w:tl2br w:val="nil"/>
                    <w:tr2bl w:val="nil"/>
                  </w:tcBorders>
                  <w:vAlign w:val="center"/>
                </w:tcPr>
                <w:p w14:paraId="2D6120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《工业废水铊污染物排放标准》（DB36/1149-2019）</w:t>
                  </w:r>
                </w:p>
              </w:tc>
              <w:tc>
                <w:tcPr>
                  <w:tcW w:w="863" w:type="dxa"/>
                  <w:tcBorders>
                    <w:tl2br w:val="nil"/>
                    <w:tr2bl w:val="nil"/>
                  </w:tcBorders>
                  <w:vAlign w:val="center"/>
                </w:tcPr>
                <w:p w14:paraId="5B237D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000000" w:themeColor="text1"/>
                      <w:highlight w:val="none"/>
                      <w14:textFill>
                        <w14:solidFill>
                          <w14:schemeClr w14:val="tx1"/>
                        </w14:solidFill>
                      </w14:textFill>
                    </w:rPr>
                  </w:pPr>
                  <w:r>
                    <w:rPr>
                      <w:rFonts w:hint="eastAsia"/>
                      <w:b/>
                      <w:bCs/>
                      <w:color w:val="000000" w:themeColor="text1"/>
                      <w:highlight w:val="none"/>
                      <w14:textFill>
                        <w14:solidFill>
                          <w14:schemeClr w14:val="tx1"/>
                        </w14:solidFill>
                      </w14:textFill>
                    </w:rPr>
                    <w:t>本项目执行标准</w:t>
                  </w:r>
                </w:p>
              </w:tc>
            </w:tr>
            <w:tr w14:paraId="504369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163B4F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w:t>
                  </w:r>
                </w:p>
              </w:tc>
              <w:tc>
                <w:tcPr>
                  <w:tcW w:w="1003" w:type="dxa"/>
                  <w:tcBorders>
                    <w:tl2br w:val="nil"/>
                    <w:tr2bl w:val="nil"/>
                  </w:tcBorders>
                  <w:vAlign w:val="center"/>
                </w:tcPr>
                <w:p w14:paraId="0BE232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pH值</w:t>
                  </w:r>
                </w:p>
              </w:tc>
              <w:tc>
                <w:tcPr>
                  <w:tcW w:w="2270" w:type="dxa"/>
                  <w:tcBorders>
                    <w:tl2br w:val="nil"/>
                    <w:tr2bl w:val="nil"/>
                  </w:tcBorders>
                  <w:vAlign w:val="center"/>
                </w:tcPr>
                <w:p w14:paraId="30BDC3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6—9</w:t>
                  </w:r>
                </w:p>
              </w:tc>
              <w:tc>
                <w:tcPr>
                  <w:tcW w:w="1662" w:type="dxa"/>
                  <w:tcBorders>
                    <w:tl2br w:val="nil"/>
                    <w:tr2bl w:val="nil"/>
                  </w:tcBorders>
                  <w:vAlign w:val="center"/>
                </w:tcPr>
                <w:p w14:paraId="0DCC07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6~9</w:t>
                  </w:r>
                </w:p>
              </w:tc>
              <w:tc>
                <w:tcPr>
                  <w:tcW w:w="1838" w:type="dxa"/>
                  <w:tcBorders>
                    <w:tl2br w:val="nil"/>
                    <w:tr2bl w:val="nil"/>
                  </w:tcBorders>
                  <w:vAlign w:val="center"/>
                </w:tcPr>
                <w:p w14:paraId="646D77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116C15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6—9</w:t>
                  </w:r>
                </w:p>
              </w:tc>
            </w:tr>
            <w:tr w14:paraId="66340A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76B002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c>
                <w:tcPr>
                  <w:tcW w:w="1003" w:type="dxa"/>
                  <w:tcBorders>
                    <w:tl2br w:val="nil"/>
                    <w:tr2bl w:val="nil"/>
                  </w:tcBorders>
                  <w:vAlign w:val="center"/>
                </w:tcPr>
                <w:p w14:paraId="6F7A2D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SS</w:t>
                  </w:r>
                </w:p>
              </w:tc>
              <w:tc>
                <w:tcPr>
                  <w:tcW w:w="2270" w:type="dxa"/>
                  <w:tcBorders>
                    <w:tl2br w:val="nil"/>
                    <w:tr2bl w:val="nil"/>
                  </w:tcBorders>
                  <w:vAlign w:val="center"/>
                </w:tcPr>
                <w:p w14:paraId="2378FD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1662" w:type="dxa"/>
                  <w:tcBorders>
                    <w:tl2br w:val="nil"/>
                    <w:tr2bl w:val="nil"/>
                  </w:tcBorders>
                  <w:vAlign w:val="center"/>
                </w:tcPr>
                <w:p w14:paraId="1F289F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200</w:t>
                  </w:r>
                </w:p>
              </w:tc>
              <w:tc>
                <w:tcPr>
                  <w:tcW w:w="1838" w:type="dxa"/>
                  <w:tcBorders>
                    <w:tl2br w:val="nil"/>
                    <w:tr2bl w:val="nil"/>
                  </w:tcBorders>
                  <w:vAlign w:val="center"/>
                </w:tcPr>
                <w:p w14:paraId="0983AF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1D30C5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200</w:t>
                  </w:r>
                </w:p>
              </w:tc>
            </w:tr>
            <w:tr w14:paraId="127132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194518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3</w:t>
                  </w:r>
                </w:p>
              </w:tc>
              <w:tc>
                <w:tcPr>
                  <w:tcW w:w="1003" w:type="dxa"/>
                  <w:tcBorders>
                    <w:tl2br w:val="nil"/>
                    <w:tr2bl w:val="nil"/>
                  </w:tcBorders>
                  <w:vAlign w:val="center"/>
                </w:tcPr>
                <w:p w14:paraId="0F913D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BOD</w:t>
                  </w:r>
                  <w:r>
                    <w:rPr>
                      <w:rFonts w:hint="default"/>
                      <w:color w:val="auto"/>
                      <w:highlight w:val="none"/>
                      <w:vertAlign w:val="subscript"/>
                    </w:rPr>
                    <w:t>5</w:t>
                  </w:r>
                </w:p>
              </w:tc>
              <w:tc>
                <w:tcPr>
                  <w:tcW w:w="2270" w:type="dxa"/>
                  <w:tcBorders>
                    <w:tl2br w:val="nil"/>
                    <w:tr2bl w:val="nil"/>
                  </w:tcBorders>
                  <w:vAlign w:val="center"/>
                </w:tcPr>
                <w:p w14:paraId="0A1742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10</w:t>
                  </w:r>
                </w:p>
              </w:tc>
              <w:tc>
                <w:tcPr>
                  <w:tcW w:w="1662" w:type="dxa"/>
                  <w:tcBorders>
                    <w:tl2br w:val="nil"/>
                    <w:tr2bl w:val="nil"/>
                  </w:tcBorders>
                  <w:vAlign w:val="center"/>
                </w:tcPr>
                <w:p w14:paraId="3E561C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1838" w:type="dxa"/>
                  <w:tcBorders>
                    <w:tl2br w:val="nil"/>
                    <w:tr2bl w:val="nil"/>
                  </w:tcBorders>
                  <w:vAlign w:val="center"/>
                </w:tcPr>
                <w:p w14:paraId="331515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020468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10</w:t>
                  </w:r>
                </w:p>
              </w:tc>
            </w:tr>
            <w:tr w14:paraId="3EF51E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5C6DF2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4</w:t>
                  </w:r>
                </w:p>
              </w:tc>
              <w:tc>
                <w:tcPr>
                  <w:tcW w:w="1003" w:type="dxa"/>
                  <w:tcBorders>
                    <w:tl2br w:val="nil"/>
                    <w:tr2bl w:val="nil"/>
                  </w:tcBorders>
                  <w:vAlign w:val="center"/>
                </w:tcPr>
                <w:p w14:paraId="5F7FD3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default"/>
                      <w:color w:val="auto"/>
                      <w:highlight w:val="none"/>
                    </w:rPr>
                    <w:t>COD</w:t>
                  </w:r>
                  <w:r>
                    <w:rPr>
                      <w:rFonts w:hint="eastAsia"/>
                      <w:color w:val="auto"/>
                      <w:highlight w:val="none"/>
                      <w:lang w:val="en-US" w:eastAsia="zh-CN"/>
                    </w:rPr>
                    <w:t>cr</w:t>
                  </w:r>
                </w:p>
              </w:tc>
              <w:tc>
                <w:tcPr>
                  <w:tcW w:w="2270" w:type="dxa"/>
                  <w:tcBorders>
                    <w:tl2br w:val="nil"/>
                    <w:tr2bl w:val="nil"/>
                  </w:tcBorders>
                  <w:vAlign w:val="center"/>
                </w:tcPr>
                <w:p w14:paraId="4CFD64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50</w:t>
                  </w:r>
                </w:p>
              </w:tc>
              <w:tc>
                <w:tcPr>
                  <w:tcW w:w="1662" w:type="dxa"/>
                  <w:tcBorders>
                    <w:tl2br w:val="nil"/>
                    <w:tr2bl w:val="nil"/>
                  </w:tcBorders>
                  <w:vAlign w:val="center"/>
                </w:tcPr>
                <w:p w14:paraId="23F0A1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100</w:t>
                  </w:r>
                </w:p>
              </w:tc>
              <w:tc>
                <w:tcPr>
                  <w:tcW w:w="1838" w:type="dxa"/>
                  <w:tcBorders>
                    <w:tl2br w:val="nil"/>
                    <w:tr2bl w:val="nil"/>
                  </w:tcBorders>
                  <w:vAlign w:val="center"/>
                </w:tcPr>
                <w:p w14:paraId="0D28A7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2F4501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50</w:t>
                  </w:r>
                </w:p>
              </w:tc>
            </w:tr>
            <w:tr w14:paraId="084F7F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0B7CE7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5</w:t>
                  </w:r>
                </w:p>
              </w:tc>
              <w:tc>
                <w:tcPr>
                  <w:tcW w:w="1003" w:type="dxa"/>
                  <w:tcBorders>
                    <w:tl2br w:val="nil"/>
                    <w:tr2bl w:val="nil"/>
                  </w:tcBorders>
                  <w:vAlign w:val="center"/>
                </w:tcPr>
                <w:p w14:paraId="2F25AB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氟化物</w:t>
                  </w:r>
                </w:p>
              </w:tc>
              <w:tc>
                <w:tcPr>
                  <w:tcW w:w="2270" w:type="dxa"/>
                  <w:tcBorders>
                    <w:tl2br w:val="nil"/>
                    <w:tr2bl w:val="nil"/>
                  </w:tcBorders>
                  <w:vAlign w:val="center"/>
                </w:tcPr>
                <w:p w14:paraId="10765B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250</w:t>
                  </w:r>
                </w:p>
              </w:tc>
              <w:tc>
                <w:tcPr>
                  <w:tcW w:w="1662" w:type="dxa"/>
                  <w:tcBorders>
                    <w:tl2br w:val="nil"/>
                    <w:tr2bl w:val="nil"/>
                  </w:tcBorders>
                  <w:vAlign w:val="center"/>
                </w:tcPr>
                <w:p w14:paraId="539340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c>
                <w:tcPr>
                  <w:tcW w:w="1838" w:type="dxa"/>
                  <w:tcBorders>
                    <w:tl2br w:val="nil"/>
                    <w:tr2bl w:val="nil"/>
                  </w:tcBorders>
                  <w:vAlign w:val="center"/>
                </w:tcPr>
                <w:p w14:paraId="329F92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42BB4B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2</w:t>
                  </w:r>
                </w:p>
              </w:tc>
            </w:tr>
            <w:tr w14:paraId="43CE0B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77FF1C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6</w:t>
                  </w:r>
                </w:p>
              </w:tc>
              <w:tc>
                <w:tcPr>
                  <w:tcW w:w="1003" w:type="dxa"/>
                  <w:tcBorders>
                    <w:tl2br w:val="nil"/>
                    <w:tr2bl w:val="nil"/>
                  </w:tcBorders>
                  <w:vAlign w:val="center"/>
                </w:tcPr>
                <w:p w14:paraId="32B18A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铊</w:t>
                  </w:r>
                </w:p>
              </w:tc>
              <w:tc>
                <w:tcPr>
                  <w:tcW w:w="2270" w:type="dxa"/>
                  <w:tcBorders>
                    <w:tl2br w:val="nil"/>
                    <w:tr2bl w:val="nil"/>
                  </w:tcBorders>
                  <w:vAlign w:val="center"/>
                </w:tcPr>
                <w:p w14:paraId="486935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1662" w:type="dxa"/>
                  <w:tcBorders>
                    <w:tl2br w:val="nil"/>
                    <w:tr2bl w:val="nil"/>
                  </w:tcBorders>
                  <w:vAlign w:val="center"/>
                </w:tcPr>
                <w:p w14:paraId="034830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0.005</w:t>
                  </w:r>
                </w:p>
              </w:tc>
              <w:tc>
                <w:tcPr>
                  <w:tcW w:w="1838" w:type="dxa"/>
                  <w:tcBorders>
                    <w:tl2br w:val="nil"/>
                    <w:tr2bl w:val="nil"/>
                  </w:tcBorders>
                  <w:vAlign w:val="center"/>
                </w:tcPr>
                <w:p w14:paraId="5DEC2F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rPr>
                    <w:t>0.00</w:t>
                  </w:r>
                  <w:r>
                    <w:rPr>
                      <w:rFonts w:hint="eastAsia"/>
                      <w:color w:val="auto"/>
                      <w:highlight w:val="none"/>
                      <w:lang w:val="en-US" w:eastAsia="zh-CN"/>
                    </w:rPr>
                    <w:t>5</w:t>
                  </w:r>
                </w:p>
              </w:tc>
              <w:tc>
                <w:tcPr>
                  <w:tcW w:w="863" w:type="dxa"/>
                  <w:tcBorders>
                    <w:tl2br w:val="nil"/>
                    <w:tr2bl w:val="nil"/>
                  </w:tcBorders>
                  <w:vAlign w:val="center"/>
                </w:tcPr>
                <w:p w14:paraId="5ECD80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14:textFill>
                        <w14:solidFill>
                          <w14:schemeClr w14:val="tx1"/>
                        </w14:solidFill>
                      </w14:textFill>
                    </w:rPr>
                    <w:t>0.00</w:t>
                  </w:r>
                  <w:r>
                    <w:rPr>
                      <w:rFonts w:hint="eastAsia"/>
                      <w:color w:val="000000" w:themeColor="text1"/>
                      <w:highlight w:val="none"/>
                      <w:lang w:val="en-US" w:eastAsia="zh-CN"/>
                      <w14:textFill>
                        <w14:solidFill>
                          <w14:schemeClr w14:val="tx1"/>
                        </w14:solidFill>
                      </w14:textFill>
                    </w:rPr>
                    <w:t>5</w:t>
                  </w:r>
                </w:p>
              </w:tc>
            </w:tr>
            <w:tr w14:paraId="03E8AE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52FB47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7</w:t>
                  </w:r>
                </w:p>
              </w:tc>
              <w:tc>
                <w:tcPr>
                  <w:tcW w:w="1003" w:type="dxa"/>
                  <w:tcBorders>
                    <w:tl2br w:val="nil"/>
                    <w:tr2bl w:val="nil"/>
                  </w:tcBorders>
                  <w:vAlign w:val="center"/>
                </w:tcPr>
                <w:p w14:paraId="7F772E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铍</w:t>
                  </w:r>
                </w:p>
              </w:tc>
              <w:tc>
                <w:tcPr>
                  <w:tcW w:w="2270" w:type="dxa"/>
                  <w:tcBorders>
                    <w:tl2br w:val="nil"/>
                    <w:tr2bl w:val="nil"/>
                  </w:tcBorders>
                  <w:vAlign w:val="center"/>
                </w:tcPr>
                <w:p w14:paraId="3553D4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1662" w:type="dxa"/>
                  <w:tcBorders>
                    <w:tl2br w:val="nil"/>
                    <w:tr2bl w:val="nil"/>
                  </w:tcBorders>
                  <w:vAlign w:val="center"/>
                </w:tcPr>
                <w:p w14:paraId="43A7D7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0.005</w:t>
                  </w:r>
                </w:p>
              </w:tc>
              <w:tc>
                <w:tcPr>
                  <w:tcW w:w="1838" w:type="dxa"/>
                  <w:tcBorders>
                    <w:tl2br w:val="nil"/>
                    <w:tr2bl w:val="nil"/>
                  </w:tcBorders>
                  <w:vAlign w:val="center"/>
                </w:tcPr>
                <w:p w14:paraId="0D79F2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12D84D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0.005</w:t>
                  </w:r>
                </w:p>
              </w:tc>
            </w:tr>
            <w:tr w14:paraId="3E5BC1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3B796F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8</w:t>
                  </w:r>
                </w:p>
              </w:tc>
              <w:tc>
                <w:tcPr>
                  <w:tcW w:w="1003" w:type="dxa"/>
                  <w:tcBorders>
                    <w:tl2br w:val="nil"/>
                    <w:tr2bl w:val="nil"/>
                  </w:tcBorders>
                  <w:vAlign w:val="center"/>
                </w:tcPr>
                <w:p w14:paraId="54940B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氨氮</w:t>
                  </w:r>
                </w:p>
              </w:tc>
              <w:tc>
                <w:tcPr>
                  <w:tcW w:w="2270" w:type="dxa"/>
                  <w:tcBorders>
                    <w:tl2br w:val="nil"/>
                    <w:tr2bl w:val="nil"/>
                  </w:tcBorders>
                  <w:vAlign w:val="center"/>
                </w:tcPr>
                <w:p w14:paraId="282B5A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5</w:t>
                  </w:r>
                </w:p>
              </w:tc>
              <w:tc>
                <w:tcPr>
                  <w:tcW w:w="1662" w:type="dxa"/>
                  <w:tcBorders>
                    <w:tl2br w:val="nil"/>
                    <w:tr2bl w:val="nil"/>
                  </w:tcBorders>
                  <w:vAlign w:val="center"/>
                </w:tcPr>
                <w:p w14:paraId="0B25C57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40</w:t>
                  </w:r>
                </w:p>
              </w:tc>
              <w:tc>
                <w:tcPr>
                  <w:tcW w:w="1838" w:type="dxa"/>
                  <w:tcBorders>
                    <w:tl2br w:val="nil"/>
                    <w:tr2bl w:val="nil"/>
                  </w:tcBorders>
                  <w:vAlign w:val="center"/>
                </w:tcPr>
                <w:p w14:paraId="40EFEB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440192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5</w:t>
                  </w:r>
                </w:p>
              </w:tc>
            </w:tr>
            <w:tr w14:paraId="557AEA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54" w:type="dxa"/>
                  <w:tcBorders>
                    <w:tl2br w:val="nil"/>
                    <w:tr2bl w:val="nil"/>
                  </w:tcBorders>
                  <w:vAlign w:val="center"/>
                </w:tcPr>
                <w:p w14:paraId="3CE0C6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9</w:t>
                  </w:r>
                </w:p>
              </w:tc>
              <w:tc>
                <w:tcPr>
                  <w:tcW w:w="1003" w:type="dxa"/>
                  <w:tcBorders>
                    <w:tl2br w:val="nil"/>
                    <w:tr2bl w:val="nil"/>
                  </w:tcBorders>
                  <w:vAlign w:val="center"/>
                </w:tcPr>
                <w:p w14:paraId="5C8D30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石油类</w:t>
                  </w:r>
                </w:p>
              </w:tc>
              <w:tc>
                <w:tcPr>
                  <w:tcW w:w="2270" w:type="dxa"/>
                  <w:tcBorders>
                    <w:tl2br w:val="nil"/>
                    <w:tr2bl w:val="nil"/>
                  </w:tcBorders>
                  <w:vAlign w:val="center"/>
                </w:tcPr>
                <w:p w14:paraId="128EBB8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w:t>
                  </w:r>
                </w:p>
              </w:tc>
              <w:tc>
                <w:tcPr>
                  <w:tcW w:w="1662" w:type="dxa"/>
                  <w:tcBorders>
                    <w:tl2br w:val="nil"/>
                    <w:tr2bl w:val="nil"/>
                  </w:tcBorders>
                  <w:vAlign w:val="center"/>
                </w:tcPr>
                <w:p w14:paraId="0144F5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6</w:t>
                  </w:r>
                </w:p>
              </w:tc>
              <w:tc>
                <w:tcPr>
                  <w:tcW w:w="1838" w:type="dxa"/>
                  <w:tcBorders>
                    <w:tl2br w:val="nil"/>
                    <w:tr2bl w:val="nil"/>
                  </w:tcBorders>
                  <w:vAlign w:val="center"/>
                </w:tcPr>
                <w:p w14:paraId="47F244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863" w:type="dxa"/>
                  <w:tcBorders>
                    <w:tl2br w:val="nil"/>
                    <w:tr2bl w:val="nil"/>
                  </w:tcBorders>
                  <w:vAlign w:val="center"/>
                </w:tcPr>
                <w:p w14:paraId="106C10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1</w:t>
                  </w:r>
                </w:p>
              </w:tc>
            </w:tr>
          </w:tbl>
          <w:p w14:paraId="0B9723D5">
            <w:pPr>
              <w:pStyle w:val="39"/>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表3-14 后期雨水排放标准一览表 单位：mg/L</w:t>
            </w:r>
          </w:p>
          <w:tbl>
            <w:tblPr>
              <w:tblStyle w:val="26"/>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533"/>
              <w:gridCol w:w="1348"/>
              <w:gridCol w:w="2337"/>
              <w:gridCol w:w="2400"/>
              <w:gridCol w:w="1572"/>
            </w:tblGrid>
            <w:tr w14:paraId="1E1098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751" w:hRule="atLeast"/>
                <w:jc w:val="center"/>
              </w:trPr>
              <w:tc>
                <w:tcPr>
                  <w:tcW w:w="590" w:type="dxa"/>
                  <w:tcBorders>
                    <w:tl2br w:val="nil"/>
                    <w:tr2bl w:val="nil"/>
                  </w:tcBorders>
                  <w:vAlign w:val="center"/>
                </w:tcPr>
                <w:p w14:paraId="6C325D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序号</w:t>
                  </w:r>
                </w:p>
              </w:tc>
              <w:tc>
                <w:tcPr>
                  <w:tcW w:w="1493" w:type="dxa"/>
                  <w:tcBorders>
                    <w:tl2br w:val="nil"/>
                    <w:tr2bl w:val="nil"/>
                  </w:tcBorders>
                  <w:vAlign w:val="center"/>
                </w:tcPr>
                <w:p w14:paraId="49921D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控制项目</w:t>
                  </w:r>
                </w:p>
              </w:tc>
              <w:tc>
                <w:tcPr>
                  <w:tcW w:w="2589" w:type="dxa"/>
                  <w:tcBorders>
                    <w:tl2br w:val="nil"/>
                    <w:tr2bl w:val="nil"/>
                  </w:tcBorders>
                  <w:vAlign w:val="center"/>
                </w:tcPr>
                <w:p w14:paraId="57F6EC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《无机化学工业污染物排放标准》（GB31573-2015）</w:t>
                  </w:r>
                </w:p>
              </w:tc>
              <w:tc>
                <w:tcPr>
                  <w:tcW w:w="2659" w:type="dxa"/>
                  <w:tcBorders>
                    <w:tl2br w:val="nil"/>
                    <w:tr2bl w:val="nil"/>
                  </w:tcBorders>
                  <w:vAlign w:val="center"/>
                </w:tcPr>
                <w:p w14:paraId="663ACC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《工业废水铊污染物排放标准》（DB36/1149-2019）</w:t>
                  </w:r>
                </w:p>
              </w:tc>
              <w:tc>
                <w:tcPr>
                  <w:tcW w:w="1741" w:type="dxa"/>
                  <w:tcBorders>
                    <w:tl2br w:val="nil"/>
                    <w:tr2bl w:val="nil"/>
                  </w:tcBorders>
                  <w:vAlign w:val="center"/>
                </w:tcPr>
                <w:p w14:paraId="1A8C01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本项目执行标准</w:t>
                  </w:r>
                </w:p>
              </w:tc>
            </w:tr>
            <w:tr w14:paraId="72E805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90" w:type="dxa"/>
                  <w:tcBorders>
                    <w:tl2br w:val="nil"/>
                    <w:tr2bl w:val="nil"/>
                  </w:tcBorders>
                  <w:vAlign w:val="center"/>
                </w:tcPr>
                <w:p w14:paraId="2E3347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1</w:t>
                  </w:r>
                </w:p>
              </w:tc>
              <w:tc>
                <w:tcPr>
                  <w:tcW w:w="1493" w:type="dxa"/>
                  <w:tcBorders>
                    <w:tl2br w:val="nil"/>
                    <w:tr2bl w:val="nil"/>
                  </w:tcBorders>
                  <w:vAlign w:val="center"/>
                </w:tcPr>
                <w:p w14:paraId="33DE3C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氟化物</w:t>
                  </w:r>
                </w:p>
              </w:tc>
              <w:tc>
                <w:tcPr>
                  <w:tcW w:w="2589" w:type="dxa"/>
                  <w:tcBorders>
                    <w:tl2br w:val="nil"/>
                    <w:tr2bl w:val="nil"/>
                  </w:tcBorders>
                  <w:vAlign w:val="center"/>
                </w:tcPr>
                <w:p w14:paraId="2EE3E8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c>
                <w:tcPr>
                  <w:tcW w:w="2659" w:type="dxa"/>
                  <w:tcBorders>
                    <w:tl2br w:val="nil"/>
                    <w:tr2bl w:val="nil"/>
                  </w:tcBorders>
                  <w:vAlign w:val="center"/>
                </w:tcPr>
                <w:p w14:paraId="3C81A5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c>
                <w:tcPr>
                  <w:tcW w:w="1741" w:type="dxa"/>
                  <w:tcBorders>
                    <w:tl2br w:val="nil"/>
                    <w:tr2bl w:val="nil"/>
                  </w:tcBorders>
                  <w:vAlign w:val="center"/>
                </w:tcPr>
                <w:p w14:paraId="755879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r>
            <w:tr w14:paraId="69F9F0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590" w:type="dxa"/>
                  <w:tcBorders>
                    <w:tl2br w:val="nil"/>
                    <w:tr2bl w:val="nil"/>
                  </w:tcBorders>
                  <w:vAlign w:val="center"/>
                </w:tcPr>
                <w:p w14:paraId="508644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2</w:t>
                  </w:r>
                </w:p>
              </w:tc>
              <w:tc>
                <w:tcPr>
                  <w:tcW w:w="1493" w:type="dxa"/>
                  <w:tcBorders>
                    <w:tl2br w:val="nil"/>
                    <w:tr2bl w:val="nil"/>
                  </w:tcBorders>
                  <w:vAlign w:val="center"/>
                </w:tcPr>
                <w:p w14:paraId="401959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铊</w:t>
                  </w:r>
                </w:p>
              </w:tc>
              <w:tc>
                <w:tcPr>
                  <w:tcW w:w="2589" w:type="dxa"/>
                  <w:tcBorders>
                    <w:tl2br w:val="nil"/>
                    <w:tr2bl w:val="nil"/>
                  </w:tcBorders>
                  <w:vAlign w:val="center"/>
                </w:tcPr>
                <w:p w14:paraId="2B8E007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val="en-US" w:eastAsia="zh-CN"/>
                    </w:rPr>
                    <w:t>/</w:t>
                  </w:r>
                </w:p>
              </w:tc>
              <w:tc>
                <w:tcPr>
                  <w:tcW w:w="2659" w:type="dxa"/>
                  <w:tcBorders>
                    <w:tl2br w:val="nil"/>
                    <w:tr2bl w:val="nil"/>
                  </w:tcBorders>
                  <w:vAlign w:val="center"/>
                </w:tcPr>
                <w:p w14:paraId="02E436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rPr>
                    <w:t>0.00</w:t>
                  </w:r>
                  <w:r>
                    <w:rPr>
                      <w:rFonts w:hint="eastAsia"/>
                      <w:color w:val="auto"/>
                      <w:highlight w:val="none"/>
                      <w:lang w:val="en-US" w:eastAsia="zh-CN"/>
                    </w:rPr>
                    <w:t>5</w:t>
                  </w:r>
                </w:p>
              </w:tc>
              <w:tc>
                <w:tcPr>
                  <w:tcW w:w="1741" w:type="dxa"/>
                  <w:tcBorders>
                    <w:tl2br w:val="nil"/>
                    <w:tr2bl w:val="nil"/>
                  </w:tcBorders>
                  <w:vAlign w:val="center"/>
                </w:tcPr>
                <w:p w14:paraId="737CA3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rPr>
                    <w:t>0.00</w:t>
                  </w:r>
                  <w:r>
                    <w:rPr>
                      <w:rFonts w:hint="eastAsia"/>
                      <w:color w:val="auto"/>
                      <w:highlight w:val="none"/>
                      <w:lang w:val="en-US" w:eastAsia="zh-CN"/>
                    </w:rPr>
                    <w:t>5</w:t>
                  </w:r>
                </w:p>
              </w:tc>
            </w:tr>
          </w:tbl>
          <w:p w14:paraId="1D792CC6">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在</w:t>
            </w:r>
            <w:r>
              <w:rPr>
                <w:rFonts w:hint="eastAsia"/>
                <w:color w:val="auto"/>
                <w:highlight w:val="none"/>
                <w:lang w:val="en-US" w:eastAsia="zh-CN"/>
              </w:rPr>
              <w:t>生产</w:t>
            </w:r>
            <w:r>
              <w:rPr>
                <w:rFonts w:hint="eastAsia"/>
                <w:color w:val="auto"/>
                <w:highlight w:val="none"/>
              </w:rPr>
              <w:t>期间对雨水、污水排放口</w:t>
            </w:r>
            <w:r>
              <w:rPr>
                <w:rFonts w:hint="eastAsia"/>
                <w:color w:val="auto"/>
                <w:highlight w:val="none"/>
                <w:lang w:val="en-US" w:eastAsia="zh-CN"/>
              </w:rPr>
              <w:t>设置铊、氟化物自动监测设备，</w:t>
            </w:r>
            <w:r>
              <w:rPr>
                <w:rFonts w:hint="eastAsia"/>
                <w:color w:val="auto"/>
                <w:highlight w:val="none"/>
              </w:rPr>
              <w:t>如出现铊等元素浓度异常情况则停止作业，因此本次评价参考《宜春市涉锂电主要行业生态环境监管标准（试行）》（宜环委办字〔</w:t>
            </w:r>
            <w:r>
              <w:rPr>
                <w:rFonts w:hint="default"/>
                <w:color w:val="auto"/>
                <w:highlight w:val="none"/>
              </w:rPr>
              <w:t>2023</w:t>
            </w:r>
            <w:r>
              <w:rPr>
                <w:rFonts w:hint="eastAsia"/>
                <w:color w:val="auto"/>
                <w:highlight w:val="none"/>
              </w:rPr>
              <w:t>〕</w:t>
            </w:r>
            <w:r>
              <w:rPr>
                <w:rFonts w:hint="default"/>
                <w:color w:val="auto"/>
                <w:highlight w:val="none"/>
              </w:rPr>
              <w:t>2号）</w:t>
            </w:r>
            <w:r>
              <w:rPr>
                <w:rFonts w:hint="eastAsia"/>
                <w:color w:val="auto"/>
                <w:highlight w:val="none"/>
              </w:rPr>
              <w:t>中相关浓度预警值要求，提出雨水排放口铊预警浓度为</w:t>
            </w:r>
            <w:r>
              <w:rPr>
                <w:rFonts w:hint="default"/>
                <w:color w:val="auto"/>
                <w:highlight w:val="none"/>
              </w:rPr>
              <w:t>0.00</w:t>
            </w:r>
            <w:r>
              <w:rPr>
                <w:rFonts w:hint="eastAsia"/>
                <w:color w:val="auto"/>
                <w:highlight w:val="none"/>
                <w:lang w:val="en-US" w:eastAsia="zh-CN"/>
              </w:rPr>
              <w:t>5</w:t>
            </w:r>
            <w:r>
              <w:rPr>
                <w:rFonts w:hint="eastAsia"/>
                <w:color w:val="auto"/>
                <w:highlight w:val="none"/>
              </w:rPr>
              <w:t>mg/L、氟化物预警浓度为</w:t>
            </w:r>
            <w:r>
              <w:rPr>
                <w:rFonts w:hint="eastAsia"/>
                <w:color w:val="auto"/>
                <w:highlight w:val="none"/>
                <w:lang w:val="en-US" w:eastAsia="zh-CN"/>
              </w:rPr>
              <w:t>2</w:t>
            </w:r>
            <w:r>
              <w:rPr>
                <w:rFonts w:hint="eastAsia"/>
                <w:color w:val="auto"/>
                <w:highlight w:val="none"/>
              </w:rPr>
              <w:t>mg/L，污水排放口铊预警浓度为不得检出铊、氟化物预警浓度</w:t>
            </w:r>
            <w:r>
              <w:rPr>
                <w:rFonts w:hint="eastAsia"/>
                <w:color w:val="auto"/>
                <w:highlight w:val="none"/>
                <w:lang w:val="en-US" w:eastAsia="zh-CN"/>
              </w:rPr>
              <w:t>分别</w:t>
            </w:r>
            <w:r>
              <w:rPr>
                <w:rFonts w:hint="eastAsia"/>
                <w:color w:val="auto"/>
                <w:highlight w:val="none"/>
              </w:rPr>
              <w:t>为</w:t>
            </w:r>
            <w:r>
              <w:rPr>
                <w:rFonts w:hint="default"/>
                <w:color w:val="auto"/>
                <w:highlight w:val="none"/>
              </w:rPr>
              <w:t>0.00</w:t>
            </w:r>
            <w:r>
              <w:rPr>
                <w:rFonts w:hint="eastAsia"/>
                <w:color w:val="auto"/>
                <w:highlight w:val="none"/>
                <w:lang w:val="en-US" w:eastAsia="zh-CN"/>
              </w:rPr>
              <w:t>5</w:t>
            </w:r>
            <w:r>
              <w:rPr>
                <w:rFonts w:hint="eastAsia"/>
                <w:color w:val="auto"/>
                <w:highlight w:val="none"/>
              </w:rPr>
              <w:t>mg/L、</w:t>
            </w:r>
            <w:r>
              <w:rPr>
                <w:rFonts w:hint="eastAsia"/>
                <w:color w:val="auto"/>
                <w:highlight w:val="none"/>
                <w:lang w:val="en-US" w:eastAsia="zh-CN"/>
              </w:rPr>
              <w:t>2</w:t>
            </w:r>
            <w:r>
              <w:rPr>
                <w:rFonts w:hint="eastAsia"/>
                <w:color w:val="auto"/>
                <w:highlight w:val="none"/>
              </w:rPr>
              <w:t>mg/L。</w:t>
            </w:r>
          </w:p>
          <w:bookmarkEnd w:id="403"/>
          <w:bookmarkEnd w:id="404"/>
          <w:p w14:paraId="41A7B631">
            <w:pPr>
              <w:pStyle w:val="76"/>
              <w:keepNext w:val="0"/>
              <w:keepLines w:val="0"/>
              <w:suppressLineNumbers w:val="0"/>
              <w:bidi w:val="0"/>
              <w:spacing w:before="0" w:beforeAutospacing="0" w:after="0" w:afterAutospacing="0"/>
              <w:ind w:left="0" w:right="0"/>
              <w:rPr>
                <w:rFonts w:hint="default"/>
                <w:b/>
                <w:bCs w:val="0"/>
                <w:color w:val="auto"/>
                <w:highlight w:val="none"/>
              </w:rPr>
            </w:pPr>
            <w:bookmarkStart w:id="405" w:name="_Toc131760417"/>
            <w:bookmarkStart w:id="406" w:name="_Toc130374640"/>
            <w:r>
              <w:rPr>
                <w:rFonts w:hint="default"/>
                <w:b/>
                <w:bCs w:val="0"/>
                <w:color w:val="auto"/>
                <w:highlight w:val="none"/>
              </w:rPr>
              <w:t>二、废气</w:t>
            </w:r>
            <w:bookmarkEnd w:id="405"/>
            <w:bookmarkEnd w:id="406"/>
          </w:p>
          <w:p w14:paraId="71F3FABB">
            <w:pPr>
              <w:pStyle w:val="76"/>
              <w:keepNext w:val="0"/>
              <w:keepLines w:val="0"/>
              <w:suppressLineNumbers w:val="0"/>
              <w:bidi w:val="0"/>
              <w:spacing w:before="0" w:beforeAutospacing="0" w:after="0" w:afterAutospacing="0"/>
              <w:ind w:left="0" w:right="0"/>
              <w:rPr>
                <w:rFonts w:hint="eastAsia"/>
                <w:color w:val="auto"/>
                <w:highlight w:val="none"/>
                <w:lang w:eastAsia="zh-CN"/>
              </w:rPr>
            </w:pPr>
            <w:bookmarkStart w:id="407" w:name="_Hlk138581506"/>
            <w:bookmarkStart w:id="408" w:name="_Hlk138777899"/>
            <w:r>
              <w:rPr>
                <w:rFonts w:hint="default"/>
                <w:color w:val="auto"/>
                <w:highlight w:val="none"/>
              </w:rPr>
              <w:t>本项目</w:t>
            </w:r>
            <w:r>
              <w:rPr>
                <w:rFonts w:hint="eastAsia"/>
                <w:color w:val="auto"/>
                <w:highlight w:val="none"/>
              </w:rPr>
              <w:t>营运期</w:t>
            </w:r>
            <w:r>
              <w:rPr>
                <w:rFonts w:hint="eastAsia"/>
                <w:color w:val="auto"/>
                <w:highlight w:val="none"/>
                <w:lang w:val="en-US" w:eastAsia="zh-CN"/>
              </w:rPr>
              <w:t>废气中颗粒物</w:t>
            </w:r>
            <w:r>
              <w:rPr>
                <w:rFonts w:hint="default"/>
                <w:color w:val="auto"/>
                <w:highlight w:val="none"/>
              </w:rPr>
              <w:t>排放执行</w:t>
            </w:r>
            <w:r>
              <w:rPr>
                <w:rFonts w:hint="eastAsia"/>
                <w:color w:val="auto"/>
                <w:highlight w:val="none"/>
              </w:rPr>
              <w:t>《大气污染物综合排放标准》（GB16297-1996）表2最高允许排放浓度；氟化物、铊及其化合物排放参照执行《无机化学工业污染物排放标准》（GB31573-2015）。厂界无组织污染物</w:t>
            </w:r>
            <w:bookmarkStart w:id="409" w:name="OLE_LINK158"/>
            <w:r>
              <w:rPr>
                <w:rFonts w:hint="eastAsia"/>
                <w:color w:val="auto"/>
                <w:highlight w:val="none"/>
              </w:rPr>
              <w:t>氟化物、铊及其化合物排放执行《无机化学工业污染物排放标准》（GB31573-2015）表5企业边界大气污染物排放限值；颗粒物</w:t>
            </w:r>
            <w:r>
              <w:rPr>
                <w:rFonts w:hint="eastAsia"/>
                <w:color w:val="auto"/>
                <w:highlight w:val="none"/>
                <w:lang w:eastAsia="zh-CN"/>
              </w:rPr>
              <w:t>无组织</w:t>
            </w:r>
            <w:r>
              <w:rPr>
                <w:rFonts w:hint="eastAsia"/>
                <w:color w:val="auto"/>
                <w:highlight w:val="none"/>
              </w:rPr>
              <w:t>排放执行</w:t>
            </w:r>
            <w:bookmarkStart w:id="410" w:name="OLE_LINK134"/>
            <w:r>
              <w:rPr>
                <w:rFonts w:hint="eastAsia"/>
                <w:color w:val="auto"/>
                <w:highlight w:val="none"/>
              </w:rPr>
              <w:t>《大气污染物综合排放标准》（GB16297-1996）</w:t>
            </w:r>
            <w:bookmarkEnd w:id="410"/>
            <w:r>
              <w:rPr>
                <w:rFonts w:hint="eastAsia"/>
                <w:color w:val="auto"/>
                <w:highlight w:val="none"/>
              </w:rPr>
              <w:t>表2无组织排放监控浓度限值</w:t>
            </w:r>
            <w:bookmarkEnd w:id="409"/>
            <w:r>
              <w:rPr>
                <w:rFonts w:hint="eastAsia"/>
                <w:color w:val="auto"/>
                <w:highlight w:val="none"/>
                <w:lang w:eastAsia="zh-CN"/>
              </w:rPr>
              <w:t>。</w:t>
            </w:r>
            <w:r>
              <w:rPr>
                <w:rFonts w:hint="default"/>
                <w:color w:val="auto"/>
                <w:highlight w:val="none"/>
              </w:rPr>
              <w:t>标准限值详见下表</w:t>
            </w:r>
            <w:r>
              <w:rPr>
                <w:rFonts w:hint="eastAsia"/>
                <w:color w:val="auto"/>
                <w:highlight w:val="none"/>
                <w:lang w:eastAsia="zh-CN"/>
              </w:rPr>
              <w:t>。</w:t>
            </w:r>
          </w:p>
          <w:p w14:paraId="343564A1">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8</w:t>
            </w:r>
            <w:r>
              <w:rPr>
                <w:rFonts w:hint="default"/>
                <w:color w:val="auto"/>
                <w:sz w:val="21"/>
                <w:szCs w:val="21"/>
                <w:highlight w:val="none"/>
                <w:lang w:val="en-US" w:eastAsia="zh-CN"/>
              </w:rPr>
              <w:t xml:space="preserve"> 废气排放标准</w:t>
            </w:r>
          </w:p>
          <w:bookmarkEnd w:id="407"/>
          <w:bookmarkEnd w:id="408"/>
          <w:tbl>
            <w:tblPr>
              <w:tblStyle w:val="25"/>
              <w:tblW w:w="81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2"/>
              <w:gridCol w:w="932"/>
              <w:gridCol w:w="1198"/>
              <w:gridCol w:w="1009"/>
              <w:gridCol w:w="1336"/>
              <w:gridCol w:w="2710"/>
            </w:tblGrid>
            <w:tr w14:paraId="75F1D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574" w:type="pct"/>
                  <w:vMerge w:val="restart"/>
                  <w:noWrap w:val="0"/>
                  <w:vAlign w:val="center"/>
                </w:tcPr>
                <w:p w14:paraId="731009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b/>
                      <w:bCs/>
                      <w:color w:val="auto"/>
                      <w:highlight w:val="none"/>
                      <w:lang w:eastAsia="zh-CN"/>
                    </w:rPr>
                  </w:pPr>
                  <w:bookmarkStart w:id="411" w:name="_Toc131760476"/>
                  <w:bookmarkStart w:id="412" w:name="_Toc130374686"/>
                  <w:r>
                    <w:rPr>
                      <w:rFonts w:hint="eastAsia"/>
                      <w:b/>
                      <w:bCs/>
                      <w:color w:val="auto"/>
                      <w:highlight w:val="none"/>
                      <w:lang w:eastAsia="zh-CN"/>
                    </w:rPr>
                    <w:t>排气筒高度</w:t>
                  </w:r>
                </w:p>
              </w:tc>
              <w:tc>
                <w:tcPr>
                  <w:tcW w:w="574" w:type="pct"/>
                  <w:vMerge w:val="restart"/>
                  <w:noWrap w:val="0"/>
                  <w:vAlign w:val="center"/>
                </w:tcPr>
                <w:p w14:paraId="5C1FF1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污染物</w:t>
                  </w:r>
                </w:p>
              </w:tc>
              <w:tc>
                <w:tcPr>
                  <w:tcW w:w="1359" w:type="pct"/>
                  <w:gridSpan w:val="2"/>
                  <w:noWrap w:val="0"/>
                  <w:vAlign w:val="center"/>
                </w:tcPr>
                <w:p w14:paraId="5FF1F0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b/>
                      <w:bCs/>
                      <w:color w:val="auto"/>
                      <w:highlight w:val="none"/>
                    </w:rPr>
                  </w:pPr>
                  <w:r>
                    <w:rPr>
                      <w:rFonts w:hint="eastAsia"/>
                      <w:b/>
                      <w:bCs/>
                      <w:color w:val="auto"/>
                      <w:highlight w:val="none"/>
                    </w:rPr>
                    <w:t>有组织排放控制要求</w:t>
                  </w:r>
                </w:p>
              </w:tc>
              <w:tc>
                <w:tcPr>
                  <w:tcW w:w="822" w:type="pct"/>
                  <w:vMerge w:val="restart"/>
                  <w:noWrap w:val="0"/>
                  <w:vAlign w:val="center"/>
                </w:tcPr>
                <w:p w14:paraId="337AC91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b/>
                      <w:bCs/>
                      <w:color w:val="auto"/>
                      <w:highlight w:val="none"/>
                    </w:rPr>
                  </w:pPr>
                  <w:r>
                    <w:rPr>
                      <w:rFonts w:hint="eastAsia"/>
                      <w:b/>
                      <w:bCs/>
                      <w:color w:val="auto"/>
                      <w:highlight w:val="none"/>
                    </w:rPr>
                    <w:t>无组织排放浓度限值</w:t>
                  </w:r>
                  <w:r>
                    <w:rPr>
                      <w:rFonts w:hint="default"/>
                      <w:b/>
                      <w:bCs/>
                      <w:color w:val="auto"/>
                      <w:highlight w:val="none"/>
                    </w:rPr>
                    <w:t>（mg/m</w:t>
                  </w:r>
                  <w:r>
                    <w:rPr>
                      <w:rFonts w:hint="default"/>
                      <w:b/>
                      <w:bCs/>
                      <w:color w:val="auto"/>
                      <w:highlight w:val="none"/>
                      <w:vertAlign w:val="superscript"/>
                    </w:rPr>
                    <w:t>3</w:t>
                  </w:r>
                  <w:r>
                    <w:rPr>
                      <w:rFonts w:hint="default"/>
                      <w:b/>
                      <w:bCs/>
                      <w:color w:val="auto"/>
                      <w:highlight w:val="none"/>
                    </w:rPr>
                    <w:t>）</w:t>
                  </w:r>
                </w:p>
              </w:tc>
              <w:tc>
                <w:tcPr>
                  <w:tcW w:w="1669" w:type="pct"/>
                  <w:vMerge w:val="restart"/>
                  <w:noWrap w:val="0"/>
                  <w:vAlign w:val="center"/>
                </w:tcPr>
                <w:p w14:paraId="0267D2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b/>
                      <w:bCs/>
                      <w:color w:val="auto"/>
                      <w:highlight w:val="none"/>
                    </w:rPr>
                    <w:t>执行标准名称</w:t>
                  </w:r>
                </w:p>
              </w:tc>
            </w:tr>
            <w:tr w14:paraId="34F869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574" w:type="pct"/>
                  <w:vMerge w:val="continue"/>
                  <w:noWrap w:val="0"/>
                  <w:vAlign w:val="center"/>
                </w:tcPr>
                <w:p w14:paraId="635556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p>
              </w:tc>
              <w:tc>
                <w:tcPr>
                  <w:tcW w:w="574" w:type="pct"/>
                  <w:vMerge w:val="continue"/>
                  <w:noWrap w:val="0"/>
                  <w:vAlign w:val="center"/>
                </w:tcPr>
                <w:p w14:paraId="134FF4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p>
              </w:tc>
              <w:tc>
                <w:tcPr>
                  <w:tcW w:w="737" w:type="pct"/>
                  <w:noWrap w:val="0"/>
                  <w:vAlign w:val="center"/>
                </w:tcPr>
                <w:p w14:paraId="65DB3C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浓度（mg/m</w:t>
                  </w:r>
                  <w:r>
                    <w:rPr>
                      <w:rFonts w:hint="default"/>
                      <w:b/>
                      <w:bCs/>
                      <w:color w:val="auto"/>
                      <w:highlight w:val="none"/>
                      <w:vertAlign w:val="superscript"/>
                    </w:rPr>
                    <w:t>3</w:t>
                  </w:r>
                  <w:r>
                    <w:rPr>
                      <w:rFonts w:hint="default"/>
                      <w:b/>
                      <w:bCs/>
                      <w:color w:val="auto"/>
                      <w:highlight w:val="none"/>
                    </w:rPr>
                    <w:t>）</w:t>
                  </w:r>
                </w:p>
              </w:tc>
              <w:tc>
                <w:tcPr>
                  <w:tcW w:w="621" w:type="pct"/>
                  <w:noWrap w:val="0"/>
                  <w:vAlign w:val="center"/>
                </w:tcPr>
                <w:p w14:paraId="081BC6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lang w:val="en-US" w:eastAsia="zh-CN"/>
                    </w:rPr>
                  </w:pPr>
                  <w:r>
                    <w:rPr>
                      <w:rFonts w:hint="eastAsia"/>
                      <w:b/>
                      <w:bCs/>
                      <w:color w:val="auto"/>
                      <w:highlight w:val="none"/>
                      <w:lang w:val="en-US" w:eastAsia="zh-CN"/>
                    </w:rPr>
                    <w:t>速率kg/h</w:t>
                  </w:r>
                </w:p>
              </w:tc>
              <w:tc>
                <w:tcPr>
                  <w:tcW w:w="822" w:type="pct"/>
                  <w:vMerge w:val="continue"/>
                  <w:noWrap w:val="0"/>
                  <w:vAlign w:val="center"/>
                </w:tcPr>
                <w:p w14:paraId="0DB2DD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b/>
                      <w:bCs/>
                      <w:color w:val="auto"/>
                      <w:highlight w:val="none"/>
                    </w:rPr>
                  </w:pPr>
                </w:p>
              </w:tc>
              <w:tc>
                <w:tcPr>
                  <w:tcW w:w="1669" w:type="pct"/>
                  <w:vMerge w:val="continue"/>
                  <w:noWrap w:val="0"/>
                  <w:vAlign w:val="center"/>
                </w:tcPr>
                <w:p w14:paraId="474170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6A86B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574" w:type="pct"/>
                  <w:vMerge w:val="restart"/>
                  <w:noWrap w:val="0"/>
                  <w:vAlign w:val="center"/>
                </w:tcPr>
                <w:p w14:paraId="0A99A7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20m</w:t>
                  </w:r>
                </w:p>
              </w:tc>
              <w:tc>
                <w:tcPr>
                  <w:tcW w:w="574" w:type="pct"/>
                  <w:noWrap w:val="0"/>
                  <w:vAlign w:val="center"/>
                </w:tcPr>
                <w:p w14:paraId="40C477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颗粒物</w:t>
                  </w:r>
                </w:p>
              </w:tc>
              <w:tc>
                <w:tcPr>
                  <w:tcW w:w="737" w:type="pct"/>
                  <w:noWrap w:val="0"/>
                  <w:vAlign w:val="center"/>
                </w:tcPr>
                <w:p w14:paraId="7950CA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rPr>
                  </w:pPr>
                  <w:r>
                    <w:rPr>
                      <w:rFonts w:hint="eastAsia"/>
                      <w:color w:val="auto"/>
                      <w:highlight w:val="none"/>
                      <w:lang w:val="en-US" w:eastAsia="zh-CN"/>
                    </w:rPr>
                    <w:t>120</w:t>
                  </w:r>
                </w:p>
              </w:tc>
              <w:tc>
                <w:tcPr>
                  <w:tcW w:w="621" w:type="pct"/>
                  <w:noWrap w:val="0"/>
                  <w:vAlign w:val="center"/>
                </w:tcPr>
                <w:p w14:paraId="310F59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5.9</w:t>
                  </w:r>
                </w:p>
              </w:tc>
              <w:tc>
                <w:tcPr>
                  <w:tcW w:w="822" w:type="pct"/>
                  <w:noWrap w:val="0"/>
                  <w:vAlign w:val="center"/>
                </w:tcPr>
                <w:p w14:paraId="583D8D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rPr>
                  </w:pPr>
                  <w:r>
                    <w:rPr>
                      <w:rFonts w:hint="eastAsia"/>
                      <w:color w:val="auto"/>
                      <w:highlight w:val="none"/>
                      <w:lang w:val="en-US" w:eastAsia="zh-CN"/>
                    </w:rPr>
                    <w:t>1.0</w:t>
                  </w:r>
                </w:p>
              </w:tc>
              <w:tc>
                <w:tcPr>
                  <w:tcW w:w="1669" w:type="pct"/>
                  <w:noWrap w:val="0"/>
                  <w:vAlign w:val="center"/>
                </w:tcPr>
                <w:p w14:paraId="685ADA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rPr>
                    <w:t>《大气污染物综合排放标准》（GB16297-1996）表2最高允许排放浓度</w:t>
                  </w:r>
                  <w:r>
                    <w:rPr>
                      <w:rFonts w:hint="eastAsia"/>
                      <w:color w:val="auto"/>
                      <w:highlight w:val="none"/>
                      <w:lang w:val="en-US" w:eastAsia="zh-CN"/>
                    </w:rPr>
                    <w:t>及</w:t>
                  </w:r>
                  <w:r>
                    <w:rPr>
                      <w:rFonts w:hint="eastAsia"/>
                      <w:color w:val="auto"/>
                      <w:highlight w:val="none"/>
                    </w:rPr>
                    <w:t>表2大气污染物无组织排放限值</w:t>
                  </w:r>
                </w:p>
              </w:tc>
            </w:tr>
            <w:tr w14:paraId="1913C2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552" w:hRule="atLeast"/>
                <w:jc w:val="center"/>
              </w:trPr>
              <w:tc>
                <w:tcPr>
                  <w:tcW w:w="574" w:type="pct"/>
                  <w:vMerge w:val="continue"/>
                  <w:noWrap w:val="0"/>
                  <w:vAlign w:val="center"/>
                </w:tcPr>
                <w:p w14:paraId="7EAE80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p>
              </w:tc>
              <w:tc>
                <w:tcPr>
                  <w:tcW w:w="574" w:type="pct"/>
                  <w:noWrap w:val="0"/>
                  <w:vAlign w:val="center"/>
                </w:tcPr>
                <w:p w14:paraId="2F745B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铊及其化合物</w:t>
                  </w:r>
                </w:p>
              </w:tc>
              <w:tc>
                <w:tcPr>
                  <w:tcW w:w="737" w:type="pct"/>
                  <w:noWrap w:val="0"/>
                  <w:vAlign w:val="center"/>
                </w:tcPr>
                <w:p w14:paraId="2676D4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0.05</w:t>
                  </w:r>
                </w:p>
              </w:tc>
              <w:tc>
                <w:tcPr>
                  <w:tcW w:w="621" w:type="pct"/>
                  <w:noWrap w:val="0"/>
                  <w:vAlign w:val="center"/>
                </w:tcPr>
                <w:p w14:paraId="337D09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w:t>
                  </w:r>
                </w:p>
              </w:tc>
              <w:tc>
                <w:tcPr>
                  <w:tcW w:w="822" w:type="pct"/>
                  <w:noWrap w:val="0"/>
                  <w:vAlign w:val="center"/>
                </w:tcPr>
                <w:p w14:paraId="13517A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0.001</w:t>
                  </w:r>
                </w:p>
              </w:tc>
              <w:tc>
                <w:tcPr>
                  <w:tcW w:w="1669" w:type="pct"/>
                  <w:vMerge w:val="restart"/>
                  <w:noWrap w:val="0"/>
                  <w:vAlign w:val="center"/>
                </w:tcPr>
                <w:p w14:paraId="0EF742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《无机化学工业污染物排放标准》（GB31573-2015）</w:t>
                  </w:r>
                </w:p>
              </w:tc>
            </w:tr>
            <w:tr w14:paraId="436F4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574" w:type="pct"/>
                  <w:vMerge w:val="continue"/>
                  <w:shd w:val="clear" w:color="auto" w:fill="auto"/>
                  <w:noWrap w:val="0"/>
                  <w:vAlign w:val="center"/>
                </w:tcPr>
                <w:p w14:paraId="75FCC5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rPr>
                  </w:pPr>
                </w:p>
              </w:tc>
              <w:tc>
                <w:tcPr>
                  <w:tcW w:w="574" w:type="pct"/>
                  <w:shd w:val="clear" w:color="auto" w:fill="auto"/>
                  <w:noWrap w:val="0"/>
                  <w:vAlign w:val="center"/>
                </w:tcPr>
                <w:p w14:paraId="3F47DF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氟化物</w:t>
                  </w:r>
                </w:p>
              </w:tc>
              <w:tc>
                <w:tcPr>
                  <w:tcW w:w="737" w:type="pct"/>
                  <w:shd w:val="clear" w:color="auto" w:fill="auto"/>
                  <w:noWrap w:val="0"/>
                  <w:vAlign w:val="center"/>
                </w:tcPr>
                <w:p w14:paraId="3959CB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6</w:t>
                  </w:r>
                </w:p>
              </w:tc>
              <w:tc>
                <w:tcPr>
                  <w:tcW w:w="621" w:type="pct"/>
                  <w:shd w:val="clear" w:color="auto" w:fill="auto"/>
                  <w:noWrap w:val="0"/>
                  <w:vAlign w:val="center"/>
                </w:tcPr>
                <w:p w14:paraId="76E06E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w:t>
                  </w:r>
                </w:p>
              </w:tc>
              <w:tc>
                <w:tcPr>
                  <w:tcW w:w="822" w:type="pct"/>
                  <w:shd w:val="clear" w:color="auto" w:fill="auto"/>
                  <w:noWrap w:val="0"/>
                  <w:vAlign w:val="center"/>
                </w:tcPr>
                <w:p w14:paraId="48F6A8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0.02</w:t>
                  </w:r>
                </w:p>
              </w:tc>
              <w:tc>
                <w:tcPr>
                  <w:tcW w:w="1669" w:type="pct"/>
                  <w:vMerge w:val="continue"/>
                  <w:noWrap w:val="0"/>
                  <w:vAlign w:val="center"/>
                </w:tcPr>
                <w:p w14:paraId="6C399D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p>
              </w:tc>
            </w:tr>
          </w:tbl>
          <w:p w14:paraId="0BF2EAD1">
            <w:pPr>
              <w:pStyle w:val="76"/>
              <w:keepNext w:val="0"/>
              <w:keepLines w:val="0"/>
              <w:suppressLineNumbers w:val="0"/>
              <w:bidi w:val="0"/>
              <w:spacing w:before="0" w:beforeAutospacing="0" w:after="0" w:afterAutospacing="0"/>
              <w:ind w:left="0" w:right="0"/>
              <w:rPr>
                <w:rFonts w:hint="default"/>
                <w:b/>
                <w:bCs w:val="0"/>
                <w:color w:val="auto"/>
                <w:highlight w:val="none"/>
              </w:rPr>
            </w:pPr>
          </w:p>
          <w:p w14:paraId="72DA6F6F">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三、噪声</w:t>
            </w:r>
            <w:bookmarkEnd w:id="411"/>
            <w:bookmarkEnd w:id="412"/>
          </w:p>
          <w:p w14:paraId="7755A75C">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运营期</w:t>
            </w:r>
            <w:r>
              <w:rPr>
                <w:rFonts w:hint="eastAsia"/>
                <w:color w:val="auto"/>
                <w:highlight w:val="none"/>
                <w:lang w:val="en-US" w:eastAsia="zh-CN"/>
              </w:rPr>
              <w:t>厂界噪声</w:t>
            </w:r>
            <w:r>
              <w:rPr>
                <w:rFonts w:hint="default"/>
                <w:color w:val="auto"/>
                <w:highlight w:val="none"/>
              </w:rPr>
              <w:t>执行《工业企业厂界环境噪声排放标准》（GB12348-2008）</w:t>
            </w:r>
            <w:r>
              <w:rPr>
                <w:rFonts w:hint="eastAsia"/>
                <w:color w:val="auto"/>
                <w:highlight w:val="none"/>
                <w:lang w:val="en-US" w:eastAsia="zh-CN"/>
              </w:rPr>
              <w:t>3</w:t>
            </w:r>
            <w:r>
              <w:rPr>
                <w:rFonts w:hint="default"/>
                <w:color w:val="auto"/>
                <w:highlight w:val="none"/>
              </w:rPr>
              <w:t>类标准。详见下表。</w:t>
            </w:r>
          </w:p>
          <w:p w14:paraId="78E551F6">
            <w:pPr>
              <w:pStyle w:val="39"/>
              <w:keepNext w:val="0"/>
              <w:keepLines w:val="0"/>
              <w:suppressLineNumbers w:val="0"/>
              <w:bidi w:val="0"/>
              <w:spacing w:before="0" w:beforeAutospacing="0" w:after="0" w:afterAutospacing="0"/>
              <w:ind w:left="0" w:right="0"/>
              <w:rPr>
                <w:rFonts w:hint="default"/>
                <w:color w:val="auto"/>
                <w:sz w:val="21"/>
                <w:szCs w:val="21"/>
                <w:highlight w:val="none"/>
                <w:lang w:val="en-US" w:eastAsia="zh-CN"/>
              </w:rPr>
            </w:pPr>
            <w:r>
              <w:rPr>
                <w:rFonts w:hint="default"/>
                <w:color w:val="auto"/>
                <w:sz w:val="21"/>
                <w:szCs w:val="21"/>
                <w:highlight w:val="none"/>
                <w:lang w:val="en-US" w:eastAsia="zh-CN"/>
              </w:rPr>
              <w:t>表3</w:t>
            </w:r>
            <w:r>
              <w:rPr>
                <w:rFonts w:hint="eastAsia"/>
                <w:color w:val="auto"/>
                <w:sz w:val="21"/>
                <w:szCs w:val="21"/>
                <w:highlight w:val="none"/>
                <w:lang w:val="en-US" w:eastAsia="zh-CN"/>
              </w:rPr>
              <w:t>-9</w:t>
            </w:r>
            <w:r>
              <w:rPr>
                <w:rFonts w:hint="default"/>
                <w:color w:val="auto"/>
                <w:sz w:val="21"/>
                <w:szCs w:val="21"/>
                <w:highlight w:val="none"/>
                <w:lang w:val="en-US" w:eastAsia="zh-CN"/>
              </w:rPr>
              <w:t xml:space="preserve"> 工业企业厂界环境噪声排放标准   dB（A）</w:t>
            </w:r>
          </w:p>
          <w:tbl>
            <w:tblPr>
              <w:tblStyle w:val="25"/>
              <w:tblpPr w:vertAnchor="text" w:horzAnchor="page" w:tblpXSpec="center" w:tblpY="1"/>
              <w:tblOverlap w:val="never"/>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070"/>
              <w:gridCol w:w="1081"/>
              <w:gridCol w:w="1073"/>
              <w:gridCol w:w="966"/>
            </w:tblGrid>
            <w:tr w14:paraId="0CCEA3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94" w:type="pct"/>
                  <w:tcBorders>
                    <w:tl2br w:val="nil"/>
                    <w:tr2bl w:val="nil"/>
                  </w:tcBorders>
                  <w:vAlign w:val="center"/>
                </w:tcPr>
                <w:p w14:paraId="40298F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标准</w:t>
                  </w:r>
                </w:p>
              </w:tc>
              <w:tc>
                <w:tcPr>
                  <w:tcW w:w="660" w:type="pct"/>
                  <w:tcBorders>
                    <w:tl2br w:val="nil"/>
                    <w:tr2bl w:val="nil"/>
                  </w:tcBorders>
                  <w:vAlign w:val="center"/>
                </w:tcPr>
                <w:p w14:paraId="5F7D7D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类别</w:t>
                  </w:r>
                </w:p>
              </w:tc>
              <w:tc>
                <w:tcPr>
                  <w:tcW w:w="655" w:type="pct"/>
                  <w:tcBorders>
                    <w:tl2br w:val="nil"/>
                    <w:tr2bl w:val="nil"/>
                  </w:tcBorders>
                  <w:vAlign w:val="center"/>
                </w:tcPr>
                <w:p w14:paraId="24273F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昼间</w:t>
                  </w:r>
                </w:p>
              </w:tc>
              <w:tc>
                <w:tcPr>
                  <w:tcW w:w="589" w:type="pct"/>
                  <w:tcBorders>
                    <w:tl2br w:val="nil"/>
                    <w:tr2bl w:val="nil"/>
                  </w:tcBorders>
                  <w:vAlign w:val="center"/>
                </w:tcPr>
                <w:p w14:paraId="676F18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夜间</w:t>
                  </w:r>
                </w:p>
              </w:tc>
            </w:tr>
            <w:tr w14:paraId="23D37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094" w:type="pct"/>
                  <w:tcBorders>
                    <w:tl2br w:val="nil"/>
                    <w:tr2bl w:val="nil"/>
                  </w:tcBorders>
                  <w:vAlign w:val="center"/>
                </w:tcPr>
                <w:p w14:paraId="11B513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《工业企业厂界环境噪声排放标准》（GB12348-2008）</w:t>
                  </w:r>
                </w:p>
              </w:tc>
              <w:tc>
                <w:tcPr>
                  <w:tcW w:w="660" w:type="pct"/>
                  <w:tcBorders>
                    <w:tl2br w:val="nil"/>
                    <w:tr2bl w:val="nil"/>
                  </w:tcBorders>
                  <w:vAlign w:val="center"/>
                </w:tcPr>
                <w:p w14:paraId="12E3AB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3</w:t>
                  </w:r>
                  <w:r>
                    <w:rPr>
                      <w:rFonts w:hint="default"/>
                      <w:color w:val="auto"/>
                      <w:highlight w:val="none"/>
                    </w:rPr>
                    <w:t>类</w:t>
                  </w:r>
                </w:p>
              </w:tc>
              <w:tc>
                <w:tcPr>
                  <w:tcW w:w="655" w:type="pct"/>
                  <w:tcBorders>
                    <w:tl2br w:val="nil"/>
                    <w:tr2bl w:val="nil"/>
                  </w:tcBorders>
                  <w:vAlign w:val="center"/>
                </w:tcPr>
                <w:p w14:paraId="1370DA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6</w:t>
                  </w:r>
                  <w:r>
                    <w:rPr>
                      <w:rFonts w:hint="eastAsia"/>
                      <w:color w:val="auto"/>
                      <w:highlight w:val="none"/>
                      <w:lang w:val="en-US" w:eastAsia="zh-CN"/>
                    </w:rPr>
                    <w:t>5</w:t>
                  </w:r>
                </w:p>
              </w:tc>
              <w:tc>
                <w:tcPr>
                  <w:tcW w:w="589" w:type="pct"/>
                  <w:tcBorders>
                    <w:tl2br w:val="nil"/>
                    <w:tr2bl w:val="nil"/>
                  </w:tcBorders>
                  <w:vAlign w:val="center"/>
                </w:tcPr>
                <w:p w14:paraId="099FCBF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5</w:t>
                  </w:r>
                  <w:r>
                    <w:rPr>
                      <w:rFonts w:hint="eastAsia"/>
                      <w:color w:val="auto"/>
                      <w:highlight w:val="none"/>
                      <w:lang w:val="en-US" w:eastAsia="zh-CN"/>
                    </w:rPr>
                    <w:t>5</w:t>
                  </w:r>
                </w:p>
              </w:tc>
            </w:tr>
          </w:tbl>
          <w:p w14:paraId="65568328">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四、固体废物</w:t>
            </w:r>
          </w:p>
          <w:p w14:paraId="15189DB2">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项目生活垃圾及一般固体贮存场</w:t>
            </w:r>
            <w:r>
              <w:rPr>
                <w:rFonts w:hint="default"/>
                <w:color w:val="auto"/>
                <w:highlight w:val="none"/>
                <w:lang w:val="en-US" w:eastAsia="zh-CN"/>
              </w:rPr>
              <w:t>应按《一般工业固体废物贮存和填埋污染控制标准》(GB18599-2020)</w:t>
            </w:r>
            <w:r>
              <w:rPr>
                <w:rFonts w:hint="default"/>
                <w:color w:val="auto"/>
                <w:highlight w:val="none"/>
              </w:rPr>
              <w:t>做到“分类收集、分类处理”，固废贮存场所做到“防渗漏、防雨淋、防扬尘”等环境保护要求。危险废物贮存及处置执行《危险废物贮存污染控制标准》（GB18597-2023）要求。</w:t>
            </w:r>
          </w:p>
          <w:p w14:paraId="46157F93">
            <w:pPr>
              <w:pStyle w:val="76"/>
              <w:keepNext w:val="0"/>
              <w:keepLines w:val="0"/>
              <w:suppressLineNumbers w:val="0"/>
              <w:bidi w:val="0"/>
              <w:spacing w:before="0" w:beforeAutospacing="0" w:after="0" w:afterAutospacing="0"/>
              <w:ind w:left="0" w:right="0"/>
              <w:rPr>
                <w:rFonts w:hint="default"/>
                <w:color w:val="auto"/>
                <w:highlight w:val="none"/>
              </w:rPr>
            </w:pPr>
          </w:p>
          <w:p w14:paraId="40BDACFF">
            <w:pPr>
              <w:pStyle w:val="76"/>
              <w:keepNext w:val="0"/>
              <w:keepLines w:val="0"/>
              <w:suppressLineNumbers w:val="0"/>
              <w:bidi w:val="0"/>
              <w:spacing w:before="0" w:beforeAutospacing="0" w:after="0" w:afterAutospacing="0"/>
              <w:ind w:left="0" w:right="0"/>
              <w:rPr>
                <w:rFonts w:hint="default"/>
                <w:color w:val="auto"/>
                <w:highlight w:val="none"/>
              </w:rPr>
            </w:pPr>
          </w:p>
          <w:p w14:paraId="1CC2F3FC">
            <w:pPr>
              <w:pStyle w:val="76"/>
              <w:keepNext w:val="0"/>
              <w:keepLines w:val="0"/>
              <w:suppressLineNumbers w:val="0"/>
              <w:bidi w:val="0"/>
              <w:spacing w:before="0" w:beforeAutospacing="0" w:after="0" w:afterAutospacing="0"/>
              <w:ind w:left="0" w:right="0"/>
              <w:rPr>
                <w:rFonts w:hint="default"/>
                <w:color w:val="auto"/>
                <w:highlight w:val="none"/>
              </w:rPr>
            </w:pPr>
          </w:p>
          <w:p w14:paraId="6A41F60B">
            <w:pPr>
              <w:pStyle w:val="76"/>
              <w:keepNext w:val="0"/>
              <w:keepLines w:val="0"/>
              <w:suppressLineNumbers w:val="0"/>
              <w:bidi w:val="0"/>
              <w:spacing w:before="0" w:beforeAutospacing="0" w:after="0" w:afterAutospacing="0"/>
              <w:ind w:left="0" w:right="0"/>
              <w:rPr>
                <w:rFonts w:hint="default"/>
                <w:color w:val="auto"/>
                <w:highlight w:val="none"/>
              </w:rPr>
            </w:pPr>
          </w:p>
          <w:p w14:paraId="38F104BC">
            <w:pPr>
              <w:pStyle w:val="76"/>
              <w:keepNext w:val="0"/>
              <w:keepLines w:val="0"/>
              <w:suppressLineNumbers w:val="0"/>
              <w:bidi w:val="0"/>
              <w:spacing w:before="0" w:beforeAutospacing="0" w:after="0" w:afterAutospacing="0"/>
              <w:ind w:left="0" w:right="0"/>
              <w:rPr>
                <w:rFonts w:hint="default"/>
                <w:color w:val="auto"/>
                <w:highlight w:val="none"/>
              </w:rPr>
            </w:pPr>
          </w:p>
          <w:p w14:paraId="1273D486">
            <w:pPr>
              <w:pStyle w:val="76"/>
              <w:keepNext w:val="0"/>
              <w:keepLines w:val="0"/>
              <w:suppressLineNumbers w:val="0"/>
              <w:bidi w:val="0"/>
              <w:spacing w:before="0" w:beforeAutospacing="0" w:after="0" w:afterAutospacing="0"/>
              <w:ind w:left="0" w:right="0"/>
              <w:rPr>
                <w:rFonts w:hint="default"/>
                <w:color w:val="auto"/>
                <w:highlight w:val="none"/>
              </w:rPr>
            </w:pPr>
          </w:p>
          <w:p w14:paraId="68C15E8B">
            <w:pPr>
              <w:pStyle w:val="76"/>
              <w:keepNext w:val="0"/>
              <w:keepLines w:val="0"/>
              <w:suppressLineNumbers w:val="0"/>
              <w:bidi w:val="0"/>
              <w:spacing w:before="0" w:beforeAutospacing="0" w:after="0" w:afterAutospacing="0"/>
              <w:ind w:left="0" w:right="0"/>
              <w:rPr>
                <w:rFonts w:hint="default"/>
                <w:color w:val="auto"/>
                <w:highlight w:val="none"/>
              </w:rPr>
            </w:pPr>
          </w:p>
          <w:p w14:paraId="140EB1FD">
            <w:pPr>
              <w:pStyle w:val="76"/>
              <w:keepNext w:val="0"/>
              <w:keepLines w:val="0"/>
              <w:suppressLineNumbers w:val="0"/>
              <w:bidi w:val="0"/>
              <w:spacing w:before="0" w:beforeAutospacing="0" w:after="0" w:afterAutospacing="0"/>
              <w:ind w:left="0" w:right="0"/>
              <w:rPr>
                <w:rFonts w:hint="default"/>
                <w:color w:val="auto"/>
                <w:highlight w:val="none"/>
              </w:rPr>
            </w:pPr>
          </w:p>
          <w:p w14:paraId="0AB71159">
            <w:pPr>
              <w:pStyle w:val="76"/>
              <w:keepNext w:val="0"/>
              <w:keepLines w:val="0"/>
              <w:suppressLineNumbers w:val="0"/>
              <w:bidi w:val="0"/>
              <w:spacing w:before="0" w:beforeAutospacing="0" w:after="0" w:afterAutospacing="0"/>
              <w:ind w:left="0" w:right="0"/>
              <w:rPr>
                <w:rFonts w:hint="default"/>
                <w:color w:val="auto"/>
                <w:highlight w:val="none"/>
              </w:rPr>
            </w:pPr>
          </w:p>
          <w:p w14:paraId="00A908F9">
            <w:pPr>
              <w:pStyle w:val="76"/>
              <w:keepNext w:val="0"/>
              <w:keepLines w:val="0"/>
              <w:suppressLineNumbers w:val="0"/>
              <w:bidi w:val="0"/>
              <w:spacing w:before="0" w:beforeAutospacing="0" w:after="0" w:afterAutospacing="0"/>
              <w:ind w:left="0" w:right="0"/>
              <w:rPr>
                <w:rFonts w:hint="default"/>
                <w:color w:val="auto"/>
                <w:highlight w:val="none"/>
              </w:rPr>
            </w:pPr>
          </w:p>
          <w:p w14:paraId="2244928B">
            <w:pPr>
              <w:pStyle w:val="76"/>
              <w:keepNext w:val="0"/>
              <w:keepLines w:val="0"/>
              <w:suppressLineNumbers w:val="0"/>
              <w:bidi w:val="0"/>
              <w:spacing w:before="0" w:beforeAutospacing="0" w:after="0" w:afterAutospacing="0"/>
              <w:ind w:left="0" w:right="0"/>
              <w:rPr>
                <w:rFonts w:hint="default"/>
                <w:color w:val="auto"/>
                <w:highlight w:val="none"/>
              </w:rPr>
            </w:pPr>
          </w:p>
          <w:p w14:paraId="31071300">
            <w:pPr>
              <w:pStyle w:val="76"/>
              <w:keepNext w:val="0"/>
              <w:keepLines w:val="0"/>
              <w:suppressLineNumbers w:val="0"/>
              <w:bidi w:val="0"/>
              <w:spacing w:before="0" w:beforeAutospacing="0" w:after="0" w:afterAutospacing="0"/>
              <w:ind w:left="0" w:right="0"/>
              <w:rPr>
                <w:rFonts w:hint="default"/>
                <w:color w:val="auto"/>
                <w:highlight w:val="none"/>
              </w:rPr>
            </w:pPr>
          </w:p>
          <w:p w14:paraId="392DF4E7">
            <w:pPr>
              <w:pStyle w:val="76"/>
              <w:keepNext w:val="0"/>
              <w:keepLines w:val="0"/>
              <w:suppressLineNumbers w:val="0"/>
              <w:bidi w:val="0"/>
              <w:spacing w:before="0" w:beforeAutospacing="0" w:after="0" w:afterAutospacing="0"/>
              <w:ind w:left="0" w:right="0"/>
              <w:rPr>
                <w:rFonts w:hint="default"/>
                <w:color w:val="auto"/>
                <w:highlight w:val="none"/>
              </w:rPr>
            </w:pPr>
          </w:p>
          <w:p w14:paraId="5E4A82F3">
            <w:pPr>
              <w:pStyle w:val="76"/>
              <w:keepNext w:val="0"/>
              <w:keepLines w:val="0"/>
              <w:suppressLineNumbers w:val="0"/>
              <w:bidi w:val="0"/>
              <w:spacing w:before="0" w:beforeAutospacing="0" w:after="0" w:afterAutospacing="0"/>
              <w:ind w:left="0" w:right="0"/>
              <w:rPr>
                <w:rFonts w:hint="default"/>
                <w:color w:val="auto"/>
                <w:highlight w:val="none"/>
              </w:rPr>
            </w:pPr>
          </w:p>
          <w:p w14:paraId="207F3A3A">
            <w:pPr>
              <w:pStyle w:val="76"/>
              <w:keepNext w:val="0"/>
              <w:keepLines w:val="0"/>
              <w:suppressLineNumbers w:val="0"/>
              <w:bidi w:val="0"/>
              <w:spacing w:before="0" w:beforeAutospacing="0" w:after="0" w:afterAutospacing="0"/>
              <w:ind w:left="0" w:right="0"/>
              <w:rPr>
                <w:rFonts w:hint="default"/>
                <w:color w:val="auto"/>
                <w:highlight w:val="none"/>
              </w:rPr>
            </w:pPr>
          </w:p>
        </w:tc>
      </w:tr>
      <w:tr w14:paraId="618F1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9" w:hRule="atLeast"/>
          <w:jc w:val="center"/>
        </w:trPr>
        <w:tc>
          <w:tcPr>
            <w:tcW w:w="727" w:type="dxa"/>
            <w:vAlign w:val="center"/>
          </w:tcPr>
          <w:p w14:paraId="46EC2155">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总量控制指标</w:t>
            </w:r>
          </w:p>
        </w:tc>
        <w:tc>
          <w:tcPr>
            <w:tcW w:w="8406" w:type="dxa"/>
          </w:tcPr>
          <w:p w14:paraId="725D990B">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根据国务院关于印发“十四五”节能减排综合工作方案的通知（国发〔2021〕33号）及江西省人民政府关于印发江西省“十四五”生态环境保护规划的通知（赣府发〔2021〕25号），国家实行总量控制的污染物有COD</w:t>
            </w:r>
            <w:r>
              <w:rPr>
                <w:rFonts w:hint="default"/>
                <w:color w:val="auto"/>
                <w:highlight w:val="none"/>
                <w:vertAlign w:val="subscript"/>
              </w:rPr>
              <w:t>Cr</w:t>
            </w:r>
            <w:r>
              <w:rPr>
                <w:rFonts w:hint="default"/>
                <w:color w:val="auto"/>
                <w:highlight w:val="none"/>
              </w:rPr>
              <w:t>、NH</w:t>
            </w:r>
            <w:r>
              <w:rPr>
                <w:rFonts w:hint="default"/>
                <w:color w:val="auto"/>
                <w:highlight w:val="none"/>
                <w:vertAlign w:val="subscript"/>
              </w:rPr>
              <w:t>3</w:t>
            </w:r>
            <w:r>
              <w:rPr>
                <w:rFonts w:hint="default"/>
                <w:color w:val="auto"/>
                <w:highlight w:val="none"/>
              </w:rPr>
              <w:t>-N、NO</w:t>
            </w:r>
            <w:r>
              <w:rPr>
                <w:rFonts w:hint="default"/>
                <w:color w:val="auto"/>
                <w:highlight w:val="none"/>
                <w:vertAlign w:val="subscript"/>
              </w:rPr>
              <w:t>x</w:t>
            </w:r>
            <w:r>
              <w:rPr>
                <w:rFonts w:hint="default"/>
                <w:color w:val="auto"/>
                <w:highlight w:val="none"/>
              </w:rPr>
              <w:t>、挥发性有机物。</w:t>
            </w:r>
          </w:p>
          <w:p w14:paraId="161F14C9">
            <w:pPr>
              <w:keepNext w:val="0"/>
              <w:keepLines w:val="0"/>
              <w:widowControl/>
              <w:numPr>
                <w:ilvl w:val="0"/>
                <w:numId w:val="16"/>
              </w:numPr>
              <w:suppressLineNumbers w:val="0"/>
              <w:spacing w:before="0" w:beforeAutospacing="0" w:after="0" w:afterAutospacing="0" w:line="360" w:lineRule="auto"/>
              <w:ind w:left="0" w:right="0"/>
              <w:jc w:val="left"/>
              <w:rPr>
                <w:rFonts w:hint="default"/>
                <w:color w:val="auto"/>
                <w:sz w:val="24"/>
                <w:highlight w:val="none"/>
              </w:rPr>
            </w:pPr>
            <w:r>
              <w:rPr>
                <w:rFonts w:hint="eastAsia"/>
                <w:color w:val="auto"/>
                <w:sz w:val="24"/>
                <w:highlight w:val="none"/>
              </w:rPr>
              <w:t>现有工程总量控制指标</w:t>
            </w:r>
          </w:p>
          <w:p w14:paraId="0DAB1D1D">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highlight w:val="none"/>
              </w:rPr>
              <w:t>根据</w:t>
            </w:r>
            <w:r>
              <w:rPr>
                <w:rFonts w:hint="eastAsia"/>
                <w:color w:val="auto"/>
                <w:sz w:val="24"/>
                <w:highlight w:val="none"/>
                <w:lang w:eastAsia="zh-CN"/>
              </w:rPr>
              <w:t>现有</w:t>
            </w:r>
            <w:r>
              <w:rPr>
                <w:rFonts w:hint="eastAsia"/>
                <w:color w:val="auto"/>
                <w:sz w:val="24"/>
                <w:highlight w:val="none"/>
              </w:rPr>
              <w:t>项目《</w:t>
            </w:r>
            <w:bookmarkStart w:id="413" w:name="_Hlk204000493"/>
            <w:r>
              <w:rPr>
                <w:rFonts w:hint="default"/>
                <w:color w:val="auto"/>
                <w:sz w:val="24"/>
                <w:highlight w:val="none"/>
              </w:rPr>
              <w:t>高安市环鑫环保科技有限公司年处理60万吨一般固废资源再生利用项目</w:t>
            </w:r>
            <w:bookmarkEnd w:id="413"/>
            <w:r>
              <w:rPr>
                <w:rFonts w:hint="eastAsia"/>
                <w:color w:val="auto"/>
                <w:sz w:val="24"/>
                <w:highlight w:val="none"/>
              </w:rPr>
              <w:t>环境影响报告表》</w:t>
            </w:r>
            <w:r>
              <w:rPr>
                <w:rFonts w:hint="eastAsia"/>
                <w:color w:val="auto"/>
                <w:sz w:val="24"/>
                <w:highlight w:val="none"/>
                <w:lang w:eastAsia="zh-CN"/>
              </w:rPr>
              <w:t>（</w:t>
            </w:r>
            <w:r>
              <w:rPr>
                <w:rFonts w:hint="eastAsia"/>
                <w:color w:val="auto"/>
                <w:sz w:val="24"/>
                <w:highlight w:val="none"/>
                <w:lang w:val="en-US" w:eastAsia="zh-CN"/>
              </w:rPr>
              <w:t>2025年8月</w:t>
            </w:r>
            <w:r>
              <w:rPr>
                <w:rFonts w:hint="eastAsia"/>
                <w:color w:val="auto"/>
                <w:sz w:val="24"/>
                <w:highlight w:val="none"/>
                <w:lang w:eastAsia="zh-CN"/>
              </w:rPr>
              <w:t>）</w:t>
            </w:r>
            <w:r>
              <w:rPr>
                <w:rFonts w:hint="eastAsia"/>
                <w:color w:val="auto"/>
                <w:sz w:val="24"/>
                <w:highlight w:val="none"/>
              </w:rPr>
              <w:t>，</w:t>
            </w:r>
            <w:r>
              <w:rPr>
                <w:rFonts w:hint="eastAsia"/>
                <w:color w:val="auto"/>
                <w:sz w:val="24"/>
                <w:highlight w:val="none"/>
                <w:lang w:eastAsia="zh-CN"/>
              </w:rPr>
              <w:t>批复于</w:t>
            </w:r>
            <w:r>
              <w:rPr>
                <w:rFonts w:hint="eastAsia"/>
                <w:color w:val="auto"/>
                <w:sz w:val="24"/>
                <w:highlight w:val="none"/>
                <w:lang w:val="en-US" w:eastAsia="zh-CN"/>
              </w:rPr>
              <w:t>2025年9月取得，</w:t>
            </w:r>
            <w:r>
              <w:rPr>
                <w:rFonts w:hint="eastAsia"/>
                <w:color w:val="auto"/>
                <w:sz w:val="24"/>
                <w:highlight w:val="none"/>
              </w:rPr>
              <w:t>排放</w:t>
            </w:r>
            <w:r>
              <w:rPr>
                <w:rFonts w:hint="default"/>
                <w:color w:val="auto"/>
                <w:sz w:val="24"/>
                <w:highlight w:val="none"/>
              </w:rPr>
              <w:t>总量</w:t>
            </w:r>
            <w:r>
              <w:rPr>
                <w:rFonts w:hint="eastAsia"/>
                <w:color w:val="auto"/>
                <w:sz w:val="24"/>
                <w:highlight w:val="none"/>
              </w:rPr>
              <w:t>如下：</w:t>
            </w:r>
          </w:p>
          <w:p w14:paraId="66D73DAC">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highlight w:val="none"/>
                <w:lang w:eastAsia="zh-CN"/>
              </w:rPr>
              <w:t>废气</w:t>
            </w:r>
            <w:r>
              <w:rPr>
                <w:rFonts w:hint="default"/>
                <w:color w:val="auto"/>
                <w:highlight w:val="none"/>
              </w:rPr>
              <w:t>NO</w:t>
            </w:r>
            <w:r>
              <w:rPr>
                <w:rFonts w:hint="default"/>
                <w:color w:val="auto"/>
                <w:highlight w:val="none"/>
                <w:vertAlign w:val="subscript"/>
              </w:rPr>
              <w:t>X</w:t>
            </w:r>
            <w:r>
              <w:rPr>
                <w:rFonts w:hint="default"/>
                <w:color w:val="auto"/>
                <w:highlight w:val="none"/>
              </w:rPr>
              <w:t>控制量为2.42t/a。</w:t>
            </w:r>
            <w:r>
              <w:rPr>
                <w:rFonts w:hint="eastAsia"/>
                <w:color w:val="auto"/>
                <w:sz w:val="24"/>
                <w:highlight w:val="none"/>
              </w:rPr>
              <w:t>。</w:t>
            </w:r>
          </w:p>
          <w:p w14:paraId="2461BA7D">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2、</w:t>
            </w:r>
            <w:r>
              <w:rPr>
                <w:rFonts w:hint="default"/>
                <w:color w:val="auto"/>
                <w:highlight w:val="none"/>
              </w:rPr>
              <w:t>本项目涉及的总量控制污染物为COD</w:t>
            </w:r>
            <w:r>
              <w:rPr>
                <w:rFonts w:hint="default"/>
                <w:color w:val="auto"/>
                <w:highlight w:val="none"/>
                <w:vertAlign w:val="subscript"/>
              </w:rPr>
              <w:t>Cr</w:t>
            </w:r>
            <w:r>
              <w:rPr>
                <w:rFonts w:hint="default"/>
                <w:color w:val="auto"/>
                <w:highlight w:val="none"/>
              </w:rPr>
              <w:t>、NH</w:t>
            </w:r>
            <w:r>
              <w:rPr>
                <w:rFonts w:hint="default"/>
                <w:color w:val="auto"/>
                <w:highlight w:val="none"/>
                <w:vertAlign w:val="subscript"/>
              </w:rPr>
              <w:t>3</w:t>
            </w:r>
            <w:r>
              <w:rPr>
                <w:rFonts w:hint="default"/>
                <w:color w:val="auto"/>
                <w:highlight w:val="none"/>
              </w:rPr>
              <w:t>-N。</w:t>
            </w:r>
          </w:p>
          <w:p w14:paraId="349C4B86">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本次扩建</w:t>
            </w:r>
            <w:r>
              <w:rPr>
                <w:rFonts w:hint="default"/>
                <w:color w:val="auto"/>
                <w:highlight w:val="none"/>
              </w:rPr>
              <w:t>项目运营期</w:t>
            </w:r>
            <w:r>
              <w:rPr>
                <w:rFonts w:hint="eastAsia"/>
                <w:color w:val="auto"/>
                <w:highlight w:val="none"/>
                <w:lang w:val="en-US" w:eastAsia="zh-CN"/>
              </w:rPr>
              <w:t>生活污水经隔油池、化粪池预处理，处理达到江西建筑陶瓷产业园污水处理厂接管标准要求后经市政污水管网纳入建筑陶瓷产业园污水处理厂处理，处理达标后尾水执行《城镇污水处理厂污染物排放标准》（GB18918-2002）中一级A标准后排放至肖江。</w:t>
            </w:r>
            <w:r>
              <w:rPr>
                <w:rFonts w:hint="default"/>
                <w:color w:val="auto"/>
                <w:highlight w:val="none"/>
              </w:rPr>
              <w:t>本项目建成后新增废水排放量为</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w:t>
            </w:r>
          </w:p>
          <w:p w14:paraId="399342F4">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排入江西省建筑陶瓷产业基地污水处理厂的考核指标计算如下：</w:t>
            </w:r>
          </w:p>
          <w:p w14:paraId="47E56992">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COD</w:t>
            </w:r>
            <w:r>
              <w:rPr>
                <w:rFonts w:hint="default"/>
                <w:color w:val="auto"/>
                <w:highlight w:val="none"/>
                <w:vertAlign w:val="subscript"/>
              </w:rPr>
              <w:t>Cr</w:t>
            </w:r>
            <w:r>
              <w:rPr>
                <w:rFonts w:hint="default"/>
                <w:color w:val="auto"/>
                <w:highlight w:val="none"/>
              </w:rPr>
              <w:t>：</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eastAsia"/>
                <w:color w:val="auto"/>
                <w:highlight w:val="none"/>
                <w:lang w:val="en-US" w:eastAsia="zh-CN"/>
              </w:rPr>
              <w:t>212.5</w:t>
            </w:r>
            <w:r>
              <w:rPr>
                <w:rFonts w:hint="default"/>
                <w:color w:val="auto"/>
                <w:highlight w:val="none"/>
              </w:rPr>
              <w:t>mg/L=0.</w:t>
            </w:r>
            <w:r>
              <w:rPr>
                <w:rFonts w:hint="eastAsia"/>
                <w:color w:val="auto"/>
                <w:highlight w:val="none"/>
                <w:lang w:val="en-US" w:eastAsia="zh-CN"/>
              </w:rPr>
              <w:t>0816</w:t>
            </w:r>
            <w:r>
              <w:rPr>
                <w:rFonts w:hint="default"/>
                <w:color w:val="auto"/>
                <w:highlight w:val="none"/>
              </w:rPr>
              <w:t>t/a；</w:t>
            </w:r>
          </w:p>
          <w:p w14:paraId="485F2D6B">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w:t>
            </w:r>
            <w:r>
              <w:rPr>
                <w:rFonts w:hint="eastAsia"/>
                <w:color w:val="auto"/>
                <w:highlight w:val="none"/>
                <w:lang w:val="en-US" w:eastAsia="zh-CN"/>
              </w:rPr>
              <w:t>24.25</w:t>
            </w:r>
            <w:r>
              <w:rPr>
                <w:rFonts w:hint="default"/>
                <w:color w:val="auto"/>
                <w:highlight w:val="none"/>
              </w:rPr>
              <w:t>mg/L=0.0</w:t>
            </w:r>
            <w:r>
              <w:rPr>
                <w:rFonts w:hint="eastAsia"/>
                <w:color w:val="auto"/>
                <w:highlight w:val="none"/>
                <w:lang w:val="en-US" w:eastAsia="zh-CN"/>
              </w:rPr>
              <w:t>093</w:t>
            </w:r>
            <w:r>
              <w:rPr>
                <w:rFonts w:hint="default"/>
                <w:color w:val="auto"/>
                <w:highlight w:val="none"/>
              </w:rPr>
              <w:t>t/a。</w:t>
            </w:r>
          </w:p>
          <w:p w14:paraId="3E5011C8">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排入外环境的控制指标计算如下：</w:t>
            </w:r>
          </w:p>
          <w:p w14:paraId="0D27DE64">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COD</w:t>
            </w:r>
            <w:r>
              <w:rPr>
                <w:rFonts w:hint="default"/>
                <w:color w:val="auto"/>
                <w:highlight w:val="none"/>
                <w:vertAlign w:val="subscript"/>
              </w:rPr>
              <w:t>Cr</w:t>
            </w:r>
            <w:r>
              <w:rPr>
                <w:rFonts w:hint="default"/>
                <w:color w:val="auto"/>
                <w:highlight w:val="none"/>
              </w:rPr>
              <w:t>：</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/a×50mg/L=0.</w:t>
            </w:r>
            <w:r>
              <w:rPr>
                <w:rFonts w:hint="eastAsia"/>
                <w:color w:val="auto"/>
                <w:highlight w:val="none"/>
                <w:lang w:val="en-US" w:eastAsia="zh-CN"/>
              </w:rPr>
              <w:t>0192</w:t>
            </w:r>
            <w:r>
              <w:rPr>
                <w:rFonts w:hint="default"/>
                <w:color w:val="auto"/>
                <w:highlight w:val="none"/>
              </w:rPr>
              <w:t>t/a；</w:t>
            </w:r>
          </w:p>
          <w:p w14:paraId="268A4725">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/a×5mg/L=0.0</w:t>
            </w:r>
            <w:r>
              <w:rPr>
                <w:rFonts w:hint="eastAsia"/>
                <w:color w:val="auto"/>
                <w:highlight w:val="none"/>
                <w:lang w:val="en-US" w:eastAsia="zh-CN"/>
              </w:rPr>
              <w:t>0192</w:t>
            </w:r>
            <w:r>
              <w:rPr>
                <w:rFonts w:hint="default"/>
                <w:color w:val="auto"/>
                <w:highlight w:val="none"/>
              </w:rPr>
              <w:t>t/a。</w:t>
            </w:r>
          </w:p>
          <w:p w14:paraId="6B1A7824">
            <w:pPr>
              <w:pStyle w:val="76"/>
              <w:keepNext w:val="0"/>
              <w:keepLines w:val="0"/>
              <w:suppressLineNumbers w:val="0"/>
              <w:bidi w:val="0"/>
              <w:spacing w:before="0" w:beforeAutospacing="0" w:after="0" w:afterAutospacing="0"/>
              <w:ind w:left="0" w:right="0"/>
              <w:rPr>
                <w:rFonts w:hint="eastAsia" w:eastAsia="宋体"/>
                <w:color w:val="auto"/>
                <w:highlight w:val="none"/>
                <w:lang w:val="en-US" w:eastAsia="zh-CN"/>
              </w:rPr>
            </w:pPr>
            <w:r>
              <w:rPr>
                <w:rFonts w:hint="default"/>
                <w:color w:val="auto"/>
                <w:highlight w:val="none"/>
              </w:rPr>
              <w:t>因此，本项目废</w:t>
            </w:r>
            <w:r>
              <w:rPr>
                <w:rFonts w:hint="eastAsia"/>
                <w:color w:val="auto"/>
                <w:highlight w:val="none"/>
                <w:lang w:val="en-US" w:eastAsia="zh-CN"/>
              </w:rPr>
              <w:t>水</w:t>
            </w:r>
            <w:r>
              <w:rPr>
                <w:rFonts w:hint="default"/>
                <w:color w:val="auto"/>
                <w:highlight w:val="none"/>
              </w:rPr>
              <w:t>总量控制指标为：COD</w:t>
            </w:r>
            <w:r>
              <w:rPr>
                <w:rFonts w:hint="default"/>
                <w:color w:val="auto"/>
                <w:highlight w:val="none"/>
                <w:vertAlign w:val="subscript"/>
              </w:rPr>
              <w:t>Cr</w:t>
            </w:r>
            <w:r>
              <w:rPr>
                <w:rFonts w:hint="default"/>
                <w:color w:val="auto"/>
                <w:highlight w:val="none"/>
              </w:rPr>
              <w:t>：0.</w:t>
            </w:r>
            <w:r>
              <w:rPr>
                <w:rFonts w:hint="eastAsia"/>
                <w:color w:val="auto"/>
                <w:highlight w:val="none"/>
                <w:lang w:val="en-US" w:eastAsia="zh-CN"/>
              </w:rPr>
              <w:t>0192</w:t>
            </w:r>
            <w:r>
              <w:rPr>
                <w:rFonts w:hint="default"/>
                <w:color w:val="auto"/>
                <w:highlight w:val="none"/>
              </w:rPr>
              <w:t>t/a；NH</w:t>
            </w:r>
            <w:r>
              <w:rPr>
                <w:rFonts w:hint="default"/>
                <w:color w:val="auto"/>
                <w:highlight w:val="none"/>
                <w:vertAlign w:val="subscript"/>
              </w:rPr>
              <w:t>3</w:t>
            </w:r>
            <w:r>
              <w:rPr>
                <w:rFonts w:hint="default"/>
                <w:color w:val="auto"/>
                <w:highlight w:val="none"/>
              </w:rPr>
              <w:t>-N：0.0</w:t>
            </w:r>
            <w:r>
              <w:rPr>
                <w:rFonts w:hint="eastAsia"/>
                <w:color w:val="auto"/>
                <w:highlight w:val="none"/>
                <w:lang w:val="en-US" w:eastAsia="zh-CN"/>
              </w:rPr>
              <w:t>0192</w:t>
            </w:r>
            <w:r>
              <w:rPr>
                <w:rFonts w:hint="default"/>
                <w:color w:val="auto"/>
                <w:highlight w:val="none"/>
              </w:rPr>
              <w:t>t/a。</w:t>
            </w:r>
          </w:p>
          <w:p w14:paraId="049E2009">
            <w:pPr>
              <w:pStyle w:val="76"/>
              <w:keepNext w:val="0"/>
              <w:keepLines w:val="0"/>
              <w:suppressLineNumbers w:val="0"/>
              <w:bidi w:val="0"/>
              <w:spacing w:before="0" w:beforeAutospacing="0" w:after="0" w:afterAutospacing="0"/>
              <w:ind w:left="0" w:right="0"/>
              <w:rPr>
                <w:rFonts w:hint="default"/>
                <w:color w:val="auto"/>
                <w:highlight w:val="none"/>
              </w:rPr>
            </w:pPr>
          </w:p>
          <w:p w14:paraId="773805AE">
            <w:pPr>
              <w:pStyle w:val="54"/>
              <w:keepNext w:val="0"/>
              <w:keepLines w:val="0"/>
              <w:suppressLineNumbers w:val="0"/>
              <w:spacing w:before="0" w:beforeAutospacing="0" w:after="0" w:afterAutospacing="0"/>
              <w:ind w:left="0" w:right="0"/>
              <w:rPr>
                <w:rFonts w:hint="default"/>
                <w:color w:val="auto"/>
                <w:highlight w:val="none"/>
              </w:rPr>
            </w:pPr>
          </w:p>
          <w:p w14:paraId="3BF64918">
            <w:pPr>
              <w:pStyle w:val="54"/>
              <w:keepNext w:val="0"/>
              <w:keepLines w:val="0"/>
              <w:suppressLineNumbers w:val="0"/>
              <w:spacing w:before="0" w:beforeAutospacing="0" w:after="0" w:afterAutospacing="0"/>
              <w:ind w:left="0" w:right="0"/>
              <w:rPr>
                <w:rFonts w:hint="default"/>
                <w:color w:val="auto"/>
                <w:highlight w:val="none"/>
              </w:rPr>
            </w:pPr>
          </w:p>
          <w:p w14:paraId="5498D3B7">
            <w:pPr>
              <w:pStyle w:val="54"/>
              <w:keepNext w:val="0"/>
              <w:keepLines w:val="0"/>
              <w:suppressLineNumbers w:val="0"/>
              <w:spacing w:before="0" w:beforeAutospacing="0" w:after="0" w:afterAutospacing="0"/>
              <w:ind w:left="0" w:right="0"/>
              <w:rPr>
                <w:rFonts w:hint="default"/>
                <w:color w:val="auto"/>
                <w:highlight w:val="none"/>
              </w:rPr>
            </w:pPr>
          </w:p>
          <w:p w14:paraId="7067C169">
            <w:pPr>
              <w:pStyle w:val="54"/>
              <w:keepNext w:val="0"/>
              <w:keepLines w:val="0"/>
              <w:suppressLineNumbers w:val="0"/>
              <w:spacing w:before="0" w:beforeAutospacing="0" w:after="0" w:afterAutospacing="0"/>
              <w:ind w:left="0" w:right="0"/>
              <w:rPr>
                <w:rFonts w:hint="default"/>
                <w:color w:val="auto"/>
                <w:highlight w:val="none"/>
              </w:rPr>
            </w:pPr>
          </w:p>
          <w:p w14:paraId="6BC78D92">
            <w:pPr>
              <w:pStyle w:val="54"/>
              <w:keepNext w:val="0"/>
              <w:keepLines w:val="0"/>
              <w:suppressLineNumbers w:val="0"/>
              <w:spacing w:before="0" w:beforeAutospacing="0" w:after="0" w:afterAutospacing="0"/>
              <w:ind w:left="0" w:right="0"/>
              <w:rPr>
                <w:rFonts w:hint="default"/>
                <w:color w:val="auto"/>
                <w:highlight w:val="none"/>
              </w:rPr>
            </w:pPr>
          </w:p>
        </w:tc>
      </w:tr>
    </w:tbl>
    <w:p w14:paraId="0684FA36">
      <w:pPr>
        <w:pStyle w:val="76"/>
        <w:bidi w:val="0"/>
        <w:rPr>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9D4E57A">
      <w:pPr>
        <w:pStyle w:val="76"/>
        <w:numPr>
          <w:ilvl w:val="0"/>
          <w:numId w:val="17"/>
        </w:numPr>
        <w:bidi w:val="0"/>
        <w:ind w:left="0" w:leftChars="0" w:firstLine="0" w:firstLineChars="0"/>
        <w:jc w:val="center"/>
        <w:outlineLvl w:val="0"/>
        <w:rPr>
          <w:rFonts w:hint="eastAsia" w:ascii="黑体" w:hAnsi="黑体" w:eastAsia="黑体"/>
          <w:snapToGrid w:val="0"/>
          <w:color w:val="auto"/>
          <w:sz w:val="30"/>
          <w:szCs w:val="30"/>
          <w:highlight w:val="none"/>
        </w:rPr>
      </w:pPr>
      <w:bookmarkStart w:id="414" w:name="_Toc6976"/>
      <w:bookmarkStart w:id="415" w:name="_Toc2515"/>
      <w:bookmarkStart w:id="416" w:name="_Toc12052"/>
      <w:r>
        <w:rPr>
          <w:rFonts w:hint="eastAsia" w:ascii="黑体" w:hAnsi="黑体" w:eastAsia="黑体"/>
          <w:snapToGrid w:val="0"/>
          <w:color w:val="auto"/>
          <w:sz w:val="30"/>
          <w:szCs w:val="30"/>
          <w:highlight w:val="none"/>
        </w:rPr>
        <w:t>主要环境影响和保护措施</w:t>
      </w:r>
      <w:bookmarkEnd w:id="414"/>
      <w:bookmarkEnd w:id="415"/>
      <w:bookmarkEnd w:id="416"/>
    </w:p>
    <w:tbl>
      <w:tblPr>
        <w:tblStyle w:val="25"/>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8362"/>
      </w:tblGrid>
      <w:tr w14:paraId="7A35F1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47" w:hRule="atLeast"/>
          <w:jc w:val="center"/>
        </w:trPr>
        <w:tc>
          <w:tcPr>
            <w:tcW w:w="422" w:type="pct"/>
            <w:noWrap w:val="0"/>
            <w:tcMar>
              <w:left w:w="28" w:type="dxa"/>
              <w:right w:w="28" w:type="dxa"/>
            </w:tcMar>
            <w:vAlign w:val="center"/>
          </w:tcPr>
          <w:p w14:paraId="48F02842">
            <w:pPr>
              <w:pStyle w:val="77"/>
              <w:keepNext w:val="0"/>
              <w:keepLines w:val="0"/>
              <w:suppressLineNumbers w:val="0"/>
              <w:bidi w:val="0"/>
              <w:spacing w:before="0" w:beforeAutospacing="0" w:after="0" w:afterAutospacing="0"/>
              <w:ind w:left="0" w:right="0"/>
              <w:rPr>
                <w:rFonts w:hint="eastAsia" w:cs="宋体"/>
                <w:bCs/>
                <w:color w:val="auto"/>
                <w:szCs w:val="21"/>
                <w:highlight w:val="none"/>
              </w:rPr>
            </w:pPr>
            <w:r>
              <w:rPr>
                <w:rFonts w:hint="eastAsia"/>
                <w:color w:val="auto"/>
                <w:highlight w:val="none"/>
              </w:rPr>
              <w:t>施工期环境保护措施</w:t>
            </w:r>
          </w:p>
        </w:tc>
        <w:tc>
          <w:tcPr>
            <w:tcW w:w="4577" w:type="pct"/>
            <w:noWrap w:val="0"/>
            <w:vAlign w:val="center"/>
          </w:tcPr>
          <w:p w14:paraId="4590ED8F">
            <w:pPr>
              <w:pStyle w:val="53"/>
              <w:keepNext w:val="0"/>
              <w:keepLines w:val="0"/>
              <w:suppressLineNumbers w:val="0"/>
              <w:spacing w:before="0" w:beforeAutospacing="0" w:after="0" w:afterAutospacing="0"/>
              <w:ind w:left="0" w:right="0" w:firstLine="482"/>
              <w:rPr>
                <w:rFonts w:hint="default"/>
                <w:color w:val="auto"/>
                <w:highlight w:val="none"/>
              </w:rPr>
            </w:pPr>
            <w:bookmarkStart w:id="417" w:name="_Toc10552"/>
            <w:r>
              <w:rPr>
                <w:rFonts w:hint="default"/>
                <w:color w:val="auto"/>
                <w:highlight w:val="none"/>
              </w:rPr>
              <w:t>一、主要污染物及治理措施</w:t>
            </w:r>
            <w:bookmarkEnd w:id="417"/>
          </w:p>
          <w:p w14:paraId="3AE61C56">
            <w:pPr>
              <w:keepNext w:val="0"/>
              <w:keepLines w:val="0"/>
              <w:suppressLineNumbers w:val="0"/>
              <w:spacing w:before="0" w:beforeAutospacing="0" w:after="0" w:afterAutospacing="0" w:line="360" w:lineRule="auto"/>
              <w:ind w:left="0" w:right="0" w:firstLine="482" w:firstLineChars="200"/>
              <w:outlineLvl w:val="0"/>
              <w:rPr>
                <w:rFonts w:hint="default"/>
                <w:b/>
                <w:color w:val="auto"/>
                <w:sz w:val="24"/>
                <w:highlight w:val="none"/>
              </w:rPr>
            </w:pPr>
            <w:bookmarkStart w:id="418" w:name="_Toc23732"/>
            <w:r>
              <w:rPr>
                <w:rFonts w:hint="default"/>
                <w:b/>
                <w:color w:val="auto"/>
                <w:sz w:val="24"/>
                <w:highlight w:val="none"/>
              </w:rPr>
              <w:t>（一）废气</w:t>
            </w:r>
            <w:bookmarkEnd w:id="418"/>
          </w:p>
          <w:p w14:paraId="28D9F1C6">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为有效控制扬尘的污染，施工期间，施工工地周围设置连续、密闭的围挡。对工地建筑结构脚手架外侧设置密目防尘网或防尘布。项目施工单位采取防治措施，建议扬尘治理其他措施主要为：</w:t>
            </w:r>
          </w:p>
          <w:p w14:paraId="4C1D0D4C">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1）在施工区出口放置防尘垫，减少出场车辆车轮带泥砂量和进出车辆在运输过程中的抛洒现象；设置冲洗设备设施，对运输车辆现场需设置洗车场，用水清洗车体和轮胎；不准运渣车辆超载、冒载，运渣车辆车厢遮盖严密后方可运出场外。</w:t>
            </w:r>
          </w:p>
          <w:p w14:paraId="11940AAF">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2）建材堆放点相对集中，放置规范，并采取洒水等防尘措施，抑制扬尘量；开挖出的土石方加强围栏，且表面用毡布覆盖；施工工程中产生的建筑垃圾应及时清运，未能及时清运的，应当采取有效的防尘措施。</w:t>
            </w:r>
          </w:p>
          <w:p w14:paraId="776A8887">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（3）施工场地配备专职的保洁人员负责施工现场卫生管理工作，做到定时清扫。清扫时应做到先洒水，后清扫，防止扬尘产生。</w:t>
            </w:r>
          </w:p>
          <w:p w14:paraId="4D04A2A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（4）施工中建筑物用围帘封闭，脚手架在拆除前，先将水平网内、脚手板上的垃圾清理干净，清理时避免扬尘。</w:t>
            </w:r>
          </w:p>
          <w:p w14:paraId="45E07AAB">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（5）使用商品混凝土，因需要必须进行现场搅拌砂浆、混凝土时，应尽量做到不洒、不漏、不剩、不倒，混凝土搅拌应设置在棚内，搅拌时要有降尘措施。</w:t>
            </w:r>
          </w:p>
          <w:p w14:paraId="4FCECD1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（6）定时洒水抑尘，在大风干燥的天气，增加洒水作业的次数和洒水量。</w:t>
            </w:r>
          </w:p>
          <w:p w14:paraId="4B9E8C19">
            <w:pPr>
              <w:keepNext w:val="0"/>
              <w:keepLines w:val="0"/>
              <w:suppressLineNumbers w:val="0"/>
              <w:spacing w:before="0" w:beforeAutospacing="0" w:after="0" w:afterAutospacing="0" w:line="360" w:lineRule="auto"/>
              <w:ind w:left="0" w:right="0" w:firstLine="482" w:firstLineChars="200"/>
              <w:outlineLvl w:val="0"/>
              <w:rPr>
                <w:rFonts w:hint="default"/>
                <w:b/>
                <w:color w:val="auto"/>
                <w:sz w:val="24"/>
                <w:highlight w:val="none"/>
              </w:rPr>
            </w:pPr>
            <w:bookmarkStart w:id="419" w:name="_Toc5115"/>
            <w:r>
              <w:rPr>
                <w:rFonts w:hint="default"/>
                <w:b/>
                <w:color w:val="auto"/>
                <w:sz w:val="24"/>
                <w:highlight w:val="none"/>
              </w:rPr>
              <w:t>（二）废水</w:t>
            </w:r>
            <w:bookmarkEnd w:id="419"/>
          </w:p>
          <w:p w14:paraId="1C718362">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（1）施工废水防治措施</w:t>
            </w:r>
          </w:p>
          <w:p w14:paraId="49CA1A72">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项目在施工场地内施工废水集中后进行处理后循环使用不外排。</w:t>
            </w:r>
          </w:p>
          <w:p w14:paraId="69656B11">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lang w:val="zh-CN"/>
              </w:rPr>
            </w:pPr>
            <w:r>
              <w:rPr>
                <w:rFonts w:hint="default"/>
                <w:color w:val="auto"/>
                <w:sz w:val="24"/>
                <w:highlight w:val="none"/>
                <w:lang w:val="zh-CN"/>
              </w:rPr>
              <w:t>（2）生活污水防治措施</w:t>
            </w:r>
          </w:p>
          <w:p w14:paraId="5E6038C3">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施工人员产生的生活污水经化粪池处理后通过污水管网排入江西省建筑陶瓷产业基地污水处理厂深度处理后排入肖江。</w:t>
            </w:r>
          </w:p>
          <w:p w14:paraId="2C6E7FE3">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（三）噪声</w:t>
            </w:r>
          </w:p>
          <w:p w14:paraId="262CE249">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（1）鉴于施工期噪声对环境产生的影响，建设单位必须对施工时段作统筹安排，尽量避免高噪源同时进行施工。</w:t>
            </w:r>
          </w:p>
          <w:p w14:paraId="22F1D48D">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（2）施工期间必须按《建筑施工场界环境噪声排放标准》（GB12523-2011）进行施工时间、施工噪声的控制，夜间禁止施工。如根据工况要求必须连续作业，必须得到当地</w:t>
            </w:r>
            <w:r>
              <w:rPr>
                <w:rFonts w:hint="eastAsia"/>
                <w:color w:val="auto"/>
                <w:highlight w:val="none"/>
                <w:lang w:eastAsia="zh-CN"/>
              </w:rPr>
              <w:t>生态环境</w:t>
            </w:r>
            <w:r>
              <w:rPr>
                <w:rFonts w:hint="default"/>
                <w:color w:val="auto"/>
                <w:highlight w:val="none"/>
              </w:rPr>
              <w:t>部门的许可方可施工，并可在必要时采用柔性吸声屏替代目前通用的尼龙质地的围挡。</w:t>
            </w:r>
          </w:p>
          <w:p w14:paraId="3273EA62">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（3）根据《江西省环境污染防治条例》，本项目建设应从规范施工秩序着手，高噪声设备应安排在白天（除中午12:00~14:00）使用，夜间禁止使用高噪声设备（20:00~8:00）。</w:t>
            </w:r>
          </w:p>
          <w:p w14:paraId="23F37E2E">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（4）选用施工设备时将设备噪声作为一项重要的选取指标，尽量选用低噪声设备，并对产生噪声的施工设备加强维护和维修工作，以减少机械故障噪声的产生。</w:t>
            </w:r>
          </w:p>
          <w:p w14:paraId="4F3C769D">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（5）制定合理的运输线路，车辆运输应尽量避开居民区。结合本项目周边敏感点的分布情况，在施工期安排合理的运输路线以避开居住区，汽车途经居住区时应减速慢行，晚间运输用灯光示警，禁鸣喇叭。</w:t>
            </w:r>
          </w:p>
          <w:p w14:paraId="5D9F3EF3">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（6）与施工单位签订控噪协议，督促和监督其施工控噪工作的有效实施。</w:t>
            </w:r>
          </w:p>
          <w:p w14:paraId="413EC8EB">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（7）夜间施工作业必需向周边居民公布施工的时间，并征求附近易受影响居民对工程建设的意见和建议，协调好与周边居民及单位之间的关系，取得民众的理解，避免引起噪声投诉。</w:t>
            </w:r>
          </w:p>
          <w:p w14:paraId="20AEB4A4">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（四）固废</w:t>
            </w:r>
          </w:p>
          <w:p w14:paraId="6954C62D">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（1）施工过程中丢弃的包装袋、废顶棚、废建材等垃圾，建议集中收集，能回收利用的尽量回收利用，不能利用的及时清运处置。</w:t>
            </w:r>
          </w:p>
          <w:p w14:paraId="74439AF0">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（2）对于建筑垃圾中的稳定成分，如碎砖等，可与施工挖出的土石一起进行综合利用；施工期挖出软土建议尽量外运利用，禁止随意倾倒。</w:t>
            </w:r>
          </w:p>
          <w:p w14:paraId="609BED49">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（3）施工单位必须按规定办理好渣土排放手续，获得批准后方可在指定的收纳地点弃土。</w:t>
            </w:r>
          </w:p>
          <w:p w14:paraId="246CA615">
            <w:pPr>
              <w:pStyle w:val="76"/>
              <w:keepNext w:val="0"/>
              <w:keepLines w:val="0"/>
              <w:suppressLineNumbers w:val="0"/>
              <w:bidi w:val="0"/>
              <w:spacing w:before="0" w:beforeAutospacing="0" w:after="0" w:afterAutospacing="0"/>
              <w:ind w:left="0" w:right="0"/>
              <w:rPr>
                <w:rFonts w:hint="eastAsia"/>
                <w:color w:val="auto"/>
                <w:kern w:val="0"/>
                <w:highlight w:val="none"/>
              </w:rPr>
            </w:pPr>
            <w:r>
              <w:rPr>
                <w:rFonts w:hint="default"/>
                <w:color w:val="auto"/>
                <w:highlight w:val="none"/>
              </w:rPr>
              <w:t>（4）对可再利用的废料，如木材、钢筋等，应进行回收，以节省资源。</w:t>
            </w:r>
          </w:p>
        </w:tc>
      </w:tr>
    </w:tbl>
    <w:p w14:paraId="51C230C4">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502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315"/>
        <w:gridCol w:w="13858"/>
      </w:tblGrid>
      <w:tr w14:paraId="6CE4F53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111" w:type="pct"/>
            <w:noWrap w:val="0"/>
            <w:tcMar>
              <w:left w:w="28" w:type="dxa"/>
              <w:right w:w="28" w:type="dxa"/>
            </w:tcMar>
            <w:vAlign w:val="center"/>
          </w:tcPr>
          <w:p w14:paraId="31D3D225">
            <w:pPr>
              <w:pStyle w:val="22"/>
              <w:keepNext w:val="0"/>
              <w:keepLines w:val="0"/>
              <w:suppressLineNumbers w:val="0"/>
              <w:spacing w:before="0" w:beforeAutospacing="0" w:after="0" w:afterAutospacing="0" w:line="240" w:lineRule="auto"/>
              <w:ind w:left="0" w:right="0" w:firstLine="0" w:firstLineChars="0"/>
              <w:jc w:val="center"/>
              <w:rPr>
                <w:rFonts w:hint="eastAsia" w:cs="宋体"/>
                <w:bCs/>
                <w:color w:val="auto"/>
                <w:sz w:val="21"/>
                <w:szCs w:val="21"/>
                <w:highlight w:val="none"/>
              </w:rPr>
            </w:pPr>
            <w:r>
              <w:rPr>
                <w:rFonts w:hint="eastAsia" w:cs="宋体"/>
                <w:color w:val="auto"/>
                <w:szCs w:val="24"/>
                <w:highlight w:val="none"/>
              </w:rPr>
              <w:t>运营期环境保护措施</w:t>
            </w:r>
          </w:p>
        </w:tc>
        <w:tc>
          <w:tcPr>
            <w:tcW w:w="4888" w:type="pct"/>
            <w:noWrap w:val="0"/>
            <w:vAlign w:val="center"/>
          </w:tcPr>
          <w:p w14:paraId="00E22FAD">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一</w:t>
            </w:r>
            <w:r>
              <w:rPr>
                <w:rFonts w:hint="eastAsia"/>
                <w:b/>
                <w:bCs w:val="0"/>
                <w:color w:val="auto"/>
                <w:highlight w:val="none"/>
              </w:rPr>
              <w:t>、废气</w:t>
            </w:r>
          </w:p>
          <w:p w14:paraId="1FCB42BC">
            <w:pPr>
              <w:pStyle w:val="76"/>
              <w:keepNext w:val="0"/>
              <w:keepLines w:val="0"/>
              <w:suppressLineNumbers w:val="0"/>
              <w:bidi w:val="0"/>
              <w:spacing w:before="0" w:beforeAutospacing="0" w:after="0" w:afterAutospacing="0"/>
              <w:ind w:left="0" w:right="0"/>
              <w:rPr>
                <w:rFonts w:hint="eastAsia"/>
                <w:b/>
                <w:bCs w:val="0"/>
                <w:color w:val="auto"/>
                <w:highlight w:val="none"/>
              </w:rPr>
            </w:pPr>
            <w:r>
              <w:rPr>
                <w:rFonts w:hint="eastAsia"/>
                <w:b/>
                <w:bCs w:val="0"/>
                <w:color w:val="auto"/>
                <w:highlight w:val="none"/>
                <w:lang w:val="en-US" w:eastAsia="zh-CN"/>
              </w:rPr>
              <w:t>1、</w:t>
            </w:r>
            <w:r>
              <w:rPr>
                <w:rFonts w:hint="eastAsia"/>
                <w:b/>
                <w:bCs w:val="0"/>
                <w:color w:val="auto"/>
                <w:highlight w:val="none"/>
              </w:rPr>
              <w:t>废气污染源情况</w:t>
            </w:r>
          </w:p>
          <w:p w14:paraId="65FE09CC">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zh-CN" w:eastAsia="zh-CN"/>
              </w:rPr>
            </w:pPr>
            <w:r>
              <w:rPr>
                <w:rFonts w:hint="default" w:ascii="Times New Roman" w:hAnsi="Times New Roman" w:eastAsia="宋体" w:cs="Times New Roman"/>
                <w:color w:val="auto"/>
                <w:sz w:val="21"/>
                <w:szCs w:val="21"/>
                <w:highlight w:val="none"/>
                <w:lang w:val="zh-CN" w:eastAsia="zh-CN"/>
              </w:rPr>
              <w:t>废气污染源产生、正常排放汇总表</w:t>
            </w:r>
          </w:p>
          <w:tbl>
            <w:tblPr>
              <w:tblStyle w:val="25"/>
              <w:tblpPr w:vertAnchor="text" w:tblpXSpec="center" w:tblpY="1"/>
              <w:tblOverlap w:val="never"/>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16"/>
              <w:gridCol w:w="326"/>
              <w:gridCol w:w="1061"/>
              <w:gridCol w:w="677"/>
              <w:gridCol w:w="824"/>
              <w:gridCol w:w="717"/>
              <w:gridCol w:w="494"/>
              <w:gridCol w:w="410"/>
              <w:gridCol w:w="478"/>
              <w:gridCol w:w="422"/>
              <w:gridCol w:w="847"/>
              <w:gridCol w:w="603"/>
              <w:gridCol w:w="795"/>
              <w:gridCol w:w="731"/>
              <w:gridCol w:w="788"/>
              <w:gridCol w:w="300"/>
              <w:gridCol w:w="423"/>
              <w:gridCol w:w="300"/>
              <w:gridCol w:w="409"/>
              <w:gridCol w:w="1486"/>
              <w:gridCol w:w="835"/>
            </w:tblGrid>
            <w:tr w14:paraId="189E41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52518D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产排污环节</w:t>
                  </w:r>
                </w:p>
              </w:tc>
              <w:tc>
                <w:tcPr>
                  <w:tcW w:w="326" w:type="dxa"/>
                  <w:vMerge w:val="restart"/>
                  <w:noWrap w:val="0"/>
                  <w:vAlign w:val="center"/>
                </w:tcPr>
                <w:p w14:paraId="7B08DC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排放形式</w:t>
                  </w:r>
                </w:p>
              </w:tc>
              <w:tc>
                <w:tcPr>
                  <w:tcW w:w="1061" w:type="dxa"/>
                  <w:vMerge w:val="restart"/>
                  <w:noWrap w:val="0"/>
                  <w:vAlign w:val="center"/>
                </w:tcPr>
                <w:p w14:paraId="338BB5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污染物种类</w:t>
                  </w:r>
                </w:p>
              </w:tc>
              <w:tc>
                <w:tcPr>
                  <w:tcW w:w="2218" w:type="dxa"/>
                  <w:gridSpan w:val="3"/>
                  <w:noWrap w:val="0"/>
                  <w:vAlign w:val="center"/>
                </w:tcPr>
                <w:p w14:paraId="355704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污染物产生量和浓度</w:t>
                  </w:r>
                </w:p>
              </w:tc>
              <w:tc>
                <w:tcPr>
                  <w:tcW w:w="2651" w:type="dxa"/>
                  <w:gridSpan w:val="5"/>
                  <w:noWrap w:val="0"/>
                  <w:vAlign w:val="center"/>
                </w:tcPr>
                <w:p w14:paraId="3E7973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污染治理设施</w:t>
                  </w:r>
                </w:p>
              </w:tc>
              <w:tc>
                <w:tcPr>
                  <w:tcW w:w="2129" w:type="dxa"/>
                  <w:gridSpan w:val="3"/>
                  <w:noWrap w:val="0"/>
                  <w:vAlign w:val="center"/>
                </w:tcPr>
                <w:p w14:paraId="2B9FED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污染物排放量和浓度</w:t>
                  </w:r>
                </w:p>
              </w:tc>
              <w:tc>
                <w:tcPr>
                  <w:tcW w:w="3706" w:type="dxa"/>
                  <w:gridSpan w:val="6"/>
                  <w:noWrap w:val="0"/>
                  <w:vAlign w:val="center"/>
                </w:tcPr>
                <w:p w14:paraId="7D0169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eastAsia"/>
                      <w:b/>
                      <w:bCs/>
                      <w:color w:val="FF0000"/>
                      <w:sz w:val="18"/>
                      <w:szCs w:val="18"/>
                      <w:highlight w:val="none"/>
                      <w:lang w:eastAsia="zh-CN"/>
                    </w:rPr>
                  </w:pPr>
                  <w:r>
                    <w:rPr>
                      <w:rFonts w:hint="eastAsia"/>
                      <w:b/>
                      <w:bCs/>
                      <w:color w:val="FF0000"/>
                      <w:sz w:val="18"/>
                      <w:szCs w:val="18"/>
                      <w:highlight w:val="none"/>
                      <w:lang w:eastAsia="zh-CN"/>
                    </w:rPr>
                    <w:t>排放口基本情况</w:t>
                  </w:r>
                </w:p>
              </w:tc>
              <w:tc>
                <w:tcPr>
                  <w:tcW w:w="835" w:type="dxa"/>
                  <w:noWrap w:val="0"/>
                  <w:vAlign w:val="center"/>
                </w:tcPr>
                <w:p w14:paraId="1D45DF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排放标准</w:t>
                  </w:r>
                </w:p>
              </w:tc>
            </w:tr>
            <w:tr w14:paraId="5283C32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5" w:hRule="atLeast"/>
                <w:jc w:val="center"/>
              </w:trPr>
              <w:tc>
                <w:tcPr>
                  <w:tcW w:w="716" w:type="dxa"/>
                  <w:vMerge w:val="continue"/>
                  <w:noWrap w:val="0"/>
                  <w:vAlign w:val="center"/>
                </w:tcPr>
                <w:p w14:paraId="6618A6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p>
              </w:tc>
              <w:tc>
                <w:tcPr>
                  <w:tcW w:w="326" w:type="dxa"/>
                  <w:vMerge w:val="continue"/>
                  <w:noWrap w:val="0"/>
                  <w:vAlign w:val="center"/>
                </w:tcPr>
                <w:p w14:paraId="22A88C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p>
              </w:tc>
              <w:tc>
                <w:tcPr>
                  <w:tcW w:w="1061" w:type="dxa"/>
                  <w:vMerge w:val="continue"/>
                  <w:noWrap w:val="0"/>
                  <w:vAlign w:val="center"/>
                </w:tcPr>
                <w:p w14:paraId="463B44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p>
              </w:tc>
              <w:tc>
                <w:tcPr>
                  <w:tcW w:w="677" w:type="dxa"/>
                  <w:vMerge w:val="restart"/>
                  <w:noWrap w:val="0"/>
                  <w:vAlign w:val="center"/>
                </w:tcPr>
                <w:p w14:paraId="1CF765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产生浓度</w:t>
                  </w:r>
                  <w:r>
                    <w:rPr>
                      <w:rFonts w:hint="default"/>
                      <w:b/>
                      <w:bCs/>
                      <w:color w:val="auto"/>
                      <w:sz w:val="18"/>
                      <w:szCs w:val="18"/>
                      <w:highlight w:val="none"/>
                    </w:rPr>
                    <w:t>mg/m</w:t>
                  </w:r>
                  <w:r>
                    <w:rPr>
                      <w:rFonts w:hint="default"/>
                      <w:b/>
                      <w:bCs/>
                      <w:color w:val="auto"/>
                      <w:sz w:val="18"/>
                      <w:szCs w:val="18"/>
                      <w:highlight w:val="none"/>
                      <w:vertAlign w:val="superscript"/>
                    </w:rPr>
                    <w:t>3</w:t>
                  </w:r>
                </w:p>
              </w:tc>
              <w:tc>
                <w:tcPr>
                  <w:tcW w:w="824" w:type="dxa"/>
                  <w:vMerge w:val="restart"/>
                  <w:noWrap w:val="0"/>
                  <w:vAlign w:val="center"/>
                </w:tcPr>
                <w:p w14:paraId="0163DE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产生量</w:t>
                  </w:r>
                  <w:r>
                    <w:rPr>
                      <w:rFonts w:hint="default"/>
                      <w:b/>
                      <w:bCs/>
                      <w:color w:val="auto"/>
                      <w:sz w:val="18"/>
                      <w:szCs w:val="18"/>
                      <w:highlight w:val="none"/>
                    </w:rPr>
                    <w:t>kg/h</w:t>
                  </w:r>
                </w:p>
              </w:tc>
              <w:tc>
                <w:tcPr>
                  <w:tcW w:w="717" w:type="dxa"/>
                  <w:vMerge w:val="restart"/>
                  <w:noWrap w:val="0"/>
                  <w:vAlign w:val="center"/>
                </w:tcPr>
                <w:p w14:paraId="256D52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产生量</w:t>
                  </w:r>
                  <w:r>
                    <w:rPr>
                      <w:rFonts w:hint="default"/>
                      <w:b/>
                      <w:bCs/>
                      <w:color w:val="auto"/>
                      <w:sz w:val="18"/>
                      <w:szCs w:val="18"/>
                      <w:highlight w:val="none"/>
                    </w:rPr>
                    <w:t>t/a</w:t>
                  </w:r>
                </w:p>
              </w:tc>
              <w:tc>
                <w:tcPr>
                  <w:tcW w:w="494" w:type="dxa"/>
                  <w:vMerge w:val="restart"/>
                  <w:noWrap w:val="0"/>
                  <w:vAlign w:val="center"/>
                </w:tcPr>
                <w:p w14:paraId="1DB1A4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风量</w:t>
                  </w:r>
                  <w:r>
                    <w:rPr>
                      <w:rFonts w:hint="default"/>
                      <w:b/>
                      <w:bCs/>
                      <w:color w:val="auto"/>
                      <w:sz w:val="18"/>
                      <w:szCs w:val="18"/>
                      <w:highlight w:val="none"/>
                    </w:rPr>
                    <w:t>m</w:t>
                  </w:r>
                  <w:r>
                    <w:rPr>
                      <w:rFonts w:hint="default"/>
                      <w:b/>
                      <w:bCs/>
                      <w:color w:val="auto"/>
                      <w:sz w:val="18"/>
                      <w:szCs w:val="18"/>
                      <w:highlight w:val="none"/>
                      <w:vertAlign w:val="superscript"/>
                    </w:rPr>
                    <w:t>3</w:t>
                  </w:r>
                  <w:r>
                    <w:rPr>
                      <w:rFonts w:hint="default"/>
                      <w:b/>
                      <w:bCs/>
                      <w:color w:val="auto"/>
                      <w:sz w:val="18"/>
                      <w:szCs w:val="18"/>
                      <w:highlight w:val="none"/>
                    </w:rPr>
                    <w:t>/h</w:t>
                  </w:r>
                </w:p>
              </w:tc>
              <w:tc>
                <w:tcPr>
                  <w:tcW w:w="410" w:type="dxa"/>
                  <w:vMerge w:val="restart"/>
                  <w:noWrap w:val="0"/>
                  <w:vAlign w:val="center"/>
                </w:tcPr>
                <w:p w14:paraId="07DF4D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收集效率</w:t>
                  </w:r>
                </w:p>
                <w:p w14:paraId="6342B3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default"/>
                      <w:b/>
                      <w:bCs/>
                      <w:color w:val="auto"/>
                      <w:sz w:val="18"/>
                      <w:szCs w:val="18"/>
                      <w:highlight w:val="none"/>
                    </w:rPr>
                    <w:t>%</w:t>
                  </w:r>
                </w:p>
              </w:tc>
              <w:tc>
                <w:tcPr>
                  <w:tcW w:w="478" w:type="dxa"/>
                  <w:vMerge w:val="restart"/>
                  <w:noWrap w:val="0"/>
                  <w:vAlign w:val="center"/>
                </w:tcPr>
                <w:p w14:paraId="624E90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去除效率</w:t>
                  </w:r>
                </w:p>
                <w:p w14:paraId="1171A8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default"/>
                      <w:b/>
                      <w:bCs/>
                      <w:color w:val="auto"/>
                      <w:sz w:val="18"/>
                      <w:szCs w:val="18"/>
                      <w:highlight w:val="none"/>
                    </w:rPr>
                    <w:t>%</w:t>
                  </w:r>
                </w:p>
              </w:tc>
              <w:tc>
                <w:tcPr>
                  <w:tcW w:w="422" w:type="dxa"/>
                  <w:vMerge w:val="restart"/>
                  <w:noWrap w:val="0"/>
                  <w:vAlign w:val="center"/>
                </w:tcPr>
                <w:p w14:paraId="063E40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是否可行技术</w:t>
                  </w:r>
                </w:p>
              </w:tc>
              <w:tc>
                <w:tcPr>
                  <w:tcW w:w="847" w:type="dxa"/>
                  <w:vMerge w:val="restart"/>
                  <w:noWrap w:val="0"/>
                  <w:vAlign w:val="center"/>
                </w:tcPr>
                <w:p w14:paraId="7E75C8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处理工艺</w:t>
                  </w:r>
                </w:p>
              </w:tc>
              <w:tc>
                <w:tcPr>
                  <w:tcW w:w="603" w:type="dxa"/>
                  <w:vMerge w:val="restart"/>
                  <w:noWrap w:val="0"/>
                  <w:vAlign w:val="center"/>
                </w:tcPr>
                <w:p w14:paraId="467937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排放浓度</w:t>
                  </w:r>
                </w:p>
                <w:p w14:paraId="4F468C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default"/>
                      <w:b/>
                      <w:bCs/>
                      <w:color w:val="auto"/>
                      <w:sz w:val="18"/>
                      <w:szCs w:val="18"/>
                      <w:highlight w:val="none"/>
                    </w:rPr>
                    <w:t>mg/m</w:t>
                  </w:r>
                  <w:r>
                    <w:rPr>
                      <w:rFonts w:hint="default"/>
                      <w:b/>
                      <w:bCs/>
                      <w:color w:val="auto"/>
                      <w:sz w:val="18"/>
                      <w:szCs w:val="18"/>
                      <w:highlight w:val="none"/>
                      <w:vertAlign w:val="superscript"/>
                    </w:rPr>
                    <w:t>3</w:t>
                  </w:r>
                </w:p>
              </w:tc>
              <w:tc>
                <w:tcPr>
                  <w:tcW w:w="795" w:type="dxa"/>
                  <w:vMerge w:val="restart"/>
                  <w:noWrap w:val="0"/>
                  <w:vAlign w:val="center"/>
                </w:tcPr>
                <w:p w14:paraId="711438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排放量</w:t>
                  </w:r>
                  <w:r>
                    <w:rPr>
                      <w:rFonts w:hint="default"/>
                      <w:b/>
                      <w:bCs/>
                      <w:color w:val="auto"/>
                      <w:sz w:val="18"/>
                      <w:szCs w:val="18"/>
                      <w:highlight w:val="none"/>
                    </w:rPr>
                    <w:t>kg/h</w:t>
                  </w:r>
                </w:p>
              </w:tc>
              <w:tc>
                <w:tcPr>
                  <w:tcW w:w="731" w:type="dxa"/>
                  <w:vMerge w:val="restart"/>
                  <w:noWrap w:val="0"/>
                  <w:vAlign w:val="center"/>
                </w:tcPr>
                <w:p w14:paraId="26CC9D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排放量</w:t>
                  </w:r>
                  <w:r>
                    <w:rPr>
                      <w:rFonts w:hint="default"/>
                      <w:b/>
                      <w:bCs/>
                      <w:color w:val="auto"/>
                      <w:sz w:val="18"/>
                      <w:szCs w:val="18"/>
                      <w:highlight w:val="none"/>
                    </w:rPr>
                    <w:t>t/a</w:t>
                  </w:r>
                </w:p>
              </w:tc>
              <w:tc>
                <w:tcPr>
                  <w:tcW w:w="788" w:type="dxa"/>
                  <w:vMerge w:val="restart"/>
                  <w:noWrap w:val="0"/>
                  <w:vAlign w:val="center"/>
                </w:tcPr>
                <w:p w14:paraId="69A17D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FF0000"/>
                      <w:sz w:val="18"/>
                      <w:szCs w:val="18"/>
                      <w:highlight w:val="none"/>
                    </w:rPr>
                  </w:pPr>
                  <w:r>
                    <w:rPr>
                      <w:rFonts w:hint="default" w:ascii="Times New Roman" w:hAnsi="Times New Roman" w:eastAsia="宋体" w:cs="Times New Roman"/>
                      <w:b/>
                      <w:bCs/>
                      <w:color w:val="FF0000"/>
                      <w:spacing w:val="0"/>
                      <w:sz w:val="18"/>
                      <w:szCs w:val="18"/>
                      <w:highlight w:val="none"/>
                    </w:rPr>
                    <w:t>编号及名称</w:t>
                  </w:r>
                </w:p>
              </w:tc>
              <w:tc>
                <w:tcPr>
                  <w:tcW w:w="300" w:type="dxa"/>
                  <w:noWrap w:val="0"/>
                  <w:vAlign w:val="center"/>
                </w:tcPr>
                <w:p w14:paraId="6C6072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eastAsia="宋体"/>
                      <w:b/>
                      <w:bCs/>
                      <w:color w:val="FF0000"/>
                      <w:sz w:val="18"/>
                      <w:szCs w:val="18"/>
                      <w:highlight w:val="none"/>
                      <w:lang w:eastAsia="zh-CN"/>
                    </w:rPr>
                  </w:pPr>
                  <w:r>
                    <w:rPr>
                      <w:rFonts w:hint="default" w:ascii="Times New Roman" w:hAnsi="Times New Roman" w:eastAsia="宋体" w:cs="Times New Roman"/>
                      <w:b/>
                      <w:bCs/>
                      <w:color w:val="FF0000"/>
                      <w:spacing w:val="0"/>
                      <w:sz w:val="18"/>
                      <w:szCs w:val="18"/>
                      <w:highlight w:val="none"/>
                    </w:rPr>
                    <w:t>高度</w:t>
                  </w:r>
                </w:p>
              </w:tc>
              <w:tc>
                <w:tcPr>
                  <w:tcW w:w="423" w:type="dxa"/>
                  <w:noWrap w:val="0"/>
                  <w:vAlign w:val="center"/>
                </w:tcPr>
                <w:p w14:paraId="11771E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FF0000"/>
                      <w:sz w:val="18"/>
                      <w:szCs w:val="18"/>
                      <w:highlight w:val="none"/>
                    </w:rPr>
                  </w:pPr>
                  <w:r>
                    <w:rPr>
                      <w:rFonts w:hint="default" w:ascii="Times New Roman" w:hAnsi="Times New Roman" w:eastAsia="宋体" w:cs="Times New Roman"/>
                      <w:b/>
                      <w:bCs/>
                      <w:color w:val="FF0000"/>
                      <w:spacing w:val="0"/>
                      <w:sz w:val="18"/>
                      <w:szCs w:val="18"/>
                      <w:highlight w:val="none"/>
                    </w:rPr>
                    <w:t>内径</w:t>
                  </w:r>
                </w:p>
              </w:tc>
              <w:tc>
                <w:tcPr>
                  <w:tcW w:w="300" w:type="dxa"/>
                  <w:noWrap w:val="0"/>
                  <w:vAlign w:val="center"/>
                </w:tcPr>
                <w:p w14:paraId="369265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FF0000"/>
                      <w:sz w:val="18"/>
                      <w:szCs w:val="18"/>
                      <w:highlight w:val="none"/>
                    </w:rPr>
                  </w:pPr>
                  <w:r>
                    <w:rPr>
                      <w:rFonts w:hint="default" w:ascii="Times New Roman" w:hAnsi="Times New Roman" w:eastAsia="宋体" w:cs="Times New Roman"/>
                      <w:b/>
                      <w:bCs/>
                      <w:color w:val="FF0000"/>
                      <w:spacing w:val="0"/>
                      <w:sz w:val="18"/>
                      <w:szCs w:val="18"/>
                      <w:highlight w:val="none"/>
                    </w:rPr>
                    <w:t>温度</w:t>
                  </w:r>
                </w:p>
              </w:tc>
              <w:tc>
                <w:tcPr>
                  <w:tcW w:w="409" w:type="dxa"/>
                  <w:noWrap w:val="0"/>
                  <w:vAlign w:val="center"/>
                </w:tcPr>
                <w:p w14:paraId="22379A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FF0000"/>
                      <w:sz w:val="18"/>
                      <w:szCs w:val="18"/>
                      <w:highlight w:val="none"/>
                    </w:rPr>
                  </w:pPr>
                  <w:r>
                    <w:rPr>
                      <w:rFonts w:hint="default" w:ascii="Times New Roman" w:hAnsi="Times New Roman" w:eastAsia="宋体" w:cs="Times New Roman"/>
                      <w:b/>
                      <w:bCs/>
                      <w:color w:val="FF0000"/>
                      <w:spacing w:val="0"/>
                      <w:sz w:val="18"/>
                      <w:szCs w:val="18"/>
                      <w:highlight w:val="none"/>
                    </w:rPr>
                    <w:t>类型</w:t>
                  </w:r>
                </w:p>
              </w:tc>
              <w:tc>
                <w:tcPr>
                  <w:tcW w:w="1486" w:type="dxa"/>
                  <w:vMerge w:val="restart"/>
                  <w:noWrap w:val="0"/>
                  <w:vAlign w:val="center"/>
                </w:tcPr>
                <w:p w14:paraId="2F933D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pacing w:val="0"/>
                      <w:sz w:val="18"/>
                      <w:szCs w:val="18"/>
                      <w:highlight w:val="none"/>
                    </w:rPr>
                  </w:pPr>
                  <w:r>
                    <w:rPr>
                      <w:rFonts w:hint="default" w:ascii="Times New Roman" w:hAnsi="Times New Roman" w:eastAsia="宋体" w:cs="Times New Roman"/>
                      <w:b/>
                      <w:bCs/>
                      <w:color w:val="FF0000"/>
                      <w:spacing w:val="0"/>
                      <w:sz w:val="18"/>
                      <w:szCs w:val="18"/>
                      <w:highlight w:val="none"/>
                    </w:rPr>
                    <w:t>地理</w:t>
                  </w:r>
                </w:p>
                <w:p w14:paraId="58C5258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b/>
                      <w:bCs/>
                      <w:color w:val="FF0000"/>
                      <w:sz w:val="18"/>
                      <w:szCs w:val="18"/>
                      <w:highlight w:val="none"/>
                    </w:rPr>
                  </w:pPr>
                  <w:r>
                    <w:rPr>
                      <w:rFonts w:hint="default" w:ascii="Times New Roman" w:hAnsi="Times New Roman" w:eastAsia="宋体" w:cs="Times New Roman"/>
                      <w:b/>
                      <w:bCs/>
                      <w:color w:val="FF0000"/>
                      <w:spacing w:val="0"/>
                      <w:sz w:val="18"/>
                      <w:szCs w:val="18"/>
                      <w:highlight w:val="none"/>
                    </w:rPr>
                    <w:t>坐标</w:t>
                  </w:r>
                </w:p>
              </w:tc>
              <w:tc>
                <w:tcPr>
                  <w:tcW w:w="835" w:type="dxa"/>
                  <w:vMerge w:val="restart"/>
                  <w:noWrap w:val="0"/>
                  <w:vAlign w:val="center"/>
                </w:tcPr>
                <w:p w14:paraId="0EBDB1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120" w:rightChars="-50"/>
                    <w:textAlignment w:val="auto"/>
                    <w:rPr>
                      <w:rFonts w:hint="default"/>
                      <w:b/>
                      <w:bCs/>
                      <w:color w:val="auto"/>
                      <w:sz w:val="18"/>
                      <w:szCs w:val="18"/>
                      <w:highlight w:val="none"/>
                    </w:rPr>
                  </w:pPr>
                  <w:r>
                    <w:rPr>
                      <w:rFonts w:hint="eastAsia"/>
                      <w:b/>
                      <w:bCs/>
                      <w:color w:val="auto"/>
                      <w:sz w:val="18"/>
                      <w:szCs w:val="18"/>
                      <w:highlight w:val="none"/>
                    </w:rPr>
                    <w:t>排放浓度mg/m</w:t>
                  </w:r>
                  <w:r>
                    <w:rPr>
                      <w:rFonts w:hint="eastAsia"/>
                      <w:b/>
                      <w:bCs/>
                      <w:color w:val="auto"/>
                      <w:sz w:val="18"/>
                      <w:szCs w:val="18"/>
                      <w:highlight w:val="none"/>
                      <w:vertAlign w:val="superscript"/>
                    </w:rPr>
                    <w:t>3</w:t>
                  </w:r>
                </w:p>
              </w:tc>
            </w:tr>
            <w:tr w14:paraId="44FD9C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0" w:hRule="atLeast"/>
                <w:jc w:val="center"/>
              </w:trPr>
              <w:tc>
                <w:tcPr>
                  <w:tcW w:w="716" w:type="dxa"/>
                  <w:vMerge w:val="continue"/>
                  <w:noWrap w:val="0"/>
                  <w:vAlign w:val="center"/>
                </w:tcPr>
                <w:p w14:paraId="0A2C25B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326" w:type="dxa"/>
                  <w:vMerge w:val="continue"/>
                  <w:noWrap w:val="0"/>
                  <w:vAlign w:val="center"/>
                </w:tcPr>
                <w:p w14:paraId="02CCB1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1061" w:type="dxa"/>
                  <w:vMerge w:val="continue"/>
                  <w:noWrap w:val="0"/>
                  <w:vAlign w:val="center"/>
                </w:tcPr>
                <w:p w14:paraId="486DF3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677" w:type="dxa"/>
                  <w:vMerge w:val="continue"/>
                  <w:noWrap w:val="0"/>
                  <w:vAlign w:val="center"/>
                </w:tcPr>
                <w:p w14:paraId="6C8AFA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824" w:type="dxa"/>
                  <w:vMerge w:val="continue"/>
                  <w:noWrap w:val="0"/>
                  <w:vAlign w:val="center"/>
                </w:tcPr>
                <w:p w14:paraId="32330C3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717" w:type="dxa"/>
                  <w:vMerge w:val="continue"/>
                  <w:noWrap w:val="0"/>
                  <w:vAlign w:val="center"/>
                </w:tcPr>
                <w:p w14:paraId="223AF0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494" w:type="dxa"/>
                  <w:vMerge w:val="continue"/>
                  <w:noWrap w:val="0"/>
                  <w:vAlign w:val="center"/>
                </w:tcPr>
                <w:p w14:paraId="611B920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410" w:type="dxa"/>
                  <w:vMerge w:val="continue"/>
                  <w:noWrap w:val="0"/>
                  <w:vAlign w:val="center"/>
                </w:tcPr>
                <w:p w14:paraId="60A5ED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478" w:type="dxa"/>
                  <w:vMerge w:val="continue"/>
                  <w:noWrap w:val="0"/>
                  <w:vAlign w:val="center"/>
                </w:tcPr>
                <w:p w14:paraId="3651A3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422" w:type="dxa"/>
                  <w:vMerge w:val="continue"/>
                  <w:noWrap w:val="0"/>
                  <w:vAlign w:val="center"/>
                </w:tcPr>
                <w:p w14:paraId="0A2972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847" w:type="dxa"/>
                  <w:vMerge w:val="continue"/>
                  <w:noWrap w:val="0"/>
                  <w:vAlign w:val="center"/>
                </w:tcPr>
                <w:p w14:paraId="7ED341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603" w:type="dxa"/>
                  <w:vMerge w:val="continue"/>
                  <w:noWrap w:val="0"/>
                  <w:vAlign w:val="center"/>
                </w:tcPr>
                <w:p w14:paraId="5E1D7D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795" w:type="dxa"/>
                  <w:vMerge w:val="continue"/>
                  <w:noWrap w:val="0"/>
                  <w:vAlign w:val="center"/>
                </w:tcPr>
                <w:p w14:paraId="5DE1D7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731" w:type="dxa"/>
                  <w:vMerge w:val="continue"/>
                  <w:noWrap w:val="0"/>
                  <w:vAlign w:val="center"/>
                </w:tcPr>
                <w:p w14:paraId="131DBE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rPr>
                  </w:pPr>
                </w:p>
              </w:tc>
              <w:tc>
                <w:tcPr>
                  <w:tcW w:w="788" w:type="dxa"/>
                  <w:vMerge w:val="continue"/>
                  <w:noWrap w:val="0"/>
                  <w:vAlign w:val="center"/>
                </w:tcPr>
                <w:p w14:paraId="5FD7D5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
                      <w:bCs/>
                      <w:color w:val="FF0000"/>
                      <w:spacing w:val="0"/>
                      <w:sz w:val="18"/>
                      <w:szCs w:val="18"/>
                      <w:highlight w:val="none"/>
                      <w:lang w:val="en-US" w:eastAsia="zh-CN"/>
                    </w:rPr>
                  </w:pPr>
                </w:p>
              </w:tc>
              <w:tc>
                <w:tcPr>
                  <w:tcW w:w="300" w:type="dxa"/>
                  <w:noWrap w:val="0"/>
                  <w:vAlign w:val="center"/>
                </w:tcPr>
                <w:p w14:paraId="00809B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
                      <w:bCs/>
                      <w:color w:val="FF0000"/>
                      <w:spacing w:val="0"/>
                      <w:sz w:val="18"/>
                      <w:szCs w:val="18"/>
                      <w:highlight w:val="none"/>
                      <w:lang w:val="en-US" w:eastAsia="zh-CN"/>
                    </w:rPr>
                  </w:pPr>
                  <w:r>
                    <w:rPr>
                      <w:rFonts w:hint="eastAsia" w:ascii="Times New Roman" w:hAnsi="Times New Roman" w:eastAsia="宋体" w:cs="Times New Roman"/>
                      <w:b/>
                      <w:bCs/>
                      <w:color w:val="FF0000"/>
                      <w:spacing w:val="0"/>
                      <w:sz w:val="18"/>
                      <w:szCs w:val="18"/>
                      <w:highlight w:val="none"/>
                      <w:lang w:val="en-US" w:eastAsia="zh-CN"/>
                    </w:rPr>
                    <w:t>m</w:t>
                  </w:r>
                </w:p>
              </w:tc>
              <w:tc>
                <w:tcPr>
                  <w:tcW w:w="423" w:type="dxa"/>
                  <w:noWrap w:val="0"/>
                  <w:vAlign w:val="center"/>
                </w:tcPr>
                <w:p w14:paraId="19450B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pacing w:val="0"/>
                      <w:sz w:val="18"/>
                      <w:szCs w:val="18"/>
                      <w:highlight w:val="none"/>
                    </w:rPr>
                  </w:pPr>
                  <w:r>
                    <w:rPr>
                      <w:rFonts w:hint="eastAsia" w:ascii="Times New Roman" w:hAnsi="Times New Roman" w:eastAsia="宋体" w:cs="Times New Roman"/>
                      <w:b/>
                      <w:bCs/>
                      <w:color w:val="FF0000"/>
                      <w:spacing w:val="0"/>
                      <w:sz w:val="18"/>
                      <w:szCs w:val="18"/>
                      <w:highlight w:val="none"/>
                      <w:lang w:val="en-US" w:eastAsia="zh-CN"/>
                    </w:rPr>
                    <w:t>m</w:t>
                  </w:r>
                </w:p>
              </w:tc>
              <w:tc>
                <w:tcPr>
                  <w:tcW w:w="300" w:type="dxa"/>
                  <w:noWrap w:val="0"/>
                  <w:vAlign w:val="center"/>
                </w:tcPr>
                <w:p w14:paraId="196824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pacing w:val="0"/>
                      <w:sz w:val="18"/>
                      <w:szCs w:val="18"/>
                      <w:highlight w:val="none"/>
                    </w:rPr>
                  </w:pPr>
                  <w:r>
                    <w:rPr>
                      <w:rFonts w:hint="default" w:ascii="Times New Roman" w:hAnsi="Times New Roman" w:eastAsia="宋体" w:cs="Times New Roman"/>
                      <w:b/>
                      <w:bCs/>
                      <w:color w:val="FF0000"/>
                      <w:spacing w:val="0"/>
                      <w:sz w:val="18"/>
                      <w:szCs w:val="18"/>
                      <w:highlight w:val="none"/>
                    </w:rPr>
                    <w:t>℃</w:t>
                  </w:r>
                </w:p>
              </w:tc>
              <w:tc>
                <w:tcPr>
                  <w:tcW w:w="409" w:type="dxa"/>
                  <w:noWrap w:val="0"/>
                  <w:vAlign w:val="center"/>
                </w:tcPr>
                <w:p w14:paraId="61C984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
                      <w:bCs/>
                      <w:color w:val="FF0000"/>
                      <w:spacing w:val="0"/>
                      <w:sz w:val="18"/>
                      <w:szCs w:val="18"/>
                      <w:highlight w:val="none"/>
                      <w:lang w:val="en-US" w:eastAsia="zh-CN"/>
                    </w:rPr>
                  </w:pPr>
                  <w:r>
                    <w:rPr>
                      <w:rFonts w:hint="eastAsia" w:ascii="Times New Roman" w:hAnsi="Times New Roman" w:eastAsia="宋体" w:cs="Times New Roman"/>
                      <w:b/>
                      <w:bCs/>
                      <w:color w:val="FF0000"/>
                      <w:spacing w:val="0"/>
                      <w:sz w:val="18"/>
                      <w:szCs w:val="18"/>
                      <w:highlight w:val="none"/>
                      <w:lang w:val="en-US" w:eastAsia="zh-CN"/>
                    </w:rPr>
                    <w:t>/</w:t>
                  </w:r>
                </w:p>
              </w:tc>
              <w:tc>
                <w:tcPr>
                  <w:tcW w:w="1486" w:type="dxa"/>
                  <w:vMerge w:val="continue"/>
                  <w:noWrap w:val="0"/>
                  <w:vAlign w:val="center"/>
                </w:tcPr>
                <w:p w14:paraId="052352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FF0000"/>
                      <w:spacing w:val="0"/>
                      <w:sz w:val="18"/>
                      <w:szCs w:val="18"/>
                      <w:highlight w:val="none"/>
                    </w:rPr>
                  </w:pPr>
                </w:p>
              </w:tc>
              <w:tc>
                <w:tcPr>
                  <w:tcW w:w="835" w:type="dxa"/>
                  <w:vMerge w:val="continue"/>
                  <w:noWrap w:val="0"/>
                  <w:vAlign w:val="center"/>
                </w:tcPr>
                <w:p w14:paraId="0FA728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b/>
                      <w:bCs/>
                      <w:color w:val="000000"/>
                      <w:spacing w:val="0"/>
                      <w:sz w:val="18"/>
                      <w:szCs w:val="18"/>
                      <w:highlight w:val="none"/>
                    </w:rPr>
                  </w:pPr>
                </w:p>
              </w:tc>
            </w:tr>
            <w:tr w14:paraId="1C998C5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7DF8A6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r>
                    <w:rPr>
                      <w:rFonts w:hint="eastAsia"/>
                      <w:color w:val="auto"/>
                      <w:sz w:val="18"/>
                      <w:szCs w:val="18"/>
                      <w:highlight w:val="none"/>
                    </w:rPr>
                    <w:t>搅拌粉尘</w:t>
                  </w:r>
                </w:p>
              </w:tc>
              <w:tc>
                <w:tcPr>
                  <w:tcW w:w="326" w:type="dxa"/>
                  <w:vMerge w:val="restart"/>
                  <w:noWrap w:val="0"/>
                  <w:vAlign w:val="center"/>
                </w:tcPr>
                <w:p w14:paraId="5A258E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有组织</w:t>
                  </w:r>
                </w:p>
              </w:tc>
              <w:tc>
                <w:tcPr>
                  <w:tcW w:w="1061" w:type="dxa"/>
                  <w:noWrap w:val="0"/>
                  <w:vAlign w:val="center"/>
                </w:tcPr>
                <w:p w14:paraId="0F4694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颗粒物</w:t>
                  </w:r>
                </w:p>
              </w:tc>
              <w:tc>
                <w:tcPr>
                  <w:tcW w:w="677" w:type="dxa"/>
                  <w:noWrap w:val="0"/>
                  <w:vAlign w:val="center"/>
                </w:tcPr>
                <w:p w14:paraId="64EB30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default"/>
                      <w:color w:val="FF0000"/>
                      <w:sz w:val="18"/>
                      <w:szCs w:val="18"/>
                      <w:highlight w:val="none"/>
                      <w:lang w:val="en-US" w:eastAsia="zh-CN"/>
                    </w:rPr>
                    <w:t>20</w:t>
                  </w:r>
                  <w:r>
                    <w:rPr>
                      <w:rFonts w:hint="eastAsia"/>
                      <w:color w:val="FF0000"/>
                      <w:sz w:val="18"/>
                      <w:szCs w:val="18"/>
                      <w:highlight w:val="none"/>
                      <w:lang w:val="en-US" w:eastAsia="zh-CN"/>
                    </w:rPr>
                    <w:t>31.25</w:t>
                  </w:r>
                </w:p>
              </w:tc>
              <w:tc>
                <w:tcPr>
                  <w:tcW w:w="824" w:type="dxa"/>
                  <w:noWrap w:val="0"/>
                  <w:vAlign w:val="center"/>
                </w:tcPr>
                <w:p w14:paraId="6B0485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default"/>
                      <w:color w:val="FF0000"/>
                      <w:sz w:val="18"/>
                      <w:szCs w:val="18"/>
                      <w:highlight w:val="none"/>
                      <w:lang w:val="en-US" w:eastAsia="zh-CN"/>
                    </w:rPr>
                    <w:t>16.</w:t>
                  </w:r>
                  <w:r>
                    <w:rPr>
                      <w:rFonts w:hint="eastAsia"/>
                      <w:color w:val="FF0000"/>
                      <w:sz w:val="18"/>
                      <w:szCs w:val="18"/>
                      <w:highlight w:val="none"/>
                      <w:lang w:val="en-US" w:eastAsia="zh-CN"/>
                    </w:rPr>
                    <w:t>25</w:t>
                  </w:r>
                </w:p>
              </w:tc>
              <w:tc>
                <w:tcPr>
                  <w:tcW w:w="717" w:type="dxa"/>
                  <w:noWrap w:val="0"/>
                  <w:vAlign w:val="center"/>
                </w:tcPr>
                <w:p w14:paraId="32176B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117</w:t>
                  </w:r>
                </w:p>
              </w:tc>
              <w:tc>
                <w:tcPr>
                  <w:tcW w:w="494" w:type="dxa"/>
                  <w:vMerge w:val="restart"/>
                  <w:noWrap w:val="0"/>
                  <w:vAlign w:val="center"/>
                </w:tcPr>
                <w:p w14:paraId="10097D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8000</w:t>
                  </w:r>
                </w:p>
              </w:tc>
              <w:tc>
                <w:tcPr>
                  <w:tcW w:w="410" w:type="dxa"/>
                  <w:vMerge w:val="restart"/>
                  <w:noWrap w:val="0"/>
                  <w:vAlign w:val="center"/>
                </w:tcPr>
                <w:p w14:paraId="0B7CD7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100</w:t>
                  </w:r>
                </w:p>
              </w:tc>
              <w:tc>
                <w:tcPr>
                  <w:tcW w:w="478" w:type="dxa"/>
                  <w:vMerge w:val="restart"/>
                  <w:noWrap w:val="0"/>
                  <w:vAlign w:val="center"/>
                </w:tcPr>
                <w:p w14:paraId="795200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99.7</w:t>
                  </w:r>
                </w:p>
              </w:tc>
              <w:tc>
                <w:tcPr>
                  <w:tcW w:w="422" w:type="dxa"/>
                  <w:vMerge w:val="restart"/>
                  <w:noWrap w:val="0"/>
                  <w:vAlign w:val="center"/>
                </w:tcPr>
                <w:p w14:paraId="7D857C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是</w:t>
                  </w:r>
                </w:p>
              </w:tc>
              <w:tc>
                <w:tcPr>
                  <w:tcW w:w="847" w:type="dxa"/>
                  <w:vMerge w:val="restart"/>
                  <w:noWrap w:val="0"/>
                  <w:vAlign w:val="center"/>
                </w:tcPr>
                <w:p w14:paraId="6E6B34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密闭罩+布袋除尘</w:t>
                  </w:r>
                </w:p>
              </w:tc>
              <w:tc>
                <w:tcPr>
                  <w:tcW w:w="603" w:type="dxa"/>
                  <w:noWrap w:val="0"/>
                  <w:vAlign w:val="center"/>
                </w:tcPr>
                <w:p w14:paraId="33C0FD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6.09</w:t>
                  </w:r>
                </w:p>
              </w:tc>
              <w:tc>
                <w:tcPr>
                  <w:tcW w:w="795" w:type="dxa"/>
                  <w:noWrap w:val="0"/>
                  <w:vAlign w:val="center"/>
                </w:tcPr>
                <w:p w14:paraId="50386E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0.049</w:t>
                  </w:r>
                </w:p>
              </w:tc>
              <w:tc>
                <w:tcPr>
                  <w:tcW w:w="731" w:type="dxa"/>
                  <w:noWrap w:val="0"/>
                  <w:vAlign w:val="center"/>
                </w:tcPr>
                <w:p w14:paraId="483F48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0.351</w:t>
                  </w:r>
                </w:p>
              </w:tc>
              <w:tc>
                <w:tcPr>
                  <w:tcW w:w="788" w:type="dxa"/>
                  <w:vMerge w:val="restart"/>
                  <w:noWrap w:val="0"/>
                  <w:vAlign w:val="center"/>
                </w:tcPr>
                <w:p w14:paraId="3B179B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r>
                    <w:rPr>
                      <w:rFonts w:hint="default"/>
                      <w:color w:val="FF0000"/>
                      <w:sz w:val="18"/>
                      <w:szCs w:val="18"/>
                      <w:highlight w:val="none"/>
                    </w:rPr>
                    <w:t>DA00</w:t>
                  </w:r>
                  <w:r>
                    <w:rPr>
                      <w:rFonts w:hint="eastAsia"/>
                      <w:color w:val="FF0000"/>
                      <w:sz w:val="18"/>
                      <w:szCs w:val="18"/>
                      <w:highlight w:val="none"/>
                      <w:lang w:val="en-US" w:eastAsia="zh-CN"/>
                    </w:rPr>
                    <w:t>3</w:t>
                  </w:r>
                </w:p>
              </w:tc>
              <w:tc>
                <w:tcPr>
                  <w:tcW w:w="300" w:type="dxa"/>
                  <w:vMerge w:val="restart"/>
                  <w:noWrap w:val="0"/>
                  <w:vAlign w:val="center"/>
                </w:tcPr>
                <w:p w14:paraId="0CAF49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sz w:val="18"/>
                      <w:szCs w:val="18"/>
                      <w:highlight w:val="none"/>
                      <w:lang w:val="en-US" w:eastAsia="zh-CN"/>
                    </w:rPr>
                  </w:pPr>
                  <w:r>
                    <w:rPr>
                      <w:rFonts w:hint="eastAsia"/>
                      <w:color w:val="FF0000"/>
                      <w:sz w:val="18"/>
                      <w:szCs w:val="18"/>
                      <w:highlight w:val="none"/>
                      <w:lang w:val="en-US" w:eastAsia="zh-CN"/>
                    </w:rPr>
                    <w:t>20</w:t>
                  </w:r>
                </w:p>
              </w:tc>
              <w:tc>
                <w:tcPr>
                  <w:tcW w:w="423" w:type="dxa"/>
                  <w:vMerge w:val="restart"/>
                  <w:noWrap w:val="0"/>
                  <w:vAlign w:val="center"/>
                </w:tcPr>
                <w:p w14:paraId="4C78C4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sz w:val="18"/>
                      <w:szCs w:val="18"/>
                      <w:highlight w:val="none"/>
                      <w:lang w:val="en-US" w:eastAsia="zh-CN"/>
                    </w:rPr>
                  </w:pPr>
                  <w:r>
                    <w:rPr>
                      <w:rFonts w:hint="eastAsia"/>
                      <w:color w:val="FF0000"/>
                      <w:sz w:val="18"/>
                      <w:szCs w:val="18"/>
                      <w:highlight w:val="none"/>
                      <w:lang w:val="en-US" w:eastAsia="zh-CN"/>
                    </w:rPr>
                    <w:t>0.6</w:t>
                  </w:r>
                </w:p>
              </w:tc>
              <w:tc>
                <w:tcPr>
                  <w:tcW w:w="300" w:type="dxa"/>
                  <w:vMerge w:val="restart"/>
                  <w:noWrap w:val="0"/>
                  <w:vAlign w:val="center"/>
                </w:tcPr>
                <w:p w14:paraId="0D71A9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sz w:val="18"/>
                      <w:szCs w:val="18"/>
                      <w:highlight w:val="none"/>
                      <w:lang w:val="en-US" w:eastAsia="zh-CN"/>
                    </w:rPr>
                  </w:pPr>
                  <w:r>
                    <w:rPr>
                      <w:rFonts w:hint="eastAsia"/>
                      <w:color w:val="FF0000"/>
                      <w:sz w:val="18"/>
                      <w:szCs w:val="18"/>
                      <w:highlight w:val="none"/>
                      <w:lang w:val="en-US" w:eastAsia="zh-CN"/>
                    </w:rPr>
                    <w:t>20</w:t>
                  </w:r>
                </w:p>
              </w:tc>
              <w:tc>
                <w:tcPr>
                  <w:tcW w:w="409" w:type="dxa"/>
                  <w:vMerge w:val="restart"/>
                  <w:noWrap w:val="0"/>
                  <w:vAlign w:val="center"/>
                </w:tcPr>
                <w:p w14:paraId="47E823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FF0000"/>
                      <w:sz w:val="18"/>
                      <w:szCs w:val="18"/>
                      <w:highlight w:val="none"/>
                      <w:lang w:eastAsia="zh-CN"/>
                    </w:rPr>
                  </w:pPr>
                  <w:r>
                    <w:rPr>
                      <w:rFonts w:hint="eastAsia"/>
                      <w:color w:val="FF0000"/>
                      <w:sz w:val="18"/>
                      <w:szCs w:val="18"/>
                      <w:highlight w:val="none"/>
                      <w:lang w:eastAsia="zh-CN"/>
                    </w:rPr>
                    <w:t>一般排放口</w:t>
                  </w:r>
                </w:p>
              </w:tc>
              <w:tc>
                <w:tcPr>
                  <w:tcW w:w="1486" w:type="dxa"/>
                  <w:vMerge w:val="restart"/>
                  <w:noWrap w:val="0"/>
                  <w:vAlign w:val="center"/>
                </w:tcPr>
                <w:p w14:paraId="1BB2B8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72" w:leftChars="-30" w:right="-72" w:rightChars="-30" w:firstLine="0" w:firstLineChars="0"/>
                    <w:jc w:val="center"/>
                    <w:textAlignment w:val="auto"/>
                    <w:rPr>
                      <w:rFonts w:hint="default" w:ascii="Times New Roman" w:hAnsi="Times New Roman" w:eastAsia="宋体" w:cs="Times New Roman"/>
                      <w:color w:val="FF0000"/>
                      <w:spacing w:val="0"/>
                      <w:kern w:val="0"/>
                      <w:sz w:val="18"/>
                      <w:szCs w:val="18"/>
                      <w:highlight w:val="none"/>
                      <w:lang w:val="en-US" w:eastAsia="zh-CN" w:bidi="ar"/>
                    </w:rPr>
                  </w:pPr>
                  <w:r>
                    <w:rPr>
                      <w:rFonts w:hint="eastAsia" w:ascii="Times New Roman" w:hAnsi="Times New Roman" w:eastAsia="宋体" w:cs="Times New Roman"/>
                      <w:color w:val="FF0000"/>
                      <w:spacing w:val="0"/>
                      <w:kern w:val="0"/>
                      <w:sz w:val="18"/>
                      <w:szCs w:val="18"/>
                      <w:highlight w:val="none"/>
                      <w:lang w:val="en-US" w:eastAsia="zh-CN" w:bidi="ar"/>
                    </w:rPr>
                    <w:t>E:</w:t>
                  </w:r>
                  <w:r>
                    <w:rPr>
                      <w:rFonts w:hint="default" w:ascii="Times New Roman" w:hAnsi="Times New Roman" w:eastAsia="宋体" w:cs="Times New Roman"/>
                      <w:color w:val="FF0000"/>
                      <w:spacing w:val="0"/>
                      <w:kern w:val="0"/>
                      <w:sz w:val="18"/>
                      <w:szCs w:val="18"/>
                      <w:highlight w:val="none"/>
                      <w:lang w:val="en-US" w:eastAsia="zh-CN" w:bidi="ar"/>
                    </w:rPr>
                    <w:t>115°</w:t>
                  </w:r>
                  <w:r>
                    <w:rPr>
                      <w:rFonts w:hint="eastAsia" w:ascii="Times New Roman" w:hAnsi="Times New Roman" w:eastAsia="宋体" w:cs="Times New Roman"/>
                      <w:color w:val="FF0000"/>
                      <w:spacing w:val="0"/>
                      <w:kern w:val="0"/>
                      <w:sz w:val="18"/>
                      <w:szCs w:val="18"/>
                      <w:highlight w:val="none"/>
                      <w:lang w:val="en-US" w:eastAsia="zh-CN" w:bidi="ar"/>
                    </w:rPr>
                    <w:t>27</w:t>
                  </w:r>
                  <w:r>
                    <w:rPr>
                      <w:rFonts w:hint="default" w:ascii="Times New Roman" w:hAnsi="Times New Roman" w:eastAsia="宋体" w:cs="Times New Roman"/>
                      <w:color w:val="FF0000"/>
                      <w:spacing w:val="0"/>
                      <w:kern w:val="0"/>
                      <w:sz w:val="18"/>
                      <w:szCs w:val="18"/>
                      <w:highlight w:val="none"/>
                      <w:lang w:val="en-US" w:eastAsia="zh-CN" w:bidi="ar"/>
                    </w:rPr>
                    <w:t>′2</w:t>
                  </w:r>
                  <w:r>
                    <w:rPr>
                      <w:rFonts w:hint="eastAsia" w:ascii="Times New Roman" w:hAnsi="Times New Roman" w:eastAsia="宋体" w:cs="Times New Roman"/>
                      <w:color w:val="FF0000"/>
                      <w:spacing w:val="0"/>
                      <w:kern w:val="0"/>
                      <w:sz w:val="18"/>
                      <w:szCs w:val="18"/>
                      <w:highlight w:val="none"/>
                      <w:lang w:val="en-US" w:eastAsia="zh-CN" w:bidi="ar"/>
                    </w:rPr>
                    <w:t>1.193</w:t>
                  </w:r>
                  <w:r>
                    <w:rPr>
                      <w:rFonts w:hint="default" w:ascii="Times New Roman" w:hAnsi="Times New Roman" w:eastAsia="宋体" w:cs="Times New Roman"/>
                      <w:color w:val="FF0000"/>
                      <w:spacing w:val="0"/>
                      <w:kern w:val="0"/>
                      <w:sz w:val="18"/>
                      <w:szCs w:val="18"/>
                      <w:highlight w:val="none"/>
                      <w:lang w:val="en-US" w:eastAsia="zh-CN" w:bidi="ar"/>
                    </w:rPr>
                    <w:t>″</w:t>
                  </w:r>
                </w:p>
                <w:p w14:paraId="62FC3A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360" w:lineRule="auto"/>
                    <w:ind w:left="0" w:right="0" w:firstLine="0" w:firstLineChars="0"/>
                    <w:textAlignment w:val="auto"/>
                    <w:rPr>
                      <w:rFonts w:hint="default" w:eastAsia="宋体"/>
                      <w:color w:val="FF0000"/>
                      <w:sz w:val="18"/>
                      <w:szCs w:val="18"/>
                      <w:highlight w:val="none"/>
                      <w:lang w:val="en-US" w:eastAsia="zh-CN"/>
                    </w:rPr>
                  </w:pPr>
                  <w:r>
                    <w:rPr>
                      <w:rFonts w:hint="eastAsia" w:ascii="Times New Roman" w:hAnsi="Times New Roman" w:eastAsia="宋体" w:cs="Times New Roman"/>
                      <w:color w:val="FF0000"/>
                      <w:spacing w:val="0"/>
                      <w:kern w:val="0"/>
                      <w:sz w:val="18"/>
                      <w:szCs w:val="18"/>
                      <w:highlight w:val="none"/>
                      <w:lang w:val="en-US" w:eastAsia="zh-CN" w:bidi="ar"/>
                    </w:rPr>
                    <w:t>N:</w:t>
                  </w:r>
                  <w:r>
                    <w:rPr>
                      <w:rFonts w:hint="default" w:ascii="Times New Roman" w:hAnsi="Times New Roman" w:eastAsia="宋体" w:cs="Times New Roman"/>
                      <w:color w:val="FF0000"/>
                      <w:spacing w:val="0"/>
                      <w:kern w:val="0"/>
                      <w:sz w:val="18"/>
                      <w:szCs w:val="18"/>
                      <w:highlight w:val="none"/>
                      <w:lang w:val="en-US" w:eastAsia="zh-CN" w:bidi="ar"/>
                    </w:rPr>
                    <w:t>28°</w:t>
                  </w:r>
                  <w:r>
                    <w:rPr>
                      <w:rFonts w:hint="eastAsia" w:ascii="Times New Roman" w:hAnsi="Times New Roman" w:eastAsia="宋体" w:cs="Times New Roman"/>
                      <w:color w:val="FF0000"/>
                      <w:spacing w:val="0"/>
                      <w:kern w:val="0"/>
                      <w:sz w:val="18"/>
                      <w:szCs w:val="18"/>
                      <w:highlight w:val="none"/>
                      <w:lang w:val="en-US" w:eastAsia="zh-CN" w:bidi="ar"/>
                    </w:rPr>
                    <w:t>12</w:t>
                  </w:r>
                  <w:r>
                    <w:rPr>
                      <w:rFonts w:hint="default" w:ascii="Times New Roman" w:hAnsi="Times New Roman" w:eastAsia="宋体" w:cs="Times New Roman"/>
                      <w:color w:val="FF0000"/>
                      <w:spacing w:val="0"/>
                      <w:kern w:val="0"/>
                      <w:sz w:val="18"/>
                      <w:szCs w:val="18"/>
                      <w:highlight w:val="none"/>
                      <w:lang w:val="en-US" w:eastAsia="zh-CN" w:bidi="ar"/>
                    </w:rPr>
                    <w:t>′</w:t>
                  </w:r>
                  <w:r>
                    <w:rPr>
                      <w:rFonts w:hint="eastAsia" w:ascii="Times New Roman" w:hAnsi="Times New Roman" w:eastAsia="宋体" w:cs="Times New Roman"/>
                      <w:color w:val="FF0000"/>
                      <w:spacing w:val="0"/>
                      <w:kern w:val="0"/>
                      <w:sz w:val="18"/>
                      <w:szCs w:val="18"/>
                      <w:highlight w:val="none"/>
                      <w:lang w:val="en-US" w:eastAsia="zh-CN" w:bidi="ar"/>
                    </w:rPr>
                    <w:t>16.584</w:t>
                  </w:r>
                  <w:r>
                    <w:rPr>
                      <w:rFonts w:hint="default" w:ascii="Times New Roman" w:hAnsi="Times New Roman" w:eastAsia="宋体" w:cs="Times New Roman"/>
                      <w:color w:val="FF0000"/>
                      <w:spacing w:val="0"/>
                      <w:kern w:val="0"/>
                      <w:sz w:val="18"/>
                      <w:szCs w:val="18"/>
                      <w:highlight w:val="none"/>
                      <w:lang w:val="en-US" w:eastAsia="zh-CN" w:bidi="ar"/>
                    </w:rPr>
                    <w:t>″</w:t>
                  </w:r>
                </w:p>
              </w:tc>
              <w:tc>
                <w:tcPr>
                  <w:tcW w:w="835" w:type="dxa"/>
                  <w:noWrap w:val="0"/>
                  <w:vAlign w:val="center"/>
                </w:tcPr>
                <w:p w14:paraId="464004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120</w:t>
                  </w:r>
                </w:p>
              </w:tc>
            </w:tr>
            <w:tr w14:paraId="75CCB18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40C586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326" w:type="dxa"/>
                  <w:vMerge w:val="continue"/>
                  <w:noWrap w:val="0"/>
                  <w:vAlign w:val="center"/>
                </w:tcPr>
                <w:p w14:paraId="669546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7E5FFF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铊及其化合物</w:t>
                  </w:r>
                </w:p>
              </w:tc>
              <w:tc>
                <w:tcPr>
                  <w:tcW w:w="677" w:type="dxa"/>
                  <w:noWrap w:val="0"/>
                  <w:vAlign w:val="center"/>
                </w:tcPr>
                <w:p w14:paraId="7048D9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0.02</w:t>
                  </w:r>
                </w:p>
              </w:tc>
              <w:tc>
                <w:tcPr>
                  <w:tcW w:w="824" w:type="dxa"/>
                  <w:noWrap w:val="0"/>
                  <w:vAlign w:val="center"/>
                </w:tcPr>
                <w:p w14:paraId="7E319C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1.52E-04</w:t>
                  </w:r>
                </w:p>
              </w:tc>
              <w:tc>
                <w:tcPr>
                  <w:tcW w:w="717" w:type="dxa"/>
                  <w:noWrap w:val="0"/>
                  <w:vAlign w:val="center"/>
                </w:tcPr>
                <w:p w14:paraId="6364CF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0.0011</w:t>
                  </w:r>
                </w:p>
              </w:tc>
              <w:tc>
                <w:tcPr>
                  <w:tcW w:w="494" w:type="dxa"/>
                  <w:vMerge w:val="continue"/>
                  <w:noWrap w:val="0"/>
                  <w:vAlign w:val="center"/>
                </w:tcPr>
                <w:p w14:paraId="16C3CE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10" w:type="dxa"/>
                  <w:vMerge w:val="continue"/>
                  <w:noWrap w:val="0"/>
                  <w:vAlign w:val="center"/>
                </w:tcPr>
                <w:p w14:paraId="4CD031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78" w:type="dxa"/>
                  <w:vMerge w:val="continue"/>
                  <w:noWrap w:val="0"/>
                  <w:vAlign w:val="center"/>
                </w:tcPr>
                <w:p w14:paraId="02A918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22" w:type="dxa"/>
                  <w:vMerge w:val="continue"/>
                  <w:noWrap w:val="0"/>
                  <w:vAlign w:val="center"/>
                </w:tcPr>
                <w:p w14:paraId="4CC701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847" w:type="dxa"/>
                  <w:vMerge w:val="continue"/>
                  <w:noWrap w:val="0"/>
                  <w:vAlign w:val="center"/>
                </w:tcPr>
                <w:p w14:paraId="260DF3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603" w:type="dxa"/>
                  <w:noWrap w:val="0"/>
                  <w:vAlign w:val="center"/>
                </w:tcPr>
                <w:p w14:paraId="60268F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w:t>
                  </w:r>
                  <w:r>
                    <w:rPr>
                      <w:rFonts w:hint="eastAsia" w:cs="Times New Roman"/>
                      <w:i w:val="0"/>
                      <w:iCs w:val="0"/>
                      <w:color w:val="FF0000"/>
                      <w:kern w:val="0"/>
                      <w:sz w:val="18"/>
                      <w:szCs w:val="18"/>
                      <w:u w:val="none"/>
                      <w:lang w:val="en-US" w:eastAsia="zh-CN" w:bidi="ar"/>
                    </w:rPr>
                    <w:t>6</w:t>
                  </w:r>
                </w:p>
              </w:tc>
              <w:tc>
                <w:tcPr>
                  <w:tcW w:w="795" w:type="dxa"/>
                  <w:noWrap w:val="0"/>
                  <w:vAlign w:val="center"/>
                </w:tcPr>
                <w:p w14:paraId="4AB202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4.55E-07</w:t>
                  </w:r>
                </w:p>
              </w:tc>
              <w:tc>
                <w:tcPr>
                  <w:tcW w:w="731" w:type="dxa"/>
                  <w:noWrap w:val="0"/>
                  <w:vAlign w:val="center"/>
                </w:tcPr>
                <w:p w14:paraId="17F000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0.000003</w:t>
                  </w:r>
                </w:p>
              </w:tc>
              <w:tc>
                <w:tcPr>
                  <w:tcW w:w="788" w:type="dxa"/>
                  <w:vMerge w:val="continue"/>
                  <w:noWrap w:val="0"/>
                  <w:vAlign w:val="center"/>
                </w:tcPr>
                <w:p w14:paraId="471248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300" w:type="dxa"/>
                  <w:vMerge w:val="continue"/>
                  <w:shd w:val="clear" w:color="auto" w:fill="auto"/>
                  <w:noWrap w:val="0"/>
                  <w:vAlign w:val="center"/>
                </w:tcPr>
                <w:p w14:paraId="50BF0E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423" w:type="dxa"/>
                  <w:vMerge w:val="continue"/>
                  <w:shd w:val="clear" w:color="auto" w:fill="auto"/>
                  <w:noWrap w:val="0"/>
                  <w:vAlign w:val="center"/>
                </w:tcPr>
                <w:p w14:paraId="44B918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300" w:type="dxa"/>
                  <w:vMerge w:val="continue"/>
                  <w:shd w:val="clear" w:color="auto" w:fill="auto"/>
                  <w:noWrap w:val="0"/>
                  <w:vAlign w:val="center"/>
                </w:tcPr>
                <w:p w14:paraId="266DE1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409" w:type="dxa"/>
                  <w:vMerge w:val="continue"/>
                  <w:shd w:val="clear" w:color="auto" w:fill="auto"/>
                  <w:noWrap w:val="0"/>
                  <w:vAlign w:val="center"/>
                </w:tcPr>
                <w:p w14:paraId="743F89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1486" w:type="dxa"/>
                  <w:vMerge w:val="continue"/>
                  <w:shd w:val="clear" w:color="auto" w:fill="auto"/>
                  <w:noWrap w:val="0"/>
                  <w:vAlign w:val="center"/>
                </w:tcPr>
                <w:p w14:paraId="650C64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835" w:type="dxa"/>
                  <w:shd w:val="clear" w:color="auto" w:fill="auto"/>
                  <w:noWrap w:val="0"/>
                  <w:vAlign w:val="center"/>
                </w:tcPr>
                <w:p w14:paraId="7CC20E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0.05</w:t>
                  </w:r>
                </w:p>
              </w:tc>
            </w:tr>
            <w:tr w14:paraId="7B1BFC6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0A202D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326" w:type="dxa"/>
                  <w:vMerge w:val="continue"/>
                  <w:noWrap w:val="0"/>
                  <w:vAlign w:val="center"/>
                </w:tcPr>
                <w:p w14:paraId="66E7AE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6DB98E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氟化物</w:t>
                  </w:r>
                </w:p>
              </w:tc>
              <w:tc>
                <w:tcPr>
                  <w:tcW w:w="677" w:type="dxa"/>
                  <w:noWrap w:val="0"/>
                  <w:vAlign w:val="center"/>
                </w:tcPr>
                <w:p w14:paraId="0C279D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37.98</w:t>
                  </w:r>
                </w:p>
              </w:tc>
              <w:tc>
                <w:tcPr>
                  <w:tcW w:w="824" w:type="dxa"/>
                  <w:noWrap w:val="0"/>
                  <w:vAlign w:val="center"/>
                </w:tcPr>
                <w:p w14:paraId="7F9496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0.304</w:t>
                  </w:r>
                </w:p>
              </w:tc>
              <w:tc>
                <w:tcPr>
                  <w:tcW w:w="717" w:type="dxa"/>
                  <w:noWrap w:val="0"/>
                  <w:vAlign w:val="center"/>
                </w:tcPr>
                <w:p w14:paraId="270FB4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2.188</w:t>
                  </w:r>
                </w:p>
              </w:tc>
              <w:tc>
                <w:tcPr>
                  <w:tcW w:w="494" w:type="dxa"/>
                  <w:vMerge w:val="continue"/>
                  <w:noWrap w:val="0"/>
                  <w:vAlign w:val="center"/>
                </w:tcPr>
                <w:p w14:paraId="29911D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10" w:type="dxa"/>
                  <w:vMerge w:val="continue"/>
                  <w:noWrap w:val="0"/>
                  <w:vAlign w:val="center"/>
                </w:tcPr>
                <w:p w14:paraId="4256ED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78" w:type="dxa"/>
                  <w:vMerge w:val="continue"/>
                  <w:noWrap w:val="0"/>
                  <w:vAlign w:val="center"/>
                </w:tcPr>
                <w:p w14:paraId="51E15B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422" w:type="dxa"/>
                  <w:vMerge w:val="continue"/>
                  <w:noWrap w:val="0"/>
                  <w:vAlign w:val="center"/>
                </w:tcPr>
                <w:p w14:paraId="2584B0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847" w:type="dxa"/>
                  <w:vMerge w:val="continue"/>
                  <w:noWrap w:val="0"/>
                  <w:vAlign w:val="center"/>
                </w:tcPr>
                <w:p w14:paraId="74FD72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603" w:type="dxa"/>
                  <w:noWrap w:val="0"/>
                  <w:vAlign w:val="center"/>
                </w:tcPr>
                <w:p w14:paraId="5217EF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0.114</w:t>
                  </w:r>
                </w:p>
              </w:tc>
              <w:tc>
                <w:tcPr>
                  <w:tcW w:w="795" w:type="dxa"/>
                  <w:noWrap w:val="0"/>
                  <w:vAlign w:val="center"/>
                </w:tcPr>
                <w:p w14:paraId="74613D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0.0009</w:t>
                  </w:r>
                </w:p>
              </w:tc>
              <w:tc>
                <w:tcPr>
                  <w:tcW w:w="731" w:type="dxa"/>
                  <w:noWrap w:val="0"/>
                  <w:vAlign w:val="center"/>
                </w:tcPr>
                <w:p w14:paraId="1282D4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0.0066</w:t>
                  </w:r>
                </w:p>
              </w:tc>
              <w:tc>
                <w:tcPr>
                  <w:tcW w:w="788" w:type="dxa"/>
                  <w:vMerge w:val="continue"/>
                  <w:noWrap w:val="0"/>
                  <w:vAlign w:val="center"/>
                </w:tcPr>
                <w:p w14:paraId="7EA100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300" w:type="dxa"/>
                  <w:vMerge w:val="continue"/>
                  <w:shd w:val="clear" w:color="auto" w:fill="auto"/>
                  <w:noWrap w:val="0"/>
                  <w:vAlign w:val="center"/>
                </w:tcPr>
                <w:p w14:paraId="21D40F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423" w:type="dxa"/>
                  <w:vMerge w:val="continue"/>
                  <w:shd w:val="clear" w:color="auto" w:fill="auto"/>
                  <w:noWrap w:val="0"/>
                  <w:vAlign w:val="center"/>
                </w:tcPr>
                <w:p w14:paraId="61A805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300" w:type="dxa"/>
                  <w:vMerge w:val="continue"/>
                  <w:shd w:val="clear" w:color="auto" w:fill="auto"/>
                  <w:noWrap w:val="0"/>
                  <w:vAlign w:val="center"/>
                </w:tcPr>
                <w:p w14:paraId="1EF6BB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409" w:type="dxa"/>
                  <w:vMerge w:val="continue"/>
                  <w:shd w:val="clear" w:color="auto" w:fill="auto"/>
                  <w:noWrap w:val="0"/>
                  <w:vAlign w:val="center"/>
                </w:tcPr>
                <w:p w14:paraId="0E8535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1486" w:type="dxa"/>
                  <w:vMerge w:val="continue"/>
                  <w:shd w:val="clear" w:color="auto" w:fill="auto"/>
                  <w:noWrap w:val="0"/>
                  <w:vAlign w:val="center"/>
                </w:tcPr>
                <w:p w14:paraId="4174874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rPr>
                  </w:pPr>
                </w:p>
              </w:tc>
              <w:tc>
                <w:tcPr>
                  <w:tcW w:w="835" w:type="dxa"/>
                  <w:shd w:val="clear" w:color="auto" w:fill="auto"/>
                  <w:noWrap w:val="0"/>
                  <w:vAlign w:val="center"/>
                </w:tcPr>
                <w:p w14:paraId="061F21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6</w:t>
                  </w:r>
                </w:p>
              </w:tc>
            </w:tr>
            <w:tr w14:paraId="635A48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7B1A04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r>
                    <w:rPr>
                      <w:rFonts w:hint="eastAsia"/>
                      <w:color w:val="auto"/>
                      <w:sz w:val="18"/>
                      <w:szCs w:val="18"/>
                      <w:highlight w:val="none"/>
                      <w:lang w:eastAsia="zh-CN"/>
                    </w:rPr>
                    <w:t>破碎及筛分粉尘</w:t>
                  </w:r>
                </w:p>
              </w:tc>
              <w:tc>
                <w:tcPr>
                  <w:tcW w:w="326" w:type="dxa"/>
                  <w:vMerge w:val="continue"/>
                  <w:noWrap w:val="0"/>
                  <w:vAlign w:val="center"/>
                </w:tcPr>
                <w:p w14:paraId="47A1B2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noWrap w:val="0"/>
                  <w:vAlign w:val="center"/>
                </w:tcPr>
                <w:p w14:paraId="639A5F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颗粒物</w:t>
                  </w:r>
                </w:p>
              </w:tc>
              <w:tc>
                <w:tcPr>
                  <w:tcW w:w="677" w:type="dxa"/>
                  <w:noWrap w:val="0"/>
                  <w:vAlign w:val="center"/>
                </w:tcPr>
                <w:p w14:paraId="17C103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1011.72</w:t>
                  </w:r>
                </w:p>
              </w:tc>
              <w:tc>
                <w:tcPr>
                  <w:tcW w:w="824" w:type="dxa"/>
                  <w:noWrap w:val="0"/>
                  <w:vAlign w:val="center"/>
                </w:tcPr>
                <w:p w14:paraId="2B9699F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8.09</w:t>
                  </w:r>
                </w:p>
              </w:tc>
              <w:tc>
                <w:tcPr>
                  <w:tcW w:w="717" w:type="dxa"/>
                  <w:noWrap w:val="0"/>
                  <w:vAlign w:val="center"/>
                </w:tcPr>
                <w:p w14:paraId="585BDF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58.275</w:t>
                  </w:r>
                </w:p>
              </w:tc>
              <w:tc>
                <w:tcPr>
                  <w:tcW w:w="494" w:type="dxa"/>
                  <w:vMerge w:val="restart"/>
                  <w:noWrap w:val="0"/>
                  <w:vAlign w:val="center"/>
                </w:tcPr>
                <w:p w14:paraId="3A1045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8000</w:t>
                  </w:r>
                </w:p>
              </w:tc>
              <w:tc>
                <w:tcPr>
                  <w:tcW w:w="410" w:type="dxa"/>
                  <w:vMerge w:val="restart"/>
                  <w:noWrap w:val="0"/>
                  <w:vAlign w:val="center"/>
                </w:tcPr>
                <w:p w14:paraId="593538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90</w:t>
                  </w:r>
                </w:p>
              </w:tc>
              <w:tc>
                <w:tcPr>
                  <w:tcW w:w="478" w:type="dxa"/>
                  <w:vMerge w:val="restart"/>
                  <w:noWrap w:val="0"/>
                  <w:vAlign w:val="center"/>
                </w:tcPr>
                <w:p w14:paraId="5831A1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99.7</w:t>
                  </w:r>
                </w:p>
              </w:tc>
              <w:tc>
                <w:tcPr>
                  <w:tcW w:w="422" w:type="dxa"/>
                  <w:vMerge w:val="restart"/>
                  <w:noWrap w:val="0"/>
                  <w:vAlign w:val="center"/>
                </w:tcPr>
                <w:p w14:paraId="4F0272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是</w:t>
                  </w:r>
                </w:p>
              </w:tc>
              <w:tc>
                <w:tcPr>
                  <w:tcW w:w="847" w:type="dxa"/>
                  <w:vMerge w:val="restart"/>
                  <w:noWrap w:val="0"/>
                  <w:vAlign w:val="center"/>
                </w:tcPr>
                <w:p w14:paraId="51401E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集气罩+布袋除尘</w:t>
                  </w:r>
                </w:p>
              </w:tc>
              <w:tc>
                <w:tcPr>
                  <w:tcW w:w="603" w:type="dxa"/>
                  <w:noWrap w:val="0"/>
                  <w:vAlign w:val="center"/>
                </w:tcPr>
                <w:p w14:paraId="23564F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3.035</w:t>
                  </w:r>
                </w:p>
              </w:tc>
              <w:tc>
                <w:tcPr>
                  <w:tcW w:w="795" w:type="dxa"/>
                  <w:noWrap w:val="0"/>
                  <w:vAlign w:val="center"/>
                </w:tcPr>
                <w:p w14:paraId="32AA14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0.024</w:t>
                  </w:r>
                </w:p>
              </w:tc>
              <w:tc>
                <w:tcPr>
                  <w:tcW w:w="731" w:type="dxa"/>
                  <w:noWrap w:val="0"/>
                  <w:vAlign w:val="center"/>
                </w:tcPr>
                <w:p w14:paraId="12BBA1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0.175</w:t>
                  </w:r>
                </w:p>
              </w:tc>
              <w:tc>
                <w:tcPr>
                  <w:tcW w:w="788" w:type="dxa"/>
                  <w:vMerge w:val="restart"/>
                  <w:noWrap w:val="0"/>
                  <w:vAlign w:val="center"/>
                </w:tcPr>
                <w:p w14:paraId="6AC0F5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18"/>
                      <w:szCs w:val="18"/>
                      <w:highlight w:val="none"/>
                      <w:lang w:val="en-US" w:eastAsia="zh-CN" w:bidi="ar-SA"/>
                    </w:rPr>
                  </w:pPr>
                  <w:r>
                    <w:rPr>
                      <w:rFonts w:hint="eastAsia"/>
                      <w:color w:val="FF0000"/>
                      <w:sz w:val="18"/>
                      <w:szCs w:val="18"/>
                      <w:highlight w:val="none"/>
                      <w:lang w:val="en-US" w:eastAsia="zh-CN"/>
                    </w:rPr>
                    <w:t>DA004</w:t>
                  </w:r>
                </w:p>
              </w:tc>
              <w:tc>
                <w:tcPr>
                  <w:tcW w:w="300" w:type="dxa"/>
                  <w:vMerge w:val="restart"/>
                  <w:noWrap w:val="0"/>
                  <w:vAlign w:val="center"/>
                </w:tcPr>
                <w:p w14:paraId="0006C7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20</w:t>
                  </w:r>
                </w:p>
              </w:tc>
              <w:tc>
                <w:tcPr>
                  <w:tcW w:w="423" w:type="dxa"/>
                  <w:vMerge w:val="restart"/>
                  <w:noWrap w:val="0"/>
                  <w:vAlign w:val="center"/>
                </w:tcPr>
                <w:p w14:paraId="4626FA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0.6</w:t>
                  </w:r>
                </w:p>
              </w:tc>
              <w:tc>
                <w:tcPr>
                  <w:tcW w:w="300" w:type="dxa"/>
                  <w:vMerge w:val="restart"/>
                  <w:noWrap w:val="0"/>
                  <w:vAlign w:val="center"/>
                </w:tcPr>
                <w:p w14:paraId="41A2E4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20</w:t>
                  </w:r>
                </w:p>
              </w:tc>
              <w:tc>
                <w:tcPr>
                  <w:tcW w:w="409" w:type="dxa"/>
                  <w:vMerge w:val="restart"/>
                  <w:noWrap w:val="0"/>
                  <w:vAlign w:val="center"/>
                </w:tcPr>
                <w:p w14:paraId="2672F9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FF0000"/>
                      <w:sz w:val="18"/>
                      <w:szCs w:val="18"/>
                      <w:highlight w:val="none"/>
                      <w:lang w:val="en-US" w:eastAsia="zh-CN"/>
                    </w:rPr>
                  </w:pPr>
                  <w:r>
                    <w:rPr>
                      <w:rFonts w:hint="eastAsia"/>
                      <w:color w:val="FF0000"/>
                      <w:sz w:val="18"/>
                      <w:szCs w:val="18"/>
                      <w:highlight w:val="none"/>
                      <w:lang w:eastAsia="zh-CN"/>
                    </w:rPr>
                    <w:t>一般排放口</w:t>
                  </w:r>
                </w:p>
              </w:tc>
              <w:tc>
                <w:tcPr>
                  <w:tcW w:w="1486" w:type="dxa"/>
                  <w:vMerge w:val="restart"/>
                  <w:noWrap w:val="0"/>
                  <w:vAlign w:val="center"/>
                </w:tcPr>
                <w:p w14:paraId="6E3ACF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72" w:leftChars="-30" w:right="-72" w:rightChars="-30" w:firstLine="0" w:firstLineChars="0"/>
                    <w:jc w:val="center"/>
                    <w:textAlignment w:val="auto"/>
                    <w:rPr>
                      <w:rFonts w:hint="default" w:ascii="Times New Roman" w:hAnsi="Times New Roman" w:eastAsia="宋体" w:cs="Times New Roman"/>
                      <w:color w:val="FF0000"/>
                      <w:spacing w:val="0"/>
                      <w:kern w:val="0"/>
                      <w:sz w:val="18"/>
                      <w:szCs w:val="18"/>
                      <w:highlight w:val="none"/>
                      <w:lang w:val="en-US" w:eastAsia="zh-CN" w:bidi="ar"/>
                    </w:rPr>
                  </w:pPr>
                  <w:r>
                    <w:rPr>
                      <w:rFonts w:hint="eastAsia" w:ascii="Times New Roman" w:hAnsi="Times New Roman" w:eastAsia="宋体" w:cs="Times New Roman"/>
                      <w:color w:val="FF0000"/>
                      <w:spacing w:val="0"/>
                      <w:kern w:val="0"/>
                      <w:sz w:val="18"/>
                      <w:szCs w:val="18"/>
                      <w:highlight w:val="none"/>
                      <w:lang w:val="en-US" w:eastAsia="zh-CN" w:bidi="ar"/>
                    </w:rPr>
                    <w:t>E:</w:t>
                  </w:r>
                  <w:r>
                    <w:rPr>
                      <w:rFonts w:hint="default" w:ascii="Times New Roman" w:hAnsi="Times New Roman" w:eastAsia="宋体" w:cs="Times New Roman"/>
                      <w:color w:val="FF0000"/>
                      <w:spacing w:val="0"/>
                      <w:kern w:val="0"/>
                      <w:sz w:val="18"/>
                      <w:szCs w:val="18"/>
                      <w:highlight w:val="none"/>
                      <w:lang w:val="en-US" w:eastAsia="zh-CN" w:bidi="ar"/>
                    </w:rPr>
                    <w:t>115°</w:t>
                  </w:r>
                  <w:r>
                    <w:rPr>
                      <w:rFonts w:hint="eastAsia" w:ascii="Times New Roman" w:hAnsi="Times New Roman" w:eastAsia="宋体" w:cs="Times New Roman"/>
                      <w:color w:val="FF0000"/>
                      <w:spacing w:val="0"/>
                      <w:kern w:val="0"/>
                      <w:sz w:val="18"/>
                      <w:szCs w:val="18"/>
                      <w:highlight w:val="none"/>
                      <w:lang w:val="en-US" w:eastAsia="zh-CN" w:bidi="ar"/>
                    </w:rPr>
                    <w:t>27</w:t>
                  </w:r>
                  <w:r>
                    <w:rPr>
                      <w:rFonts w:hint="default" w:ascii="Times New Roman" w:hAnsi="Times New Roman" w:eastAsia="宋体" w:cs="Times New Roman"/>
                      <w:color w:val="FF0000"/>
                      <w:spacing w:val="0"/>
                      <w:kern w:val="0"/>
                      <w:sz w:val="18"/>
                      <w:szCs w:val="18"/>
                      <w:highlight w:val="none"/>
                      <w:lang w:val="en-US" w:eastAsia="zh-CN" w:bidi="ar"/>
                    </w:rPr>
                    <w:t>′2</w:t>
                  </w:r>
                  <w:r>
                    <w:rPr>
                      <w:rFonts w:hint="eastAsia" w:ascii="Times New Roman" w:hAnsi="Times New Roman" w:eastAsia="宋体" w:cs="Times New Roman"/>
                      <w:color w:val="FF0000"/>
                      <w:spacing w:val="0"/>
                      <w:kern w:val="0"/>
                      <w:sz w:val="18"/>
                      <w:szCs w:val="18"/>
                      <w:highlight w:val="none"/>
                      <w:lang w:val="en-US" w:eastAsia="zh-CN" w:bidi="ar"/>
                    </w:rPr>
                    <w:t>1.453</w:t>
                  </w:r>
                  <w:r>
                    <w:rPr>
                      <w:rFonts w:hint="default" w:ascii="Times New Roman" w:hAnsi="Times New Roman" w:eastAsia="宋体" w:cs="Times New Roman"/>
                      <w:color w:val="FF0000"/>
                      <w:spacing w:val="0"/>
                      <w:kern w:val="0"/>
                      <w:sz w:val="18"/>
                      <w:szCs w:val="18"/>
                      <w:highlight w:val="none"/>
                      <w:lang w:val="en-US" w:eastAsia="zh-CN" w:bidi="ar"/>
                    </w:rPr>
                    <w:t>″</w:t>
                  </w:r>
                </w:p>
                <w:p w14:paraId="307BEE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FF0000"/>
                      <w:sz w:val="18"/>
                      <w:szCs w:val="18"/>
                      <w:highlight w:val="none"/>
                      <w:lang w:val="en-US" w:eastAsia="zh-CN"/>
                    </w:rPr>
                  </w:pPr>
                  <w:r>
                    <w:rPr>
                      <w:rFonts w:hint="eastAsia" w:ascii="Times New Roman" w:hAnsi="Times New Roman" w:eastAsia="宋体" w:cs="Times New Roman"/>
                      <w:color w:val="FF0000"/>
                      <w:spacing w:val="0"/>
                      <w:kern w:val="0"/>
                      <w:sz w:val="18"/>
                      <w:szCs w:val="18"/>
                      <w:highlight w:val="none"/>
                      <w:lang w:val="en-US" w:eastAsia="zh-CN" w:bidi="ar"/>
                    </w:rPr>
                    <w:t>N:</w:t>
                  </w:r>
                  <w:r>
                    <w:rPr>
                      <w:rFonts w:hint="default" w:ascii="Times New Roman" w:hAnsi="Times New Roman" w:eastAsia="宋体" w:cs="Times New Roman"/>
                      <w:color w:val="FF0000"/>
                      <w:spacing w:val="0"/>
                      <w:kern w:val="0"/>
                      <w:sz w:val="18"/>
                      <w:szCs w:val="18"/>
                      <w:highlight w:val="none"/>
                      <w:lang w:val="en-US" w:eastAsia="zh-CN" w:bidi="ar"/>
                    </w:rPr>
                    <w:t>28°</w:t>
                  </w:r>
                  <w:r>
                    <w:rPr>
                      <w:rFonts w:hint="eastAsia" w:ascii="Times New Roman" w:hAnsi="Times New Roman" w:eastAsia="宋体" w:cs="Times New Roman"/>
                      <w:color w:val="FF0000"/>
                      <w:spacing w:val="0"/>
                      <w:kern w:val="0"/>
                      <w:sz w:val="18"/>
                      <w:szCs w:val="18"/>
                      <w:highlight w:val="none"/>
                      <w:lang w:val="en-US" w:eastAsia="zh-CN" w:bidi="ar"/>
                    </w:rPr>
                    <w:t>12</w:t>
                  </w:r>
                  <w:r>
                    <w:rPr>
                      <w:rFonts w:hint="default" w:ascii="Times New Roman" w:hAnsi="Times New Roman" w:eastAsia="宋体" w:cs="Times New Roman"/>
                      <w:color w:val="FF0000"/>
                      <w:spacing w:val="0"/>
                      <w:kern w:val="0"/>
                      <w:sz w:val="18"/>
                      <w:szCs w:val="18"/>
                      <w:highlight w:val="none"/>
                      <w:lang w:val="en-US" w:eastAsia="zh-CN" w:bidi="ar"/>
                    </w:rPr>
                    <w:t>′</w:t>
                  </w:r>
                  <w:r>
                    <w:rPr>
                      <w:rFonts w:hint="eastAsia" w:ascii="Times New Roman" w:hAnsi="Times New Roman" w:eastAsia="宋体" w:cs="Times New Roman"/>
                      <w:color w:val="FF0000"/>
                      <w:spacing w:val="0"/>
                      <w:kern w:val="0"/>
                      <w:sz w:val="18"/>
                      <w:szCs w:val="18"/>
                      <w:highlight w:val="none"/>
                      <w:lang w:val="en-US" w:eastAsia="zh-CN" w:bidi="ar"/>
                    </w:rPr>
                    <w:t>16.377</w:t>
                  </w:r>
                  <w:r>
                    <w:rPr>
                      <w:rFonts w:hint="default" w:ascii="Times New Roman" w:hAnsi="Times New Roman" w:eastAsia="宋体" w:cs="Times New Roman"/>
                      <w:color w:val="FF0000"/>
                      <w:spacing w:val="0"/>
                      <w:kern w:val="0"/>
                      <w:sz w:val="18"/>
                      <w:szCs w:val="18"/>
                      <w:highlight w:val="none"/>
                      <w:lang w:val="en-US" w:eastAsia="zh-CN" w:bidi="ar"/>
                    </w:rPr>
                    <w:t>″</w:t>
                  </w:r>
                </w:p>
              </w:tc>
              <w:tc>
                <w:tcPr>
                  <w:tcW w:w="835" w:type="dxa"/>
                  <w:noWrap w:val="0"/>
                  <w:vAlign w:val="center"/>
                </w:tcPr>
                <w:p w14:paraId="0372F0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120</w:t>
                  </w:r>
                </w:p>
              </w:tc>
            </w:tr>
            <w:tr w14:paraId="779881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2F5041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326" w:type="dxa"/>
                  <w:vMerge w:val="continue"/>
                  <w:noWrap w:val="0"/>
                  <w:vAlign w:val="center"/>
                </w:tcPr>
                <w:p w14:paraId="612F00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3EE4F1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铊及其化合物</w:t>
                  </w:r>
                </w:p>
              </w:tc>
              <w:tc>
                <w:tcPr>
                  <w:tcW w:w="677" w:type="dxa"/>
                  <w:shd w:val="clear" w:color="auto" w:fill="auto"/>
                  <w:noWrap w:val="0"/>
                  <w:vAlign w:val="center"/>
                </w:tcPr>
                <w:p w14:paraId="79D4CF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0.009</w:t>
                  </w:r>
                </w:p>
              </w:tc>
              <w:tc>
                <w:tcPr>
                  <w:tcW w:w="824" w:type="dxa"/>
                  <w:noWrap w:val="0"/>
                  <w:vAlign w:val="center"/>
                </w:tcPr>
                <w:p w14:paraId="36BA4C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7.56E-05</w:t>
                  </w:r>
                </w:p>
              </w:tc>
              <w:tc>
                <w:tcPr>
                  <w:tcW w:w="717" w:type="dxa"/>
                  <w:noWrap w:val="0"/>
                  <w:vAlign w:val="center"/>
                </w:tcPr>
                <w:p w14:paraId="75B083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5.44E-04</w:t>
                  </w:r>
                </w:p>
              </w:tc>
              <w:tc>
                <w:tcPr>
                  <w:tcW w:w="494" w:type="dxa"/>
                  <w:vMerge w:val="continue"/>
                  <w:shd w:val="clear" w:color="auto" w:fill="auto"/>
                  <w:noWrap w:val="0"/>
                  <w:vAlign w:val="center"/>
                </w:tcPr>
                <w:p w14:paraId="54511E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10" w:type="dxa"/>
                  <w:vMerge w:val="continue"/>
                  <w:shd w:val="clear" w:color="auto" w:fill="auto"/>
                  <w:noWrap w:val="0"/>
                  <w:vAlign w:val="center"/>
                </w:tcPr>
                <w:p w14:paraId="2EAEA2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78" w:type="dxa"/>
                  <w:vMerge w:val="continue"/>
                  <w:noWrap w:val="0"/>
                  <w:vAlign w:val="center"/>
                </w:tcPr>
                <w:p w14:paraId="507660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72B7D5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4536D4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3BE3F3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0.00003</w:t>
                  </w:r>
                </w:p>
              </w:tc>
              <w:tc>
                <w:tcPr>
                  <w:tcW w:w="795" w:type="dxa"/>
                  <w:noWrap w:val="0"/>
                  <w:vAlign w:val="center"/>
                </w:tcPr>
                <w:p w14:paraId="4768DD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2.27E-07</w:t>
                  </w:r>
                </w:p>
              </w:tc>
              <w:tc>
                <w:tcPr>
                  <w:tcW w:w="731" w:type="dxa"/>
                  <w:noWrap w:val="0"/>
                  <w:vAlign w:val="center"/>
                </w:tcPr>
                <w:p w14:paraId="13E777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1.63E-06</w:t>
                  </w:r>
                </w:p>
              </w:tc>
              <w:tc>
                <w:tcPr>
                  <w:tcW w:w="788" w:type="dxa"/>
                  <w:vMerge w:val="continue"/>
                  <w:shd w:val="clear" w:color="auto" w:fill="auto"/>
                  <w:noWrap w:val="0"/>
                  <w:vAlign w:val="center"/>
                </w:tcPr>
                <w:p w14:paraId="43520D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300" w:type="dxa"/>
                  <w:vMerge w:val="continue"/>
                  <w:shd w:val="clear" w:color="auto" w:fill="auto"/>
                  <w:noWrap w:val="0"/>
                  <w:vAlign w:val="center"/>
                </w:tcPr>
                <w:p w14:paraId="04686E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423" w:type="dxa"/>
                  <w:vMerge w:val="continue"/>
                  <w:shd w:val="clear" w:color="auto" w:fill="auto"/>
                  <w:noWrap w:val="0"/>
                  <w:vAlign w:val="center"/>
                </w:tcPr>
                <w:p w14:paraId="5E1C5C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300" w:type="dxa"/>
                  <w:vMerge w:val="continue"/>
                  <w:shd w:val="clear" w:color="auto" w:fill="auto"/>
                  <w:noWrap w:val="0"/>
                  <w:vAlign w:val="center"/>
                </w:tcPr>
                <w:p w14:paraId="3F6B49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409" w:type="dxa"/>
                  <w:vMerge w:val="continue"/>
                  <w:shd w:val="clear" w:color="auto" w:fill="auto"/>
                  <w:noWrap w:val="0"/>
                  <w:vAlign w:val="center"/>
                </w:tcPr>
                <w:p w14:paraId="206020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1486" w:type="dxa"/>
                  <w:vMerge w:val="continue"/>
                  <w:shd w:val="clear" w:color="auto" w:fill="auto"/>
                  <w:noWrap w:val="0"/>
                  <w:vAlign w:val="center"/>
                </w:tcPr>
                <w:p w14:paraId="4A98CC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835" w:type="dxa"/>
                  <w:shd w:val="clear" w:color="auto" w:fill="auto"/>
                  <w:noWrap w:val="0"/>
                  <w:vAlign w:val="center"/>
                </w:tcPr>
                <w:p w14:paraId="0B01F9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0.05</w:t>
                  </w:r>
                </w:p>
              </w:tc>
            </w:tr>
            <w:tr w14:paraId="4853FB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191080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326" w:type="dxa"/>
                  <w:vMerge w:val="continue"/>
                  <w:noWrap w:val="0"/>
                  <w:vAlign w:val="center"/>
                </w:tcPr>
                <w:p w14:paraId="4826C8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02554B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氟化物</w:t>
                  </w:r>
                </w:p>
              </w:tc>
              <w:tc>
                <w:tcPr>
                  <w:tcW w:w="677" w:type="dxa"/>
                  <w:shd w:val="clear" w:color="auto" w:fill="auto"/>
                  <w:noWrap w:val="0"/>
                  <w:vAlign w:val="center"/>
                </w:tcPr>
                <w:p w14:paraId="72BE9E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18.92</w:t>
                  </w:r>
                </w:p>
              </w:tc>
              <w:tc>
                <w:tcPr>
                  <w:tcW w:w="824" w:type="dxa"/>
                  <w:noWrap w:val="0"/>
                  <w:vAlign w:val="center"/>
                </w:tcPr>
                <w:p w14:paraId="7C998F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0.15</w:t>
                  </w:r>
                </w:p>
              </w:tc>
              <w:tc>
                <w:tcPr>
                  <w:tcW w:w="717" w:type="dxa"/>
                  <w:noWrap w:val="0"/>
                  <w:vAlign w:val="center"/>
                </w:tcPr>
                <w:p w14:paraId="11A1D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1.09</w:t>
                  </w:r>
                </w:p>
              </w:tc>
              <w:tc>
                <w:tcPr>
                  <w:tcW w:w="494" w:type="dxa"/>
                  <w:vMerge w:val="continue"/>
                  <w:shd w:val="clear" w:color="auto" w:fill="auto"/>
                  <w:noWrap w:val="0"/>
                  <w:vAlign w:val="center"/>
                </w:tcPr>
                <w:p w14:paraId="261C17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10" w:type="dxa"/>
                  <w:vMerge w:val="continue"/>
                  <w:shd w:val="clear" w:color="auto" w:fill="auto"/>
                  <w:noWrap w:val="0"/>
                  <w:vAlign w:val="center"/>
                </w:tcPr>
                <w:p w14:paraId="0A6177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78" w:type="dxa"/>
                  <w:vMerge w:val="continue"/>
                  <w:noWrap w:val="0"/>
                  <w:vAlign w:val="center"/>
                </w:tcPr>
                <w:p w14:paraId="6B0359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6097DA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15CDBF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78686D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0.057</w:t>
                  </w:r>
                </w:p>
              </w:tc>
              <w:tc>
                <w:tcPr>
                  <w:tcW w:w="795" w:type="dxa"/>
                  <w:noWrap w:val="0"/>
                  <w:vAlign w:val="center"/>
                </w:tcPr>
                <w:p w14:paraId="323AE8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4.54E-04</w:t>
                  </w:r>
                </w:p>
              </w:tc>
              <w:tc>
                <w:tcPr>
                  <w:tcW w:w="731" w:type="dxa"/>
                  <w:noWrap w:val="0"/>
                  <w:vAlign w:val="center"/>
                </w:tcPr>
                <w:p w14:paraId="28C24F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0.0033</w:t>
                  </w:r>
                </w:p>
              </w:tc>
              <w:tc>
                <w:tcPr>
                  <w:tcW w:w="788" w:type="dxa"/>
                  <w:vMerge w:val="continue"/>
                  <w:shd w:val="clear" w:color="auto" w:fill="auto"/>
                  <w:noWrap w:val="0"/>
                  <w:vAlign w:val="center"/>
                </w:tcPr>
                <w:p w14:paraId="197808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300" w:type="dxa"/>
                  <w:vMerge w:val="continue"/>
                  <w:shd w:val="clear" w:color="auto" w:fill="auto"/>
                  <w:noWrap w:val="0"/>
                  <w:vAlign w:val="center"/>
                </w:tcPr>
                <w:p w14:paraId="78DFCA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423" w:type="dxa"/>
                  <w:vMerge w:val="continue"/>
                  <w:shd w:val="clear" w:color="auto" w:fill="auto"/>
                  <w:noWrap w:val="0"/>
                  <w:vAlign w:val="center"/>
                </w:tcPr>
                <w:p w14:paraId="35CB7C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300" w:type="dxa"/>
                  <w:vMerge w:val="continue"/>
                  <w:shd w:val="clear" w:color="auto" w:fill="auto"/>
                  <w:noWrap w:val="0"/>
                  <w:vAlign w:val="center"/>
                </w:tcPr>
                <w:p w14:paraId="1C00B6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409" w:type="dxa"/>
                  <w:vMerge w:val="continue"/>
                  <w:shd w:val="clear" w:color="auto" w:fill="auto"/>
                  <w:noWrap w:val="0"/>
                  <w:vAlign w:val="center"/>
                </w:tcPr>
                <w:p w14:paraId="1264BF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1486" w:type="dxa"/>
                  <w:vMerge w:val="continue"/>
                  <w:shd w:val="clear" w:color="auto" w:fill="auto"/>
                  <w:noWrap w:val="0"/>
                  <w:vAlign w:val="center"/>
                </w:tcPr>
                <w:p w14:paraId="60085E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18"/>
                      <w:szCs w:val="18"/>
                      <w:highlight w:val="none"/>
                      <w:lang w:val="en-US" w:eastAsia="zh-CN" w:bidi="ar-SA"/>
                    </w:rPr>
                  </w:pPr>
                </w:p>
              </w:tc>
              <w:tc>
                <w:tcPr>
                  <w:tcW w:w="835" w:type="dxa"/>
                  <w:shd w:val="clear" w:color="auto" w:fill="auto"/>
                  <w:noWrap w:val="0"/>
                  <w:vAlign w:val="center"/>
                </w:tcPr>
                <w:p w14:paraId="69552D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6</w:t>
                  </w:r>
                </w:p>
              </w:tc>
            </w:tr>
            <w:tr w14:paraId="477ECAC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50F023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破碎及筛分粉尘</w:t>
                  </w:r>
                </w:p>
              </w:tc>
              <w:tc>
                <w:tcPr>
                  <w:tcW w:w="326" w:type="dxa"/>
                  <w:vMerge w:val="restart"/>
                  <w:noWrap w:val="0"/>
                  <w:vAlign w:val="center"/>
                </w:tcPr>
                <w:p w14:paraId="77512A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无组织</w:t>
                  </w:r>
                </w:p>
              </w:tc>
              <w:tc>
                <w:tcPr>
                  <w:tcW w:w="1061" w:type="dxa"/>
                  <w:noWrap w:val="0"/>
                  <w:vAlign w:val="center"/>
                </w:tcPr>
                <w:p w14:paraId="573EB2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颗粒物</w:t>
                  </w:r>
                </w:p>
              </w:tc>
              <w:tc>
                <w:tcPr>
                  <w:tcW w:w="677" w:type="dxa"/>
                  <w:noWrap w:val="0"/>
                  <w:vAlign w:val="center"/>
                </w:tcPr>
                <w:p w14:paraId="0AEE59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662435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0.9</w:t>
                  </w:r>
                </w:p>
              </w:tc>
              <w:tc>
                <w:tcPr>
                  <w:tcW w:w="717" w:type="dxa"/>
                  <w:noWrap w:val="0"/>
                  <w:vAlign w:val="center"/>
                </w:tcPr>
                <w:p w14:paraId="307579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6.</w:t>
                  </w:r>
                  <w:r>
                    <w:rPr>
                      <w:rFonts w:hint="eastAsia"/>
                      <w:color w:val="auto"/>
                      <w:sz w:val="18"/>
                      <w:szCs w:val="18"/>
                      <w:highlight w:val="none"/>
                      <w:lang w:val="en-US" w:eastAsia="zh-CN"/>
                    </w:rPr>
                    <w:t>475</w:t>
                  </w:r>
                </w:p>
              </w:tc>
              <w:tc>
                <w:tcPr>
                  <w:tcW w:w="494" w:type="dxa"/>
                  <w:vMerge w:val="restart"/>
                  <w:noWrap w:val="0"/>
                  <w:vAlign w:val="center"/>
                </w:tcPr>
                <w:p w14:paraId="636A27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10" w:type="dxa"/>
                  <w:vMerge w:val="restart"/>
                  <w:noWrap w:val="0"/>
                  <w:vAlign w:val="center"/>
                </w:tcPr>
                <w:p w14:paraId="3489C9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78" w:type="dxa"/>
                  <w:vMerge w:val="restart"/>
                  <w:noWrap w:val="0"/>
                  <w:vAlign w:val="center"/>
                </w:tcPr>
                <w:p w14:paraId="7FE9D5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89.6</w:t>
                  </w:r>
                </w:p>
              </w:tc>
              <w:tc>
                <w:tcPr>
                  <w:tcW w:w="422" w:type="dxa"/>
                  <w:vMerge w:val="continue"/>
                  <w:noWrap w:val="0"/>
                  <w:vAlign w:val="center"/>
                </w:tcPr>
                <w:p w14:paraId="3C230C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restart"/>
                  <w:noWrap w:val="0"/>
                  <w:vAlign w:val="center"/>
                </w:tcPr>
                <w:p w14:paraId="53D04B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沉降+洒水</w:t>
                  </w:r>
                </w:p>
              </w:tc>
              <w:tc>
                <w:tcPr>
                  <w:tcW w:w="603" w:type="dxa"/>
                  <w:noWrap w:val="0"/>
                  <w:vAlign w:val="center"/>
                </w:tcPr>
                <w:p w14:paraId="46435E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2A156E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0.09</w:t>
                  </w:r>
                  <w:r>
                    <w:rPr>
                      <w:rFonts w:hint="eastAsia"/>
                      <w:color w:val="auto"/>
                      <w:sz w:val="18"/>
                      <w:szCs w:val="18"/>
                      <w:highlight w:val="none"/>
                      <w:lang w:val="en-US" w:eastAsia="zh-CN"/>
                    </w:rPr>
                    <w:t>35</w:t>
                  </w:r>
                </w:p>
              </w:tc>
              <w:tc>
                <w:tcPr>
                  <w:tcW w:w="731" w:type="dxa"/>
                  <w:noWrap w:val="0"/>
                  <w:vAlign w:val="center"/>
                </w:tcPr>
                <w:p w14:paraId="0B79816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w:t>
                  </w:r>
                  <w:r>
                    <w:rPr>
                      <w:rFonts w:hint="eastAsia"/>
                      <w:color w:val="auto"/>
                      <w:sz w:val="18"/>
                      <w:szCs w:val="18"/>
                      <w:highlight w:val="none"/>
                      <w:lang w:val="en-US" w:eastAsia="zh-CN"/>
                    </w:rPr>
                    <w:t>6734</w:t>
                  </w:r>
                </w:p>
              </w:tc>
              <w:tc>
                <w:tcPr>
                  <w:tcW w:w="788" w:type="dxa"/>
                  <w:vMerge w:val="restart"/>
                  <w:noWrap w:val="0"/>
                  <w:vAlign w:val="center"/>
                </w:tcPr>
                <w:p w14:paraId="681B29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noWrap w:val="0"/>
                  <w:vAlign w:val="center"/>
                </w:tcPr>
                <w:p w14:paraId="702EE3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23" w:type="dxa"/>
                  <w:vMerge w:val="restart"/>
                  <w:noWrap w:val="0"/>
                  <w:vAlign w:val="center"/>
                </w:tcPr>
                <w:p w14:paraId="6B663A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noWrap w:val="0"/>
                  <w:vAlign w:val="center"/>
                </w:tcPr>
                <w:p w14:paraId="2111FA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09" w:type="dxa"/>
                  <w:vMerge w:val="restart"/>
                  <w:noWrap w:val="0"/>
                  <w:vAlign w:val="center"/>
                </w:tcPr>
                <w:p w14:paraId="446D7F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1486" w:type="dxa"/>
                  <w:vMerge w:val="restart"/>
                  <w:noWrap w:val="0"/>
                  <w:vAlign w:val="center"/>
                </w:tcPr>
                <w:p w14:paraId="3D691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835" w:type="dxa"/>
                  <w:noWrap w:val="0"/>
                  <w:vAlign w:val="center"/>
                </w:tcPr>
                <w:p w14:paraId="0DB8EA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w:t>
                  </w:r>
                </w:p>
              </w:tc>
            </w:tr>
            <w:tr w14:paraId="32007B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132A7A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364576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noWrap w:val="0"/>
                  <w:vAlign w:val="center"/>
                </w:tcPr>
                <w:p w14:paraId="65B5CA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rPr>
                    <w:t>铊及其化合物</w:t>
                  </w:r>
                </w:p>
              </w:tc>
              <w:tc>
                <w:tcPr>
                  <w:tcW w:w="677" w:type="dxa"/>
                  <w:noWrap w:val="0"/>
                  <w:vAlign w:val="center"/>
                </w:tcPr>
                <w:p w14:paraId="15D1D5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234718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8.</w:t>
                  </w:r>
                  <w:r>
                    <w:rPr>
                      <w:rFonts w:hint="eastAsia"/>
                      <w:color w:val="auto"/>
                      <w:sz w:val="18"/>
                      <w:szCs w:val="18"/>
                      <w:highlight w:val="none"/>
                      <w:lang w:val="en-US" w:eastAsia="zh-CN"/>
                    </w:rPr>
                    <w:t>40</w:t>
                  </w:r>
                  <w:r>
                    <w:rPr>
                      <w:rFonts w:hint="default"/>
                      <w:color w:val="auto"/>
                      <w:sz w:val="18"/>
                      <w:szCs w:val="18"/>
                      <w:highlight w:val="none"/>
                      <w:lang w:val="en-US" w:eastAsia="zh-CN"/>
                    </w:rPr>
                    <w:t>E-06</w:t>
                  </w:r>
                </w:p>
              </w:tc>
              <w:tc>
                <w:tcPr>
                  <w:tcW w:w="717" w:type="dxa"/>
                  <w:noWrap w:val="0"/>
                  <w:vAlign w:val="center"/>
                </w:tcPr>
                <w:p w14:paraId="1059107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6.</w:t>
                  </w:r>
                  <w:r>
                    <w:rPr>
                      <w:rFonts w:hint="eastAsia"/>
                      <w:color w:val="auto"/>
                      <w:sz w:val="18"/>
                      <w:szCs w:val="18"/>
                      <w:highlight w:val="none"/>
                      <w:lang w:val="en-US" w:eastAsia="zh-CN"/>
                    </w:rPr>
                    <w:t>05</w:t>
                  </w:r>
                  <w:r>
                    <w:rPr>
                      <w:rFonts w:hint="default"/>
                      <w:color w:val="auto"/>
                      <w:sz w:val="18"/>
                      <w:szCs w:val="18"/>
                      <w:highlight w:val="none"/>
                      <w:lang w:val="en-US" w:eastAsia="zh-CN"/>
                    </w:rPr>
                    <w:t>E-05</w:t>
                  </w:r>
                </w:p>
              </w:tc>
              <w:tc>
                <w:tcPr>
                  <w:tcW w:w="494" w:type="dxa"/>
                  <w:vMerge w:val="continue"/>
                  <w:noWrap w:val="0"/>
                  <w:vAlign w:val="center"/>
                </w:tcPr>
                <w:p w14:paraId="1B8718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10" w:type="dxa"/>
                  <w:vMerge w:val="continue"/>
                  <w:noWrap w:val="0"/>
                  <w:vAlign w:val="center"/>
                </w:tcPr>
                <w:p w14:paraId="13A756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78" w:type="dxa"/>
                  <w:vMerge w:val="continue"/>
                  <w:noWrap w:val="0"/>
                  <w:vAlign w:val="center"/>
                </w:tcPr>
                <w:p w14:paraId="1B34EC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7DF047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044C58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noWrap w:val="0"/>
                  <w:vAlign w:val="center"/>
                </w:tcPr>
                <w:p w14:paraId="1ABC5CC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6BEE41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lang w:val="en-US" w:eastAsia="zh-CN"/>
                    </w:rPr>
                    <w:t>8.74</w:t>
                  </w:r>
                  <w:r>
                    <w:rPr>
                      <w:rFonts w:hint="default"/>
                      <w:color w:val="auto"/>
                      <w:sz w:val="18"/>
                      <w:szCs w:val="18"/>
                      <w:highlight w:val="none"/>
                      <w:lang w:val="en-US" w:eastAsia="zh-CN"/>
                    </w:rPr>
                    <w:t>E-07</w:t>
                  </w:r>
                </w:p>
              </w:tc>
              <w:tc>
                <w:tcPr>
                  <w:tcW w:w="731" w:type="dxa"/>
                  <w:noWrap w:val="0"/>
                  <w:vAlign w:val="center"/>
                </w:tcPr>
                <w:p w14:paraId="2A56FD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6.</w:t>
                  </w:r>
                  <w:r>
                    <w:rPr>
                      <w:rFonts w:hint="eastAsia"/>
                      <w:color w:val="auto"/>
                      <w:sz w:val="18"/>
                      <w:szCs w:val="18"/>
                      <w:highlight w:val="none"/>
                      <w:lang w:val="en-US" w:eastAsia="zh-CN"/>
                    </w:rPr>
                    <w:t>29</w:t>
                  </w:r>
                  <w:r>
                    <w:rPr>
                      <w:rFonts w:hint="default"/>
                      <w:color w:val="auto"/>
                      <w:sz w:val="18"/>
                      <w:szCs w:val="18"/>
                      <w:highlight w:val="none"/>
                      <w:lang w:val="en-US" w:eastAsia="zh-CN"/>
                    </w:rPr>
                    <w:t>E-06</w:t>
                  </w:r>
                </w:p>
              </w:tc>
              <w:tc>
                <w:tcPr>
                  <w:tcW w:w="788" w:type="dxa"/>
                  <w:vMerge w:val="continue"/>
                  <w:noWrap w:val="0"/>
                  <w:vAlign w:val="center"/>
                </w:tcPr>
                <w:p w14:paraId="58F792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noWrap w:val="0"/>
                  <w:vAlign w:val="center"/>
                </w:tcPr>
                <w:p w14:paraId="47C153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noWrap w:val="0"/>
                  <w:vAlign w:val="center"/>
                </w:tcPr>
                <w:p w14:paraId="002929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noWrap w:val="0"/>
                  <w:vAlign w:val="center"/>
                </w:tcPr>
                <w:p w14:paraId="175E3D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noWrap w:val="0"/>
                  <w:vAlign w:val="center"/>
                </w:tcPr>
                <w:p w14:paraId="409278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noWrap w:val="0"/>
                  <w:vAlign w:val="center"/>
                </w:tcPr>
                <w:p w14:paraId="26F9EE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noWrap w:val="0"/>
                  <w:vAlign w:val="center"/>
                </w:tcPr>
                <w:p w14:paraId="263A8A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0.001</w:t>
                  </w:r>
                </w:p>
              </w:tc>
            </w:tr>
            <w:tr w14:paraId="1B2FA00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76DB1A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6C5117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noWrap w:val="0"/>
                  <w:vAlign w:val="center"/>
                </w:tcPr>
                <w:p w14:paraId="647325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rPr>
                    <w:t>氟化物</w:t>
                  </w:r>
                </w:p>
              </w:tc>
              <w:tc>
                <w:tcPr>
                  <w:tcW w:w="677" w:type="dxa"/>
                  <w:noWrap w:val="0"/>
                  <w:vAlign w:val="center"/>
                </w:tcPr>
                <w:p w14:paraId="30D0393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7E6480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0.017</w:t>
                  </w:r>
                </w:p>
              </w:tc>
              <w:tc>
                <w:tcPr>
                  <w:tcW w:w="717" w:type="dxa"/>
                  <w:noWrap w:val="0"/>
                  <w:vAlign w:val="center"/>
                </w:tcPr>
                <w:p w14:paraId="708477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0.12</w:t>
                  </w:r>
                  <w:r>
                    <w:rPr>
                      <w:rFonts w:hint="eastAsia"/>
                      <w:color w:val="auto"/>
                      <w:sz w:val="18"/>
                      <w:szCs w:val="18"/>
                      <w:highlight w:val="none"/>
                      <w:lang w:val="en-US" w:eastAsia="zh-CN"/>
                    </w:rPr>
                    <w:t>1</w:t>
                  </w:r>
                </w:p>
              </w:tc>
              <w:tc>
                <w:tcPr>
                  <w:tcW w:w="494" w:type="dxa"/>
                  <w:vMerge w:val="continue"/>
                  <w:noWrap w:val="0"/>
                  <w:vAlign w:val="center"/>
                </w:tcPr>
                <w:p w14:paraId="2187E7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10" w:type="dxa"/>
                  <w:vMerge w:val="continue"/>
                  <w:noWrap w:val="0"/>
                  <w:vAlign w:val="center"/>
                </w:tcPr>
                <w:p w14:paraId="1BD810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78" w:type="dxa"/>
                  <w:vMerge w:val="continue"/>
                  <w:noWrap w:val="0"/>
                  <w:vAlign w:val="center"/>
                </w:tcPr>
                <w:p w14:paraId="567BC2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1F7F21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15A22D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noWrap w:val="0"/>
                  <w:vAlign w:val="center"/>
                </w:tcPr>
                <w:p w14:paraId="1D6528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0E7F2A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0.001</w:t>
                  </w:r>
                  <w:r>
                    <w:rPr>
                      <w:rFonts w:hint="eastAsia"/>
                      <w:color w:val="auto"/>
                      <w:sz w:val="18"/>
                      <w:szCs w:val="18"/>
                      <w:highlight w:val="none"/>
                      <w:lang w:val="en-US" w:eastAsia="zh-CN"/>
                    </w:rPr>
                    <w:t>7</w:t>
                  </w:r>
                </w:p>
              </w:tc>
              <w:tc>
                <w:tcPr>
                  <w:tcW w:w="731" w:type="dxa"/>
                  <w:noWrap w:val="0"/>
                  <w:vAlign w:val="center"/>
                </w:tcPr>
                <w:p w14:paraId="2629C3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0.01</w:t>
                  </w:r>
                  <w:r>
                    <w:rPr>
                      <w:rFonts w:hint="eastAsia"/>
                      <w:color w:val="auto"/>
                      <w:sz w:val="18"/>
                      <w:szCs w:val="18"/>
                      <w:highlight w:val="none"/>
                      <w:lang w:val="en-US" w:eastAsia="zh-CN"/>
                    </w:rPr>
                    <w:t>26</w:t>
                  </w:r>
                </w:p>
              </w:tc>
              <w:tc>
                <w:tcPr>
                  <w:tcW w:w="788" w:type="dxa"/>
                  <w:vMerge w:val="continue"/>
                  <w:noWrap w:val="0"/>
                  <w:vAlign w:val="center"/>
                </w:tcPr>
                <w:p w14:paraId="5C8F97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noWrap w:val="0"/>
                  <w:vAlign w:val="center"/>
                </w:tcPr>
                <w:p w14:paraId="0CCF14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noWrap w:val="0"/>
                  <w:vAlign w:val="center"/>
                </w:tcPr>
                <w:p w14:paraId="4A41CD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noWrap w:val="0"/>
                  <w:vAlign w:val="center"/>
                </w:tcPr>
                <w:p w14:paraId="06CFB2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noWrap w:val="0"/>
                  <w:vAlign w:val="center"/>
                </w:tcPr>
                <w:p w14:paraId="043CE0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noWrap w:val="0"/>
                  <w:vAlign w:val="center"/>
                </w:tcPr>
                <w:p w14:paraId="20F5F0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noWrap w:val="0"/>
                  <w:vAlign w:val="center"/>
                </w:tcPr>
                <w:p w14:paraId="5D64A0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0.02</w:t>
                  </w:r>
                </w:p>
              </w:tc>
            </w:tr>
            <w:tr w14:paraId="1F2E39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18731B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eastAsia="宋体"/>
                      <w:color w:val="auto"/>
                      <w:sz w:val="18"/>
                      <w:szCs w:val="18"/>
                      <w:highlight w:val="none"/>
                      <w:lang w:eastAsia="zh-CN"/>
                    </w:rPr>
                  </w:pPr>
                  <w:r>
                    <w:rPr>
                      <w:rFonts w:hint="eastAsia"/>
                      <w:color w:val="FF0000"/>
                      <w:sz w:val="18"/>
                      <w:szCs w:val="18"/>
                      <w:highlight w:val="none"/>
                      <w:lang w:val="en-US" w:eastAsia="zh-CN"/>
                    </w:rPr>
                    <w:t>卸</w:t>
                  </w:r>
                  <w:r>
                    <w:rPr>
                      <w:rFonts w:hint="eastAsia"/>
                      <w:color w:val="FF0000"/>
                      <w:sz w:val="18"/>
                      <w:szCs w:val="18"/>
                      <w:highlight w:val="none"/>
                    </w:rPr>
                    <w:t>料</w:t>
                  </w:r>
                  <w:r>
                    <w:rPr>
                      <w:rFonts w:hint="eastAsia"/>
                      <w:color w:val="FF0000"/>
                      <w:sz w:val="18"/>
                      <w:szCs w:val="18"/>
                      <w:highlight w:val="none"/>
                      <w:lang w:eastAsia="zh-CN"/>
                    </w:rPr>
                    <w:t>及堆场扬尘</w:t>
                  </w:r>
                </w:p>
              </w:tc>
              <w:tc>
                <w:tcPr>
                  <w:tcW w:w="326" w:type="dxa"/>
                  <w:vMerge w:val="continue"/>
                  <w:noWrap w:val="0"/>
                  <w:vAlign w:val="center"/>
                </w:tcPr>
                <w:p w14:paraId="033B9B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noWrap w:val="0"/>
                  <w:vAlign w:val="center"/>
                </w:tcPr>
                <w:p w14:paraId="79CE1B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颗粒物</w:t>
                  </w:r>
                </w:p>
              </w:tc>
              <w:tc>
                <w:tcPr>
                  <w:tcW w:w="677" w:type="dxa"/>
                  <w:noWrap w:val="0"/>
                  <w:vAlign w:val="center"/>
                </w:tcPr>
                <w:p w14:paraId="056495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77ECB84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1.19</w:t>
                  </w:r>
                </w:p>
              </w:tc>
              <w:tc>
                <w:tcPr>
                  <w:tcW w:w="717" w:type="dxa"/>
                  <w:noWrap w:val="0"/>
                  <w:vAlign w:val="center"/>
                </w:tcPr>
                <w:p w14:paraId="2BCC1E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8.6</w:t>
                  </w:r>
                </w:p>
              </w:tc>
              <w:tc>
                <w:tcPr>
                  <w:tcW w:w="494" w:type="dxa"/>
                  <w:vMerge w:val="restart"/>
                  <w:noWrap w:val="0"/>
                  <w:vAlign w:val="center"/>
                </w:tcPr>
                <w:p w14:paraId="5C24DC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18"/>
                      <w:szCs w:val="18"/>
                      <w:highlight w:val="none"/>
                      <w:lang w:val="en-US" w:eastAsia="zh-CN" w:bidi="ar-SA"/>
                    </w:rPr>
                  </w:pPr>
                  <w:r>
                    <w:rPr>
                      <w:rFonts w:hint="eastAsia" w:ascii="Times New Roman" w:hAnsi="Times New Roman" w:eastAsia="宋体" w:cs="Times New Roman"/>
                      <w:color w:val="FF0000"/>
                      <w:kern w:val="2"/>
                      <w:sz w:val="18"/>
                      <w:szCs w:val="18"/>
                      <w:highlight w:val="none"/>
                      <w:lang w:val="en-US" w:eastAsia="zh-CN" w:bidi="ar-SA"/>
                    </w:rPr>
                    <w:t>/</w:t>
                  </w:r>
                </w:p>
              </w:tc>
              <w:tc>
                <w:tcPr>
                  <w:tcW w:w="410" w:type="dxa"/>
                  <w:vMerge w:val="restart"/>
                  <w:noWrap w:val="0"/>
                  <w:vAlign w:val="center"/>
                </w:tcPr>
                <w:p w14:paraId="22C886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18"/>
                      <w:szCs w:val="18"/>
                      <w:highlight w:val="none"/>
                      <w:lang w:val="en-US" w:eastAsia="zh-CN" w:bidi="ar-SA"/>
                    </w:rPr>
                  </w:pPr>
                  <w:r>
                    <w:rPr>
                      <w:rFonts w:hint="eastAsia" w:ascii="Times New Roman" w:hAnsi="Times New Roman" w:eastAsia="宋体" w:cs="Times New Roman"/>
                      <w:color w:val="FF0000"/>
                      <w:kern w:val="2"/>
                      <w:sz w:val="18"/>
                      <w:szCs w:val="18"/>
                      <w:highlight w:val="none"/>
                      <w:lang w:val="en-US" w:eastAsia="zh-CN" w:bidi="ar-SA"/>
                    </w:rPr>
                    <w:t>/</w:t>
                  </w:r>
                </w:p>
              </w:tc>
              <w:tc>
                <w:tcPr>
                  <w:tcW w:w="478" w:type="dxa"/>
                  <w:vMerge w:val="restart"/>
                  <w:noWrap w:val="0"/>
                  <w:vAlign w:val="center"/>
                </w:tcPr>
                <w:p w14:paraId="75D685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89.6</w:t>
                  </w:r>
                </w:p>
              </w:tc>
              <w:tc>
                <w:tcPr>
                  <w:tcW w:w="422" w:type="dxa"/>
                  <w:vMerge w:val="continue"/>
                  <w:noWrap w:val="0"/>
                  <w:vAlign w:val="center"/>
                </w:tcPr>
                <w:p w14:paraId="001A52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847" w:type="dxa"/>
                  <w:vMerge w:val="restart"/>
                  <w:noWrap w:val="0"/>
                  <w:vAlign w:val="center"/>
                </w:tcPr>
                <w:p w14:paraId="14D32F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沉降+洒水</w:t>
                  </w:r>
                </w:p>
              </w:tc>
              <w:tc>
                <w:tcPr>
                  <w:tcW w:w="603" w:type="dxa"/>
                  <w:noWrap w:val="0"/>
                  <w:vAlign w:val="center"/>
                </w:tcPr>
                <w:p w14:paraId="33987A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18"/>
                      <w:szCs w:val="18"/>
                      <w:highlight w:val="none"/>
                      <w:lang w:val="en-US" w:eastAsia="zh-CN"/>
                    </w:rPr>
                  </w:pPr>
                  <w:r>
                    <w:rPr>
                      <w:rFonts w:hint="default"/>
                      <w:color w:val="FF0000"/>
                      <w:sz w:val="18"/>
                      <w:szCs w:val="18"/>
                      <w:highlight w:val="none"/>
                      <w:lang w:val="en-US" w:eastAsia="zh-CN"/>
                    </w:rPr>
                    <w:t>/</w:t>
                  </w:r>
                </w:p>
              </w:tc>
              <w:tc>
                <w:tcPr>
                  <w:tcW w:w="795" w:type="dxa"/>
                  <w:noWrap w:val="0"/>
                  <w:vAlign w:val="center"/>
                </w:tcPr>
                <w:p w14:paraId="59DF7C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0.124</w:t>
                  </w:r>
                </w:p>
              </w:tc>
              <w:tc>
                <w:tcPr>
                  <w:tcW w:w="731" w:type="dxa"/>
                  <w:noWrap w:val="0"/>
                  <w:vAlign w:val="center"/>
                </w:tcPr>
                <w:p w14:paraId="065604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0.894</w:t>
                  </w:r>
                </w:p>
              </w:tc>
              <w:tc>
                <w:tcPr>
                  <w:tcW w:w="788" w:type="dxa"/>
                  <w:vMerge w:val="restart"/>
                  <w:noWrap w:val="0"/>
                  <w:vAlign w:val="center"/>
                </w:tcPr>
                <w:p w14:paraId="78D20C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noWrap w:val="0"/>
                  <w:vAlign w:val="center"/>
                </w:tcPr>
                <w:p w14:paraId="18E3CA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23" w:type="dxa"/>
                  <w:vMerge w:val="restart"/>
                  <w:noWrap w:val="0"/>
                  <w:vAlign w:val="center"/>
                </w:tcPr>
                <w:p w14:paraId="4215BB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noWrap w:val="0"/>
                  <w:vAlign w:val="center"/>
                </w:tcPr>
                <w:p w14:paraId="06552F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09" w:type="dxa"/>
                  <w:vMerge w:val="restart"/>
                  <w:noWrap w:val="0"/>
                  <w:vAlign w:val="center"/>
                </w:tcPr>
                <w:p w14:paraId="0144C7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1486" w:type="dxa"/>
                  <w:vMerge w:val="restart"/>
                  <w:noWrap w:val="0"/>
                  <w:vAlign w:val="center"/>
                </w:tcPr>
                <w:p w14:paraId="41BF94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835" w:type="dxa"/>
                  <w:noWrap w:val="0"/>
                  <w:vAlign w:val="center"/>
                </w:tcPr>
                <w:p w14:paraId="409C10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w:t>
                  </w:r>
                </w:p>
              </w:tc>
            </w:tr>
            <w:tr w14:paraId="5009421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073251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1977B5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0BEDF0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铊及其化合物</w:t>
                  </w:r>
                </w:p>
              </w:tc>
              <w:tc>
                <w:tcPr>
                  <w:tcW w:w="677" w:type="dxa"/>
                  <w:shd w:val="clear" w:color="auto" w:fill="auto"/>
                  <w:noWrap w:val="0"/>
                  <w:vAlign w:val="center"/>
                </w:tcPr>
                <w:p w14:paraId="6A53B8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403BEA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1.12E-05</w:t>
                  </w:r>
                </w:p>
              </w:tc>
              <w:tc>
                <w:tcPr>
                  <w:tcW w:w="717" w:type="dxa"/>
                  <w:noWrap w:val="0"/>
                  <w:vAlign w:val="center"/>
                </w:tcPr>
                <w:p w14:paraId="2F6E49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8.03E-05</w:t>
                  </w:r>
                </w:p>
              </w:tc>
              <w:tc>
                <w:tcPr>
                  <w:tcW w:w="494" w:type="dxa"/>
                  <w:vMerge w:val="continue"/>
                  <w:shd w:val="clear" w:color="auto" w:fill="auto"/>
                  <w:noWrap w:val="0"/>
                  <w:vAlign w:val="center"/>
                </w:tcPr>
                <w:p w14:paraId="4FA8AA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ascii="Times New Roman" w:hAnsi="Times New Roman" w:eastAsia="宋体" w:cs="Times New Roman"/>
                      <w:color w:val="FF0000"/>
                      <w:kern w:val="2"/>
                      <w:sz w:val="18"/>
                      <w:szCs w:val="18"/>
                      <w:highlight w:val="none"/>
                      <w:lang w:val="en-US" w:eastAsia="zh-CN" w:bidi="ar-SA"/>
                    </w:rPr>
                  </w:pPr>
                </w:p>
              </w:tc>
              <w:tc>
                <w:tcPr>
                  <w:tcW w:w="410" w:type="dxa"/>
                  <w:vMerge w:val="continue"/>
                  <w:shd w:val="clear" w:color="auto" w:fill="auto"/>
                  <w:noWrap w:val="0"/>
                  <w:vAlign w:val="center"/>
                </w:tcPr>
                <w:p w14:paraId="32B35E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ascii="Times New Roman" w:hAnsi="Times New Roman" w:eastAsia="宋体" w:cs="Times New Roman"/>
                      <w:color w:val="FF0000"/>
                      <w:kern w:val="2"/>
                      <w:sz w:val="18"/>
                      <w:szCs w:val="18"/>
                      <w:highlight w:val="none"/>
                      <w:lang w:val="en-US" w:eastAsia="zh-CN" w:bidi="ar-SA"/>
                    </w:rPr>
                  </w:pPr>
                </w:p>
              </w:tc>
              <w:tc>
                <w:tcPr>
                  <w:tcW w:w="478" w:type="dxa"/>
                  <w:vMerge w:val="continue"/>
                  <w:noWrap w:val="0"/>
                  <w:vAlign w:val="center"/>
                </w:tcPr>
                <w:p w14:paraId="6A7EFB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2" w:type="dxa"/>
                  <w:vMerge w:val="continue"/>
                  <w:noWrap w:val="0"/>
                  <w:vAlign w:val="center"/>
                </w:tcPr>
                <w:p w14:paraId="63B71B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47" w:type="dxa"/>
                  <w:vMerge w:val="continue"/>
                  <w:noWrap w:val="0"/>
                  <w:vAlign w:val="center"/>
                </w:tcPr>
                <w:p w14:paraId="28C0E0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603" w:type="dxa"/>
                  <w:shd w:val="clear" w:color="auto" w:fill="auto"/>
                  <w:noWrap w:val="0"/>
                  <w:vAlign w:val="center"/>
                </w:tcPr>
                <w:p w14:paraId="42C87F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FF0000"/>
                      <w:sz w:val="18"/>
                      <w:szCs w:val="18"/>
                      <w:highlight w:val="none"/>
                      <w:lang w:val="en-US" w:eastAsia="zh-CN"/>
                    </w:rPr>
                  </w:pPr>
                  <w:r>
                    <w:rPr>
                      <w:rFonts w:hint="default"/>
                      <w:color w:val="FF0000"/>
                      <w:sz w:val="18"/>
                      <w:szCs w:val="18"/>
                      <w:highlight w:val="none"/>
                      <w:lang w:val="en-US" w:eastAsia="zh-CN"/>
                    </w:rPr>
                    <w:t>/</w:t>
                  </w:r>
                </w:p>
              </w:tc>
              <w:tc>
                <w:tcPr>
                  <w:tcW w:w="795" w:type="dxa"/>
                  <w:noWrap w:val="0"/>
                  <w:vAlign w:val="center"/>
                </w:tcPr>
                <w:p w14:paraId="69838A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1.16E-06</w:t>
                  </w:r>
                </w:p>
              </w:tc>
              <w:tc>
                <w:tcPr>
                  <w:tcW w:w="731" w:type="dxa"/>
                  <w:noWrap w:val="0"/>
                  <w:vAlign w:val="center"/>
                </w:tcPr>
                <w:p w14:paraId="39C88A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8.35E-06</w:t>
                  </w:r>
                </w:p>
              </w:tc>
              <w:tc>
                <w:tcPr>
                  <w:tcW w:w="788" w:type="dxa"/>
                  <w:vMerge w:val="continue"/>
                  <w:noWrap w:val="0"/>
                  <w:vAlign w:val="center"/>
                </w:tcPr>
                <w:p w14:paraId="197304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p>
              </w:tc>
              <w:tc>
                <w:tcPr>
                  <w:tcW w:w="300" w:type="dxa"/>
                  <w:vMerge w:val="continue"/>
                  <w:shd w:val="clear" w:color="auto" w:fill="auto"/>
                  <w:noWrap w:val="0"/>
                  <w:vAlign w:val="center"/>
                </w:tcPr>
                <w:p w14:paraId="09ECF7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423" w:type="dxa"/>
                  <w:vMerge w:val="continue"/>
                  <w:shd w:val="clear" w:color="auto" w:fill="auto"/>
                  <w:noWrap w:val="0"/>
                  <w:vAlign w:val="center"/>
                </w:tcPr>
                <w:p w14:paraId="787445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300" w:type="dxa"/>
                  <w:vMerge w:val="continue"/>
                  <w:shd w:val="clear" w:color="auto" w:fill="auto"/>
                  <w:noWrap w:val="0"/>
                  <w:vAlign w:val="center"/>
                </w:tcPr>
                <w:p w14:paraId="0E12D2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409" w:type="dxa"/>
                  <w:vMerge w:val="continue"/>
                  <w:shd w:val="clear" w:color="auto" w:fill="auto"/>
                  <w:noWrap w:val="0"/>
                  <w:vAlign w:val="center"/>
                </w:tcPr>
                <w:p w14:paraId="50CECA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1486" w:type="dxa"/>
                  <w:vMerge w:val="continue"/>
                  <w:shd w:val="clear" w:color="auto" w:fill="auto"/>
                  <w:noWrap w:val="0"/>
                  <w:vAlign w:val="center"/>
                </w:tcPr>
                <w:p w14:paraId="7808E2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835" w:type="dxa"/>
                  <w:shd w:val="clear" w:color="auto" w:fill="auto"/>
                  <w:noWrap w:val="0"/>
                  <w:vAlign w:val="center"/>
                </w:tcPr>
                <w:p w14:paraId="6B9AE1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0.001</w:t>
                  </w:r>
                </w:p>
              </w:tc>
            </w:tr>
            <w:tr w14:paraId="6DC34CF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20ADCD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2BE079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77A49C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氟化物</w:t>
                  </w:r>
                </w:p>
              </w:tc>
              <w:tc>
                <w:tcPr>
                  <w:tcW w:w="677" w:type="dxa"/>
                  <w:shd w:val="clear" w:color="auto" w:fill="auto"/>
                  <w:noWrap w:val="0"/>
                  <w:vAlign w:val="center"/>
                </w:tcPr>
                <w:p w14:paraId="0B87BF2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1735FF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0.022</w:t>
                  </w:r>
                </w:p>
              </w:tc>
              <w:tc>
                <w:tcPr>
                  <w:tcW w:w="717" w:type="dxa"/>
                  <w:noWrap w:val="0"/>
                  <w:vAlign w:val="center"/>
                </w:tcPr>
                <w:p w14:paraId="6204E4B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0.161</w:t>
                  </w:r>
                </w:p>
              </w:tc>
              <w:tc>
                <w:tcPr>
                  <w:tcW w:w="494" w:type="dxa"/>
                  <w:vMerge w:val="continue"/>
                  <w:shd w:val="clear" w:color="auto" w:fill="auto"/>
                  <w:noWrap w:val="0"/>
                  <w:vAlign w:val="center"/>
                </w:tcPr>
                <w:p w14:paraId="4A9DA3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ascii="Times New Roman" w:hAnsi="Times New Roman" w:eastAsia="宋体" w:cs="Times New Roman"/>
                      <w:color w:val="FF0000"/>
                      <w:kern w:val="2"/>
                      <w:sz w:val="18"/>
                      <w:szCs w:val="18"/>
                      <w:highlight w:val="none"/>
                      <w:lang w:val="en-US" w:eastAsia="zh-CN" w:bidi="ar-SA"/>
                    </w:rPr>
                  </w:pPr>
                </w:p>
              </w:tc>
              <w:tc>
                <w:tcPr>
                  <w:tcW w:w="410" w:type="dxa"/>
                  <w:vMerge w:val="continue"/>
                  <w:shd w:val="clear" w:color="auto" w:fill="auto"/>
                  <w:noWrap w:val="0"/>
                  <w:vAlign w:val="center"/>
                </w:tcPr>
                <w:p w14:paraId="3A6468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ascii="Times New Roman" w:hAnsi="Times New Roman" w:eastAsia="宋体" w:cs="Times New Roman"/>
                      <w:color w:val="FF0000"/>
                      <w:kern w:val="2"/>
                      <w:sz w:val="18"/>
                      <w:szCs w:val="18"/>
                      <w:highlight w:val="none"/>
                      <w:lang w:val="en-US" w:eastAsia="zh-CN" w:bidi="ar-SA"/>
                    </w:rPr>
                  </w:pPr>
                </w:p>
              </w:tc>
              <w:tc>
                <w:tcPr>
                  <w:tcW w:w="478" w:type="dxa"/>
                  <w:vMerge w:val="continue"/>
                  <w:noWrap w:val="0"/>
                  <w:vAlign w:val="center"/>
                </w:tcPr>
                <w:p w14:paraId="32F73D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2" w:type="dxa"/>
                  <w:vMerge w:val="continue"/>
                  <w:noWrap w:val="0"/>
                  <w:vAlign w:val="center"/>
                </w:tcPr>
                <w:p w14:paraId="55B2059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47" w:type="dxa"/>
                  <w:vMerge w:val="continue"/>
                  <w:noWrap w:val="0"/>
                  <w:vAlign w:val="center"/>
                </w:tcPr>
                <w:p w14:paraId="1C1C78D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603" w:type="dxa"/>
                  <w:shd w:val="clear" w:color="auto" w:fill="auto"/>
                  <w:noWrap w:val="0"/>
                  <w:vAlign w:val="center"/>
                </w:tcPr>
                <w:p w14:paraId="7F1608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FF0000"/>
                      <w:sz w:val="18"/>
                      <w:szCs w:val="18"/>
                      <w:highlight w:val="none"/>
                      <w:lang w:val="en-US" w:eastAsia="zh-CN"/>
                    </w:rPr>
                  </w:pPr>
                  <w:r>
                    <w:rPr>
                      <w:rFonts w:hint="default"/>
                      <w:color w:val="FF0000"/>
                      <w:sz w:val="18"/>
                      <w:szCs w:val="18"/>
                      <w:highlight w:val="none"/>
                      <w:lang w:val="en-US" w:eastAsia="zh-CN"/>
                    </w:rPr>
                    <w:t>/</w:t>
                  </w:r>
                </w:p>
              </w:tc>
              <w:tc>
                <w:tcPr>
                  <w:tcW w:w="795" w:type="dxa"/>
                  <w:noWrap w:val="0"/>
                  <w:vAlign w:val="center"/>
                </w:tcPr>
                <w:p w14:paraId="768E07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0.0023</w:t>
                  </w:r>
                </w:p>
              </w:tc>
              <w:tc>
                <w:tcPr>
                  <w:tcW w:w="731" w:type="dxa"/>
                  <w:noWrap w:val="0"/>
                  <w:vAlign w:val="center"/>
                </w:tcPr>
                <w:p w14:paraId="48873D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0.0167</w:t>
                  </w:r>
                </w:p>
              </w:tc>
              <w:tc>
                <w:tcPr>
                  <w:tcW w:w="788" w:type="dxa"/>
                  <w:vMerge w:val="continue"/>
                  <w:noWrap w:val="0"/>
                  <w:vAlign w:val="center"/>
                </w:tcPr>
                <w:p w14:paraId="67A20B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sz w:val="18"/>
                      <w:szCs w:val="18"/>
                      <w:highlight w:val="none"/>
                      <w:lang w:val="en-US" w:eastAsia="zh-CN"/>
                    </w:rPr>
                  </w:pPr>
                </w:p>
              </w:tc>
              <w:tc>
                <w:tcPr>
                  <w:tcW w:w="300" w:type="dxa"/>
                  <w:vMerge w:val="continue"/>
                  <w:shd w:val="clear" w:color="auto" w:fill="auto"/>
                  <w:noWrap w:val="0"/>
                  <w:vAlign w:val="center"/>
                </w:tcPr>
                <w:p w14:paraId="7FCBFE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423" w:type="dxa"/>
                  <w:vMerge w:val="continue"/>
                  <w:shd w:val="clear" w:color="auto" w:fill="auto"/>
                  <w:noWrap w:val="0"/>
                  <w:vAlign w:val="center"/>
                </w:tcPr>
                <w:p w14:paraId="3CB36F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300" w:type="dxa"/>
                  <w:vMerge w:val="continue"/>
                  <w:shd w:val="clear" w:color="auto" w:fill="auto"/>
                  <w:noWrap w:val="0"/>
                  <w:vAlign w:val="center"/>
                </w:tcPr>
                <w:p w14:paraId="739D9B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409" w:type="dxa"/>
                  <w:vMerge w:val="continue"/>
                  <w:shd w:val="clear" w:color="auto" w:fill="auto"/>
                  <w:noWrap w:val="0"/>
                  <w:vAlign w:val="center"/>
                </w:tcPr>
                <w:p w14:paraId="150739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1486" w:type="dxa"/>
                  <w:vMerge w:val="continue"/>
                  <w:shd w:val="clear" w:color="auto" w:fill="auto"/>
                  <w:noWrap w:val="0"/>
                  <w:vAlign w:val="center"/>
                </w:tcPr>
                <w:p w14:paraId="740BDF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default"/>
                      <w:color w:val="FF0000"/>
                      <w:sz w:val="18"/>
                      <w:szCs w:val="18"/>
                      <w:highlight w:val="none"/>
                      <w:lang w:val="en-US" w:eastAsia="zh-CN"/>
                    </w:rPr>
                  </w:pPr>
                </w:p>
              </w:tc>
              <w:tc>
                <w:tcPr>
                  <w:tcW w:w="835" w:type="dxa"/>
                  <w:shd w:val="clear" w:color="auto" w:fill="auto"/>
                  <w:noWrap w:val="0"/>
                  <w:vAlign w:val="center"/>
                </w:tcPr>
                <w:p w14:paraId="7C079D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0.02</w:t>
                  </w:r>
                </w:p>
              </w:tc>
            </w:tr>
            <w:tr w14:paraId="55BCF5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6373AE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FF0000"/>
                      <w:sz w:val="18"/>
                      <w:szCs w:val="18"/>
                      <w:highlight w:val="none"/>
                      <w:lang w:val="en-US" w:eastAsia="zh-CN"/>
                    </w:rPr>
                    <w:t>投料及转运粉尘</w:t>
                  </w:r>
                </w:p>
              </w:tc>
              <w:tc>
                <w:tcPr>
                  <w:tcW w:w="326" w:type="dxa"/>
                  <w:vMerge w:val="continue"/>
                  <w:noWrap w:val="0"/>
                  <w:vAlign w:val="center"/>
                </w:tcPr>
                <w:p w14:paraId="3F90D3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42DA5F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lang w:val="en-US" w:eastAsia="zh-CN"/>
                    </w:rPr>
                    <w:t>颗粒物</w:t>
                  </w:r>
                </w:p>
              </w:tc>
              <w:tc>
                <w:tcPr>
                  <w:tcW w:w="677" w:type="dxa"/>
                  <w:shd w:val="clear" w:color="auto" w:fill="auto"/>
                  <w:noWrap w:val="0"/>
                  <w:vAlign w:val="center"/>
                </w:tcPr>
                <w:p w14:paraId="56E892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3A42AC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0.342</w:t>
                  </w:r>
                </w:p>
              </w:tc>
              <w:tc>
                <w:tcPr>
                  <w:tcW w:w="717" w:type="dxa"/>
                  <w:noWrap w:val="0"/>
                  <w:vAlign w:val="center"/>
                </w:tcPr>
                <w:p w14:paraId="74752F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2.465</w:t>
                  </w:r>
                </w:p>
              </w:tc>
              <w:tc>
                <w:tcPr>
                  <w:tcW w:w="494" w:type="dxa"/>
                  <w:vMerge w:val="restart"/>
                  <w:shd w:val="clear" w:color="auto" w:fill="auto"/>
                  <w:noWrap w:val="0"/>
                  <w:vAlign w:val="center"/>
                </w:tcPr>
                <w:p w14:paraId="19FC54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10" w:type="dxa"/>
                  <w:vMerge w:val="restart"/>
                  <w:shd w:val="clear" w:color="auto" w:fill="auto"/>
                  <w:noWrap w:val="0"/>
                  <w:vAlign w:val="center"/>
                </w:tcPr>
                <w:p w14:paraId="237EC7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78" w:type="dxa"/>
                  <w:vMerge w:val="restart"/>
                  <w:noWrap w:val="0"/>
                  <w:vAlign w:val="center"/>
                </w:tcPr>
                <w:p w14:paraId="0A7839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89.6</w:t>
                  </w:r>
                </w:p>
              </w:tc>
              <w:tc>
                <w:tcPr>
                  <w:tcW w:w="422" w:type="dxa"/>
                  <w:vMerge w:val="continue"/>
                  <w:noWrap w:val="0"/>
                  <w:vAlign w:val="center"/>
                </w:tcPr>
                <w:p w14:paraId="44E8D4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847" w:type="dxa"/>
                  <w:vMerge w:val="restart"/>
                  <w:noWrap w:val="0"/>
                  <w:vAlign w:val="center"/>
                </w:tcPr>
                <w:p w14:paraId="460403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沉降+洒水</w:t>
                  </w:r>
                </w:p>
              </w:tc>
              <w:tc>
                <w:tcPr>
                  <w:tcW w:w="603" w:type="dxa"/>
                  <w:shd w:val="clear" w:color="auto" w:fill="auto"/>
                  <w:noWrap w:val="0"/>
                  <w:vAlign w:val="center"/>
                </w:tcPr>
                <w:p w14:paraId="59E62D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557391E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0.036</w:t>
                  </w:r>
                </w:p>
              </w:tc>
              <w:tc>
                <w:tcPr>
                  <w:tcW w:w="731" w:type="dxa"/>
                  <w:noWrap w:val="0"/>
                  <w:vAlign w:val="center"/>
                </w:tcPr>
                <w:p w14:paraId="40CC7B6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0.2563</w:t>
                  </w:r>
                </w:p>
              </w:tc>
              <w:tc>
                <w:tcPr>
                  <w:tcW w:w="788" w:type="dxa"/>
                  <w:vMerge w:val="restart"/>
                  <w:noWrap w:val="0"/>
                  <w:vAlign w:val="center"/>
                </w:tcPr>
                <w:p w14:paraId="3456AD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shd w:val="clear" w:color="auto" w:fill="auto"/>
                  <w:noWrap w:val="0"/>
                  <w:vAlign w:val="center"/>
                </w:tcPr>
                <w:p w14:paraId="7F4C014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23" w:type="dxa"/>
                  <w:vMerge w:val="restart"/>
                  <w:shd w:val="clear" w:color="auto" w:fill="auto"/>
                  <w:noWrap w:val="0"/>
                  <w:vAlign w:val="center"/>
                </w:tcPr>
                <w:p w14:paraId="79322B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shd w:val="clear" w:color="auto" w:fill="auto"/>
                  <w:noWrap w:val="0"/>
                  <w:vAlign w:val="center"/>
                </w:tcPr>
                <w:p w14:paraId="29CC4B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09" w:type="dxa"/>
                  <w:vMerge w:val="restart"/>
                  <w:shd w:val="clear" w:color="auto" w:fill="auto"/>
                  <w:noWrap w:val="0"/>
                  <w:vAlign w:val="center"/>
                </w:tcPr>
                <w:p w14:paraId="1FDCC2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1486" w:type="dxa"/>
                  <w:vMerge w:val="restart"/>
                  <w:shd w:val="clear" w:color="auto" w:fill="auto"/>
                  <w:noWrap w:val="0"/>
                  <w:vAlign w:val="center"/>
                </w:tcPr>
                <w:p w14:paraId="405921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835" w:type="dxa"/>
                  <w:shd w:val="clear" w:color="auto" w:fill="auto"/>
                  <w:noWrap w:val="0"/>
                  <w:vAlign w:val="center"/>
                </w:tcPr>
                <w:p w14:paraId="7EFD10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r>
            <w:tr w14:paraId="6D6174E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19" w:hRule="atLeast"/>
                <w:jc w:val="center"/>
              </w:trPr>
              <w:tc>
                <w:tcPr>
                  <w:tcW w:w="716" w:type="dxa"/>
                  <w:vMerge w:val="continue"/>
                  <w:noWrap w:val="0"/>
                  <w:vAlign w:val="center"/>
                </w:tcPr>
                <w:p w14:paraId="126D67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3C8E23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3B104B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rPr>
                    <w:t>铊及其化合物</w:t>
                  </w:r>
                </w:p>
              </w:tc>
              <w:tc>
                <w:tcPr>
                  <w:tcW w:w="677" w:type="dxa"/>
                  <w:shd w:val="clear" w:color="auto" w:fill="auto"/>
                  <w:noWrap w:val="0"/>
                  <w:vAlign w:val="center"/>
                </w:tcPr>
                <w:p w14:paraId="774F47E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44C48B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3.20E-06</w:t>
                  </w:r>
                </w:p>
              </w:tc>
              <w:tc>
                <w:tcPr>
                  <w:tcW w:w="717" w:type="dxa"/>
                  <w:noWrap w:val="0"/>
                  <w:vAlign w:val="center"/>
                </w:tcPr>
                <w:p w14:paraId="4DD580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2.30E-05</w:t>
                  </w:r>
                </w:p>
              </w:tc>
              <w:tc>
                <w:tcPr>
                  <w:tcW w:w="494" w:type="dxa"/>
                  <w:vMerge w:val="continue"/>
                  <w:shd w:val="clear" w:color="auto" w:fill="auto"/>
                  <w:noWrap w:val="0"/>
                  <w:vAlign w:val="center"/>
                </w:tcPr>
                <w:p w14:paraId="1FD702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color w:val="auto"/>
                      <w:sz w:val="18"/>
                      <w:szCs w:val="18"/>
                      <w:highlight w:val="none"/>
                      <w:lang w:val="en-US" w:eastAsia="zh-CN"/>
                    </w:rPr>
                  </w:pPr>
                </w:p>
              </w:tc>
              <w:tc>
                <w:tcPr>
                  <w:tcW w:w="410" w:type="dxa"/>
                  <w:vMerge w:val="continue"/>
                  <w:shd w:val="clear" w:color="auto" w:fill="auto"/>
                  <w:noWrap w:val="0"/>
                  <w:vAlign w:val="center"/>
                </w:tcPr>
                <w:p w14:paraId="5558F6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color w:val="auto"/>
                      <w:sz w:val="18"/>
                      <w:szCs w:val="18"/>
                      <w:highlight w:val="none"/>
                      <w:lang w:val="en-US" w:eastAsia="zh-CN"/>
                    </w:rPr>
                  </w:pPr>
                </w:p>
              </w:tc>
              <w:tc>
                <w:tcPr>
                  <w:tcW w:w="478" w:type="dxa"/>
                  <w:vMerge w:val="continue"/>
                  <w:noWrap w:val="0"/>
                  <w:vAlign w:val="center"/>
                </w:tcPr>
                <w:p w14:paraId="2A4DC4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422" w:type="dxa"/>
                  <w:vMerge w:val="continue"/>
                  <w:noWrap w:val="0"/>
                  <w:vAlign w:val="center"/>
                </w:tcPr>
                <w:p w14:paraId="422BA8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847" w:type="dxa"/>
                  <w:vMerge w:val="continue"/>
                  <w:noWrap w:val="0"/>
                  <w:vAlign w:val="center"/>
                </w:tcPr>
                <w:p w14:paraId="31E1B3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603" w:type="dxa"/>
                  <w:shd w:val="clear" w:color="auto" w:fill="auto"/>
                  <w:noWrap w:val="0"/>
                  <w:vAlign w:val="center"/>
                </w:tcPr>
                <w:p w14:paraId="29FB07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4250993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3.33E-07</w:t>
                  </w:r>
                </w:p>
              </w:tc>
              <w:tc>
                <w:tcPr>
                  <w:tcW w:w="731" w:type="dxa"/>
                  <w:noWrap w:val="0"/>
                  <w:vAlign w:val="center"/>
                </w:tcPr>
                <w:p w14:paraId="6307EF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2.39E-06</w:t>
                  </w:r>
                </w:p>
              </w:tc>
              <w:tc>
                <w:tcPr>
                  <w:tcW w:w="788" w:type="dxa"/>
                  <w:vMerge w:val="continue"/>
                  <w:noWrap w:val="0"/>
                  <w:vAlign w:val="center"/>
                </w:tcPr>
                <w:p w14:paraId="7DF942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4CACAD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shd w:val="clear" w:color="auto" w:fill="auto"/>
                  <w:noWrap w:val="0"/>
                  <w:vAlign w:val="center"/>
                </w:tcPr>
                <w:p w14:paraId="2CB5BB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18AF25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shd w:val="clear" w:color="auto" w:fill="auto"/>
                  <w:noWrap w:val="0"/>
                  <w:vAlign w:val="center"/>
                </w:tcPr>
                <w:p w14:paraId="2937A0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shd w:val="clear" w:color="auto" w:fill="auto"/>
                  <w:noWrap w:val="0"/>
                  <w:vAlign w:val="center"/>
                </w:tcPr>
                <w:p w14:paraId="5AB28A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shd w:val="clear" w:color="auto" w:fill="auto"/>
                  <w:noWrap w:val="0"/>
                  <w:vAlign w:val="center"/>
                </w:tcPr>
                <w:p w14:paraId="6A4F55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0.001</w:t>
                  </w:r>
                </w:p>
              </w:tc>
            </w:tr>
            <w:tr w14:paraId="5746FAE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079C2D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52A769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56C08A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rPr>
                    <w:t>氟化物</w:t>
                  </w:r>
                </w:p>
              </w:tc>
              <w:tc>
                <w:tcPr>
                  <w:tcW w:w="677" w:type="dxa"/>
                  <w:shd w:val="clear" w:color="auto" w:fill="auto"/>
                  <w:noWrap w:val="0"/>
                  <w:vAlign w:val="center"/>
                </w:tcPr>
                <w:p w14:paraId="0DBAF8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141F69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6.40E-03</w:t>
                  </w:r>
                </w:p>
              </w:tc>
              <w:tc>
                <w:tcPr>
                  <w:tcW w:w="717" w:type="dxa"/>
                  <w:noWrap w:val="0"/>
                  <w:vAlign w:val="center"/>
                </w:tcPr>
                <w:p w14:paraId="6D96DF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0.0461</w:t>
                  </w:r>
                </w:p>
              </w:tc>
              <w:tc>
                <w:tcPr>
                  <w:tcW w:w="494" w:type="dxa"/>
                  <w:vMerge w:val="continue"/>
                  <w:shd w:val="clear" w:color="auto" w:fill="auto"/>
                  <w:noWrap w:val="0"/>
                  <w:vAlign w:val="center"/>
                </w:tcPr>
                <w:p w14:paraId="4912A7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color w:val="auto"/>
                      <w:sz w:val="18"/>
                      <w:szCs w:val="18"/>
                      <w:highlight w:val="none"/>
                      <w:lang w:val="en-US" w:eastAsia="zh-CN"/>
                    </w:rPr>
                  </w:pPr>
                </w:p>
              </w:tc>
              <w:tc>
                <w:tcPr>
                  <w:tcW w:w="410" w:type="dxa"/>
                  <w:vMerge w:val="continue"/>
                  <w:shd w:val="clear" w:color="auto" w:fill="auto"/>
                  <w:noWrap w:val="0"/>
                  <w:vAlign w:val="center"/>
                </w:tcPr>
                <w:p w14:paraId="10F46D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firstLine="0" w:firstLineChars="0"/>
                    <w:jc w:val="center"/>
                    <w:textAlignment w:val="auto"/>
                    <w:rPr>
                      <w:rFonts w:hint="eastAsia"/>
                      <w:color w:val="auto"/>
                      <w:sz w:val="18"/>
                      <w:szCs w:val="18"/>
                      <w:highlight w:val="none"/>
                      <w:lang w:val="en-US" w:eastAsia="zh-CN"/>
                    </w:rPr>
                  </w:pPr>
                </w:p>
              </w:tc>
              <w:tc>
                <w:tcPr>
                  <w:tcW w:w="478" w:type="dxa"/>
                  <w:vMerge w:val="continue"/>
                  <w:noWrap w:val="0"/>
                  <w:vAlign w:val="center"/>
                </w:tcPr>
                <w:p w14:paraId="008ACA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422" w:type="dxa"/>
                  <w:vMerge w:val="continue"/>
                  <w:noWrap w:val="0"/>
                  <w:vAlign w:val="center"/>
                </w:tcPr>
                <w:p w14:paraId="33F85A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847" w:type="dxa"/>
                  <w:vMerge w:val="continue"/>
                  <w:noWrap w:val="0"/>
                  <w:vAlign w:val="center"/>
                </w:tcPr>
                <w:p w14:paraId="3210CB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auto"/>
                      <w:sz w:val="18"/>
                      <w:szCs w:val="18"/>
                      <w:highlight w:val="none"/>
                      <w:lang w:val="en-US" w:eastAsia="zh-CN"/>
                    </w:rPr>
                  </w:pPr>
                </w:p>
              </w:tc>
              <w:tc>
                <w:tcPr>
                  <w:tcW w:w="603" w:type="dxa"/>
                  <w:shd w:val="clear" w:color="auto" w:fill="auto"/>
                  <w:noWrap w:val="0"/>
                  <w:vAlign w:val="center"/>
                </w:tcPr>
                <w:p w14:paraId="420E01D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72A231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6.66E-04</w:t>
                  </w:r>
                </w:p>
              </w:tc>
              <w:tc>
                <w:tcPr>
                  <w:tcW w:w="731" w:type="dxa"/>
                  <w:noWrap w:val="0"/>
                  <w:vAlign w:val="center"/>
                </w:tcPr>
                <w:p w14:paraId="31E62C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sz w:val="18"/>
                      <w:szCs w:val="18"/>
                      <w:highlight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0.0048</w:t>
                  </w:r>
                </w:p>
              </w:tc>
              <w:tc>
                <w:tcPr>
                  <w:tcW w:w="788" w:type="dxa"/>
                  <w:vMerge w:val="continue"/>
                  <w:noWrap w:val="0"/>
                  <w:vAlign w:val="center"/>
                </w:tcPr>
                <w:p w14:paraId="7386E0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0BBE52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shd w:val="clear" w:color="auto" w:fill="auto"/>
                  <w:noWrap w:val="0"/>
                  <w:vAlign w:val="center"/>
                </w:tcPr>
                <w:p w14:paraId="1E413C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221CA4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shd w:val="clear" w:color="auto" w:fill="auto"/>
                  <w:noWrap w:val="0"/>
                  <w:vAlign w:val="center"/>
                </w:tcPr>
                <w:p w14:paraId="6FC243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shd w:val="clear" w:color="auto" w:fill="auto"/>
                  <w:noWrap w:val="0"/>
                  <w:vAlign w:val="center"/>
                </w:tcPr>
                <w:p w14:paraId="5FD282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shd w:val="clear" w:color="auto" w:fill="auto"/>
                  <w:noWrap w:val="0"/>
                  <w:vAlign w:val="center"/>
                </w:tcPr>
                <w:p w14:paraId="556277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0.02</w:t>
                  </w:r>
                </w:p>
              </w:tc>
            </w:tr>
            <w:tr w14:paraId="4FD801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4DF242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筒仓粉尘</w:t>
                  </w:r>
                </w:p>
              </w:tc>
              <w:tc>
                <w:tcPr>
                  <w:tcW w:w="326" w:type="dxa"/>
                  <w:vMerge w:val="continue"/>
                  <w:noWrap w:val="0"/>
                  <w:vAlign w:val="center"/>
                </w:tcPr>
                <w:p w14:paraId="65F477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7D37AC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lang w:val="en-US" w:eastAsia="zh-CN"/>
                    </w:rPr>
                    <w:t>颗粒物</w:t>
                  </w:r>
                </w:p>
              </w:tc>
              <w:tc>
                <w:tcPr>
                  <w:tcW w:w="677" w:type="dxa"/>
                  <w:shd w:val="clear" w:color="auto" w:fill="auto"/>
                  <w:noWrap w:val="0"/>
                  <w:vAlign w:val="center"/>
                </w:tcPr>
                <w:p w14:paraId="7FC225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555121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4.17</w:t>
                  </w:r>
                </w:p>
              </w:tc>
              <w:tc>
                <w:tcPr>
                  <w:tcW w:w="717" w:type="dxa"/>
                  <w:noWrap w:val="0"/>
                  <w:vAlign w:val="center"/>
                </w:tcPr>
                <w:p w14:paraId="66FDAD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30</w:t>
                  </w:r>
                </w:p>
              </w:tc>
              <w:tc>
                <w:tcPr>
                  <w:tcW w:w="494" w:type="dxa"/>
                  <w:vMerge w:val="restart"/>
                  <w:shd w:val="clear" w:color="auto" w:fill="auto"/>
                  <w:noWrap w:val="0"/>
                  <w:vAlign w:val="center"/>
                </w:tcPr>
                <w:p w14:paraId="6C78AC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10" w:type="dxa"/>
                  <w:vMerge w:val="restart"/>
                  <w:shd w:val="clear" w:color="auto" w:fill="auto"/>
                  <w:noWrap w:val="0"/>
                  <w:vAlign w:val="center"/>
                </w:tcPr>
                <w:p w14:paraId="23F549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sz w:val="18"/>
                      <w:szCs w:val="18"/>
                      <w:highlight w:val="none"/>
                      <w:lang w:val="en-US" w:eastAsia="zh-CN"/>
                    </w:rPr>
                  </w:pPr>
                  <w:r>
                    <w:rPr>
                      <w:rFonts w:hint="eastAsia"/>
                      <w:color w:val="auto"/>
                      <w:sz w:val="18"/>
                      <w:szCs w:val="18"/>
                      <w:highlight w:val="none"/>
                      <w:lang w:val="en-US" w:eastAsia="zh-CN"/>
                    </w:rPr>
                    <w:t>/</w:t>
                  </w:r>
                </w:p>
              </w:tc>
              <w:tc>
                <w:tcPr>
                  <w:tcW w:w="478" w:type="dxa"/>
                  <w:vMerge w:val="restart"/>
                  <w:noWrap w:val="0"/>
                  <w:vAlign w:val="center"/>
                </w:tcPr>
                <w:p w14:paraId="5F8EAA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highlight w:val="none"/>
                      <w:lang w:val="en-US" w:eastAsia="zh-CN"/>
                    </w:rPr>
                    <w:t>99.7</w:t>
                  </w:r>
                </w:p>
              </w:tc>
              <w:tc>
                <w:tcPr>
                  <w:tcW w:w="422" w:type="dxa"/>
                  <w:vMerge w:val="continue"/>
                  <w:noWrap w:val="0"/>
                  <w:vAlign w:val="center"/>
                </w:tcPr>
                <w:p w14:paraId="25DFC9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restart"/>
                  <w:noWrap w:val="0"/>
                  <w:vAlign w:val="center"/>
                </w:tcPr>
                <w:p w14:paraId="01F14C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r>
                    <w:rPr>
                      <w:rFonts w:hint="eastAsia"/>
                      <w:color w:val="auto"/>
                      <w:sz w:val="18"/>
                      <w:szCs w:val="18"/>
                      <w:highlight w:val="none"/>
                      <w:lang w:val="en-US" w:eastAsia="zh-CN"/>
                    </w:rPr>
                    <w:t>沉降+洒水</w:t>
                  </w:r>
                </w:p>
              </w:tc>
              <w:tc>
                <w:tcPr>
                  <w:tcW w:w="603" w:type="dxa"/>
                  <w:shd w:val="clear" w:color="auto" w:fill="auto"/>
                  <w:noWrap w:val="0"/>
                  <w:vAlign w:val="center"/>
                </w:tcPr>
                <w:p w14:paraId="4A09BD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095442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0.0125</w:t>
                  </w:r>
                </w:p>
              </w:tc>
              <w:tc>
                <w:tcPr>
                  <w:tcW w:w="731" w:type="dxa"/>
                  <w:noWrap w:val="0"/>
                  <w:vAlign w:val="center"/>
                </w:tcPr>
                <w:p w14:paraId="647000F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0.09</w:t>
                  </w:r>
                </w:p>
              </w:tc>
              <w:tc>
                <w:tcPr>
                  <w:tcW w:w="788" w:type="dxa"/>
                  <w:vMerge w:val="restart"/>
                  <w:noWrap w:val="0"/>
                  <w:vAlign w:val="center"/>
                </w:tcPr>
                <w:p w14:paraId="68974A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shd w:val="clear" w:color="auto" w:fill="auto"/>
                  <w:noWrap w:val="0"/>
                  <w:vAlign w:val="center"/>
                </w:tcPr>
                <w:p w14:paraId="2E0EB4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23" w:type="dxa"/>
                  <w:vMerge w:val="restart"/>
                  <w:shd w:val="clear" w:color="auto" w:fill="auto"/>
                  <w:noWrap w:val="0"/>
                  <w:vAlign w:val="center"/>
                </w:tcPr>
                <w:p w14:paraId="6F8B30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shd w:val="clear" w:color="auto" w:fill="auto"/>
                  <w:noWrap w:val="0"/>
                  <w:vAlign w:val="center"/>
                </w:tcPr>
                <w:p w14:paraId="630811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09" w:type="dxa"/>
                  <w:vMerge w:val="restart"/>
                  <w:shd w:val="clear" w:color="auto" w:fill="auto"/>
                  <w:noWrap w:val="0"/>
                  <w:vAlign w:val="center"/>
                </w:tcPr>
                <w:p w14:paraId="1A73516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1486" w:type="dxa"/>
                  <w:vMerge w:val="restart"/>
                  <w:shd w:val="clear" w:color="auto" w:fill="auto"/>
                  <w:noWrap w:val="0"/>
                  <w:vAlign w:val="center"/>
                </w:tcPr>
                <w:p w14:paraId="065162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835" w:type="dxa"/>
                  <w:shd w:val="clear" w:color="auto" w:fill="auto"/>
                  <w:noWrap w:val="0"/>
                  <w:vAlign w:val="center"/>
                </w:tcPr>
                <w:p w14:paraId="43CC56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r>
            <w:tr w14:paraId="5CFDFD8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66CB1F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6F3242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7EEA69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rPr>
                    <w:t>铊及其化合物</w:t>
                  </w:r>
                </w:p>
              </w:tc>
              <w:tc>
                <w:tcPr>
                  <w:tcW w:w="677" w:type="dxa"/>
                  <w:shd w:val="clear" w:color="auto" w:fill="auto"/>
                  <w:noWrap w:val="0"/>
                  <w:vAlign w:val="center"/>
                </w:tcPr>
                <w:p w14:paraId="2176D3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40E6ABE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3.89E-05</w:t>
                  </w:r>
                </w:p>
              </w:tc>
              <w:tc>
                <w:tcPr>
                  <w:tcW w:w="717" w:type="dxa"/>
                  <w:noWrap w:val="0"/>
                  <w:vAlign w:val="center"/>
                </w:tcPr>
                <w:p w14:paraId="4655B1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2.80E-04</w:t>
                  </w:r>
                </w:p>
              </w:tc>
              <w:tc>
                <w:tcPr>
                  <w:tcW w:w="494" w:type="dxa"/>
                  <w:vMerge w:val="continue"/>
                  <w:shd w:val="clear" w:color="auto" w:fill="auto"/>
                  <w:noWrap w:val="0"/>
                  <w:vAlign w:val="center"/>
                </w:tcPr>
                <w:p w14:paraId="66866A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410" w:type="dxa"/>
                  <w:vMerge w:val="continue"/>
                  <w:shd w:val="clear" w:color="auto" w:fill="auto"/>
                  <w:noWrap w:val="0"/>
                  <w:vAlign w:val="center"/>
                </w:tcPr>
                <w:p w14:paraId="0E0AA3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478" w:type="dxa"/>
                  <w:vMerge w:val="continue"/>
                  <w:noWrap w:val="0"/>
                  <w:vAlign w:val="center"/>
                </w:tcPr>
                <w:p w14:paraId="4D3DB5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64FC7C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4DC7A4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0026C2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36B23C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1.1675E-07</w:t>
                  </w:r>
                </w:p>
              </w:tc>
              <w:tc>
                <w:tcPr>
                  <w:tcW w:w="731" w:type="dxa"/>
                  <w:noWrap w:val="0"/>
                  <w:vAlign w:val="center"/>
                </w:tcPr>
                <w:p w14:paraId="1EE8B6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8.41E-07</w:t>
                  </w:r>
                </w:p>
              </w:tc>
              <w:tc>
                <w:tcPr>
                  <w:tcW w:w="788" w:type="dxa"/>
                  <w:vMerge w:val="continue"/>
                  <w:noWrap w:val="0"/>
                  <w:vAlign w:val="center"/>
                </w:tcPr>
                <w:p w14:paraId="5F4C9D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24CDAC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shd w:val="clear" w:color="auto" w:fill="auto"/>
                  <w:noWrap w:val="0"/>
                  <w:vAlign w:val="center"/>
                </w:tcPr>
                <w:p w14:paraId="158925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48F5DA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shd w:val="clear" w:color="auto" w:fill="auto"/>
                  <w:noWrap w:val="0"/>
                  <w:vAlign w:val="center"/>
                </w:tcPr>
                <w:p w14:paraId="2172B0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shd w:val="clear" w:color="auto" w:fill="auto"/>
                  <w:noWrap w:val="0"/>
                  <w:vAlign w:val="center"/>
                </w:tcPr>
                <w:p w14:paraId="7BAF88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shd w:val="clear" w:color="auto" w:fill="auto"/>
                  <w:noWrap w:val="0"/>
                  <w:vAlign w:val="center"/>
                </w:tcPr>
                <w:p w14:paraId="5B3595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0.001</w:t>
                  </w:r>
                </w:p>
              </w:tc>
            </w:tr>
            <w:tr w14:paraId="53D9EA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05F989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326" w:type="dxa"/>
                  <w:vMerge w:val="continue"/>
                  <w:noWrap w:val="0"/>
                  <w:vAlign w:val="center"/>
                </w:tcPr>
                <w:p w14:paraId="67D7B1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1061" w:type="dxa"/>
                  <w:shd w:val="clear" w:color="auto" w:fill="auto"/>
                  <w:noWrap w:val="0"/>
                  <w:vAlign w:val="center"/>
                </w:tcPr>
                <w:p w14:paraId="442544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rPr>
                  </w:pPr>
                  <w:r>
                    <w:rPr>
                      <w:rFonts w:hint="eastAsia"/>
                      <w:color w:val="auto"/>
                      <w:sz w:val="18"/>
                      <w:szCs w:val="18"/>
                      <w:highlight w:val="none"/>
                    </w:rPr>
                    <w:t>氟化物</w:t>
                  </w:r>
                </w:p>
              </w:tc>
              <w:tc>
                <w:tcPr>
                  <w:tcW w:w="677" w:type="dxa"/>
                  <w:shd w:val="clear" w:color="auto" w:fill="auto"/>
                  <w:noWrap w:val="0"/>
                  <w:vAlign w:val="center"/>
                </w:tcPr>
                <w:p w14:paraId="326F05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78280D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0.078</w:t>
                  </w:r>
                </w:p>
              </w:tc>
              <w:tc>
                <w:tcPr>
                  <w:tcW w:w="717" w:type="dxa"/>
                  <w:noWrap w:val="0"/>
                  <w:vAlign w:val="center"/>
                </w:tcPr>
                <w:p w14:paraId="145115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0.561</w:t>
                  </w:r>
                </w:p>
              </w:tc>
              <w:tc>
                <w:tcPr>
                  <w:tcW w:w="494" w:type="dxa"/>
                  <w:vMerge w:val="continue"/>
                  <w:shd w:val="clear" w:color="auto" w:fill="auto"/>
                  <w:noWrap w:val="0"/>
                  <w:vAlign w:val="center"/>
                </w:tcPr>
                <w:p w14:paraId="155F2F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410" w:type="dxa"/>
                  <w:vMerge w:val="continue"/>
                  <w:shd w:val="clear" w:color="auto" w:fill="auto"/>
                  <w:noWrap w:val="0"/>
                  <w:vAlign w:val="center"/>
                </w:tcPr>
                <w:p w14:paraId="5E4492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p>
              </w:tc>
              <w:tc>
                <w:tcPr>
                  <w:tcW w:w="478" w:type="dxa"/>
                  <w:vMerge w:val="continue"/>
                  <w:noWrap w:val="0"/>
                  <w:vAlign w:val="center"/>
                </w:tcPr>
                <w:p w14:paraId="65BA11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6B82B4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847" w:type="dxa"/>
                  <w:vMerge w:val="continue"/>
                  <w:noWrap w:val="0"/>
                  <w:vAlign w:val="center"/>
                </w:tcPr>
                <w:p w14:paraId="679567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1F04167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0813141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2.34E-04</w:t>
                  </w:r>
                </w:p>
              </w:tc>
              <w:tc>
                <w:tcPr>
                  <w:tcW w:w="731" w:type="dxa"/>
                  <w:noWrap w:val="0"/>
                  <w:vAlign w:val="center"/>
                </w:tcPr>
                <w:p w14:paraId="23DCE3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0.0017</w:t>
                  </w:r>
                </w:p>
              </w:tc>
              <w:tc>
                <w:tcPr>
                  <w:tcW w:w="788" w:type="dxa"/>
                  <w:vMerge w:val="continue"/>
                  <w:noWrap w:val="0"/>
                  <w:vAlign w:val="center"/>
                </w:tcPr>
                <w:p w14:paraId="0EB3E8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7691C2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23" w:type="dxa"/>
                  <w:vMerge w:val="continue"/>
                  <w:shd w:val="clear" w:color="auto" w:fill="auto"/>
                  <w:noWrap w:val="0"/>
                  <w:vAlign w:val="center"/>
                </w:tcPr>
                <w:p w14:paraId="4C45BE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300" w:type="dxa"/>
                  <w:vMerge w:val="continue"/>
                  <w:shd w:val="clear" w:color="auto" w:fill="auto"/>
                  <w:noWrap w:val="0"/>
                  <w:vAlign w:val="center"/>
                </w:tcPr>
                <w:p w14:paraId="2261DD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409" w:type="dxa"/>
                  <w:vMerge w:val="continue"/>
                  <w:shd w:val="clear" w:color="auto" w:fill="auto"/>
                  <w:noWrap w:val="0"/>
                  <w:vAlign w:val="center"/>
                </w:tcPr>
                <w:p w14:paraId="7B0DB9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1486" w:type="dxa"/>
                  <w:vMerge w:val="continue"/>
                  <w:shd w:val="clear" w:color="auto" w:fill="auto"/>
                  <w:noWrap w:val="0"/>
                  <w:vAlign w:val="center"/>
                </w:tcPr>
                <w:p w14:paraId="3E243E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firstLine="0" w:firstLineChars="0"/>
                    <w:jc w:val="center"/>
                    <w:textAlignment w:val="auto"/>
                    <w:rPr>
                      <w:rFonts w:hint="eastAsia"/>
                      <w:color w:val="FF0000"/>
                      <w:sz w:val="18"/>
                      <w:szCs w:val="18"/>
                      <w:highlight w:val="none"/>
                      <w:lang w:val="en-US" w:eastAsia="zh-CN"/>
                    </w:rPr>
                  </w:pPr>
                </w:p>
              </w:tc>
              <w:tc>
                <w:tcPr>
                  <w:tcW w:w="835" w:type="dxa"/>
                  <w:shd w:val="clear" w:color="auto" w:fill="auto"/>
                  <w:noWrap w:val="0"/>
                  <w:vAlign w:val="center"/>
                </w:tcPr>
                <w:p w14:paraId="05363A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sz w:val="18"/>
                      <w:szCs w:val="18"/>
                      <w:highlight w:val="none"/>
                      <w:lang w:val="en-US" w:eastAsia="zh-CN"/>
                    </w:rPr>
                  </w:pPr>
                  <w:r>
                    <w:rPr>
                      <w:rFonts w:hint="eastAsia"/>
                      <w:color w:val="auto"/>
                      <w:sz w:val="18"/>
                      <w:szCs w:val="18"/>
                      <w:highlight w:val="none"/>
                      <w:lang w:val="en-US" w:eastAsia="zh-CN"/>
                    </w:rPr>
                    <w:t>0.02</w:t>
                  </w:r>
                </w:p>
              </w:tc>
            </w:tr>
            <w:tr w14:paraId="1760D4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restart"/>
                  <w:noWrap w:val="0"/>
                  <w:vAlign w:val="center"/>
                </w:tcPr>
                <w:p w14:paraId="5F7D29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r>
                    <w:rPr>
                      <w:rFonts w:hint="default"/>
                      <w:color w:val="auto"/>
                      <w:sz w:val="18"/>
                      <w:szCs w:val="18"/>
                      <w:highlight w:val="none"/>
                    </w:rPr>
                    <w:t>运输</w:t>
                  </w:r>
                  <w:r>
                    <w:rPr>
                      <w:rFonts w:hint="eastAsia"/>
                      <w:color w:val="auto"/>
                      <w:sz w:val="18"/>
                      <w:szCs w:val="18"/>
                      <w:highlight w:val="none"/>
                    </w:rPr>
                    <w:t>扬尘</w:t>
                  </w:r>
                </w:p>
              </w:tc>
              <w:tc>
                <w:tcPr>
                  <w:tcW w:w="326" w:type="dxa"/>
                  <w:vMerge w:val="continue"/>
                  <w:noWrap w:val="0"/>
                  <w:vAlign w:val="center"/>
                </w:tcPr>
                <w:p w14:paraId="2E121B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1061" w:type="dxa"/>
                  <w:noWrap w:val="0"/>
                  <w:vAlign w:val="center"/>
                </w:tcPr>
                <w:p w14:paraId="177484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r>
                    <w:rPr>
                      <w:rFonts w:hint="eastAsia"/>
                      <w:color w:val="auto"/>
                      <w:sz w:val="18"/>
                      <w:szCs w:val="18"/>
                      <w:highlight w:val="none"/>
                      <w:lang w:val="en-US" w:eastAsia="zh-CN"/>
                    </w:rPr>
                    <w:t>颗粒物</w:t>
                  </w:r>
                </w:p>
              </w:tc>
              <w:tc>
                <w:tcPr>
                  <w:tcW w:w="677" w:type="dxa"/>
                  <w:noWrap w:val="0"/>
                  <w:vAlign w:val="center"/>
                </w:tcPr>
                <w:p w14:paraId="322275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777AA35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1.307</w:t>
                  </w:r>
                </w:p>
              </w:tc>
              <w:tc>
                <w:tcPr>
                  <w:tcW w:w="717" w:type="dxa"/>
                  <w:noWrap w:val="0"/>
                  <w:vAlign w:val="center"/>
                </w:tcPr>
                <w:p w14:paraId="2C509A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default"/>
                      <w:color w:val="auto"/>
                      <w:sz w:val="18"/>
                      <w:szCs w:val="18"/>
                      <w:highlight w:val="none"/>
                      <w:lang w:val="en-US" w:eastAsia="zh-CN"/>
                    </w:rPr>
                    <w:t>9.41</w:t>
                  </w:r>
                </w:p>
              </w:tc>
              <w:tc>
                <w:tcPr>
                  <w:tcW w:w="494" w:type="dxa"/>
                  <w:vMerge w:val="restart"/>
                  <w:noWrap w:val="0"/>
                  <w:vAlign w:val="center"/>
                </w:tcPr>
                <w:p w14:paraId="701108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w:t>
                  </w:r>
                </w:p>
              </w:tc>
              <w:tc>
                <w:tcPr>
                  <w:tcW w:w="410" w:type="dxa"/>
                  <w:vMerge w:val="restart"/>
                  <w:noWrap w:val="0"/>
                  <w:vAlign w:val="center"/>
                </w:tcPr>
                <w:p w14:paraId="1AE46F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hAnsi="Times New Roman" w:eastAsia="宋体" w:cs="Times New Roman"/>
                      <w:color w:val="auto"/>
                      <w:kern w:val="2"/>
                      <w:sz w:val="18"/>
                      <w:szCs w:val="18"/>
                      <w:highlight w:val="none"/>
                      <w:lang w:val="en-US" w:eastAsia="zh-CN" w:bidi="ar-SA"/>
                    </w:rPr>
                    <w:t>/</w:t>
                  </w:r>
                </w:p>
              </w:tc>
              <w:tc>
                <w:tcPr>
                  <w:tcW w:w="478" w:type="dxa"/>
                  <w:vMerge w:val="restart"/>
                  <w:noWrap w:val="0"/>
                  <w:vAlign w:val="center"/>
                </w:tcPr>
                <w:p w14:paraId="1197B2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90</w:t>
                  </w:r>
                </w:p>
              </w:tc>
              <w:tc>
                <w:tcPr>
                  <w:tcW w:w="422" w:type="dxa"/>
                  <w:vMerge w:val="continue"/>
                  <w:noWrap w:val="0"/>
                  <w:vAlign w:val="center"/>
                </w:tcPr>
                <w:p w14:paraId="03A177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847" w:type="dxa"/>
                  <w:vMerge w:val="restart"/>
                  <w:noWrap w:val="0"/>
                  <w:vAlign w:val="center"/>
                </w:tcPr>
                <w:p w14:paraId="4E2FE3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r>
                    <w:rPr>
                      <w:rFonts w:hint="default"/>
                      <w:color w:val="auto"/>
                      <w:sz w:val="18"/>
                      <w:szCs w:val="18"/>
                      <w:highlight w:val="none"/>
                    </w:rPr>
                    <w:t>清</w:t>
                  </w:r>
                  <w:r>
                    <w:rPr>
                      <w:rFonts w:hint="eastAsia"/>
                      <w:color w:val="auto"/>
                      <w:sz w:val="18"/>
                      <w:szCs w:val="18"/>
                      <w:highlight w:val="none"/>
                    </w:rPr>
                    <w:t>扫，并进行防尘洒水</w:t>
                  </w:r>
                </w:p>
              </w:tc>
              <w:tc>
                <w:tcPr>
                  <w:tcW w:w="603" w:type="dxa"/>
                  <w:noWrap w:val="0"/>
                  <w:vAlign w:val="center"/>
                </w:tcPr>
                <w:p w14:paraId="6F96BF8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rPr>
                  </w:pPr>
                  <w:r>
                    <w:rPr>
                      <w:rFonts w:hint="default"/>
                      <w:color w:val="auto"/>
                      <w:sz w:val="18"/>
                      <w:szCs w:val="18"/>
                      <w:highlight w:val="none"/>
                      <w:lang w:val="en-US" w:eastAsia="zh-CN"/>
                    </w:rPr>
                    <w:t>/</w:t>
                  </w:r>
                </w:p>
              </w:tc>
              <w:tc>
                <w:tcPr>
                  <w:tcW w:w="795" w:type="dxa"/>
                  <w:noWrap w:val="0"/>
                  <w:vAlign w:val="center"/>
                </w:tcPr>
                <w:p w14:paraId="208DEF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rPr>
                  </w:pPr>
                  <w:r>
                    <w:rPr>
                      <w:rFonts w:hint="default"/>
                      <w:color w:val="auto"/>
                      <w:sz w:val="18"/>
                      <w:szCs w:val="18"/>
                      <w:highlight w:val="none"/>
                      <w:lang w:val="en-US" w:eastAsia="zh-CN"/>
                    </w:rPr>
                    <w:t>0.131</w:t>
                  </w:r>
                </w:p>
              </w:tc>
              <w:tc>
                <w:tcPr>
                  <w:tcW w:w="731" w:type="dxa"/>
                  <w:noWrap w:val="0"/>
                  <w:vAlign w:val="center"/>
                </w:tcPr>
                <w:p w14:paraId="03E46A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rPr>
                  </w:pPr>
                  <w:r>
                    <w:rPr>
                      <w:rFonts w:hint="default"/>
                      <w:color w:val="auto"/>
                      <w:sz w:val="18"/>
                      <w:szCs w:val="18"/>
                      <w:highlight w:val="none"/>
                      <w:lang w:val="en-US" w:eastAsia="zh-CN"/>
                    </w:rPr>
                    <w:t>0.941</w:t>
                  </w:r>
                </w:p>
              </w:tc>
              <w:tc>
                <w:tcPr>
                  <w:tcW w:w="788" w:type="dxa"/>
                  <w:vMerge w:val="restart"/>
                  <w:noWrap w:val="0"/>
                  <w:vAlign w:val="center"/>
                </w:tcPr>
                <w:p w14:paraId="3815E1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18"/>
                      <w:szCs w:val="18"/>
                      <w:highlight w:val="none"/>
                      <w:lang w:val="en-US" w:eastAsia="zh-CN" w:bidi="ar-SA"/>
                    </w:rPr>
                  </w:pPr>
                  <w:r>
                    <w:rPr>
                      <w:rFonts w:hint="eastAsia"/>
                      <w:color w:val="FF0000"/>
                      <w:sz w:val="18"/>
                      <w:szCs w:val="18"/>
                      <w:highlight w:val="none"/>
                      <w:lang w:val="en-US" w:eastAsia="zh-CN"/>
                    </w:rPr>
                    <w:t>/</w:t>
                  </w:r>
                </w:p>
              </w:tc>
              <w:tc>
                <w:tcPr>
                  <w:tcW w:w="300" w:type="dxa"/>
                  <w:vMerge w:val="restart"/>
                  <w:noWrap w:val="0"/>
                  <w:vAlign w:val="center"/>
                </w:tcPr>
                <w:p w14:paraId="24DB6F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23" w:type="dxa"/>
                  <w:vMerge w:val="restart"/>
                  <w:noWrap w:val="0"/>
                  <w:vAlign w:val="center"/>
                </w:tcPr>
                <w:p w14:paraId="67F257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300" w:type="dxa"/>
                  <w:vMerge w:val="restart"/>
                  <w:noWrap w:val="0"/>
                  <w:vAlign w:val="center"/>
                </w:tcPr>
                <w:p w14:paraId="51ED6C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409" w:type="dxa"/>
                  <w:vMerge w:val="restart"/>
                  <w:noWrap w:val="0"/>
                  <w:vAlign w:val="center"/>
                </w:tcPr>
                <w:p w14:paraId="777C4A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1486" w:type="dxa"/>
                  <w:vMerge w:val="restart"/>
                  <w:noWrap w:val="0"/>
                  <w:vAlign w:val="center"/>
                </w:tcPr>
                <w:p w14:paraId="66FEB2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z w:val="18"/>
                      <w:szCs w:val="18"/>
                      <w:highlight w:val="none"/>
                      <w:lang w:val="en-US" w:eastAsia="zh-CN"/>
                    </w:rPr>
                  </w:pPr>
                  <w:r>
                    <w:rPr>
                      <w:rFonts w:hint="eastAsia"/>
                      <w:color w:val="FF0000"/>
                      <w:sz w:val="18"/>
                      <w:szCs w:val="18"/>
                      <w:highlight w:val="none"/>
                      <w:lang w:val="en-US" w:eastAsia="zh-CN"/>
                    </w:rPr>
                    <w:t>/</w:t>
                  </w:r>
                </w:p>
              </w:tc>
              <w:tc>
                <w:tcPr>
                  <w:tcW w:w="835" w:type="dxa"/>
                  <w:noWrap w:val="0"/>
                  <w:vAlign w:val="center"/>
                </w:tcPr>
                <w:p w14:paraId="200E61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w:t>
                  </w:r>
                </w:p>
              </w:tc>
            </w:tr>
            <w:tr w14:paraId="5B6BD95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15ED4E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326" w:type="dxa"/>
                  <w:vMerge w:val="continue"/>
                  <w:noWrap w:val="0"/>
                  <w:vAlign w:val="center"/>
                </w:tcPr>
                <w:p w14:paraId="561E8C3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1A5835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铊及其化合物</w:t>
                  </w:r>
                </w:p>
              </w:tc>
              <w:tc>
                <w:tcPr>
                  <w:tcW w:w="677" w:type="dxa"/>
                  <w:shd w:val="clear" w:color="auto" w:fill="auto"/>
                  <w:noWrap w:val="0"/>
                  <w:vAlign w:val="center"/>
                </w:tcPr>
                <w:p w14:paraId="439A17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68B639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1.22E-05</w:t>
                  </w:r>
                </w:p>
              </w:tc>
              <w:tc>
                <w:tcPr>
                  <w:tcW w:w="717" w:type="dxa"/>
                  <w:noWrap w:val="0"/>
                  <w:vAlign w:val="center"/>
                </w:tcPr>
                <w:p w14:paraId="0C7EAE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8.79E-05</w:t>
                  </w:r>
                </w:p>
              </w:tc>
              <w:tc>
                <w:tcPr>
                  <w:tcW w:w="494" w:type="dxa"/>
                  <w:vMerge w:val="continue"/>
                  <w:shd w:val="clear" w:color="auto" w:fill="auto"/>
                  <w:noWrap w:val="0"/>
                  <w:vAlign w:val="center"/>
                </w:tcPr>
                <w:p w14:paraId="5FB3B1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10" w:type="dxa"/>
                  <w:vMerge w:val="continue"/>
                  <w:shd w:val="clear" w:color="auto" w:fill="auto"/>
                  <w:noWrap w:val="0"/>
                  <w:vAlign w:val="center"/>
                </w:tcPr>
                <w:p w14:paraId="588FC9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78" w:type="dxa"/>
                  <w:vMerge w:val="continue"/>
                  <w:noWrap w:val="0"/>
                  <w:vAlign w:val="center"/>
                </w:tcPr>
                <w:p w14:paraId="789AC1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764CB3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847" w:type="dxa"/>
                  <w:vMerge w:val="continue"/>
                  <w:noWrap w:val="0"/>
                  <w:vAlign w:val="center"/>
                </w:tcPr>
                <w:p w14:paraId="2B5E32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2CC003E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118463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1.22E-06</w:t>
                  </w:r>
                </w:p>
              </w:tc>
              <w:tc>
                <w:tcPr>
                  <w:tcW w:w="731" w:type="dxa"/>
                  <w:noWrap w:val="0"/>
                  <w:vAlign w:val="center"/>
                </w:tcPr>
                <w:p w14:paraId="37A7FDE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8.79E-06</w:t>
                  </w:r>
                </w:p>
              </w:tc>
              <w:tc>
                <w:tcPr>
                  <w:tcW w:w="788" w:type="dxa"/>
                  <w:vMerge w:val="continue"/>
                  <w:shd w:val="clear" w:color="auto" w:fill="auto"/>
                  <w:noWrap w:val="0"/>
                  <w:vAlign w:val="center"/>
                </w:tcPr>
                <w:p w14:paraId="79F7DA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300" w:type="dxa"/>
                  <w:vMerge w:val="continue"/>
                  <w:shd w:val="clear" w:color="auto" w:fill="auto"/>
                  <w:noWrap w:val="0"/>
                  <w:vAlign w:val="center"/>
                </w:tcPr>
                <w:p w14:paraId="01C50E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23" w:type="dxa"/>
                  <w:vMerge w:val="continue"/>
                  <w:shd w:val="clear" w:color="auto" w:fill="auto"/>
                  <w:noWrap w:val="0"/>
                  <w:vAlign w:val="center"/>
                </w:tcPr>
                <w:p w14:paraId="5BA4BB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300" w:type="dxa"/>
                  <w:vMerge w:val="continue"/>
                  <w:shd w:val="clear" w:color="auto" w:fill="auto"/>
                  <w:noWrap w:val="0"/>
                  <w:vAlign w:val="center"/>
                </w:tcPr>
                <w:p w14:paraId="301245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09" w:type="dxa"/>
                  <w:vMerge w:val="continue"/>
                  <w:shd w:val="clear" w:color="auto" w:fill="auto"/>
                  <w:noWrap w:val="0"/>
                  <w:vAlign w:val="center"/>
                </w:tcPr>
                <w:p w14:paraId="4BE510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1486" w:type="dxa"/>
                  <w:vMerge w:val="continue"/>
                  <w:shd w:val="clear" w:color="auto" w:fill="auto"/>
                  <w:noWrap w:val="0"/>
                  <w:vAlign w:val="center"/>
                </w:tcPr>
                <w:p w14:paraId="6D9AAC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835" w:type="dxa"/>
                  <w:shd w:val="clear" w:color="auto" w:fill="auto"/>
                  <w:noWrap w:val="0"/>
                  <w:vAlign w:val="center"/>
                </w:tcPr>
                <w:p w14:paraId="79DAE7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0.001</w:t>
                  </w:r>
                </w:p>
              </w:tc>
            </w:tr>
            <w:tr w14:paraId="635FA4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jc w:val="center"/>
              </w:trPr>
              <w:tc>
                <w:tcPr>
                  <w:tcW w:w="716" w:type="dxa"/>
                  <w:vMerge w:val="continue"/>
                  <w:noWrap w:val="0"/>
                  <w:vAlign w:val="center"/>
                </w:tcPr>
                <w:p w14:paraId="61CDE5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326" w:type="dxa"/>
                  <w:vMerge w:val="continue"/>
                  <w:noWrap w:val="0"/>
                  <w:vAlign w:val="center"/>
                </w:tcPr>
                <w:p w14:paraId="5E8F30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1061" w:type="dxa"/>
                  <w:shd w:val="clear" w:color="auto" w:fill="auto"/>
                  <w:noWrap w:val="0"/>
                  <w:vAlign w:val="center"/>
                </w:tcPr>
                <w:p w14:paraId="4809FD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rPr>
                    <w:t>氟化物</w:t>
                  </w:r>
                </w:p>
              </w:tc>
              <w:tc>
                <w:tcPr>
                  <w:tcW w:w="677" w:type="dxa"/>
                  <w:shd w:val="clear" w:color="auto" w:fill="auto"/>
                  <w:noWrap w:val="0"/>
                  <w:vAlign w:val="center"/>
                </w:tcPr>
                <w:p w14:paraId="044583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824" w:type="dxa"/>
                  <w:noWrap w:val="0"/>
                  <w:vAlign w:val="center"/>
                </w:tcPr>
                <w:p w14:paraId="61B6B47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0.024</w:t>
                  </w:r>
                </w:p>
              </w:tc>
              <w:tc>
                <w:tcPr>
                  <w:tcW w:w="717" w:type="dxa"/>
                  <w:noWrap w:val="0"/>
                  <w:vAlign w:val="center"/>
                </w:tcPr>
                <w:p w14:paraId="60BC0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0.176</w:t>
                  </w:r>
                </w:p>
              </w:tc>
              <w:tc>
                <w:tcPr>
                  <w:tcW w:w="494" w:type="dxa"/>
                  <w:vMerge w:val="continue"/>
                  <w:shd w:val="clear" w:color="auto" w:fill="auto"/>
                  <w:noWrap w:val="0"/>
                  <w:vAlign w:val="center"/>
                </w:tcPr>
                <w:p w14:paraId="7F64D3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10" w:type="dxa"/>
                  <w:vMerge w:val="continue"/>
                  <w:shd w:val="clear" w:color="auto" w:fill="auto"/>
                  <w:noWrap w:val="0"/>
                  <w:vAlign w:val="center"/>
                </w:tcPr>
                <w:p w14:paraId="124EBC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78" w:type="dxa"/>
                  <w:vMerge w:val="continue"/>
                  <w:noWrap w:val="0"/>
                  <w:vAlign w:val="center"/>
                </w:tcPr>
                <w:p w14:paraId="2F5D6F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422" w:type="dxa"/>
                  <w:vMerge w:val="continue"/>
                  <w:noWrap w:val="0"/>
                  <w:vAlign w:val="center"/>
                </w:tcPr>
                <w:p w14:paraId="602429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rPr>
                  </w:pPr>
                </w:p>
              </w:tc>
              <w:tc>
                <w:tcPr>
                  <w:tcW w:w="847" w:type="dxa"/>
                  <w:vMerge w:val="continue"/>
                  <w:noWrap w:val="0"/>
                  <w:vAlign w:val="center"/>
                </w:tcPr>
                <w:p w14:paraId="56BAF6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sz w:val="18"/>
                      <w:szCs w:val="18"/>
                      <w:highlight w:val="none"/>
                      <w:lang w:val="en-US" w:eastAsia="zh-CN"/>
                    </w:rPr>
                  </w:pPr>
                </w:p>
              </w:tc>
              <w:tc>
                <w:tcPr>
                  <w:tcW w:w="603" w:type="dxa"/>
                  <w:shd w:val="clear" w:color="auto" w:fill="auto"/>
                  <w:noWrap w:val="0"/>
                  <w:vAlign w:val="center"/>
                </w:tcPr>
                <w:p w14:paraId="508F10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w:t>
                  </w:r>
                </w:p>
              </w:tc>
              <w:tc>
                <w:tcPr>
                  <w:tcW w:w="795" w:type="dxa"/>
                  <w:noWrap w:val="0"/>
                  <w:vAlign w:val="center"/>
                </w:tcPr>
                <w:p w14:paraId="2672DD7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0.0024</w:t>
                  </w:r>
                </w:p>
              </w:tc>
              <w:tc>
                <w:tcPr>
                  <w:tcW w:w="731" w:type="dxa"/>
                  <w:noWrap w:val="0"/>
                  <w:vAlign w:val="center"/>
                </w:tcPr>
                <w:p w14:paraId="548ED50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18"/>
                      <w:szCs w:val="18"/>
                      <w:highlight w:val="none"/>
                      <w:lang w:val="en-US" w:eastAsia="zh-CN"/>
                    </w:rPr>
                  </w:pPr>
                  <w:r>
                    <w:rPr>
                      <w:rFonts w:hint="default"/>
                      <w:color w:val="auto"/>
                      <w:sz w:val="18"/>
                      <w:szCs w:val="18"/>
                      <w:highlight w:val="none"/>
                      <w:lang w:val="en-US" w:eastAsia="zh-CN"/>
                    </w:rPr>
                    <w:t>0.0176</w:t>
                  </w:r>
                </w:p>
              </w:tc>
              <w:tc>
                <w:tcPr>
                  <w:tcW w:w="788" w:type="dxa"/>
                  <w:vMerge w:val="continue"/>
                  <w:shd w:val="clear" w:color="auto" w:fill="auto"/>
                  <w:noWrap w:val="0"/>
                  <w:vAlign w:val="center"/>
                </w:tcPr>
                <w:p w14:paraId="7FE386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300" w:type="dxa"/>
                  <w:vMerge w:val="continue"/>
                  <w:shd w:val="clear" w:color="auto" w:fill="auto"/>
                  <w:noWrap w:val="0"/>
                  <w:vAlign w:val="center"/>
                </w:tcPr>
                <w:p w14:paraId="64AE53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23" w:type="dxa"/>
                  <w:vMerge w:val="continue"/>
                  <w:shd w:val="clear" w:color="auto" w:fill="auto"/>
                  <w:noWrap w:val="0"/>
                  <w:vAlign w:val="center"/>
                </w:tcPr>
                <w:p w14:paraId="50D216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300" w:type="dxa"/>
                  <w:vMerge w:val="continue"/>
                  <w:shd w:val="clear" w:color="auto" w:fill="auto"/>
                  <w:noWrap w:val="0"/>
                  <w:vAlign w:val="center"/>
                </w:tcPr>
                <w:p w14:paraId="37F0DF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409" w:type="dxa"/>
                  <w:vMerge w:val="continue"/>
                  <w:shd w:val="clear" w:color="auto" w:fill="auto"/>
                  <w:noWrap w:val="0"/>
                  <w:vAlign w:val="center"/>
                </w:tcPr>
                <w:p w14:paraId="135A96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1486" w:type="dxa"/>
                  <w:vMerge w:val="continue"/>
                  <w:shd w:val="clear" w:color="auto" w:fill="auto"/>
                  <w:noWrap w:val="0"/>
                  <w:vAlign w:val="center"/>
                </w:tcPr>
                <w:p w14:paraId="4EE5E2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p>
              </w:tc>
              <w:tc>
                <w:tcPr>
                  <w:tcW w:w="835" w:type="dxa"/>
                  <w:shd w:val="clear" w:color="auto" w:fill="auto"/>
                  <w:noWrap w:val="0"/>
                  <w:vAlign w:val="center"/>
                </w:tcPr>
                <w:p w14:paraId="785F7A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0.02</w:t>
                  </w:r>
                </w:p>
              </w:tc>
            </w:tr>
          </w:tbl>
          <w:p w14:paraId="067286CB">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废气污染源非正常排放汇总表</w:t>
            </w:r>
          </w:p>
          <w:tbl>
            <w:tblPr>
              <w:tblStyle w:val="25"/>
              <w:tblW w:w="5000" w:type="pct"/>
              <w:tblInd w:w="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803"/>
              <w:gridCol w:w="890"/>
              <w:gridCol w:w="848"/>
              <w:gridCol w:w="863"/>
              <w:gridCol w:w="1264"/>
              <w:gridCol w:w="702"/>
              <w:gridCol w:w="942"/>
              <w:gridCol w:w="1550"/>
              <w:gridCol w:w="906"/>
              <w:gridCol w:w="990"/>
              <w:gridCol w:w="1125"/>
              <w:gridCol w:w="1312"/>
              <w:gridCol w:w="1447"/>
            </w:tblGrid>
            <w:tr w14:paraId="1F1C153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atLeast"/>
              </w:trPr>
              <w:tc>
                <w:tcPr>
                  <w:tcW w:w="803" w:type="dxa"/>
                  <w:vMerge w:val="restart"/>
                  <w:tcBorders>
                    <w:tl2br w:val="nil"/>
                    <w:tr2bl w:val="nil"/>
                  </w:tcBorders>
                  <w:noWrap w:val="0"/>
                  <w:vAlign w:val="center"/>
                </w:tcPr>
                <w:p w14:paraId="20AF9C2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产排污环节</w:t>
                  </w:r>
                </w:p>
              </w:tc>
              <w:tc>
                <w:tcPr>
                  <w:tcW w:w="890" w:type="dxa"/>
                  <w:vMerge w:val="restart"/>
                  <w:tcBorders>
                    <w:tl2br w:val="nil"/>
                    <w:tr2bl w:val="nil"/>
                  </w:tcBorders>
                  <w:noWrap w:val="0"/>
                  <w:vAlign w:val="center"/>
                </w:tcPr>
                <w:p w14:paraId="627FDC4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rPr>
                      <w:rFonts w:hint="default"/>
                      <w:color w:val="auto"/>
                      <w:sz w:val="18"/>
                      <w:szCs w:val="18"/>
                      <w:highlight w:val="none"/>
                    </w:rPr>
                  </w:pPr>
                  <w:r>
                    <w:rPr>
                      <w:rFonts w:hint="default"/>
                      <w:color w:val="auto"/>
                      <w:sz w:val="18"/>
                      <w:szCs w:val="18"/>
                      <w:highlight w:val="none"/>
                    </w:rPr>
                    <w:t>非正常排放原因</w:t>
                  </w:r>
                </w:p>
              </w:tc>
              <w:tc>
                <w:tcPr>
                  <w:tcW w:w="848" w:type="dxa"/>
                  <w:vMerge w:val="restart"/>
                  <w:tcBorders>
                    <w:tl2br w:val="nil"/>
                    <w:tr2bl w:val="nil"/>
                  </w:tcBorders>
                  <w:noWrap w:val="0"/>
                  <w:vAlign w:val="center"/>
                </w:tcPr>
                <w:p w14:paraId="78D2AD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rPr>
                      <w:rFonts w:hint="default"/>
                      <w:color w:val="auto"/>
                      <w:kern w:val="0"/>
                      <w:sz w:val="18"/>
                      <w:szCs w:val="18"/>
                      <w:highlight w:val="none"/>
                    </w:rPr>
                  </w:pPr>
                  <w:r>
                    <w:rPr>
                      <w:rFonts w:hint="default"/>
                      <w:color w:val="auto"/>
                      <w:kern w:val="0"/>
                      <w:sz w:val="18"/>
                      <w:szCs w:val="18"/>
                      <w:highlight w:val="none"/>
                    </w:rPr>
                    <w:t>单次持续</w:t>
                  </w:r>
                </w:p>
                <w:p w14:paraId="797614B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kern w:val="0"/>
                      <w:sz w:val="18"/>
                      <w:szCs w:val="18"/>
                      <w:highlight w:val="none"/>
                    </w:rPr>
                    <w:t>时间/h</w:t>
                  </w:r>
                </w:p>
              </w:tc>
              <w:tc>
                <w:tcPr>
                  <w:tcW w:w="863" w:type="dxa"/>
                  <w:vMerge w:val="restart"/>
                  <w:tcBorders>
                    <w:tl2br w:val="nil"/>
                    <w:tr2bl w:val="nil"/>
                  </w:tcBorders>
                  <w:noWrap w:val="0"/>
                  <w:vAlign w:val="center"/>
                </w:tcPr>
                <w:p w14:paraId="21DAA3D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rPr>
                      <w:rFonts w:hint="default"/>
                      <w:color w:val="auto"/>
                      <w:sz w:val="18"/>
                      <w:szCs w:val="18"/>
                      <w:highlight w:val="none"/>
                    </w:rPr>
                  </w:pPr>
                  <w:r>
                    <w:rPr>
                      <w:rFonts w:hint="default"/>
                      <w:color w:val="auto"/>
                      <w:kern w:val="0"/>
                      <w:sz w:val="18"/>
                      <w:szCs w:val="18"/>
                      <w:highlight w:val="none"/>
                    </w:rPr>
                    <w:t>年发生频次/次</w:t>
                  </w:r>
                </w:p>
              </w:tc>
              <w:tc>
                <w:tcPr>
                  <w:tcW w:w="1264" w:type="dxa"/>
                  <w:vMerge w:val="restart"/>
                  <w:tcBorders>
                    <w:tl2br w:val="nil"/>
                    <w:tr2bl w:val="nil"/>
                  </w:tcBorders>
                  <w:noWrap w:val="0"/>
                  <w:vAlign w:val="center"/>
                </w:tcPr>
                <w:p w14:paraId="36F2870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污染物</w:t>
                  </w:r>
                </w:p>
              </w:tc>
              <w:tc>
                <w:tcPr>
                  <w:tcW w:w="702" w:type="dxa"/>
                  <w:tcBorders>
                    <w:tl2br w:val="nil"/>
                    <w:tr2bl w:val="nil"/>
                  </w:tcBorders>
                  <w:noWrap w:val="0"/>
                  <w:vAlign w:val="center"/>
                </w:tcPr>
                <w:p w14:paraId="06EB3E0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风量</w:t>
                  </w:r>
                </w:p>
              </w:tc>
              <w:tc>
                <w:tcPr>
                  <w:tcW w:w="942" w:type="dxa"/>
                  <w:tcBorders>
                    <w:tl2br w:val="nil"/>
                    <w:tr2bl w:val="nil"/>
                  </w:tcBorders>
                  <w:noWrap w:val="0"/>
                  <w:vAlign w:val="center"/>
                </w:tcPr>
                <w:p w14:paraId="10E5FD6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去除效率</w:t>
                  </w:r>
                </w:p>
              </w:tc>
              <w:tc>
                <w:tcPr>
                  <w:tcW w:w="1550" w:type="dxa"/>
                  <w:vMerge w:val="restart"/>
                  <w:tcBorders>
                    <w:tl2br w:val="nil"/>
                    <w:tr2bl w:val="nil"/>
                  </w:tcBorders>
                  <w:noWrap w:val="0"/>
                  <w:vAlign w:val="center"/>
                </w:tcPr>
                <w:p w14:paraId="3266F75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污染治理设施</w:t>
                  </w:r>
                </w:p>
              </w:tc>
              <w:tc>
                <w:tcPr>
                  <w:tcW w:w="906" w:type="dxa"/>
                  <w:vMerge w:val="restart"/>
                  <w:tcBorders>
                    <w:tl2br w:val="nil"/>
                    <w:tr2bl w:val="nil"/>
                  </w:tcBorders>
                  <w:noWrap w:val="0"/>
                  <w:vAlign w:val="center"/>
                </w:tcPr>
                <w:p w14:paraId="54448D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eastAsia="zh-CN"/>
                    </w:rPr>
                  </w:pPr>
                  <w:r>
                    <w:rPr>
                      <w:rFonts w:hint="default"/>
                      <w:color w:val="auto"/>
                      <w:sz w:val="18"/>
                      <w:szCs w:val="18"/>
                      <w:highlight w:val="none"/>
                    </w:rPr>
                    <w:t>排放口</w:t>
                  </w:r>
                  <w:r>
                    <w:rPr>
                      <w:rFonts w:hint="default"/>
                      <w:color w:val="auto"/>
                      <w:spacing w:val="-10"/>
                      <w:sz w:val="18"/>
                      <w:szCs w:val="18"/>
                      <w:highlight w:val="none"/>
                    </w:rPr>
                    <w:t>编号</w:t>
                  </w:r>
                </w:p>
              </w:tc>
              <w:tc>
                <w:tcPr>
                  <w:tcW w:w="990" w:type="dxa"/>
                  <w:tcBorders>
                    <w:tl2br w:val="nil"/>
                    <w:tr2bl w:val="nil"/>
                  </w:tcBorders>
                  <w:noWrap w:val="0"/>
                  <w:vAlign w:val="center"/>
                </w:tcPr>
                <w:p w14:paraId="607C389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排放浓度</w:t>
                  </w:r>
                </w:p>
              </w:tc>
              <w:tc>
                <w:tcPr>
                  <w:tcW w:w="1125" w:type="dxa"/>
                  <w:tcBorders>
                    <w:tl2br w:val="nil"/>
                    <w:tr2bl w:val="nil"/>
                  </w:tcBorders>
                  <w:noWrap w:val="0"/>
                  <w:vAlign w:val="center"/>
                </w:tcPr>
                <w:p w14:paraId="7B62510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排放速率</w:t>
                  </w:r>
                </w:p>
              </w:tc>
              <w:tc>
                <w:tcPr>
                  <w:tcW w:w="1312" w:type="dxa"/>
                  <w:tcBorders>
                    <w:tl2br w:val="nil"/>
                    <w:tr2bl w:val="nil"/>
                  </w:tcBorders>
                  <w:noWrap w:val="0"/>
                  <w:vAlign w:val="center"/>
                </w:tcPr>
                <w:p w14:paraId="1DEE34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eastAsia="zh-CN"/>
                    </w:rPr>
                  </w:pPr>
                  <w:r>
                    <w:rPr>
                      <w:rFonts w:hint="eastAsia"/>
                      <w:color w:val="auto"/>
                      <w:sz w:val="18"/>
                      <w:szCs w:val="18"/>
                      <w:highlight w:val="none"/>
                      <w:lang w:eastAsia="zh-CN"/>
                    </w:rPr>
                    <w:t>排放量</w:t>
                  </w:r>
                </w:p>
              </w:tc>
              <w:tc>
                <w:tcPr>
                  <w:tcW w:w="1447" w:type="dxa"/>
                  <w:vMerge w:val="restart"/>
                  <w:tcBorders>
                    <w:tl2br w:val="nil"/>
                    <w:tr2bl w:val="nil"/>
                  </w:tcBorders>
                  <w:noWrap w:val="0"/>
                  <w:vAlign w:val="center"/>
                </w:tcPr>
                <w:p w14:paraId="42FB262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72" w:rightChars="-30"/>
                    <w:jc w:val="both"/>
                    <w:rPr>
                      <w:rFonts w:hint="default" w:eastAsia="宋体"/>
                      <w:color w:val="auto"/>
                      <w:sz w:val="18"/>
                      <w:szCs w:val="18"/>
                      <w:highlight w:val="none"/>
                      <w:lang w:val="en-US" w:eastAsia="zh-CN"/>
                    </w:rPr>
                  </w:pPr>
                  <w:r>
                    <w:rPr>
                      <w:rFonts w:hint="eastAsia"/>
                      <w:color w:val="auto"/>
                      <w:sz w:val="18"/>
                      <w:szCs w:val="18"/>
                      <w:highlight w:val="none"/>
                      <w:lang w:val="en-US" w:eastAsia="zh-CN"/>
                    </w:rPr>
                    <w:t>控制措施</w:t>
                  </w:r>
                </w:p>
              </w:tc>
            </w:tr>
            <w:tr w14:paraId="7E9DC6A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69" w:hRule="atLeast"/>
              </w:trPr>
              <w:tc>
                <w:tcPr>
                  <w:tcW w:w="803" w:type="dxa"/>
                  <w:vMerge w:val="continue"/>
                  <w:tcBorders>
                    <w:tl2br w:val="nil"/>
                    <w:tr2bl w:val="nil"/>
                  </w:tcBorders>
                  <w:noWrap w:val="0"/>
                  <w:vAlign w:val="center"/>
                </w:tcPr>
                <w:p w14:paraId="4675CF5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90" w:type="dxa"/>
                  <w:vMerge w:val="continue"/>
                  <w:tcBorders>
                    <w:tl2br w:val="nil"/>
                    <w:tr2bl w:val="nil"/>
                  </w:tcBorders>
                  <w:noWrap w:val="0"/>
                  <w:vAlign w:val="center"/>
                </w:tcPr>
                <w:p w14:paraId="6E97A19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vMerge w:val="continue"/>
                  <w:tcBorders>
                    <w:tl2br w:val="nil"/>
                    <w:tr2bl w:val="nil"/>
                  </w:tcBorders>
                  <w:noWrap w:val="0"/>
                  <w:vAlign w:val="center"/>
                </w:tcPr>
                <w:p w14:paraId="7FBAB31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63" w:type="dxa"/>
                  <w:vMerge w:val="continue"/>
                  <w:tcBorders>
                    <w:tl2br w:val="nil"/>
                    <w:tr2bl w:val="nil"/>
                  </w:tcBorders>
                  <w:noWrap w:val="0"/>
                  <w:vAlign w:val="center"/>
                </w:tcPr>
                <w:p w14:paraId="540A74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1264" w:type="dxa"/>
                  <w:vMerge w:val="continue"/>
                  <w:tcBorders>
                    <w:tl2br w:val="nil"/>
                    <w:tr2bl w:val="nil"/>
                  </w:tcBorders>
                  <w:noWrap w:val="0"/>
                  <w:vAlign w:val="center"/>
                </w:tcPr>
                <w:p w14:paraId="707A158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702" w:type="dxa"/>
                  <w:tcBorders>
                    <w:tl2br w:val="nil"/>
                    <w:tr2bl w:val="nil"/>
                  </w:tcBorders>
                  <w:noWrap w:val="0"/>
                  <w:vAlign w:val="center"/>
                </w:tcPr>
                <w:p w14:paraId="5250C04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m</w:t>
                  </w:r>
                  <w:r>
                    <w:rPr>
                      <w:rFonts w:hint="default"/>
                      <w:color w:val="auto"/>
                      <w:sz w:val="18"/>
                      <w:szCs w:val="18"/>
                      <w:highlight w:val="none"/>
                      <w:vertAlign w:val="superscript"/>
                    </w:rPr>
                    <w:t>3</w:t>
                  </w:r>
                  <w:r>
                    <w:rPr>
                      <w:rFonts w:hint="default"/>
                      <w:color w:val="auto"/>
                      <w:sz w:val="18"/>
                      <w:szCs w:val="18"/>
                      <w:highlight w:val="none"/>
                    </w:rPr>
                    <w:t>/h</w:t>
                  </w:r>
                </w:p>
              </w:tc>
              <w:tc>
                <w:tcPr>
                  <w:tcW w:w="942" w:type="dxa"/>
                  <w:tcBorders>
                    <w:tl2br w:val="nil"/>
                    <w:tr2bl w:val="nil"/>
                  </w:tcBorders>
                  <w:noWrap w:val="0"/>
                  <w:vAlign w:val="center"/>
                </w:tcPr>
                <w:p w14:paraId="4115B11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w:t>
                  </w:r>
                </w:p>
              </w:tc>
              <w:tc>
                <w:tcPr>
                  <w:tcW w:w="1550" w:type="dxa"/>
                  <w:vMerge w:val="continue"/>
                  <w:tcBorders>
                    <w:tl2br w:val="nil"/>
                    <w:tr2bl w:val="nil"/>
                  </w:tcBorders>
                  <w:noWrap w:val="0"/>
                  <w:vAlign w:val="center"/>
                </w:tcPr>
                <w:p w14:paraId="4EF89D09">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06" w:type="dxa"/>
                  <w:vMerge w:val="continue"/>
                  <w:tcBorders>
                    <w:tl2br w:val="nil"/>
                    <w:tr2bl w:val="nil"/>
                  </w:tcBorders>
                  <w:noWrap w:val="0"/>
                  <w:vAlign w:val="center"/>
                </w:tcPr>
                <w:p w14:paraId="14CE7B3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90" w:type="dxa"/>
                  <w:tcBorders>
                    <w:tl2br w:val="nil"/>
                    <w:tr2bl w:val="nil"/>
                  </w:tcBorders>
                  <w:noWrap w:val="0"/>
                  <w:vAlign w:val="center"/>
                </w:tcPr>
                <w:p w14:paraId="3E61E1C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mg/m</w:t>
                  </w:r>
                  <w:r>
                    <w:rPr>
                      <w:rFonts w:hint="default"/>
                      <w:color w:val="auto"/>
                      <w:sz w:val="18"/>
                      <w:szCs w:val="18"/>
                      <w:highlight w:val="none"/>
                      <w:vertAlign w:val="superscript"/>
                    </w:rPr>
                    <w:t>3</w:t>
                  </w:r>
                </w:p>
              </w:tc>
              <w:tc>
                <w:tcPr>
                  <w:tcW w:w="1125" w:type="dxa"/>
                  <w:tcBorders>
                    <w:tl2br w:val="nil"/>
                    <w:tr2bl w:val="nil"/>
                  </w:tcBorders>
                  <w:noWrap w:val="0"/>
                  <w:vAlign w:val="center"/>
                </w:tcPr>
                <w:p w14:paraId="297C0B6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kg/h</w:t>
                  </w:r>
                </w:p>
              </w:tc>
              <w:tc>
                <w:tcPr>
                  <w:tcW w:w="1312" w:type="dxa"/>
                  <w:tcBorders>
                    <w:tl2br w:val="nil"/>
                    <w:tr2bl w:val="nil"/>
                  </w:tcBorders>
                  <w:noWrap w:val="0"/>
                  <w:vAlign w:val="center"/>
                </w:tcPr>
                <w:p w14:paraId="28DEB51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kg/a</w:t>
                  </w:r>
                </w:p>
              </w:tc>
              <w:tc>
                <w:tcPr>
                  <w:tcW w:w="1447" w:type="dxa"/>
                  <w:vMerge w:val="continue"/>
                  <w:tcBorders>
                    <w:tl2br w:val="nil"/>
                    <w:tr2bl w:val="nil"/>
                  </w:tcBorders>
                  <w:noWrap w:val="0"/>
                  <w:vAlign w:val="center"/>
                </w:tcPr>
                <w:p w14:paraId="59D4AAA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r>
            <w:tr w14:paraId="028C00E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19" w:hRule="atLeast"/>
              </w:trPr>
              <w:tc>
                <w:tcPr>
                  <w:tcW w:w="803" w:type="dxa"/>
                  <w:vMerge w:val="restart"/>
                  <w:tcBorders>
                    <w:tl2br w:val="nil"/>
                    <w:tr2bl w:val="nil"/>
                  </w:tcBorders>
                  <w:noWrap w:val="0"/>
                  <w:vAlign w:val="center"/>
                </w:tcPr>
                <w:p w14:paraId="6198A12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搅拌</w:t>
                  </w:r>
                </w:p>
              </w:tc>
              <w:tc>
                <w:tcPr>
                  <w:tcW w:w="890" w:type="dxa"/>
                  <w:vMerge w:val="restart"/>
                  <w:tcBorders>
                    <w:tl2br w:val="nil"/>
                    <w:tr2bl w:val="nil"/>
                  </w:tcBorders>
                  <w:noWrap w:val="0"/>
                  <w:vAlign w:val="center"/>
                </w:tcPr>
                <w:p w14:paraId="186ED94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r>
                    <w:rPr>
                      <w:rFonts w:hint="default"/>
                      <w:color w:val="auto"/>
                      <w:sz w:val="18"/>
                      <w:szCs w:val="18"/>
                      <w:highlight w:val="none"/>
                    </w:rPr>
                    <w:t>废气处理设施故障</w:t>
                  </w:r>
                </w:p>
              </w:tc>
              <w:tc>
                <w:tcPr>
                  <w:tcW w:w="848" w:type="dxa"/>
                  <w:tcBorders>
                    <w:tl2br w:val="nil"/>
                    <w:tr2bl w:val="nil"/>
                  </w:tcBorders>
                  <w:noWrap w:val="0"/>
                  <w:vAlign w:val="center"/>
                </w:tcPr>
                <w:p w14:paraId="42C1408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56768A5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val="en-US" w:eastAsia="zh-CN"/>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4197B59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ascii="Times New Roman" w:hAnsi="Times New Roman" w:eastAsia="宋体" w:cs="Times New Roman"/>
                      <w:color w:val="auto"/>
                      <w:spacing w:val="0"/>
                      <w:sz w:val="18"/>
                      <w:szCs w:val="18"/>
                      <w:highlight w:val="none"/>
                      <w:lang w:val="en-US" w:eastAsia="zh-CN"/>
                    </w:rPr>
                    <w:t>颗粒物</w:t>
                  </w:r>
                </w:p>
              </w:tc>
              <w:tc>
                <w:tcPr>
                  <w:tcW w:w="702" w:type="dxa"/>
                  <w:vMerge w:val="restart"/>
                  <w:tcBorders>
                    <w:tl2br w:val="nil"/>
                    <w:tr2bl w:val="nil"/>
                  </w:tcBorders>
                  <w:noWrap w:val="0"/>
                  <w:vAlign w:val="center"/>
                </w:tcPr>
                <w:p w14:paraId="4347C2B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eastAsia="宋体"/>
                      <w:color w:val="auto"/>
                      <w:sz w:val="18"/>
                      <w:szCs w:val="18"/>
                      <w:highlight w:val="none"/>
                      <w:lang w:val="en-US" w:eastAsia="zh-CN"/>
                    </w:rPr>
                    <w:t>8000</w:t>
                  </w:r>
                </w:p>
              </w:tc>
              <w:tc>
                <w:tcPr>
                  <w:tcW w:w="942" w:type="dxa"/>
                  <w:vMerge w:val="restart"/>
                  <w:tcBorders>
                    <w:tl2br w:val="nil"/>
                    <w:tr2bl w:val="nil"/>
                  </w:tcBorders>
                  <w:noWrap w:val="0"/>
                  <w:vAlign w:val="center"/>
                </w:tcPr>
                <w:p w14:paraId="5196A7A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0</w:t>
                  </w:r>
                </w:p>
              </w:tc>
              <w:tc>
                <w:tcPr>
                  <w:tcW w:w="1550" w:type="dxa"/>
                  <w:vMerge w:val="restart"/>
                  <w:tcBorders>
                    <w:tl2br w:val="nil"/>
                    <w:tr2bl w:val="nil"/>
                  </w:tcBorders>
                  <w:noWrap w:val="0"/>
                  <w:vAlign w:val="center"/>
                </w:tcPr>
                <w:p w14:paraId="22184F2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olor w:val="auto"/>
                      <w:sz w:val="18"/>
                      <w:szCs w:val="18"/>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密闭管道</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布袋除尘</w:t>
                  </w:r>
                </w:p>
              </w:tc>
              <w:tc>
                <w:tcPr>
                  <w:tcW w:w="906" w:type="dxa"/>
                  <w:vMerge w:val="restart"/>
                  <w:tcBorders>
                    <w:tl2br w:val="nil"/>
                    <w:tr2bl w:val="nil"/>
                  </w:tcBorders>
                  <w:noWrap w:val="0"/>
                  <w:vAlign w:val="center"/>
                </w:tcPr>
                <w:p w14:paraId="140BA76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DA003</w:t>
                  </w:r>
                </w:p>
              </w:tc>
              <w:tc>
                <w:tcPr>
                  <w:tcW w:w="990" w:type="dxa"/>
                  <w:tcBorders>
                    <w:tl2br w:val="nil"/>
                    <w:tr2bl w:val="nil"/>
                  </w:tcBorders>
                  <w:shd w:val="clear" w:color="auto" w:fill="auto"/>
                  <w:noWrap w:val="0"/>
                  <w:vAlign w:val="center"/>
                </w:tcPr>
                <w:p w14:paraId="48D314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color w:val="FF0000"/>
                      <w:kern w:val="2"/>
                      <w:sz w:val="18"/>
                      <w:szCs w:val="18"/>
                      <w:highlight w:val="none"/>
                      <w:lang w:val="en-US" w:eastAsia="zh-CN" w:bidi="ar-SA"/>
                    </w:rPr>
                  </w:pPr>
                  <w:r>
                    <w:rPr>
                      <w:rFonts w:hint="default"/>
                      <w:color w:val="FF0000"/>
                      <w:sz w:val="18"/>
                      <w:szCs w:val="18"/>
                      <w:highlight w:val="none"/>
                      <w:lang w:val="en-US" w:eastAsia="zh-CN"/>
                    </w:rPr>
                    <w:t>20</w:t>
                  </w:r>
                  <w:r>
                    <w:rPr>
                      <w:rFonts w:hint="eastAsia"/>
                      <w:color w:val="FF0000"/>
                      <w:sz w:val="18"/>
                      <w:szCs w:val="18"/>
                      <w:highlight w:val="none"/>
                      <w:lang w:val="en-US" w:eastAsia="zh-CN"/>
                    </w:rPr>
                    <w:t>31.25</w:t>
                  </w:r>
                </w:p>
              </w:tc>
              <w:tc>
                <w:tcPr>
                  <w:tcW w:w="1125" w:type="dxa"/>
                  <w:tcBorders>
                    <w:tl2br w:val="nil"/>
                    <w:tr2bl w:val="nil"/>
                  </w:tcBorders>
                  <w:shd w:val="clear" w:color="auto" w:fill="auto"/>
                  <w:noWrap w:val="0"/>
                  <w:vAlign w:val="center"/>
                </w:tcPr>
                <w:p w14:paraId="286BFEC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heme="minorBidi"/>
                      <w:color w:val="FF0000"/>
                      <w:kern w:val="2"/>
                      <w:sz w:val="18"/>
                      <w:szCs w:val="18"/>
                      <w:highlight w:val="none"/>
                      <w:lang w:val="en-US" w:eastAsia="zh-CN" w:bidi="ar-SA"/>
                    </w:rPr>
                  </w:pPr>
                  <w:r>
                    <w:rPr>
                      <w:rFonts w:hint="default"/>
                      <w:color w:val="FF0000"/>
                      <w:sz w:val="18"/>
                      <w:szCs w:val="18"/>
                      <w:highlight w:val="none"/>
                      <w:lang w:val="en-US" w:eastAsia="zh-CN"/>
                    </w:rPr>
                    <w:t>16.</w:t>
                  </w:r>
                  <w:r>
                    <w:rPr>
                      <w:rFonts w:hint="eastAsia"/>
                      <w:color w:val="FF0000"/>
                      <w:sz w:val="18"/>
                      <w:szCs w:val="18"/>
                      <w:highlight w:val="none"/>
                      <w:lang w:val="en-US" w:eastAsia="zh-CN"/>
                    </w:rPr>
                    <w:t>25</w:t>
                  </w:r>
                </w:p>
              </w:tc>
              <w:tc>
                <w:tcPr>
                  <w:tcW w:w="1312" w:type="dxa"/>
                  <w:tcBorders>
                    <w:tl2br w:val="nil"/>
                    <w:tr2bl w:val="nil"/>
                  </w:tcBorders>
                  <w:noWrap w:val="0"/>
                  <w:vAlign w:val="center"/>
                </w:tcPr>
                <w:p w14:paraId="0ADEFD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eastAsia"/>
                      <w:color w:val="FF0000"/>
                      <w:sz w:val="18"/>
                      <w:szCs w:val="18"/>
                      <w:highlight w:val="none"/>
                      <w:lang w:val="en-US" w:eastAsia="zh-CN"/>
                    </w:rPr>
                    <w:t>32.5</w:t>
                  </w:r>
                </w:p>
              </w:tc>
              <w:tc>
                <w:tcPr>
                  <w:tcW w:w="1447" w:type="dxa"/>
                  <w:vMerge w:val="restart"/>
                  <w:tcBorders>
                    <w:tl2br w:val="nil"/>
                    <w:tr2bl w:val="nil"/>
                  </w:tcBorders>
                  <w:noWrap w:val="0"/>
                  <w:vAlign w:val="center"/>
                </w:tcPr>
                <w:p w14:paraId="660752F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ascii="Times New Roman" w:hAnsi="Times New Roman" w:eastAsia="宋体"/>
                      <w:color w:val="auto"/>
                      <w:sz w:val="18"/>
                      <w:szCs w:val="18"/>
                      <w:highlight w:val="none"/>
                      <w:lang w:eastAsia="zh-CN"/>
                    </w:rPr>
                    <w:t>及时检修、保养废气处理设施，启动应急预案，若短时间不能解决需停产</w:t>
                  </w:r>
                </w:p>
              </w:tc>
            </w:tr>
            <w:tr w14:paraId="7ACC4E8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cantSplit/>
                <w:trHeight w:val="319" w:hRule="atLeast"/>
              </w:trPr>
              <w:tc>
                <w:tcPr>
                  <w:tcW w:w="803" w:type="dxa"/>
                  <w:vMerge w:val="continue"/>
                  <w:tcBorders>
                    <w:tl2br w:val="nil"/>
                    <w:tr2bl w:val="nil"/>
                  </w:tcBorders>
                  <w:noWrap w:val="0"/>
                  <w:vAlign w:val="center"/>
                </w:tcPr>
                <w:p w14:paraId="01D5587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p>
              </w:tc>
              <w:tc>
                <w:tcPr>
                  <w:tcW w:w="890" w:type="dxa"/>
                  <w:vMerge w:val="continue"/>
                  <w:tcBorders>
                    <w:tl2br w:val="nil"/>
                    <w:tr2bl w:val="nil"/>
                  </w:tcBorders>
                  <w:noWrap w:val="0"/>
                  <w:vAlign w:val="center"/>
                </w:tcPr>
                <w:p w14:paraId="6D07DA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tcBorders>
                    <w:tl2br w:val="nil"/>
                    <w:tr2bl w:val="nil"/>
                  </w:tcBorders>
                  <w:noWrap w:val="0"/>
                  <w:vAlign w:val="center"/>
                </w:tcPr>
                <w:p w14:paraId="30D1A02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5F0588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6B4D63C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ascii="Times New Roman" w:hAnsi="Times New Roman" w:eastAsia="宋体" w:cs="Times New Roman"/>
                      <w:color w:val="auto"/>
                      <w:spacing w:val="0"/>
                      <w:sz w:val="18"/>
                      <w:szCs w:val="18"/>
                      <w:highlight w:val="none"/>
                      <w:lang w:val="en-US" w:eastAsia="zh-CN"/>
                    </w:rPr>
                    <w:t>铊及其化合物</w:t>
                  </w:r>
                </w:p>
              </w:tc>
              <w:tc>
                <w:tcPr>
                  <w:tcW w:w="702" w:type="dxa"/>
                  <w:vMerge w:val="continue"/>
                  <w:tcBorders>
                    <w:tl2br w:val="nil"/>
                    <w:tr2bl w:val="nil"/>
                  </w:tcBorders>
                  <w:noWrap w:val="0"/>
                  <w:vAlign w:val="center"/>
                </w:tcPr>
                <w:p w14:paraId="1467C1B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val="en-US" w:eastAsia="zh-CN"/>
                    </w:rPr>
                  </w:pPr>
                </w:p>
              </w:tc>
              <w:tc>
                <w:tcPr>
                  <w:tcW w:w="942" w:type="dxa"/>
                  <w:vMerge w:val="continue"/>
                  <w:tcBorders>
                    <w:tl2br w:val="nil"/>
                    <w:tr2bl w:val="nil"/>
                  </w:tcBorders>
                  <w:noWrap w:val="0"/>
                  <w:vAlign w:val="center"/>
                </w:tcPr>
                <w:p w14:paraId="0DC02BB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val="en-US" w:eastAsia="zh-CN"/>
                    </w:rPr>
                  </w:pPr>
                </w:p>
              </w:tc>
              <w:tc>
                <w:tcPr>
                  <w:tcW w:w="1550" w:type="dxa"/>
                  <w:vMerge w:val="continue"/>
                  <w:tcBorders>
                    <w:tl2br w:val="nil"/>
                    <w:tr2bl w:val="nil"/>
                  </w:tcBorders>
                  <w:noWrap w:val="0"/>
                  <w:vAlign w:val="center"/>
                </w:tcPr>
                <w:p w14:paraId="5AE240F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eastAsia="zh-CN"/>
                    </w:rPr>
                  </w:pPr>
                </w:p>
              </w:tc>
              <w:tc>
                <w:tcPr>
                  <w:tcW w:w="906" w:type="dxa"/>
                  <w:vMerge w:val="continue"/>
                  <w:tcBorders>
                    <w:tl2br w:val="nil"/>
                    <w:tr2bl w:val="nil"/>
                  </w:tcBorders>
                  <w:noWrap w:val="0"/>
                  <w:vAlign w:val="center"/>
                </w:tcPr>
                <w:p w14:paraId="351EB5A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90" w:type="dxa"/>
                  <w:tcBorders>
                    <w:tl2br w:val="nil"/>
                    <w:tr2bl w:val="nil"/>
                  </w:tcBorders>
                  <w:shd w:val="clear" w:color="auto" w:fill="auto"/>
                  <w:noWrap w:val="0"/>
                  <w:vAlign w:val="center"/>
                </w:tcPr>
                <w:p w14:paraId="3EB488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heme="minorBidi"/>
                      <w:color w:val="FF0000"/>
                      <w:kern w:val="2"/>
                      <w:sz w:val="18"/>
                      <w:szCs w:val="18"/>
                      <w:highlight w:val="none"/>
                      <w:lang w:val="en-US" w:eastAsia="zh-CN" w:bidi="ar-SA"/>
                    </w:rPr>
                  </w:pPr>
                  <w:r>
                    <w:rPr>
                      <w:rFonts w:hint="default" w:ascii="Times New Roman" w:hAnsi="Times New Roman" w:eastAsia="宋体" w:cs="Times New Roman"/>
                      <w:i w:val="0"/>
                      <w:iCs w:val="0"/>
                      <w:color w:val="FF0000"/>
                      <w:kern w:val="0"/>
                      <w:sz w:val="18"/>
                      <w:szCs w:val="18"/>
                      <w:u w:val="none"/>
                      <w:lang w:val="en-US" w:eastAsia="zh-CN" w:bidi="ar"/>
                    </w:rPr>
                    <w:t>0.02</w:t>
                  </w:r>
                </w:p>
              </w:tc>
              <w:tc>
                <w:tcPr>
                  <w:tcW w:w="1125" w:type="dxa"/>
                  <w:tcBorders>
                    <w:tl2br w:val="nil"/>
                    <w:tr2bl w:val="nil"/>
                  </w:tcBorders>
                  <w:shd w:val="clear" w:color="auto" w:fill="auto"/>
                  <w:noWrap w:val="0"/>
                  <w:vAlign w:val="center"/>
                </w:tcPr>
                <w:p w14:paraId="4162AF6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heme="minorBidi"/>
                      <w:color w:val="FF0000"/>
                      <w:kern w:val="2"/>
                      <w:sz w:val="18"/>
                      <w:szCs w:val="18"/>
                      <w:highlight w:val="none"/>
                      <w:lang w:val="en-US" w:eastAsia="zh-CN" w:bidi="ar-SA"/>
                    </w:rPr>
                  </w:pPr>
                  <w:r>
                    <w:rPr>
                      <w:rFonts w:hint="default" w:ascii="Times New Roman" w:hAnsi="Times New Roman" w:eastAsia="宋体" w:cs="Times New Roman"/>
                      <w:i w:val="0"/>
                      <w:iCs w:val="0"/>
                      <w:color w:val="FF0000"/>
                      <w:kern w:val="0"/>
                      <w:sz w:val="18"/>
                      <w:szCs w:val="18"/>
                      <w:u w:val="none"/>
                      <w:lang w:val="en-US" w:eastAsia="zh-CN" w:bidi="ar"/>
                    </w:rPr>
                    <w:t>1.52E-04</w:t>
                  </w:r>
                </w:p>
              </w:tc>
              <w:tc>
                <w:tcPr>
                  <w:tcW w:w="1312" w:type="dxa"/>
                  <w:tcBorders>
                    <w:tl2br w:val="nil"/>
                    <w:tr2bl w:val="nil"/>
                  </w:tcBorders>
                  <w:noWrap w:val="0"/>
                  <w:vAlign w:val="center"/>
                </w:tcPr>
                <w:p w14:paraId="0E8531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lang w:val="en-US" w:eastAsia="zh-CN"/>
                    </w:rPr>
                  </w:pPr>
                  <w:r>
                    <w:rPr>
                      <w:rFonts w:hint="eastAsia"/>
                      <w:color w:val="FF0000"/>
                      <w:sz w:val="18"/>
                      <w:szCs w:val="18"/>
                      <w:highlight w:val="none"/>
                      <w:lang w:val="en-US" w:eastAsia="zh-CN"/>
                    </w:rPr>
                    <w:t>3.</w:t>
                  </w:r>
                  <w:r>
                    <w:rPr>
                      <w:rFonts w:hint="default"/>
                      <w:color w:val="FF0000"/>
                      <w:sz w:val="18"/>
                      <w:szCs w:val="18"/>
                      <w:highlight w:val="none"/>
                      <w:lang w:val="en-US" w:eastAsia="zh-CN"/>
                    </w:rPr>
                    <w:t>0</w:t>
                  </w:r>
                  <w:r>
                    <w:rPr>
                      <w:rFonts w:hint="eastAsia"/>
                      <w:color w:val="FF0000"/>
                      <w:sz w:val="18"/>
                      <w:szCs w:val="18"/>
                      <w:highlight w:val="none"/>
                      <w:lang w:val="en-US" w:eastAsia="zh-CN"/>
                    </w:rPr>
                    <w:t>4</w:t>
                  </w:r>
                  <w:r>
                    <w:rPr>
                      <w:rFonts w:hint="default"/>
                      <w:color w:val="FF0000"/>
                      <w:sz w:val="18"/>
                      <w:szCs w:val="18"/>
                      <w:highlight w:val="none"/>
                      <w:lang w:val="en-US" w:eastAsia="zh-CN"/>
                    </w:rPr>
                    <w:t>E-04</w:t>
                  </w:r>
                </w:p>
              </w:tc>
              <w:tc>
                <w:tcPr>
                  <w:tcW w:w="1447" w:type="dxa"/>
                  <w:vMerge w:val="continue"/>
                  <w:tcBorders>
                    <w:tl2br w:val="nil"/>
                    <w:tr2bl w:val="nil"/>
                  </w:tcBorders>
                  <w:noWrap w:val="0"/>
                  <w:vAlign w:val="center"/>
                </w:tcPr>
                <w:p w14:paraId="375552C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p>
              </w:tc>
            </w:tr>
            <w:tr w14:paraId="4D2A1B0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19" w:hRule="atLeast"/>
              </w:trPr>
              <w:tc>
                <w:tcPr>
                  <w:tcW w:w="803" w:type="dxa"/>
                  <w:vMerge w:val="continue"/>
                  <w:tcBorders>
                    <w:tl2br w:val="nil"/>
                    <w:tr2bl w:val="nil"/>
                  </w:tcBorders>
                  <w:noWrap w:val="0"/>
                  <w:vAlign w:val="center"/>
                </w:tcPr>
                <w:p w14:paraId="14603B2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p>
              </w:tc>
              <w:tc>
                <w:tcPr>
                  <w:tcW w:w="890" w:type="dxa"/>
                  <w:vMerge w:val="continue"/>
                  <w:tcBorders>
                    <w:tl2br w:val="nil"/>
                    <w:tr2bl w:val="nil"/>
                  </w:tcBorders>
                  <w:noWrap w:val="0"/>
                  <w:vAlign w:val="center"/>
                </w:tcPr>
                <w:p w14:paraId="59EB7C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tcBorders>
                    <w:tl2br w:val="nil"/>
                    <w:tr2bl w:val="nil"/>
                  </w:tcBorders>
                  <w:noWrap w:val="0"/>
                  <w:vAlign w:val="center"/>
                </w:tcPr>
                <w:p w14:paraId="429458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5C38DF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17B067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color w:val="auto"/>
                      <w:sz w:val="18"/>
                      <w:szCs w:val="18"/>
                      <w:highlight w:val="none"/>
                    </w:rPr>
                    <w:t>氟化物</w:t>
                  </w:r>
                </w:p>
              </w:tc>
              <w:tc>
                <w:tcPr>
                  <w:tcW w:w="702" w:type="dxa"/>
                  <w:vMerge w:val="continue"/>
                  <w:tcBorders>
                    <w:tl2br w:val="nil"/>
                    <w:tr2bl w:val="nil"/>
                  </w:tcBorders>
                  <w:noWrap w:val="0"/>
                  <w:vAlign w:val="center"/>
                </w:tcPr>
                <w:p w14:paraId="2B4C90D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val="en-US" w:eastAsia="zh-CN"/>
                    </w:rPr>
                  </w:pPr>
                </w:p>
              </w:tc>
              <w:tc>
                <w:tcPr>
                  <w:tcW w:w="942" w:type="dxa"/>
                  <w:vMerge w:val="continue"/>
                  <w:tcBorders>
                    <w:tl2br w:val="nil"/>
                    <w:tr2bl w:val="nil"/>
                  </w:tcBorders>
                  <w:noWrap w:val="0"/>
                  <w:vAlign w:val="center"/>
                </w:tcPr>
                <w:p w14:paraId="5BAB76F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val="en-US" w:eastAsia="zh-CN"/>
                    </w:rPr>
                  </w:pPr>
                </w:p>
              </w:tc>
              <w:tc>
                <w:tcPr>
                  <w:tcW w:w="1550" w:type="dxa"/>
                  <w:vMerge w:val="continue"/>
                  <w:tcBorders>
                    <w:tl2br w:val="nil"/>
                    <w:tr2bl w:val="nil"/>
                  </w:tcBorders>
                  <w:noWrap w:val="0"/>
                  <w:vAlign w:val="center"/>
                </w:tcPr>
                <w:p w14:paraId="0E1EB05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eastAsia="zh-CN"/>
                    </w:rPr>
                  </w:pPr>
                </w:p>
              </w:tc>
              <w:tc>
                <w:tcPr>
                  <w:tcW w:w="906" w:type="dxa"/>
                  <w:vMerge w:val="continue"/>
                  <w:tcBorders>
                    <w:tl2br w:val="nil"/>
                    <w:tr2bl w:val="nil"/>
                  </w:tcBorders>
                  <w:noWrap w:val="0"/>
                  <w:vAlign w:val="center"/>
                </w:tcPr>
                <w:p w14:paraId="33828B6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90" w:type="dxa"/>
                  <w:tcBorders>
                    <w:tl2br w:val="nil"/>
                    <w:tr2bl w:val="nil"/>
                  </w:tcBorders>
                  <w:shd w:val="clear" w:color="auto" w:fill="auto"/>
                  <w:noWrap w:val="0"/>
                  <w:vAlign w:val="center"/>
                </w:tcPr>
                <w:p w14:paraId="2848855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heme="minorBidi"/>
                      <w:color w:val="FF0000"/>
                      <w:kern w:val="2"/>
                      <w:sz w:val="18"/>
                      <w:szCs w:val="18"/>
                      <w:highlight w:val="none"/>
                      <w:lang w:val="en-US" w:eastAsia="zh-CN" w:bidi="ar-SA"/>
                    </w:rPr>
                  </w:pPr>
                  <w:r>
                    <w:rPr>
                      <w:rFonts w:hint="default" w:ascii="Times New Roman" w:hAnsi="Times New Roman" w:eastAsia="宋体" w:cs="Times New Roman"/>
                      <w:i w:val="0"/>
                      <w:iCs w:val="0"/>
                      <w:color w:val="FF0000"/>
                      <w:kern w:val="0"/>
                      <w:sz w:val="18"/>
                      <w:szCs w:val="18"/>
                      <w:u w:val="none"/>
                      <w:lang w:val="en-US" w:eastAsia="zh-CN" w:bidi="ar"/>
                    </w:rPr>
                    <w:t>37.98</w:t>
                  </w:r>
                </w:p>
              </w:tc>
              <w:tc>
                <w:tcPr>
                  <w:tcW w:w="1125" w:type="dxa"/>
                  <w:tcBorders>
                    <w:tl2br w:val="nil"/>
                    <w:tr2bl w:val="nil"/>
                  </w:tcBorders>
                  <w:shd w:val="clear" w:color="auto" w:fill="auto"/>
                  <w:noWrap w:val="0"/>
                  <w:vAlign w:val="center"/>
                </w:tcPr>
                <w:p w14:paraId="51C9D35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heme="minorBidi"/>
                      <w:color w:val="FF0000"/>
                      <w:kern w:val="2"/>
                      <w:sz w:val="18"/>
                      <w:szCs w:val="18"/>
                      <w:highlight w:val="none"/>
                      <w:lang w:val="en-US" w:eastAsia="zh-CN" w:bidi="ar-SA"/>
                    </w:rPr>
                  </w:pPr>
                  <w:r>
                    <w:rPr>
                      <w:rFonts w:hint="default" w:ascii="Times New Roman" w:hAnsi="Times New Roman" w:eastAsia="宋体" w:cs="Times New Roman"/>
                      <w:i w:val="0"/>
                      <w:iCs w:val="0"/>
                      <w:color w:val="FF0000"/>
                      <w:kern w:val="0"/>
                      <w:sz w:val="18"/>
                      <w:szCs w:val="18"/>
                      <w:u w:val="none"/>
                      <w:lang w:val="en-US" w:eastAsia="zh-CN" w:bidi="ar"/>
                    </w:rPr>
                    <w:t>0.304</w:t>
                  </w:r>
                </w:p>
              </w:tc>
              <w:tc>
                <w:tcPr>
                  <w:tcW w:w="1312" w:type="dxa"/>
                  <w:tcBorders>
                    <w:tl2br w:val="nil"/>
                    <w:tr2bl w:val="nil"/>
                  </w:tcBorders>
                  <w:noWrap w:val="0"/>
                  <w:vAlign w:val="center"/>
                </w:tcPr>
                <w:p w14:paraId="3577045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eastAsia"/>
                      <w:color w:val="FF0000"/>
                      <w:sz w:val="18"/>
                      <w:szCs w:val="18"/>
                      <w:highlight w:val="none"/>
                      <w:lang w:val="en-US" w:eastAsia="zh-CN"/>
                    </w:rPr>
                    <w:t>0.608</w:t>
                  </w:r>
                </w:p>
              </w:tc>
              <w:tc>
                <w:tcPr>
                  <w:tcW w:w="1447" w:type="dxa"/>
                  <w:vMerge w:val="continue"/>
                  <w:tcBorders>
                    <w:tl2br w:val="nil"/>
                    <w:tr2bl w:val="nil"/>
                  </w:tcBorders>
                  <w:noWrap w:val="0"/>
                  <w:vAlign w:val="center"/>
                </w:tcPr>
                <w:p w14:paraId="5E53F2D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p>
              </w:tc>
            </w:tr>
            <w:tr w14:paraId="0D1A0DF2">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19" w:hRule="atLeast"/>
              </w:trPr>
              <w:tc>
                <w:tcPr>
                  <w:tcW w:w="803" w:type="dxa"/>
                  <w:vMerge w:val="restart"/>
                  <w:tcBorders>
                    <w:tl2br w:val="nil"/>
                    <w:tr2bl w:val="nil"/>
                  </w:tcBorders>
                  <w:noWrap w:val="0"/>
                  <w:vAlign w:val="center"/>
                </w:tcPr>
                <w:p w14:paraId="4240F30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r>
                    <w:rPr>
                      <w:rFonts w:hint="eastAsia" w:ascii="Times New Roman" w:hAnsi="Times New Roman" w:eastAsia="宋体" w:cs="Times New Roman"/>
                      <w:color w:val="auto"/>
                      <w:sz w:val="18"/>
                      <w:szCs w:val="18"/>
                      <w:highlight w:val="none"/>
                      <w:lang w:eastAsia="zh-CN"/>
                    </w:rPr>
                    <w:t>破碎</w:t>
                  </w:r>
                  <w:r>
                    <w:rPr>
                      <w:rFonts w:hint="eastAsia" w:cs="Times New Roman"/>
                      <w:color w:val="auto"/>
                      <w:sz w:val="18"/>
                      <w:szCs w:val="18"/>
                      <w:highlight w:val="none"/>
                      <w:lang w:eastAsia="zh-CN"/>
                    </w:rPr>
                    <w:t>及</w:t>
                  </w:r>
                  <w:r>
                    <w:rPr>
                      <w:rFonts w:hint="eastAsia" w:ascii="Times New Roman" w:hAnsi="Times New Roman" w:eastAsia="宋体" w:cs="Times New Roman"/>
                      <w:color w:val="auto"/>
                      <w:sz w:val="18"/>
                      <w:szCs w:val="18"/>
                      <w:highlight w:val="none"/>
                      <w:lang w:eastAsia="zh-CN"/>
                    </w:rPr>
                    <w:t>筛分</w:t>
                  </w:r>
                </w:p>
              </w:tc>
              <w:tc>
                <w:tcPr>
                  <w:tcW w:w="890" w:type="dxa"/>
                  <w:vMerge w:val="continue"/>
                  <w:tcBorders>
                    <w:tl2br w:val="nil"/>
                    <w:tr2bl w:val="nil"/>
                  </w:tcBorders>
                  <w:noWrap w:val="0"/>
                  <w:vAlign w:val="center"/>
                </w:tcPr>
                <w:p w14:paraId="35784F6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tcBorders>
                    <w:tl2br w:val="nil"/>
                    <w:tr2bl w:val="nil"/>
                  </w:tcBorders>
                  <w:noWrap w:val="0"/>
                  <w:vAlign w:val="center"/>
                </w:tcPr>
                <w:p w14:paraId="331C04F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7871CC9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3ED4038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ascii="Times New Roman" w:hAnsi="Times New Roman" w:eastAsia="宋体" w:cs="Times New Roman"/>
                      <w:color w:val="auto"/>
                      <w:spacing w:val="0"/>
                      <w:sz w:val="18"/>
                      <w:szCs w:val="18"/>
                      <w:highlight w:val="none"/>
                      <w:lang w:val="en-US" w:eastAsia="zh-CN"/>
                    </w:rPr>
                    <w:t>颗粒物</w:t>
                  </w:r>
                </w:p>
              </w:tc>
              <w:tc>
                <w:tcPr>
                  <w:tcW w:w="702" w:type="dxa"/>
                  <w:vMerge w:val="restart"/>
                  <w:tcBorders>
                    <w:tl2br w:val="nil"/>
                    <w:tr2bl w:val="nil"/>
                  </w:tcBorders>
                  <w:noWrap w:val="0"/>
                  <w:vAlign w:val="center"/>
                </w:tcPr>
                <w:p w14:paraId="6DAFC258">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eastAsia="宋体"/>
                      <w:color w:val="auto"/>
                      <w:sz w:val="18"/>
                      <w:szCs w:val="18"/>
                      <w:highlight w:val="none"/>
                      <w:lang w:val="en-US" w:eastAsia="zh-CN"/>
                    </w:rPr>
                    <w:t>8000</w:t>
                  </w:r>
                </w:p>
              </w:tc>
              <w:tc>
                <w:tcPr>
                  <w:tcW w:w="942" w:type="dxa"/>
                  <w:vMerge w:val="restart"/>
                  <w:tcBorders>
                    <w:tl2br w:val="nil"/>
                    <w:tr2bl w:val="nil"/>
                  </w:tcBorders>
                  <w:noWrap w:val="0"/>
                  <w:vAlign w:val="center"/>
                </w:tcPr>
                <w:p w14:paraId="4F0BCF1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lang w:val="en-US" w:eastAsia="zh-CN"/>
                    </w:rPr>
                  </w:pPr>
                  <w:r>
                    <w:rPr>
                      <w:rFonts w:hint="eastAsia"/>
                      <w:color w:val="auto"/>
                      <w:sz w:val="18"/>
                      <w:szCs w:val="18"/>
                      <w:highlight w:val="none"/>
                      <w:lang w:val="en-US" w:eastAsia="zh-CN"/>
                    </w:rPr>
                    <w:t>0</w:t>
                  </w:r>
                </w:p>
              </w:tc>
              <w:tc>
                <w:tcPr>
                  <w:tcW w:w="1550" w:type="dxa"/>
                  <w:vMerge w:val="restart"/>
                  <w:tcBorders>
                    <w:tl2br w:val="nil"/>
                    <w:tr2bl w:val="nil"/>
                  </w:tcBorders>
                  <w:noWrap w:val="0"/>
                  <w:vAlign w:val="center"/>
                </w:tcPr>
                <w:p w14:paraId="04C80A1C">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firstLine="0" w:firstLineChars="0"/>
                    <w:jc w:val="center"/>
                    <w:textAlignment w:val="center"/>
                    <w:rPr>
                      <w:rFonts w:hint="eastAsia"/>
                      <w:color w:val="auto"/>
                      <w:sz w:val="18"/>
                      <w:szCs w:val="18"/>
                      <w:highlight w:val="none"/>
                      <w:lang w:eastAsia="zh-CN"/>
                    </w:rPr>
                  </w:pPr>
                  <w:r>
                    <w:rPr>
                      <w:rFonts w:hint="eastAsia" w:ascii="宋体" w:hAnsi="宋体" w:eastAsia="宋体" w:cs="宋体"/>
                      <w:i w:val="0"/>
                      <w:iCs w:val="0"/>
                      <w:color w:val="auto"/>
                      <w:kern w:val="0"/>
                      <w:sz w:val="21"/>
                      <w:szCs w:val="21"/>
                      <w:highlight w:val="none"/>
                      <w:u w:val="none"/>
                      <w:lang w:val="en-US" w:eastAsia="zh-CN" w:bidi="ar"/>
                    </w:rPr>
                    <w:t>集气罩</w:t>
                  </w:r>
                  <w:r>
                    <w:rPr>
                      <w:rFonts w:hint="default" w:ascii="Times New Roman" w:hAnsi="Times New Roman" w:eastAsia="宋体" w:cs="Times New Roman"/>
                      <w:i w:val="0"/>
                      <w:iCs w:val="0"/>
                      <w:color w:val="auto"/>
                      <w:kern w:val="0"/>
                      <w:sz w:val="21"/>
                      <w:szCs w:val="21"/>
                      <w:highlight w:val="none"/>
                      <w:u w:val="none"/>
                      <w:lang w:val="en-US" w:eastAsia="zh-CN" w:bidi="ar"/>
                    </w:rPr>
                    <w:t>+</w:t>
                  </w:r>
                  <w:r>
                    <w:rPr>
                      <w:rFonts w:hint="eastAsia" w:ascii="宋体" w:hAnsi="宋体" w:eastAsia="宋体" w:cs="宋体"/>
                      <w:i w:val="0"/>
                      <w:iCs w:val="0"/>
                      <w:color w:val="auto"/>
                      <w:kern w:val="0"/>
                      <w:sz w:val="21"/>
                      <w:szCs w:val="21"/>
                      <w:highlight w:val="none"/>
                      <w:u w:val="none"/>
                      <w:lang w:val="en-US" w:eastAsia="zh-CN" w:bidi="ar"/>
                    </w:rPr>
                    <w:t>布袋除尘</w:t>
                  </w:r>
                </w:p>
              </w:tc>
              <w:tc>
                <w:tcPr>
                  <w:tcW w:w="906" w:type="dxa"/>
                  <w:vMerge w:val="restart"/>
                  <w:tcBorders>
                    <w:tl2br w:val="nil"/>
                    <w:tr2bl w:val="nil"/>
                  </w:tcBorders>
                  <w:noWrap w:val="0"/>
                  <w:vAlign w:val="center"/>
                </w:tcPr>
                <w:p w14:paraId="4AAD6B3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DA004</w:t>
                  </w:r>
                </w:p>
              </w:tc>
              <w:tc>
                <w:tcPr>
                  <w:tcW w:w="990" w:type="dxa"/>
                  <w:tcBorders>
                    <w:tl2br w:val="nil"/>
                    <w:tr2bl w:val="nil"/>
                  </w:tcBorders>
                  <w:shd w:val="clear" w:color="auto" w:fill="auto"/>
                  <w:noWrap w:val="0"/>
                  <w:vAlign w:val="center"/>
                </w:tcPr>
                <w:p w14:paraId="237E2A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1011.72</w:t>
                  </w:r>
                </w:p>
              </w:tc>
              <w:tc>
                <w:tcPr>
                  <w:tcW w:w="1125" w:type="dxa"/>
                  <w:tcBorders>
                    <w:tl2br w:val="nil"/>
                    <w:tr2bl w:val="nil"/>
                  </w:tcBorders>
                  <w:shd w:val="clear" w:color="auto" w:fill="auto"/>
                  <w:noWrap w:val="0"/>
                  <w:vAlign w:val="center"/>
                </w:tcPr>
                <w:p w14:paraId="68579BC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8.09</w:t>
                  </w:r>
                </w:p>
              </w:tc>
              <w:tc>
                <w:tcPr>
                  <w:tcW w:w="1312" w:type="dxa"/>
                  <w:tcBorders>
                    <w:tl2br w:val="nil"/>
                    <w:tr2bl w:val="nil"/>
                  </w:tcBorders>
                  <w:noWrap w:val="0"/>
                  <w:vAlign w:val="center"/>
                </w:tcPr>
                <w:p w14:paraId="6666E15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18"/>
                      <w:szCs w:val="18"/>
                      <w:highlight w:val="none"/>
                      <w:lang w:val="en-US" w:eastAsia="zh-CN"/>
                    </w:rPr>
                  </w:pPr>
                  <w:r>
                    <w:rPr>
                      <w:rFonts w:hint="eastAsia"/>
                      <w:color w:val="auto"/>
                      <w:sz w:val="18"/>
                      <w:szCs w:val="18"/>
                      <w:highlight w:val="none"/>
                      <w:lang w:val="en-US" w:eastAsia="zh-CN"/>
                    </w:rPr>
                    <w:t>16.18</w:t>
                  </w:r>
                </w:p>
              </w:tc>
              <w:tc>
                <w:tcPr>
                  <w:tcW w:w="1447" w:type="dxa"/>
                  <w:vMerge w:val="continue"/>
                  <w:tcBorders>
                    <w:tl2br w:val="nil"/>
                    <w:tr2bl w:val="nil"/>
                  </w:tcBorders>
                  <w:noWrap w:val="0"/>
                  <w:vAlign w:val="center"/>
                </w:tcPr>
                <w:p w14:paraId="23FF73A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p>
              </w:tc>
            </w:tr>
            <w:tr w14:paraId="5BDEE23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19" w:hRule="atLeast"/>
              </w:trPr>
              <w:tc>
                <w:tcPr>
                  <w:tcW w:w="803" w:type="dxa"/>
                  <w:vMerge w:val="continue"/>
                  <w:tcBorders>
                    <w:tl2br w:val="nil"/>
                    <w:tr2bl w:val="nil"/>
                  </w:tcBorders>
                  <w:noWrap w:val="0"/>
                  <w:vAlign w:val="center"/>
                </w:tcPr>
                <w:p w14:paraId="30ACDD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p>
              </w:tc>
              <w:tc>
                <w:tcPr>
                  <w:tcW w:w="890" w:type="dxa"/>
                  <w:vMerge w:val="continue"/>
                  <w:tcBorders>
                    <w:tl2br w:val="nil"/>
                    <w:tr2bl w:val="nil"/>
                  </w:tcBorders>
                  <w:noWrap w:val="0"/>
                  <w:vAlign w:val="center"/>
                </w:tcPr>
                <w:p w14:paraId="12473F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tcBorders>
                    <w:tl2br w:val="nil"/>
                    <w:tr2bl w:val="nil"/>
                  </w:tcBorders>
                  <w:noWrap w:val="0"/>
                  <w:vAlign w:val="center"/>
                </w:tcPr>
                <w:p w14:paraId="7B23FAE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5BB038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4855EDC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ascii="Times New Roman" w:hAnsi="Times New Roman" w:eastAsia="宋体" w:cs="Times New Roman"/>
                      <w:color w:val="auto"/>
                      <w:spacing w:val="0"/>
                      <w:sz w:val="18"/>
                      <w:szCs w:val="18"/>
                      <w:highlight w:val="none"/>
                      <w:lang w:val="en-US" w:eastAsia="zh-CN"/>
                    </w:rPr>
                    <w:t>铊及其化合物</w:t>
                  </w:r>
                </w:p>
              </w:tc>
              <w:tc>
                <w:tcPr>
                  <w:tcW w:w="702" w:type="dxa"/>
                  <w:vMerge w:val="continue"/>
                  <w:tcBorders>
                    <w:tl2br w:val="nil"/>
                    <w:tr2bl w:val="nil"/>
                  </w:tcBorders>
                  <w:noWrap w:val="0"/>
                  <w:vAlign w:val="center"/>
                </w:tcPr>
                <w:p w14:paraId="659B1F2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val="en-US" w:eastAsia="zh-CN"/>
                    </w:rPr>
                  </w:pPr>
                </w:p>
              </w:tc>
              <w:tc>
                <w:tcPr>
                  <w:tcW w:w="942" w:type="dxa"/>
                  <w:vMerge w:val="continue"/>
                  <w:tcBorders>
                    <w:tl2br w:val="nil"/>
                    <w:tr2bl w:val="nil"/>
                  </w:tcBorders>
                  <w:noWrap w:val="0"/>
                  <w:vAlign w:val="center"/>
                </w:tcPr>
                <w:p w14:paraId="55DB3D5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val="en-US" w:eastAsia="zh-CN"/>
                    </w:rPr>
                  </w:pPr>
                </w:p>
              </w:tc>
              <w:tc>
                <w:tcPr>
                  <w:tcW w:w="1550" w:type="dxa"/>
                  <w:vMerge w:val="continue"/>
                  <w:tcBorders>
                    <w:tl2br w:val="nil"/>
                    <w:tr2bl w:val="nil"/>
                  </w:tcBorders>
                  <w:noWrap w:val="0"/>
                  <w:vAlign w:val="center"/>
                </w:tcPr>
                <w:p w14:paraId="16FBC02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eastAsia="zh-CN"/>
                    </w:rPr>
                  </w:pPr>
                </w:p>
              </w:tc>
              <w:tc>
                <w:tcPr>
                  <w:tcW w:w="906" w:type="dxa"/>
                  <w:vMerge w:val="continue"/>
                  <w:tcBorders>
                    <w:tl2br w:val="nil"/>
                    <w:tr2bl w:val="nil"/>
                  </w:tcBorders>
                  <w:noWrap w:val="0"/>
                  <w:vAlign w:val="center"/>
                </w:tcPr>
                <w:p w14:paraId="2C94ACC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90" w:type="dxa"/>
                  <w:tcBorders>
                    <w:tl2br w:val="nil"/>
                    <w:tr2bl w:val="nil"/>
                  </w:tcBorders>
                  <w:shd w:val="clear" w:color="auto" w:fill="auto"/>
                  <w:noWrap w:val="0"/>
                  <w:vAlign w:val="center"/>
                </w:tcPr>
                <w:p w14:paraId="016440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0.009</w:t>
                  </w:r>
                </w:p>
              </w:tc>
              <w:tc>
                <w:tcPr>
                  <w:tcW w:w="1125" w:type="dxa"/>
                  <w:tcBorders>
                    <w:tl2br w:val="nil"/>
                    <w:tr2bl w:val="nil"/>
                  </w:tcBorders>
                  <w:shd w:val="clear" w:color="auto" w:fill="auto"/>
                  <w:noWrap w:val="0"/>
                  <w:vAlign w:val="center"/>
                </w:tcPr>
                <w:p w14:paraId="4F7638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7.56E-05</w:t>
                  </w:r>
                </w:p>
              </w:tc>
              <w:tc>
                <w:tcPr>
                  <w:tcW w:w="1312" w:type="dxa"/>
                  <w:tcBorders>
                    <w:tl2br w:val="nil"/>
                    <w:tr2bl w:val="nil"/>
                  </w:tcBorders>
                  <w:noWrap w:val="0"/>
                  <w:vAlign w:val="center"/>
                </w:tcPr>
                <w:p w14:paraId="2E9D382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18"/>
                      <w:szCs w:val="18"/>
                      <w:highlight w:val="none"/>
                      <w:lang w:val="en-US" w:eastAsia="zh-CN"/>
                    </w:rPr>
                  </w:pPr>
                  <w:r>
                    <w:rPr>
                      <w:rFonts w:hint="eastAsia"/>
                      <w:color w:val="auto"/>
                      <w:sz w:val="18"/>
                      <w:szCs w:val="18"/>
                      <w:highlight w:val="none"/>
                      <w:lang w:val="en-US" w:eastAsia="zh-CN"/>
                    </w:rPr>
                    <w:t>1.51</w:t>
                  </w:r>
                  <w:r>
                    <w:rPr>
                      <w:rFonts w:hint="default"/>
                      <w:color w:val="auto"/>
                      <w:sz w:val="18"/>
                      <w:szCs w:val="18"/>
                      <w:highlight w:val="none"/>
                      <w:lang w:val="en-US" w:eastAsia="zh-CN"/>
                    </w:rPr>
                    <w:t>E-0</w:t>
                  </w:r>
                  <w:r>
                    <w:rPr>
                      <w:rFonts w:hint="eastAsia"/>
                      <w:color w:val="auto"/>
                      <w:sz w:val="18"/>
                      <w:szCs w:val="18"/>
                      <w:highlight w:val="none"/>
                      <w:lang w:val="en-US" w:eastAsia="zh-CN"/>
                    </w:rPr>
                    <w:t>4</w:t>
                  </w:r>
                </w:p>
              </w:tc>
              <w:tc>
                <w:tcPr>
                  <w:tcW w:w="1447" w:type="dxa"/>
                  <w:vMerge w:val="continue"/>
                  <w:tcBorders>
                    <w:tl2br w:val="nil"/>
                    <w:tr2bl w:val="nil"/>
                  </w:tcBorders>
                  <w:noWrap w:val="0"/>
                  <w:vAlign w:val="center"/>
                </w:tcPr>
                <w:p w14:paraId="51CD42E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p>
              </w:tc>
            </w:tr>
            <w:tr w14:paraId="74E0AB9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19" w:hRule="atLeast"/>
              </w:trPr>
              <w:tc>
                <w:tcPr>
                  <w:tcW w:w="803" w:type="dxa"/>
                  <w:vMerge w:val="continue"/>
                  <w:tcBorders>
                    <w:tl2br w:val="nil"/>
                    <w:tr2bl w:val="nil"/>
                  </w:tcBorders>
                  <w:noWrap w:val="0"/>
                  <w:vAlign w:val="center"/>
                </w:tcPr>
                <w:p w14:paraId="506314C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z w:val="18"/>
                      <w:szCs w:val="18"/>
                      <w:highlight w:val="none"/>
                      <w:lang w:eastAsia="zh-CN"/>
                    </w:rPr>
                  </w:pPr>
                </w:p>
              </w:tc>
              <w:tc>
                <w:tcPr>
                  <w:tcW w:w="890" w:type="dxa"/>
                  <w:vMerge w:val="continue"/>
                  <w:tcBorders>
                    <w:tl2br w:val="nil"/>
                    <w:tr2bl w:val="nil"/>
                  </w:tcBorders>
                  <w:noWrap w:val="0"/>
                  <w:vAlign w:val="center"/>
                </w:tcPr>
                <w:p w14:paraId="669689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848" w:type="dxa"/>
                  <w:tcBorders>
                    <w:tl2br w:val="nil"/>
                    <w:tr2bl w:val="nil"/>
                  </w:tcBorders>
                  <w:noWrap w:val="0"/>
                  <w:vAlign w:val="center"/>
                </w:tcPr>
                <w:p w14:paraId="6E83CC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color w:val="auto"/>
                      <w:sz w:val="18"/>
                      <w:szCs w:val="18"/>
                      <w:highlight w:val="none"/>
                      <w:lang w:val="en-US" w:eastAsia="zh-CN"/>
                    </w:rPr>
                  </w:pPr>
                  <w:r>
                    <w:rPr>
                      <w:rFonts w:hint="eastAsia"/>
                      <w:color w:val="auto"/>
                      <w:sz w:val="18"/>
                      <w:szCs w:val="18"/>
                      <w:highlight w:val="none"/>
                      <w:lang w:val="en-US" w:eastAsia="zh-CN"/>
                    </w:rPr>
                    <w:t>1</w:t>
                  </w:r>
                </w:p>
              </w:tc>
              <w:tc>
                <w:tcPr>
                  <w:tcW w:w="863" w:type="dxa"/>
                  <w:tcBorders>
                    <w:tl2br w:val="nil"/>
                    <w:tr2bl w:val="nil"/>
                  </w:tcBorders>
                  <w:noWrap w:val="0"/>
                  <w:vAlign w:val="center"/>
                </w:tcPr>
                <w:p w14:paraId="3659ABC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color w:val="auto"/>
                      <w:sz w:val="18"/>
                      <w:szCs w:val="18"/>
                      <w:highlight w:val="none"/>
                    </w:rPr>
                  </w:pPr>
                  <w:r>
                    <w:rPr>
                      <w:rFonts w:hint="eastAsia"/>
                      <w:color w:val="auto"/>
                      <w:sz w:val="18"/>
                      <w:szCs w:val="18"/>
                      <w:highlight w:val="none"/>
                      <w:lang w:val="en-US" w:eastAsia="zh-CN"/>
                    </w:rPr>
                    <w:t>2</w:t>
                  </w:r>
                </w:p>
              </w:tc>
              <w:tc>
                <w:tcPr>
                  <w:tcW w:w="1264" w:type="dxa"/>
                  <w:tcBorders>
                    <w:tl2br w:val="nil"/>
                    <w:tr2bl w:val="nil"/>
                  </w:tcBorders>
                  <w:noWrap w:val="0"/>
                  <w:vAlign w:val="center"/>
                </w:tcPr>
                <w:p w14:paraId="58A6FC90">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ascii="Times New Roman" w:hAnsi="Times New Roman" w:eastAsia="宋体" w:cs="Times New Roman"/>
                      <w:color w:val="auto"/>
                      <w:spacing w:val="0"/>
                      <w:sz w:val="18"/>
                      <w:szCs w:val="18"/>
                      <w:highlight w:val="none"/>
                      <w:lang w:val="en-US" w:eastAsia="zh-CN"/>
                    </w:rPr>
                  </w:pPr>
                  <w:r>
                    <w:rPr>
                      <w:rFonts w:hint="eastAsia"/>
                      <w:color w:val="auto"/>
                      <w:sz w:val="18"/>
                      <w:szCs w:val="18"/>
                      <w:highlight w:val="none"/>
                    </w:rPr>
                    <w:t>氟化物</w:t>
                  </w:r>
                </w:p>
              </w:tc>
              <w:tc>
                <w:tcPr>
                  <w:tcW w:w="702" w:type="dxa"/>
                  <w:vMerge w:val="continue"/>
                  <w:tcBorders>
                    <w:tl2br w:val="nil"/>
                    <w:tr2bl w:val="nil"/>
                  </w:tcBorders>
                  <w:noWrap w:val="0"/>
                  <w:vAlign w:val="center"/>
                </w:tcPr>
                <w:p w14:paraId="602880E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eastAsia="宋体"/>
                      <w:color w:val="auto"/>
                      <w:sz w:val="18"/>
                      <w:szCs w:val="18"/>
                      <w:highlight w:val="none"/>
                      <w:lang w:val="en-US" w:eastAsia="zh-CN"/>
                    </w:rPr>
                  </w:pPr>
                </w:p>
              </w:tc>
              <w:tc>
                <w:tcPr>
                  <w:tcW w:w="942" w:type="dxa"/>
                  <w:vMerge w:val="continue"/>
                  <w:tcBorders>
                    <w:tl2br w:val="nil"/>
                    <w:tr2bl w:val="nil"/>
                  </w:tcBorders>
                  <w:noWrap w:val="0"/>
                  <w:vAlign w:val="center"/>
                </w:tcPr>
                <w:p w14:paraId="32A60C0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val="en-US" w:eastAsia="zh-CN"/>
                    </w:rPr>
                  </w:pPr>
                </w:p>
              </w:tc>
              <w:tc>
                <w:tcPr>
                  <w:tcW w:w="1550" w:type="dxa"/>
                  <w:vMerge w:val="continue"/>
                  <w:tcBorders>
                    <w:tl2br w:val="nil"/>
                    <w:tr2bl w:val="nil"/>
                  </w:tcBorders>
                  <w:noWrap w:val="0"/>
                  <w:vAlign w:val="center"/>
                </w:tcPr>
                <w:p w14:paraId="69EAAD0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eastAsia"/>
                      <w:color w:val="auto"/>
                      <w:sz w:val="18"/>
                      <w:szCs w:val="18"/>
                      <w:highlight w:val="none"/>
                      <w:lang w:eastAsia="zh-CN"/>
                    </w:rPr>
                  </w:pPr>
                </w:p>
              </w:tc>
              <w:tc>
                <w:tcPr>
                  <w:tcW w:w="906" w:type="dxa"/>
                  <w:vMerge w:val="continue"/>
                  <w:tcBorders>
                    <w:tl2br w:val="nil"/>
                    <w:tr2bl w:val="nil"/>
                  </w:tcBorders>
                  <w:noWrap w:val="0"/>
                  <w:vAlign w:val="center"/>
                </w:tcPr>
                <w:p w14:paraId="67F9D011">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color w:val="auto"/>
                      <w:sz w:val="18"/>
                      <w:szCs w:val="18"/>
                      <w:highlight w:val="none"/>
                    </w:rPr>
                  </w:pPr>
                </w:p>
              </w:tc>
              <w:tc>
                <w:tcPr>
                  <w:tcW w:w="990" w:type="dxa"/>
                  <w:tcBorders>
                    <w:tl2br w:val="nil"/>
                    <w:tr2bl w:val="nil"/>
                  </w:tcBorders>
                  <w:shd w:val="clear" w:color="auto" w:fill="auto"/>
                  <w:noWrap w:val="0"/>
                  <w:vAlign w:val="center"/>
                </w:tcPr>
                <w:p w14:paraId="18BE3F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18.92</w:t>
                  </w:r>
                </w:p>
              </w:tc>
              <w:tc>
                <w:tcPr>
                  <w:tcW w:w="1125" w:type="dxa"/>
                  <w:tcBorders>
                    <w:tl2br w:val="nil"/>
                    <w:tr2bl w:val="nil"/>
                  </w:tcBorders>
                  <w:shd w:val="clear" w:color="auto" w:fill="auto"/>
                  <w:noWrap w:val="0"/>
                  <w:vAlign w:val="center"/>
                </w:tcPr>
                <w:p w14:paraId="67E17A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heme="minorBidi"/>
                      <w:color w:val="auto"/>
                      <w:kern w:val="2"/>
                      <w:sz w:val="18"/>
                      <w:szCs w:val="18"/>
                      <w:highlight w:val="none"/>
                      <w:lang w:val="en-US" w:eastAsia="zh-CN" w:bidi="ar-SA"/>
                    </w:rPr>
                  </w:pPr>
                  <w:r>
                    <w:rPr>
                      <w:rFonts w:hint="default"/>
                      <w:color w:val="auto"/>
                      <w:sz w:val="18"/>
                      <w:szCs w:val="18"/>
                      <w:highlight w:val="none"/>
                      <w:lang w:val="en-US" w:eastAsia="zh-CN"/>
                    </w:rPr>
                    <w:t>0.15</w:t>
                  </w:r>
                </w:p>
              </w:tc>
              <w:tc>
                <w:tcPr>
                  <w:tcW w:w="1312" w:type="dxa"/>
                  <w:tcBorders>
                    <w:tl2br w:val="nil"/>
                    <w:tr2bl w:val="nil"/>
                  </w:tcBorders>
                  <w:noWrap w:val="0"/>
                  <w:vAlign w:val="center"/>
                </w:tcPr>
                <w:p w14:paraId="7C55D3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18"/>
                      <w:szCs w:val="18"/>
                      <w:highlight w:val="none"/>
                      <w:lang w:val="en-US" w:eastAsia="zh-CN"/>
                    </w:rPr>
                  </w:pPr>
                  <w:r>
                    <w:rPr>
                      <w:rFonts w:hint="eastAsia"/>
                      <w:color w:val="auto"/>
                      <w:sz w:val="18"/>
                      <w:szCs w:val="18"/>
                      <w:highlight w:val="none"/>
                      <w:lang w:val="en-US" w:eastAsia="zh-CN"/>
                    </w:rPr>
                    <w:t>0.3</w:t>
                  </w:r>
                </w:p>
              </w:tc>
              <w:tc>
                <w:tcPr>
                  <w:tcW w:w="1447" w:type="dxa"/>
                  <w:vMerge w:val="continue"/>
                  <w:tcBorders>
                    <w:tl2br w:val="nil"/>
                    <w:tr2bl w:val="nil"/>
                  </w:tcBorders>
                  <w:noWrap w:val="0"/>
                  <w:vAlign w:val="center"/>
                </w:tcPr>
                <w:p w14:paraId="018062B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rPr>
                      <w:rFonts w:hint="default" w:eastAsia="宋体"/>
                      <w:color w:val="auto"/>
                      <w:sz w:val="18"/>
                      <w:szCs w:val="18"/>
                      <w:highlight w:val="none"/>
                      <w:lang w:val="en-US" w:eastAsia="zh-CN"/>
                    </w:rPr>
                  </w:pPr>
                </w:p>
              </w:tc>
            </w:tr>
          </w:tbl>
          <w:p w14:paraId="578091D5">
            <w:pPr>
              <w:pStyle w:val="85"/>
              <w:keepLines w:val="0"/>
              <w:numPr>
                <w:ilvl w:val="0"/>
                <w:numId w:val="0"/>
              </w:numPr>
              <w:suppressLineNumbers w:val="0"/>
              <w:spacing w:before="0" w:beforeLines="0" w:beforeAutospacing="0" w:after="0" w:afterAutospacing="0"/>
              <w:ind w:right="0" w:firstLine="420" w:firstLineChars="200"/>
              <w:jc w:val="both"/>
              <w:rPr>
                <w:rFonts w:hint="eastAsia"/>
                <w:color w:val="auto"/>
                <w:sz w:val="21"/>
                <w:highlight w:val="none"/>
              </w:rPr>
            </w:pPr>
          </w:p>
          <w:p w14:paraId="44C6938F">
            <w:pPr>
              <w:pStyle w:val="23"/>
              <w:keepNext w:val="0"/>
              <w:keepLines w:val="0"/>
              <w:suppressLineNumbers w:val="0"/>
              <w:spacing w:before="0" w:beforeAutospacing="0" w:after="0" w:afterAutospacing="0" w:line="360" w:lineRule="auto"/>
              <w:ind w:left="0" w:right="0" w:firstLine="0" w:firstLineChars="0"/>
              <w:rPr>
                <w:rFonts w:hint="default"/>
                <w:b/>
                <w:bCs/>
                <w:color w:val="auto"/>
                <w:sz w:val="24"/>
                <w:szCs w:val="24"/>
                <w:highlight w:val="none"/>
              </w:rPr>
            </w:pPr>
          </w:p>
        </w:tc>
      </w:tr>
    </w:tbl>
    <w:p w14:paraId="5F38CBD0">
      <w:pPr>
        <w:pStyle w:val="76"/>
        <w:bidi w:val="0"/>
        <w:ind w:left="0" w:leftChars="0" w:firstLine="0" w:firstLineChars="0"/>
        <w:rPr>
          <w:rFonts w:hint="eastAsia"/>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8453"/>
      </w:tblGrid>
      <w:tr w14:paraId="44E26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5" w:hRule="atLeast"/>
          <w:jc w:val="center"/>
        </w:trPr>
        <w:tc>
          <w:tcPr>
            <w:tcW w:w="675" w:type="dxa"/>
            <w:noWrap w:val="0"/>
            <w:vAlign w:val="center"/>
          </w:tcPr>
          <w:p w14:paraId="6272B321">
            <w:pPr>
              <w:pStyle w:val="77"/>
              <w:keepNext w:val="0"/>
              <w:keepLines w:val="0"/>
              <w:suppressLineNumbers w:val="0"/>
              <w:bidi w:val="0"/>
              <w:spacing w:before="0" w:beforeAutospacing="0" w:after="0" w:afterAutospacing="0"/>
              <w:ind w:left="0" w:right="0"/>
              <w:rPr>
                <w:rFonts w:hint="default"/>
                <w:snapToGrid w:val="0"/>
                <w:color w:val="auto"/>
                <w:highlight w:val="none"/>
              </w:rPr>
            </w:pPr>
            <w:r>
              <w:rPr>
                <w:rFonts w:hint="default"/>
                <w:color w:val="auto"/>
                <w:highlight w:val="none"/>
              </w:rPr>
              <w:t>运营期环境影响和保护措施</w:t>
            </w:r>
          </w:p>
        </w:tc>
        <w:tc>
          <w:tcPr>
            <w:tcW w:w="8391" w:type="dxa"/>
            <w:noWrap w:val="0"/>
            <w:vAlign w:val="top"/>
          </w:tcPr>
          <w:p w14:paraId="71BB979F">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2、污染源强核算过程</w:t>
            </w:r>
          </w:p>
          <w:p w14:paraId="31D924B1">
            <w:pPr>
              <w:pStyle w:val="76"/>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rPr>
              <w:t>本项目</w:t>
            </w:r>
            <w:r>
              <w:rPr>
                <w:rFonts w:hint="eastAsia"/>
                <w:color w:val="auto"/>
                <w:highlight w:val="none"/>
                <w:lang w:eastAsia="zh-CN"/>
              </w:rPr>
              <w:t>运营期</w:t>
            </w:r>
            <w:r>
              <w:rPr>
                <w:rFonts w:hint="eastAsia"/>
                <w:color w:val="auto"/>
                <w:highlight w:val="none"/>
                <w:lang w:val="en-US" w:eastAsia="zh-CN"/>
              </w:rPr>
              <w:t>废气</w:t>
            </w:r>
            <w:r>
              <w:rPr>
                <w:rFonts w:hint="eastAsia"/>
                <w:color w:val="auto"/>
                <w:highlight w:val="none"/>
              </w:rPr>
              <w:t>主要</w:t>
            </w:r>
            <w:r>
              <w:rPr>
                <w:rFonts w:hint="eastAsia"/>
                <w:color w:val="auto"/>
                <w:highlight w:val="none"/>
                <w:lang w:val="en-US" w:eastAsia="zh-CN"/>
              </w:rPr>
              <w:t>来源于物料</w:t>
            </w:r>
            <w:r>
              <w:rPr>
                <w:rFonts w:hint="eastAsia"/>
                <w:color w:val="auto"/>
                <w:highlight w:val="none"/>
              </w:rPr>
              <w:t>储运</w:t>
            </w:r>
            <w:r>
              <w:rPr>
                <w:rFonts w:hint="eastAsia"/>
                <w:color w:val="auto"/>
                <w:highlight w:val="none"/>
                <w:lang w:val="en-US" w:eastAsia="zh-CN"/>
              </w:rPr>
              <w:t>粉尘、输送粉尘、投料</w:t>
            </w:r>
            <w:r>
              <w:rPr>
                <w:rFonts w:hint="eastAsia"/>
                <w:color w:val="FF0000"/>
                <w:highlight w:val="none"/>
                <w:lang w:val="en-US" w:eastAsia="zh-CN"/>
              </w:rPr>
              <w:t>及转运</w:t>
            </w:r>
            <w:r>
              <w:rPr>
                <w:rFonts w:hint="eastAsia"/>
                <w:color w:val="auto"/>
                <w:highlight w:val="none"/>
                <w:lang w:val="en-US" w:eastAsia="zh-CN"/>
              </w:rPr>
              <w:t>粉尘、料仓呼吸粉尘、搅拌粉尘、破碎及筛分粉尘和运输扬尘等</w:t>
            </w:r>
            <w:r>
              <w:rPr>
                <w:rFonts w:hint="eastAsia"/>
                <w:color w:val="auto"/>
                <w:highlight w:val="none"/>
              </w:rPr>
              <w:t>生产过程</w:t>
            </w:r>
            <w:r>
              <w:rPr>
                <w:rFonts w:hint="eastAsia"/>
                <w:color w:val="auto"/>
                <w:highlight w:val="none"/>
                <w:lang w:val="en-US" w:eastAsia="zh-CN"/>
              </w:rPr>
              <w:t>产生的工艺粉尘和废气</w:t>
            </w:r>
            <w:r>
              <w:rPr>
                <w:rFonts w:hint="eastAsia"/>
                <w:color w:val="auto"/>
                <w:highlight w:val="none"/>
                <w:lang w:eastAsia="zh-CN"/>
              </w:rPr>
              <w:t>。具体分析如下。</w:t>
            </w:r>
          </w:p>
          <w:p w14:paraId="6034E620">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（1）原辅材料储运粉尘</w:t>
            </w:r>
          </w:p>
          <w:p w14:paraId="175BBC4F">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本项目原辅材料储运粉尘</w:t>
            </w:r>
            <w:r>
              <w:rPr>
                <w:rFonts w:hint="eastAsia"/>
                <w:color w:val="FF0000"/>
                <w:highlight w:val="none"/>
              </w:rPr>
              <w:t>包括</w:t>
            </w:r>
            <w:r>
              <w:rPr>
                <w:rFonts w:hint="eastAsia"/>
                <w:color w:val="FF0000"/>
                <w:highlight w:val="none"/>
                <w:lang w:eastAsia="zh-CN"/>
              </w:rPr>
              <w:t>装卸</w:t>
            </w:r>
            <w:r>
              <w:rPr>
                <w:rFonts w:hint="eastAsia"/>
                <w:color w:val="FF0000"/>
                <w:highlight w:val="none"/>
              </w:rPr>
              <w:t>粉尘和</w:t>
            </w:r>
            <w:r>
              <w:rPr>
                <w:rFonts w:hint="eastAsia"/>
                <w:color w:val="FF0000"/>
                <w:highlight w:val="none"/>
                <w:lang w:eastAsia="zh-CN"/>
              </w:rPr>
              <w:t>堆场</w:t>
            </w:r>
            <w:r>
              <w:rPr>
                <w:rFonts w:hint="eastAsia"/>
                <w:color w:val="FF0000"/>
                <w:highlight w:val="none"/>
              </w:rPr>
              <w:t>扬尘。</w:t>
            </w:r>
          </w:p>
          <w:p w14:paraId="4F39E9B1">
            <w:pPr>
              <w:pStyle w:val="76"/>
              <w:keepNext w:val="0"/>
              <w:keepLines w:val="0"/>
              <w:suppressLineNumbers w:val="0"/>
              <w:bidi w:val="0"/>
              <w:spacing w:before="0" w:beforeAutospacing="0" w:after="0" w:afterAutospacing="0"/>
              <w:ind w:left="0" w:right="0"/>
              <w:rPr>
                <w:rFonts w:hint="eastAsia"/>
                <w:color w:val="FF0000"/>
                <w:highlight w:val="none"/>
                <w:lang w:eastAsia="zh-CN"/>
              </w:rPr>
            </w:pPr>
            <w:r>
              <w:rPr>
                <w:rFonts w:hint="eastAsia"/>
                <w:color w:val="FF0000"/>
                <w:highlight w:val="none"/>
              </w:rPr>
              <w:t>项目营运期各原辅材料均由汽车运输进厂在</w:t>
            </w:r>
            <w:r>
              <w:rPr>
                <w:rFonts w:hint="eastAsia"/>
                <w:color w:val="FF0000"/>
                <w:highlight w:val="none"/>
                <w:lang w:val="en-US" w:eastAsia="zh-CN"/>
              </w:rPr>
              <w:t>原料仓库</w:t>
            </w:r>
            <w:r>
              <w:rPr>
                <w:rFonts w:hint="eastAsia"/>
                <w:color w:val="FF0000"/>
                <w:highlight w:val="none"/>
              </w:rPr>
              <w:t>内卸料</w:t>
            </w:r>
            <w:r>
              <w:rPr>
                <w:rFonts w:hint="eastAsia"/>
                <w:color w:val="FF0000"/>
                <w:highlight w:val="none"/>
                <w:lang w:eastAsia="zh-CN"/>
              </w:rPr>
              <w:t>，</w:t>
            </w:r>
            <w:r>
              <w:rPr>
                <w:rFonts w:hint="eastAsia"/>
                <w:color w:val="FF0000"/>
                <w:highlight w:val="none"/>
              </w:rPr>
              <w:t>过程中产生粉尘</w:t>
            </w:r>
            <w:r>
              <w:rPr>
                <w:rFonts w:hint="eastAsia"/>
                <w:color w:val="FF0000"/>
                <w:highlight w:val="none"/>
                <w:lang w:eastAsia="zh-CN"/>
              </w:rPr>
              <w:t>。</w:t>
            </w:r>
            <w:r>
              <w:rPr>
                <w:rFonts w:hint="default"/>
                <w:color w:val="FF0000"/>
                <w:highlight w:val="none"/>
              </w:rPr>
              <w:t>水泥</w:t>
            </w:r>
            <w:r>
              <w:rPr>
                <w:rFonts w:hint="eastAsia"/>
                <w:color w:val="FF0000"/>
                <w:highlight w:val="none"/>
                <w:lang w:eastAsia="zh-CN"/>
              </w:rPr>
              <w:t>、粉煤灰、</w:t>
            </w:r>
            <w:r>
              <w:rPr>
                <w:rFonts w:hint="eastAsia"/>
                <w:color w:val="FF0000"/>
                <w:highlight w:val="none"/>
                <w:lang w:val="en-US" w:eastAsia="zh-CN"/>
              </w:rPr>
              <w:t>石膏粉</w:t>
            </w:r>
            <w:r>
              <w:rPr>
                <w:rFonts w:hint="default"/>
                <w:color w:val="FF0000"/>
                <w:highlight w:val="none"/>
              </w:rPr>
              <w:t>经专用罐车运输进厂后直接卸料至</w:t>
            </w:r>
            <w:r>
              <w:rPr>
                <w:rFonts w:hint="eastAsia"/>
                <w:color w:val="FF0000"/>
                <w:highlight w:val="none"/>
                <w:lang w:eastAsia="zh-CN"/>
              </w:rPr>
              <w:t>料仓</w:t>
            </w:r>
            <w:r>
              <w:rPr>
                <w:rFonts w:hint="default"/>
                <w:color w:val="FF0000"/>
                <w:highlight w:val="none"/>
              </w:rPr>
              <w:t>内，卸料时通过管道以负压吸入，</w:t>
            </w:r>
            <w:r>
              <w:rPr>
                <w:rFonts w:hint="eastAsia"/>
                <w:color w:val="FF0000"/>
                <w:highlight w:val="none"/>
                <w:lang w:val="en-US" w:eastAsia="zh-CN"/>
              </w:rPr>
              <w:t>不产生装卸粉尘和堆放粉尘，碎石粒径较大卸料过程基本不产生粉尘，硅粉、氧化铝粉、螯合剂、固化剂、抑碱剂为袋装材料，卸料时产生粉尘极小可忽略不计，则其他原料</w:t>
            </w:r>
            <w:r>
              <w:rPr>
                <w:rFonts w:hint="eastAsia"/>
                <w:color w:val="FF0000"/>
                <w:highlight w:val="none"/>
              </w:rPr>
              <w:t>卸料</w:t>
            </w:r>
            <w:r>
              <w:rPr>
                <w:rFonts w:hint="eastAsia"/>
                <w:color w:val="FF0000"/>
                <w:highlight w:val="none"/>
                <w:lang w:val="en-US" w:eastAsia="zh-CN"/>
              </w:rPr>
              <w:t>量43万t/a</w:t>
            </w:r>
            <w:r>
              <w:rPr>
                <w:rFonts w:hint="eastAsia"/>
                <w:color w:val="FF0000"/>
                <w:highlight w:val="none"/>
                <w:lang w:eastAsia="zh-CN"/>
              </w:rPr>
              <w:t>。</w:t>
            </w:r>
            <w:r>
              <w:rPr>
                <w:rFonts w:hint="eastAsia"/>
                <w:color w:val="FF0000"/>
                <w:highlight w:val="none"/>
                <w:lang w:val="en-US" w:eastAsia="zh-CN"/>
              </w:rPr>
              <w:t>由于本项目原料仓库为半封闭，且定期进行洒水除尘，</w:t>
            </w:r>
            <w:r>
              <w:rPr>
                <w:rFonts w:hint="eastAsia"/>
                <w:color w:val="FF0000"/>
                <w:highlight w:val="none"/>
                <w:lang w:eastAsia="zh-CN"/>
              </w:rPr>
              <w:t>项目锂渣在原料仓库中堆放，原料装卸及存储过程中会产生装卸粉尘以及风蚀扬尘。根据《排放源统计调查产排污核算方法和系数手册》中《固体物料堆存颗粒物产排污核算系数手册》，堆料粉尘计算公式如下：</w:t>
            </w:r>
          </w:p>
          <w:p w14:paraId="0F735A88">
            <w:pPr>
              <w:pStyle w:val="76"/>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FF0000"/>
                <w:highlight w:val="none"/>
                <w:lang w:eastAsia="zh-CN"/>
              </w:rPr>
            </w:pPr>
            <w:r>
              <w:rPr>
                <w:rFonts w:hint="eastAsia"/>
                <w:color w:val="FF0000"/>
                <w:highlight w:val="none"/>
                <w:lang w:eastAsia="zh-CN"/>
              </w:rPr>
              <w:drawing>
                <wp:inline distT="0" distB="0" distL="0" distR="0">
                  <wp:extent cx="4905375" cy="489585"/>
                  <wp:effectExtent l="0" t="0" r="9525" b="5715"/>
                  <wp:docPr id="2" name="IM 14"/>
                  <wp:cNvGraphicFramePr/>
                  <a:graphic xmlns:a="http://schemas.openxmlformats.org/drawingml/2006/main">
                    <a:graphicData uri="http://schemas.openxmlformats.org/drawingml/2006/picture">
                      <pic:pic xmlns:pic="http://schemas.openxmlformats.org/drawingml/2006/picture">
                        <pic:nvPicPr>
                          <pic:cNvPr id="2" name="IM 14"/>
                          <pic:cNvPicPr/>
                        </pic:nvPicPr>
                        <pic:blipFill>
                          <a:blip r:embed="rId17"/>
                          <a:stretch>
                            <a:fillRect/>
                          </a:stretch>
                        </pic:blipFill>
                        <pic:spPr>
                          <a:xfrm>
                            <a:off x="0" y="0"/>
                            <a:ext cx="4905755" cy="489585"/>
                          </a:xfrm>
                          <a:prstGeom prst="rect">
                            <a:avLst/>
                          </a:prstGeom>
                        </pic:spPr>
                      </pic:pic>
                    </a:graphicData>
                  </a:graphic>
                </wp:inline>
              </w:drawing>
            </w:r>
          </w:p>
          <w:p w14:paraId="51D07185">
            <w:pPr>
              <w:pStyle w:val="7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0" w:firstLineChars="0"/>
              <w:textAlignment w:val="auto"/>
              <w:rPr>
                <w:rFonts w:hint="eastAsia"/>
                <w:color w:val="FF0000"/>
                <w:highlight w:val="none"/>
                <w:lang w:eastAsia="zh-CN"/>
              </w:rPr>
            </w:pPr>
            <w:r>
              <w:rPr>
                <w:rFonts w:hint="eastAsia"/>
                <w:color w:val="FF0000"/>
                <w:highlight w:val="none"/>
                <w:lang w:eastAsia="zh-CN"/>
              </w:rPr>
              <w:t>式中：P指颗粒物的产生量（t）；</w:t>
            </w:r>
          </w:p>
          <w:p w14:paraId="187066FF">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color w:val="FF0000"/>
              </w:rPr>
            </w:pPr>
            <w:r>
              <w:rPr>
                <w:rFonts w:hint="default" w:ascii="Times New Roman" w:hAnsi="Times New Roman" w:eastAsia="Times New Roman" w:cs="Times New Roman"/>
                <w:color w:val="FF0000"/>
                <w:spacing w:val="-1"/>
              </w:rPr>
              <w:t>ZCy</w:t>
            </w:r>
            <w:r>
              <w:rPr>
                <w:rFonts w:hint="default"/>
                <w:color w:val="FF0000"/>
                <w:spacing w:val="-1"/>
              </w:rPr>
              <w:t>指装卸扬尘产生量（</w:t>
            </w:r>
            <w:r>
              <w:rPr>
                <w:rFonts w:hint="default" w:ascii="Times New Roman" w:hAnsi="Times New Roman" w:eastAsia="Times New Roman" w:cs="Times New Roman"/>
                <w:color w:val="FF0000"/>
                <w:spacing w:val="-1"/>
              </w:rPr>
              <w:t>t</w:t>
            </w:r>
            <w:r>
              <w:rPr>
                <w:rFonts w:hint="default"/>
                <w:color w:val="FF0000"/>
                <w:spacing w:val="-13"/>
              </w:rPr>
              <w:t>）；</w:t>
            </w:r>
          </w:p>
          <w:p w14:paraId="2874F0B6">
            <w:pPr>
              <w:pStyle w:val="7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FCy指风蚀扬尘产生量（t）；</w:t>
            </w:r>
          </w:p>
          <w:p w14:paraId="1515F87E">
            <w:pPr>
              <w:pStyle w:val="76"/>
              <w:keepNext w:val="0"/>
              <w:keepLines w:val="0"/>
              <w:suppressLineNumbers w:val="0"/>
              <w:bidi w:val="0"/>
              <w:spacing w:before="0" w:beforeAutospacing="0" w:after="0" w:afterAutospacing="0"/>
              <w:ind w:left="0" w:right="0"/>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Nc指年物料运载车次（车）；</w:t>
            </w:r>
          </w:p>
          <w:p w14:paraId="409BF3D5">
            <w:pPr>
              <w:pStyle w:val="76"/>
              <w:keepNext w:val="0"/>
              <w:keepLines w:val="0"/>
              <w:suppressLineNumbers w:val="0"/>
              <w:bidi w:val="0"/>
              <w:spacing w:before="0" w:beforeAutospacing="0" w:after="0" w:afterAutospacing="0"/>
              <w:ind w:left="0" w:right="0"/>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D指单车平均运载量（t/车）；</w:t>
            </w:r>
          </w:p>
          <w:p w14:paraId="48E55E36">
            <w:pPr>
              <w:pStyle w:val="76"/>
              <w:keepNext w:val="0"/>
              <w:keepLines w:val="0"/>
              <w:suppressLineNumbers w:val="0"/>
              <w:bidi w:val="0"/>
              <w:spacing w:before="0" w:beforeAutospacing="0" w:after="0" w:afterAutospacing="0"/>
              <w:ind w:left="0" w:right="0"/>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S指堆场占地面积（m</w:t>
            </w:r>
            <w:r>
              <w:rPr>
                <w:rFonts w:hint="eastAsia" w:ascii="Times New Roman" w:eastAsia="宋体"/>
                <w:color w:val="FF0000"/>
                <w:highlight w:val="none"/>
                <w:vertAlign w:val="superscript"/>
                <w:lang w:val="en-US" w:eastAsia="zh-CN"/>
              </w:rPr>
              <w:t>2</w:t>
            </w:r>
            <w:r>
              <w:rPr>
                <w:rFonts w:hint="eastAsia" w:ascii="Times New Roman" w:eastAsia="宋体"/>
                <w:color w:val="FF0000"/>
                <w:highlight w:val="none"/>
                <w:lang w:val="en-US" w:eastAsia="zh-CN"/>
              </w:rPr>
              <w:t>）；</w:t>
            </w:r>
          </w:p>
          <w:p w14:paraId="11C2E199">
            <w:pPr>
              <w:pStyle w:val="76"/>
              <w:keepNext w:val="0"/>
              <w:keepLines w:val="0"/>
              <w:suppressLineNumbers w:val="0"/>
              <w:bidi w:val="0"/>
              <w:spacing w:before="0" w:beforeAutospacing="0" w:after="0" w:afterAutospacing="0"/>
              <w:ind w:left="0" w:right="0"/>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（a/b）指装卸扬尘概化系数（kg/t）；</w:t>
            </w:r>
          </w:p>
          <w:p w14:paraId="6A5A9098">
            <w:pPr>
              <w:pStyle w:val="76"/>
              <w:keepNext w:val="0"/>
              <w:keepLines w:val="0"/>
              <w:suppressLineNumbers w:val="0"/>
              <w:bidi w:val="0"/>
              <w:spacing w:before="0" w:beforeAutospacing="0" w:after="0" w:afterAutospacing="0"/>
              <w:ind w:left="0" w:right="0"/>
              <w:rPr>
                <w:rFonts w:hint="eastAsia" w:ascii="Times New Roman" w:eastAsia="宋体"/>
                <w:color w:val="FF0000"/>
                <w:highlight w:val="none"/>
                <w:lang w:val="en-US" w:eastAsia="zh-CN"/>
              </w:rPr>
            </w:pPr>
            <w:r>
              <w:rPr>
                <w:rFonts w:hint="eastAsia" w:ascii="Times New Roman" w:eastAsia="宋体"/>
                <w:color w:val="FF0000"/>
                <w:highlight w:val="none"/>
                <w:lang w:val="en-US" w:eastAsia="zh-CN"/>
              </w:rPr>
              <w:t>Ef指堆场风蚀扬尘概化系数（kg/m</w:t>
            </w:r>
            <w:r>
              <w:rPr>
                <w:rFonts w:hint="eastAsia" w:ascii="Times New Roman" w:eastAsia="宋体"/>
                <w:color w:val="FF0000"/>
                <w:highlight w:val="none"/>
                <w:vertAlign w:val="superscript"/>
                <w:lang w:val="en-US" w:eastAsia="zh-CN"/>
              </w:rPr>
              <w:t>2</w:t>
            </w:r>
            <w:r>
              <w:rPr>
                <w:rFonts w:hint="eastAsia" w:ascii="Times New Roman" w:eastAsia="宋体"/>
                <w:color w:val="FF0000"/>
                <w:highlight w:val="none"/>
                <w:lang w:val="en-US" w:eastAsia="zh-CN"/>
              </w:rPr>
              <w:t>）。</w:t>
            </w:r>
          </w:p>
          <w:p w14:paraId="6866857E">
            <w:pPr>
              <w:pStyle w:val="76"/>
              <w:keepNext w:val="0"/>
              <w:keepLines w:val="0"/>
              <w:suppressLineNumbers w:val="0"/>
              <w:bidi w:val="0"/>
              <w:spacing w:before="0" w:beforeAutospacing="0" w:after="0" w:afterAutospacing="0"/>
              <w:ind w:left="0" w:right="0"/>
              <w:rPr>
                <w:rFonts w:hint="default" w:ascii="Times New Roman" w:eastAsia="宋体"/>
                <w:color w:val="FF0000"/>
                <w:highlight w:val="none"/>
                <w:lang w:val="en-US" w:eastAsia="zh-CN"/>
              </w:rPr>
            </w:pPr>
            <w:r>
              <w:rPr>
                <w:rFonts w:hint="default" w:ascii="Times New Roman" w:eastAsia="宋体"/>
                <w:color w:val="FF0000"/>
                <w:highlight w:val="none"/>
                <w:lang w:val="en-US" w:eastAsia="zh-CN"/>
              </w:rPr>
              <w:t>项目单车平均运载量为</w:t>
            </w:r>
            <w:r>
              <w:rPr>
                <w:rFonts w:hint="eastAsia" w:ascii="Times New Roman" w:eastAsia="宋体"/>
                <w:color w:val="FF0000"/>
                <w:highlight w:val="none"/>
                <w:lang w:val="en-US" w:eastAsia="zh-CN"/>
              </w:rPr>
              <w:t>40t，</w:t>
            </w:r>
            <w:r>
              <w:rPr>
                <w:rFonts w:hint="default" w:ascii="Times New Roman" w:eastAsia="宋体"/>
                <w:color w:val="FF0000"/>
                <w:highlight w:val="none"/>
                <w:lang w:val="en-US" w:eastAsia="zh-CN"/>
              </w:rPr>
              <w:t>锂渣年用量为430000t，折合年物料运载</w:t>
            </w:r>
            <w:r>
              <w:rPr>
                <w:rFonts w:hint="eastAsia"/>
                <w:color w:val="FF0000"/>
                <w:highlight w:val="none"/>
                <w:lang w:val="en-US" w:eastAsia="zh-CN"/>
              </w:rPr>
              <w:t>10750</w:t>
            </w:r>
            <w:r>
              <w:rPr>
                <w:rFonts w:hint="default" w:ascii="Times New Roman" w:eastAsia="宋体"/>
                <w:color w:val="FF0000"/>
                <w:highlight w:val="none"/>
                <w:lang w:val="en-US" w:eastAsia="zh-CN"/>
              </w:rPr>
              <w:t>车次，</w:t>
            </w:r>
            <w:r>
              <w:rPr>
                <w:rFonts w:hint="eastAsia"/>
                <w:color w:val="FF0000"/>
                <w:highlight w:val="none"/>
                <w:lang w:val="en-US" w:eastAsia="zh-CN"/>
              </w:rPr>
              <w:t>锂渣仓库</w:t>
            </w:r>
            <w:r>
              <w:rPr>
                <w:rFonts w:hint="default" w:ascii="Times New Roman" w:eastAsia="宋体"/>
                <w:color w:val="FF0000"/>
                <w:highlight w:val="none"/>
                <w:lang w:val="en-US" w:eastAsia="zh-CN"/>
              </w:rPr>
              <w:t>占地面积约</w:t>
            </w:r>
            <w:r>
              <w:rPr>
                <w:rFonts w:hint="eastAsia"/>
                <w:color w:val="FF0000"/>
                <w:highlight w:val="none"/>
                <w:lang w:val="en-US" w:eastAsia="zh-CN"/>
              </w:rPr>
              <w:t>2500</w:t>
            </w:r>
            <w:r>
              <w:rPr>
                <w:rFonts w:hint="default" w:ascii="Times New Roman" w:eastAsia="宋体"/>
                <w:color w:val="FF0000"/>
                <w:highlight w:val="none"/>
                <w:lang w:val="en-US" w:eastAsia="zh-CN"/>
              </w:rPr>
              <w:t>m</w:t>
            </w:r>
            <w:r>
              <w:rPr>
                <w:rFonts w:hint="default" w:ascii="Times New Roman" w:eastAsia="宋体"/>
                <w:color w:val="FF0000"/>
                <w:highlight w:val="none"/>
                <w:vertAlign w:val="superscript"/>
                <w:lang w:val="en-US" w:eastAsia="zh-CN"/>
              </w:rPr>
              <w:t>2</w:t>
            </w:r>
            <w:r>
              <w:rPr>
                <w:rFonts w:hint="default" w:ascii="Times New Roman" w:eastAsia="宋体"/>
                <w:color w:val="FF0000"/>
                <w:highlight w:val="none"/>
                <w:lang w:val="en-US" w:eastAsia="zh-CN"/>
              </w:rPr>
              <w:t>，对照《排放源统计调查产排污核算方法和系数手册》（公告2021年第24号）中《固体物料堆存颗粒物产排污核算系数手册》附录，装卸扬尘概化系数（a/b）中a指各省风速概化系数，江西省取值0.0008，进厂锂渣含水率20%参照含油碱渣（含水率20%）取b值为0.0398；则锂渣概化系数为0.02</w:t>
            </w:r>
            <w:r>
              <w:rPr>
                <w:rFonts w:hint="eastAsia"/>
                <w:color w:val="FF0000"/>
                <w:highlight w:val="none"/>
                <w:lang w:val="en-US" w:eastAsia="zh-CN"/>
              </w:rPr>
              <w:t>，</w:t>
            </w:r>
            <w:r>
              <w:rPr>
                <w:rFonts w:hint="default" w:ascii="Times New Roman" w:eastAsia="宋体"/>
                <w:color w:val="FF0000"/>
                <w:highlight w:val="none"/>
                <w:lang w:val="en-US" w:eastAsia="zh-CN"/>
              </w:rPr>
              <w:t>锂渣Ef=0。</w:t>
            </w:r>
          </w:p>
          <w:p w14:paraId="232501AB">
            <w:pPr>
              <w:pStyle w:val="76"/>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ascii="Times New Roman" w:eastAsia="宋体"/>
                <w:color w:val="FF0000"/>
                <w:highlight w:val="none"/>
                <w:lang w:val="en-US" w:eastAsia="zh-CN"/>
              </w:rPr>
              <w:t>由上述公式可知，P锂渣=[</w:t>
            </w:r>
            <w:r>
              <w:rPr>
                <w:rFonts w:hint="eastAsia"/>
                <w:color w:val="FF0000"/>
                <w:highlight w:val="none"/>
                <w:lang w:val="en-US" w:eastAsia="zh-CN"/>
              </w:rPr>
              <w:t>10750</w:t>
            </w:r>
            <w:r>
              <w:rPr>
                <w:rFonts w:hint="eastAsia" w:ascii="Times New Roman" w:eastAsia="宋体"/>
                <w:color w:val="FF0000"/>
                <w:highlight w:val="none"/>
                <w:lang w:val="en-US" w:eastAsia="zh-CN"/>
              </w:rPr>
              <w:t>×</w:t>
            </w:r>
            <w:r>
              <w:rPr>
                <w:rFonts w:hint="eastAsia"/>
                <w:color w:val="FF0000"/>
                <w:highlight w:val="none"/>
                <w:lang w:val="en-US" w:eastAsia="zh-CN"/>
              </w:rPr>
              <w:t>4</w:t>
            </w:r>
            <w:r>
              <w:rPr>
                <w:rFonts w:hint="eastAsia" w:ascii="Times New Roman" w:eastAsia="宋体"/>
                <w:color w:val="FF0000"/>
                <w:highlight w:val="none"/>
                <w:lang w:val="en-US" w:eastAsia="zh-CN"/>
              </w:rPr>
              <w:t>0×0.02+2×0×</w:t>
            </w:r>
            <w:r>
              <w:rPr>
                <w:rFonts w:hint="eastAsia"/>
                <w:color w:val="FF0000"/>
                <w:highlight w:val="none"/>
                <w:lang w:val="en-US" w:eastAsia="zh-CN"/>
              </w:rPr>
              <w:t>25</w:t>
            </w:r>
            <w:r>
              <w:rPr>
                <w:rFonts w:hint="eastAsia" w:ascii="Times New Roman" w:eastAsia="宋体"/>
                <w:color w:val="FF0000"/>
                <w:highlight w:val="none"/>
                <w:lang w:val="en-US" w:eastAsia="zh-CN"/>
              </w:rPr>
              <w:t>00]×10</w:t>
            </w:r>
            <w:r>
              <w:rPr>
                <w:rFonts w:hint="eastAsia" w:ascii="Times New Roman" w:eastAsia="宋体"/>
                <w:color w:val="FF0000"/>
                <w:highlight w:val="none"/>
                <w:vertAlign w:val="superscript"/>
                <w:lang w:val="en-US" w:eastAsia="zh-CN"/>
              </w:rPr>
              <w:t>-3</w:t>
            </w:r>
            <w:r>
              <w:rPr>
                <w:rFonts w:hint="eastAsia" w:ascii="Times New Roman" w:eastAsia="宋体"/>
                <w:color w:val="FF0000"/>
                <w:highlight w:val="none"/>
                <w:lang w:val="en-US" w:eastAsia="zh-CN"/>
              </w:rPr>
              <w:t>=</w:t>
            </w:r>
            <w:r>
              <w:rPr>
                <w:rFonts w:hint="eastAsia"/>
                <w:color w:val="FF0000"/>
                <w:highlight w:val="none"/>
                <w:lang w:val="en-US" w:eastAsia="zh-CN"/>
              </w:rPr>
              <w:t>8.6</w:t>
            </w:r>
            <w:r>
              <w:rPr>
                <w:rFonts w:hint="eastAsia" w:ascii="Times New Roman" w:eastAsia="宋体"/>
                <w:color w:val="FF0000"/>
                <w:highlight w:val="none"/>
                <w:lang w:val="en-US" w:eastAsia="zh-CN"/>
              </w:rPr>
              <w:t>t/a，即</w:t>
            </w:r>
            <w:r>
              <w:rPr>
                <w:rFonts w:hint="eastAsia"/>
                <w:color w:val="FF0000"/>
                <w:highlight w:val="none"/>
              </w:rPr>
              <w:t>储运粉尘</w:t>
            </w:r>
            <w:r>
              <w:rPr>
                <w:rFonts w:hint="eastAsia" w:ascii="Times New Roman" w:eastAsia="宋体"/>
                <w:color w:val="FF0000"/>
                <w:highlight w:val="none"/>
                <w:lang w:val="en-US" w:eastAsia="zh-CN"/>
              </w:rPr>
              <w:t>产生量约</w:t>
            </w:r>
            <w:r>
              <w:rPr>
                <w:rFonts w:hint="eastAsia"/>
                <w:color w:val="FF0000"/>
                <w:highlight w:val="none"/>
                <w:lang w:val="en-US" w:eastAsia="zh-CN"/>
              </w:rPr>
              <w:t>8.6</w:t>
            </w:r>
            <w:r>
              <w:rPr>
                <w:rFonts w:hint="eastAsia" w:ascii="Times New Roman" w:eastAsia="宋体"/>
                <w:color w:val="FF0000"/>
                <w:highlight w:val="none"/>
                <w:lang w:val="en-US" w:eastAsia="zh-CN"/>
              </w:rPr>
              <w:t>t/a，原料仓库设置在厂区北面，为半敞开式厂房，在原料仓库加装雾炮机洒水降尘，</w:t>
            </w:r>
            <w:r>
              <w:rPr>
                <w:rFonts w:hint="eastAsia"/>
                <w:color w:val="FF0000"/>
                <w:highlight w:val="none"/>
              </w:rPr>
              <w:t>根据《排放源统计调查产排污核算方法和系数手册》附</w:t>
            </w:r>
            <w:r>
              <w:rPr>
                <w:rFonts w:hint="default"/>
                <w:color w:val="FF0000"/>
                <w:highlight w:val="none"/>
              </w:rPr>
              <w:t>1工业源－附表2固体物料堆存颗粒物产排污核算系数</w:t>
            </w:r>
            <w:r>
              <w:rPr>
                <w:rFonts w:hint="eastAsia"/>
                <w:color w:val="FF0000"/>
                <w:highlight w:val="none"/>
              </w:rPr>
              <w:t>手册，</w:t>
            </w:r>
            <w:r>
              <w:rPr>
                <w:rFonts w:hint="eastAsia"/>
                <w:color w:val="FF0000"/>
                <w:highlight w:val="none"/>
                <w:lang w:val="en-US" w:eastAsia="zh-CN"/>
              </w:rPr>
              <w:t>半封闭的沉降效率为60%，洒水抑尘的控制效率为74%，则总控制效率为89.6%，则无组织粉尘排放量为0.8944t/a，排放速率为0.124kg/h。</w:t>
            </w:r>
          </w:p>
          <w:p w14:paraId="055302C4">
            <w:pPr>
              <w:pStyle w:val="76"/>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color w:val="FF0000"/>
                <w:highlight w:val="none"/>
                <w:lang w:val="en-US" w:eastAsia="zh-CN"/>
              </w:rPr>
              <w:t>本项目装卸粉尘及堆场扬尘主要以颗粒物的形式排放，根据锂渣原料检测报告可知，锂渣中的</w:t>
            </w:r>
            <w:r>
              <w:rPr>
                <w:rFonts w:hint="eastAsia" w:ascii="Times New Roman" w:eastAsia="宋体"/>
                <w:color w:val="FF0000"/>
                <w:highlight w:val="none"/>
                <w:lang w:val="en-US" w:eastAsia="zh-CN"/>
              </w:rPr>
              <w:t>铊、氟化物的含量分别</w:t>
            </w:r>
            <w:r>
              <w:rPr>
                <w:rFonts w:hint="eastAsia"/>
                <w:color w:val="FF0000"/>
                <w:highlight w:val="none"/>
                <w:lang w:val="en-US" w:eastAsia="zh-CN"/>
              </w:rPr>
              <w:t>9.34</w:t>
            </w:r>
            <w:r>
              <w:rPr>
                <w:rFonts w:hint="eastAsia" w:ascii="Times New Roman" w:eastAsia="宋体"/>
                <w:color w:val="FF0000"/>
                <w:highlight w:val="none"/>
                <w:lang w:val="en-US" w:eastAsia="zh-CN"/>
              </w:rPr>
              <w:t>mg/kg、</w:t>
            </w:r>
            <w:r>
              <w:rPr>
                <w:rFonts w:hint="eastAsia"/>
                <w:color w:val="FF0000"/>
                <w:highlight w:val="none"/>
                <w:lang w:val="en-US" w:eastAsia="zh-CN"/>
              </w:rPr>
              <w:t>1.87</w:t>
            </w:r>
            <w:r>
              <w:rPr>
                <w:rFonts w:hint="eastAsia" w:ascii="Times New Roman" w:eastAsia="宋体"/>
                <w:color w:val="FF0000"/>
                <w:highlight w:val="none"/>
                <w:lang w:val="en-US" w:eastAsia="zh-CN"/>
              </w:rPr>
              <w:t>%，</w:t>
            </w:r>
            <w:r>
              <w:rPr>
                <w:rFonts w:hint="eastAsia"/>
                <w:color w:val="FF0000"/>
                <w:highlight w:val="none"/>
                <w:lang w:val="en-US" w:eastAsia="zh-CN"/>
              </w:rPr>
              <w:t>根据该含量核算储运</w:t>
            </w:r>
            <w:r>
              <w:rPr>
                <w:rFonts w:hint="eastAsia"/>
                <w:color w:val="FF0000"/>
                <w:highlight w:val="none"/>
              </w:rPr>
              <w:t>粉尘</w:t>
            </w:r>
            <w:r>
              <w:rPr>
                <w:rFonts w:hint="eastAsia"/>
                <w:color w:val="FF0000"/>
                <w:highlight w:val="none"/>
                <w:lang w:val="en-US" w:eastAsia="zh-CN"/>
              </w:rPr>
              <w:t>中</w:t>
            </w:r>
            <w:r>
              <w:rPr>
                <w:rFonts w:hint="eastAsia" w:ascii="Times New Roman" w:eastAsia="宋体"/>
                <w:color w:val="FF0000"/>
                <w:highlight w:val="none"/>
                <w:lang w:val="en-US" w:eastAsia="zh-CN"/>
              </w:rPr>
              <w:t>铊、氟化物的量</w:t>
            </w:r>
            <w:r>
              <w:rPr>
                <w:rFonts w:hint="eastAsia"/>
                <w:color w:val="FF0000"/>
                <w:highlight w:val="none"/>
                <w:lang w:val="en-US" w:eastAsia="zh-CN"/>
              </w:rPr>
              <w:t>，详情见4-1、4-2。</w:t>
            </w:r>
          </w:p>
          <w:p w14:paraId="1DFCB97D">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（2）输送粉尘</w:t>
            </w:r>
          </w:p>
          <w:p w14:paraId="5D537504">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rPr>
              <w:t>本项目</w:t>
            </w:r>
            <w:r>
              <w:rPr>
                <w:rFonts w:hint="eastAsia"/>
                <w:color w:val="FF0000"/>
                <w:highlight w:val="none"/>
                <w:lang w:val="en-US" w:eastAsia="zh-CN"/>
              </w:rPr>
              <w:t>锂渣含水率高</w:t>
            </w:r>
            <w:r>
              <w:rPr>
                <w:rFonts w:hint="eastAsia"/>
                <w:color w:val="auto"/>
                <w:highlight w:val="none"/>
                <w:lang w:val="en-US" w:eastAsia="zh-CN"/>
              </w:rPr>
              <w:t>、碎石粒径较大输送过程基本不产生粉尘，</w:t>
            </w:r>
            <w:r>
              <w:rPr>
                <w:rFonts w:hint="default"/>
                <w:color w:val="auto"/>
                <w:highlight w:val="none"/>
              </w:rPr>
              <w:t>对大气产生影响较小，</w:t>
            </w:r>
            <w:r>
              <w:rPr>
                <w:rFonts w:hint="eastAsia"/>
                <w:color w:val="auto"/>
                <w:highlight w:val="none"/>
                <w:lang w:val="en-US" w:eastAsia="zh-CN"/>
              </w:rPr>
              <w:t>石膏粉、粉煤灰、</w:t>
            </w:r>
            <w:r>
              <w:rPr>
                <w:rFonts w:hint="default"/>
                <w:color w:val="auto"/>
                <w:highlight w:val="none"/>
              </w:rPr>
              <w:t>水泥</w:t>
            </w:r>
            <w:r>
              <w:rPr>
                <w:rFonts w:hint="eastAsia"/>
                <w:color w:val="auto"/>
                <w:highlight w:val="none"/>
                <w:lang w:val="en-US" w:eastAsia="zh-CN"/>
              </w:rPr>
              <w:t>、螯合剂、固化剂、抑碱剂等</w:t>
            </w:r>
            <w:r>
              <w:rPr>
                <w:rFonts w:hint="default"/>
                <w:color w:val="FF0000"/>
                <w:highlight w:val="none"/>
              </w:rPr>
              <w:t>通过密闭皮带或密闭管道输送至配料系统，物料输送过程车间内进行喷淋洒水抑尘，输送均在车间内，无露天输送，在皮带转过有落差的环节密闭设置，经喷雾洒水降尘+车间封闭措施后，可以最大限度降低输送扬尘的产生，</w:t>
            </w:r>
            <w:r>
              <w:rPr>
                <w:rFonts w:hint="default"/>
                <w:color w:val="auto"/>
                <w:highlight w:val="none"/>
              </w:rPr>
              <w:t>对大气产生影响较小，因此不定量分析。</w:t>
            </w:r>
          </w:p>
          <w:p w14:paraId="2097C5DE">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（3）投料</w:t>
            </w:r>
            <w:r>
              <w:rPr>
                <w:rFonts w:hint="eastAsia"/>
                <w:color w:val="FF0000"/>
                <w:highlight w:val="none"/>
                <w:lang w:val="en-US" w:eastAsia="zh-CN"/>
              </w:rPr>
              <w:t>及转运</w:t>
            </w:r>
            <w:r>
              <w:rPr>
                <w:rFonts w:hint="eastAsia"/>
                <w:color w:val="FF0000"/>
                <w:highlight w:val="none"/>
              </w:rPr>
              <w:t>粉尘</w:t>
            </w:r>
            <w:r>
              <w:rPr>
                <w:rFonts w:hint="eastAsia"/>
                <w:color w:val="auto"/>
                <w:highlight w:val="none"/>
                <w:lang w:val="en-US" w:eastAsia="zh-CN"/>
              </w:rPr>
              <w:t>、料仓呼吸粉尘、搅拌</w:t>
            </w:r>
            <w:r>
              <w:rPr>
                <w:rFonts w:hint="eastAsia"/>
                <w:color w:val="auto"/>
                <w:highlight w:val="none"/>
              </w:rPr>
              <w:t>粉尘</w:t>
            </w:r>
            <w:r>
              <w:rPr>
                <w:rFonts w:hint="eastAsia"/>
                <w:color w:val="auto"/>
                <w:highlight w:val="none"/>
                <w:lang w:eastAsia="zh-CN"/>
              </w:rPr>
              <w:t>、破碎及筛分粉尘</w:t>
            </w:r>
          </w:p>
          <w:p w14:paraId="14672C5F">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①投料</w:t>
            </w:r>
            <w:r>
              <w:rPr>
                <w:rFonts w:hint="eastAsia"/>
                <w:color w:val="FF0000"/>
                <w:highlight w:val="none"/>
                <w:lang w:val="en-US" w:eastAsia="zh-CN"/>
              </w:rPr>
              <w:t>及转运</w:t>
            </w:r>
            <w:r>
              <w:rPr>
                <w:rFonts w:hint="eastAsia"/>
                <w:color w:val="FF0000"/>
                <w:highlight w:val="none"/>
              </w:rPr>
              <w:t>粉尘</w:t>
            </w:r>
          </w:p>
          <w:p w14:paraId="077BC3B1">
            <w:pPr>
              <w:pStyle w:val="76"/>
              <w:keepNext w:val="0"/>
              <w:keepLines w:val="0"/>
              <w:suppressLineNumbers w:val="0"/>
              <w:bidi w:val="0"/>
              <w:spacing w:before="0" w:beforeAutospacing="0" w:after="0" w:afterAutospacing="0"/>
              <w:ind w:left="0" w:right="0"/>
              <w:rPr>
                <w:rFonts w:hint="eastAsia"/>
                <w:color w:val="FF0000"/>
                <w:highlight w:val="none"/>
                <w:lang w:val="en-US" w:eastAsia="zh-CN"/>
              </w:rPr>
            </w:pPr>
            <w:r>
              <w:rPr>
                <w:rFonts w:hint="eastAsia"/>
                <w:color w:val="auto"/>
                <w:highlight w:val="none"/>
                <w:lang w:val="en-US" w:eastAsia="zh-CN"/>
              </w:rPr>
              <w:t>本项目需将锂渣用铲车投料，其过程会产生粉尘（此过程年工作7200h）；锂渣含水率高、碎石粒径较大投料过程基本不产生粉尘，</w:t>
            </w:r>
            <w:r>
              <w:rPr>
                <w:rFonts w:hint="default"/>
                <w:color w:val="auto"/>
                <w:highlight w:val="none"/>
              </w:rPr>
              <w:t>对大气产生影响较小，因此不定量分析</w:t>
            </w:r>
            <w:r>
              <w:rPr>
                <w:rFonts w:hint="eastAsia"/>
                <w:color w:val="auto"/>
                <w:highlight w:val="none"/>
                <w:lang w:val="en-US" w:eastAsia="zh-CN"/>
              </w:rPr>
              <w:t>；粉煤灰、水泥、石膏粉在料仓储存采用密闭管道</w:t>
            </w:r>
            <w:r>
              <w:rPr>
                <w:rFonts w:hint="default"/>
                <w:color w:val="auto"/>
                <w:highlight w:val="none"/>
              </w:rPr>
              <w:t>输送至配料系统，可以最大限度降低</w:t>
            </w:r>
            <w:r>
              <w:rPr>
                <w:rFonts w:hint="eastAsia"/>
                <w:color w:val="auto"/>
                <w:highlight w:val="none"/>
                <w:lang w:val="en-US" w:eastAsia="zh-CN"/>
              </w:rPr>
              <w:t>粉尘</w:t>
            </w:r>
            <w:r>
              <w:rPr>
                <w:rFonts w:hint="default"/>
                <w:color w:val="auto"/>
                <w:highlight w:val="none"/>
              </w:rPr>
              <w:t>的产生，对大气产生影响较小，因此不定量分析</w:t>
            </w:r>
            <w:r>
              <w:rPr>
                <w:rFonts w:hint="eastAsia"/>
                <w:color w:val="auto"/>
                <w:highlight w:val="none"/>
                <w:lang w:val="en-US" w:eastAsia="zh-CN"/>
              </w:rPr>
              <w:t>。参照《逸散性工业粉尘控制技术》中表22-1混凝土分批搅拌站场逸散尘排放因子中</w:t>
            </w:r>
            <w:r>
              <w:rPr>
                <w:rFonts w:hint="default"/>
                <w:spacing w:val="5"/>
              </w:rPr>
              <w:t>入称量斗</w:t>
            </w:r>
            <w:r>
              <w:rPr>
                <w:rFonts w:hint="default"/>
                <w:color w:val="FF0000"/>
                <w:spacing w:val="5"/>
              </w:rPr>
              <w:t>和入搅拌机排放因子总和</w:t>
            </w:r>
            <w:r>
              <w:rPr>
                <w:rFonts w:hint="eastAsia"/>
                <w:color w:val="FF0000"/>
                <w:highlight w:val="none"/>
                <w:lang w:val="en-US" w:eastAsia="zh-CN"/>
              </w:rPr>
              <w:t>，产污系数0.03kg/t，</w:t>
            </w:r>
            <w:r>
              <w:rPr>
                <w:rFonts w:hint="eastAsia"/>
                <w:color w:val="auto"/>
                <w:highlight w:val="none"/>
              </w:rPr>
              <w:t>本项目</w:t>
            </w:r>
            <w:r>
              <w:rPr>
                <w:rFonts w:hint="eastAsia"/>
                <w:color w:val="auto"/>
                <w:highlight w:val="none"/>
                <w:lang w:eastAsia="zh-CN"/>
              </w:rPr>
              <w:t>硅粉、氧化铝粉、</w:t>
            </w:r>
            <w:r>
              <w:rPr>
                <w:rFonts w:hint="eastAsia"/>
                <w:color w:val="auto"/>
                <w:highlight w:val="none"/>
                <w:lang w:val="en-US" w:eastAsia="zh-CN"/>
              </w:rPr>
              <w:t>螯合剂、固化剂、抑碱剂</w:t>
            </w:r>
            <w:r>
              <w:rPr>
                <w:rFonts w:hint="eastAsia"/>
                <w:color w:val="auto"/>
                <w:highlight w:val="none"/>
              </w:rPr>
              <w:t>的年用量</w:t>
            </w:r>
            <w:r>
              <w:rPr>
                <w:rFonts w:hint="eastAsia"/>
                <w:color w:val="auto"/>
                <w:highlight w:val="none"/>
                <w:lang w:eastAsia="zh-CN"/>
              </w:rPr>
              <w:t>合计</w:t>
            </w:r>
            <w:r>
              <w:rPr>
                <w:rFonts w:hint="eastAsia"/>
                <w:color w:val="auto"/>
                <w:highlight w:val="none"/>
              </w:rPr>
              <w:t>为</w:t>
            </w:r>
            <w:r>
              <w:rPr>
                <w:rFonts w:hint="eastAsia"/>
                <w:color w:val="auto"/>
                <w:highlight w:val="none"/>
                <w:lang w:val="en-US" w:eastAsia="zh-CN"/>
              </w:rPr>
              <w:t>82160.8</w:t>
            </w:r>
            <w:r>
              <w:rPr>
                <w:rFonts w:hint="default"/>
                <w:color w:val="auto"/>
                <w:highlight w:val="none"/>
              </w:rPr>
              <w:t>t/a</w:t>
            </w:r>
            <w:r>
              <w:rPr>
                <w:rFonts w:hint="eastAsia"/>
                <w:color w:val="auto"/>
                <w:highlight w:val="none"/>
              </w:rPr>
              <w:t>，则</w:t>
            </w:r>
            <w:r>
              <w:rPr>
                <w:rFonts w:hint="eastAsia"/>
                <w:color w:val="FF0000"/>
                <w:highlight w:val="none"/>
                <w:lang w:val="en-US" w:eastAsia="zh-CN"/>
              </w:rPr>
              <w:t>投料及转运</w:t>
            </w:r>
            <w:r>
              <w:rPr>
                <w:rFonts w:hint="eastAsia"/>
                <w:color w:val="FF0000"/>
                <w:highlight w:val="none"/>
              </w:rPr>
              <w:t>粉尘</w:t>
            </w:r>
            <w:r>
              <w:rPr>
                <w:rFonts w:hint="eastAsia"/>
                <w:color w:val="auto"/>
                <w:highlight w:val="none"/>
              </w:rPr>
              <w:t>的</w:t>
            </w:r>
            <w:r>
              <w:rPr>
                <w:rFonts w:hint="eastAsia"/>
                <w:color w:val="FF0000"/>
                <w:highlight w:val="none"/>
              </w:rPr>
              <w:t>产生量为</w:t>
            </w:r>
            <w:r>
              <w:rPr>
                <w:rFonts w:hint="eastAsia"/>
                <w:color w:val="FF0000"/>
                <w:highlight w:val="none"/>
                <w:lang w:val="en-US" w:eastAsia="zh-CN"/>
              </w:rPr>
              <w:t>2.465</w:t>
            </w:r>
            <w:r>
              <w:rPr>
                <w:rFonts w:hint="eastAsia"/>
                <w:color w:val="FF0000"/>
                <w:highlight w:val="none"/>
                <w:lang w:eastAsia="zh-CN"/>
              </w:rPr>
              <w:t>t/a</w:t>
            </w:r>
            <w:r>
              <w:rPr>
                <w:rFonts w:hint="eastAsia"/>
                <w:color w:val="auto"/>
                <w:highlight w:val="none"/>
                <w:lang w:eastAsia="zh-CN"/>
              </w:rPr>
              <w:t>，</w:t>
            </w:r>
            <w:r>
              <w:rPr>
                <w:rFonts w:hint="eastAsia"/>
                <w:color w:val="auto"/>
                <w:highlight w:val="none"/>
                <w:lang w:val="en-US" w:eastAsia="zh-CN"/>
              </w:rPr>
              <w:t>产生速率为</w:t>
            </w:r>
            <w:r>
              <w:rPr>
                <w:rFonts w:hint="eastAsia"/>
                <w:color w:val="FF0000"/>
                <w:highlight w:val="none"/>
                <w:lang w:val="en-US" w:eastAsia="zh-CN"/>
              </w:rPr>
              <w:t>0.342kg/</w:t>
            </w:r>
            <w:r>
              <w:rPr>
                <w:rFonts w:hint="eastAsia"/>
                <w:color w:val="auto"/>
                <w:highlight w:val="none"/>
                <w:lang w:val="en-US" w:eastAsia="zh-CN"/>
              </w:rPr>
              <w:t>h</w:t>
            </w:r>
            <w:r>
              <w:rPr>
                <w:rFonts w:hint="eastAsia"/>
                <w:color w:val="auto"/>
                <w:highlight w:val="none"/>
                <w:lang w:eastAsia="zh-CN"/>
              </w:rPr>
              <w:t>。</w:t>
            </w:r>
            <w:r>
              <w:rPr>
                <w:rFonts w:hint="eastAsia"/>
                <w:color w:val="FF0000"/>
                <w:highlight w:val="none"/>
                <w:lang w:val="en-US" w:eastAsia="zh-CN"/>
              </w:rPr>
              <w:t>由于投料及转运过程处于半封闭厂房内</w:t>
            </w:r>
            <w:r>
              <w:rPr>
                <w:rFonts w:hint="eastAsia"/>
                <w:color w:val="FF0000"/>
                <w:highlight w:val="none"/>
              </w:rPr>
              <w:t>，</w:t>
            </w:r>
            <w:r>
              <w:rPr>
                <w:rFonts w:hint="eastAsia"/>
                <w:color w:val="FF0000"/>
                <w:highlight w:val="none"/>
                <w:lang w:val="en-US" w:eastAsia="zh-CN"/>
              </w:rPr>
              <w:t>且设置喷淋降尘，</w:t>
            </w:r>
            <w:r>
              <w:rPr>
                <w:rFonts w:hint="eastAsia"/>
                <w:color w:val="FF0000"/>
                <w:highlight w:val="none"/>
              </w:rPr>
              <w:t>根据《排放源统计调查产排污核算方法和系数手册》附</w:t>
            </w:r>
            <w:r>
              <w:rPr>
                <w:rFonts w:hint="default"/>
                <w:color w:val="FF0000"/>
                <w:highlight w:val="none"/>
              </w:rPr>
              <w:t>1工业源－附表2固体物料堆存颗粒物产排污核算系数</w:t>
            </w:r>
            <w:r>
              <w:rPr>
                <w:rFonts w:hint="eastAsia"/>
                <w:color w:val="FF0000"/>
                <w:highlight w:val="none"/>
              </w:rPr>
              <w:t>手册，</w:t>
            </w:r>
            <w:r>
              <w:rPr>
                <w:rFonts w:hint="eastAsia"/>
                <w:color w:val="FF0000"/>
                <w:highlight w:val="none"/>
                <w:lang w:val="en-US" w:eastAsia="zh-CN"/>
              </w:rPr>
              <w:t>半封闭的沉降效率为60%，洒水抑尘的控制效率为74%，则总控制效率为89.6%，因此无组织排放量为0.256t/a，排放速率为0.036kg/h。</w:t>
            </w:r>
          </w:p>
          <w:p w14:paraId="00EB9B33">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②筒仓粉尘</w:t>
            </w:r>
          </w:p>
          <w:p w14:paraId="44A5B89E">
            <w:pPr>
              <w:pStyle w:val="97"/>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2"/>
              <w:textAlignment w:val="auto"/>
              <w:rPr>
                <w:rFonts w:hint="default"/>
                <w:color w:val="auto"/>
                <w:highlight w:val="none"/>
              </w:rPr>
            </w:pPr>
            <w:r>
              <w:rPr>
                <w:rFonts w:hint="default"/>
                <w:color w:val="auto"/>
                <w:spacing w:val="-2"/>
                <w:highlight w:val="none"/>
              </w:rPr>
              <w:t>项目</w:t>
            </w:r>
            <w:r>
              <w:rPr>
                <w:rFonts w:hint="eastAsia"/>
                <w:color w:val="auto"/>
                <w:spacing w:val="-2"/>
                <w:highlight w:val="none"/>
                <w:lang w:eastAsia="zh-CN"/>
              </w:rPr>
              <w:t>有</w:t>
            </w:r>
            <w:r>
              <w:rPr>
                <w:rFonts w:hint="eastAsia"/>
                <w:color w:val="auto"/>
                <w:highlight w:val="none"/>
                <w:lang w:val="en-US" w:eastAsia="zh-CN"/>
              </w:rPr>
              <w:t>粉煤灰、石膏粉仓、水泥</w:t>
            </w:r>
            <w:r>
              <w:rPr>
                <w:rFonts w:hint="default"/>
                <w:color w:val="auto"/>
                <w:spacing w:val="-2"/>
                <w:highlight w:val="none"/>
              </w:rPr>
              <w:t>设置</w:t>
            </w:r>
            <w:r>
              <w:rPr>
                <w:rFonts w:hint="default" w:ascii="Times New Roman" w:hAnsi="Times New Roman" w:eastAsia="Times New Roman" w:cs="Times New Roman"/>
                <w:color w:val="auto"/>
                <w:spacing w:val="-2"/>
                <w:highlight w:val="none"/>
              </w:rPr>
              <w:t>3</w:t>
            </w:r>
            <w:r>
              <w:rPr>
                <w:rFonts w:hint="default"/>
                <w:color w:val="auto"/>
                <w:spacing w:val="-2"/>
                <w:highlight w:val="none"/>
              </w:rPr>
              <w:t>个筒仓存储，筒仓为封闭式，物料主要通过</w:t>
            </w:r>
            <w:r>
              <w:rPr>
                <w:rFonts w:hint="default"/>
                <w:color w:val="auto"/>
                <w:spacing w:val="-1"/>
                <w:highlight w:val="none"/>
              </w:rPr>
              <w:t>密闭管道连接泵入料斗内，每个筒仓顶均自带一个脉冲布袋仓顶除</w:t>
            </w:r>
            <w:r>
              <w:rPr>
                <w:rFonts w:hint="default"/>
                <w:color w:val="auto"/>
                <w:spacing w:val="-2"/>
                <w:highlight w:val="none"/>
              </w:rPr>
              <w:t>尘器（筒仓均</w:t>
            </w:r>
            <w:r>
              <w:rPr>
                <w:rFonts w:hint="default"/>
                <w:color w:val="auto"/>
                <w:spacing w:val="-1"/>
                <w:highlight w:val="none"/>
              </w:rPr>
              <w:t>为密闭，不考虑未收集量</w:t>
            </w:r>
            <w:r>
              <w:rPr>
                <w:rFonts w:hint="default"/>
                <w:color w:val="auto"/>
                <w:spacing w:val="-2"/>
                <w:highlight w:val="none"/>
              </w:rPr>
              <w:t>），</w:t>
            </w:r>
            <w:r>
              <w:rPr>
                <w:rFonts w:hint="default"/>
                <w:color w:val="auto"/>
                <w:spacing w:val="-1"/>
                <w:highlight w:val="none"/>
              </w:rPr>
              <w:t>经除尘器收集的粉尘回收到仓内用于生</w:t>
            </w:r>
            <w:r>
              <w:rPr>
                <w:rFonts w:hint="default"/>
                <w:color w:val="auto"/>
                <w:spacing w:val="-2"/>
                <w:highlight w:val="none"/>
              </w:rPr>
              <w:t>产，其余通</w:t>
            </w:r>
            <w:r>
              <w:rPr>
                <w:rFonts w:hint="default"/>
                <w:color w:val="auto"/>
                <w:spacing w:val="2"/>
                <w:highlight w:val="none"/>
              </w:rPr>
              <w:t>过料仓顶呼吸口无组织排放，该呼吸粉尘按</w:t>
            </w:r>
            <w:r>
              <w:rPr>
                <w:rFonts w:hint="default"/>
                <w:color w:val="auto"/>
                <w:spacing w:val="1"/>
                <w:highlight w:val="none"/>
              </w:rPr>
              <w:t>照</w:t>
            </w:r>
            <w:r>
              <w:rPr>
                <w:rFonts w:hint="default" w:ascii="Times New Roman" w:hAnsi="Times New Roman" w:eastAsia="Times New Roman" w:cs="Times New Roman"/>
                <w:color w:val="auto"/>
                <w:spacing w:val="1"/>
                <w:highlight w:val="none"/>
              </w:rPr>
              <w:t>7200h</w:t>
            </w:r>
            <w:r>
              <w:rPr>
                <w:rFonts w:hint="default"/>
                <w:color w:val="auto"/>
                <w:spacing w:val="1"/>
                <w:highlight w:val="none"/>
              </w:rPr>
              <w:t>计</w:t>
            </w:r>
            <w:r>
              <w:rPr>
                <w:rFonts w:hint="eastAsia"/>
                <w:color w:val="auto"/>
                <w:spacing w:val="1"/>
                <w:highlight w:val="none"/>
                <w:lang w:eastAsia="zh-CN"/>
              </w:rPr>
              <w:t>，</w:t>
            </w:r>
            <w:r>
              <w:rPr>
                <w:rFonts w:hint="default"/>
                <w:color w:val="auto"/>
                <w:spacing w:val="-1"/>
                <w:highlight w:val="none"/>
              </w:rPr>
              <w:t>粉尘产生量参照《排放源统计调查产排污核算方法和系数手册》（</w:t>
            </w:r>
            <w:r>
              <w:rPr>
                <w:rFonts w:hint="default" w:ascii="Times New Roman" w:hAnsi="Times New Roman" w:eastAsia="Times New Roman" w:cs="Times New Roman"/>
                <w:color w:val="auto"/>
                <w:spacing w:val="-1"/>
                <w:highlight w:val="none"/>
              </w:rPr>
              <w:t>20</w:t>
            </w:r>
            <w:r>
              <w:rPr>
                <w:rFonts w:hint="default" w:ascii="Times New Roman" w:hAnsi="Times New Roman" w:eastAsia="Times New Roman" w:cs="Times New Roman"/>
                <w:color w:val="auto"/>
                <w:spacing w:val="-2"/>
                <w:highlight w:val="none"/>
              </w:rPr>
              <w:t>21</w:t>
            </w:r>
            <w:r>
              <w:rPr>
                <w:rFonts w:hint="default"/>
                <w:color w:val="auto"/>
                <w:spacing w:val="-2"/>
                <w:highlight w:val="none"/>
              </w:rPr>
              <w:t>年第</w:t>
            </w:r>
            <w:r>
              <w:rPr>
                <w:rFonts w:hint="default" w:ascii="Times New Roman" w:hAnsi="Times New Roman" w:eastAsia="Times New Roman" w:cs="Times New Roman"/>
                <w:color w:val="auto"/>
                <w:spacing w:val="-1"/>
                <w:highlight w:val="none"/>
              </w:rPr>
              <w:t>24</w:t>
            </w:r>
            <w:r>
              <w:rPr>
                <w:rFonts w:hint="default"/>
                <w:color w:val="auto"/>
                <w:spacing w:val="-1"/>
                <w:highlight w:val="none"/>
              </w:rPr>
              <w:t>号）中</w:t>
            </w:r>
            <w:r>
              <w:rPr>
                <w:rFonts w:hint="default" w:ascii="Times New Roman" w:hAnsi="Times New Roman" w:eastAsia="Times New Roman" w:cs="Times New Roman"/>
                <w:color w:val="auto"/>
                <w:spacing w:val="-1"/>
                <w:highlight w:val="none"/>
              </w:rPr>
              <w:t>“3021</w:t>
            </w:r>
            <w:r>
              <w:rPr>
                <w:rFonts w:hint="default"/>
                <w:color w:val="auto"/>
                <w:spacing w:val="-1"/>
                <w:highlight w:val="none"/>
              </w:rPr>
              <w:t>水泥制品制造业系数手册</w:t>
            </w:r>
            <w:r>
              <w:rPr>
                <w:rFonts w:hint="default" w:ascii="Times New Roman" w:hAnsi="Times New Roman" w:eastAsia="Times New Roman" w:cs="Times New Roman"/>
                <w:color w:val="auto"/>
                <w:spacing w:val="-1"/>
                <w:highlight w:val="none"/>
              </w:rPr>
              <w:t>”</w:t>
            </w:r>
            <w:r>
              <w:rPr>
                <w:rFonts w:hint="default"/>
                <w:color w:val="auto"/>
                <w:spacing w:val="-1"/>
                <w:highlight w:val="none"/>
              </w:rPr>
              <w:t>，物料输送储</w:t>
            </w:r>
            <w:r>
              <w:rPr>
                <w:rFonts w:hint="default"/>
                <w:color w:val="auto"/>
                <w:spacing w:val="-2"/>
                <w:highlight w:val="none"/>
              </w:rPr>
              <w:t>存工艺颗粒物产生系数为</w:t>
            </w:r>
            <w:r>
              <w:rPr>
                <w:rFonts w:hint="default" w:ascii="Times New Roman" w:hAnsi="Times New Roman" w:eastAsia="Times New Roman" w:cs="Times New Roman"/>
                <w:color w:val="auto"/>
                <w:spacing w:val="-2"/>
                <w:highlight w:val="none"/>
              </w:rPr>
              <w:t>0</w:t>
            </w:r>
            <w:r>
              <w:rPr>
                <w:rFonts w:hint="eastAsia" w:ascii="Times New Roman" w:hAnsi="Times New Roman" w:eastAsia="宋体" w:cs="Times New Roman"/>
                <w:color w:val="auto"/>
                <w:spacing w:val="-2"/>
                <w:highlight w:val="none"/>
                <w:lang w:val="en-US" w:eastAsia="zh-CN"/>
              </w:rPr>
              <w:t>.</w:t>
            </w:r>
            <w:r>
              <w:rPr>
                <w:rFonts w:hint="default" w:ascii="Times New Roman" w:hAnsi="Times New Roman" w:eastAsia="Times New Roman" w:cs="Times New Roman"/>
                <w:color w:val="auto"/>
                <w:spacing w:val="-2"/>
                <w:highlight w:val="none"/>
              </w:rPr>
              <w:t>12kg/t-</w:t>
            </w:r>
            <w:r>
              <w:rPr>
                <w:rFonts w:hint="default"/>
                <w:color w:val="auto"/>
                <w:spacing w:val="-2"/>
                <w:highlight w:val="none"/>
              </w:rPr>
              <w:t>水泥制品和</w:t>
            </w:r>
            <w:r>
              <w:rPr>
                <w:rFonts w:hint="default" w:ascii="Times New Roman" w:hAnsi="Times New Roman" w:eastAsia="Times New Roman" w:cs="Times New Roman"/>
                <w:color w:val="auto"/>
                <w:spacing w:val="-2"/>
                <w:highlight w:val="none"/>
              </w:rPr>
              <w:t>“</w:t>
            </w:r>
            <w:r>
              <w:rPr>
                <w:rFonts w:hint="default"/>
                <w:color w:val="auto"/>
                <w:spacing w:val="-2"/>
                <w:highlight w:val="none"/>
              </w:rPr>
              <w:t>布袋除尘去除效率</w:t>
            </w:r>
            <w:r>
              <w:rPr>
                <w:rFonts w:hint="default" w:ascii="Times New Roman" w:hAnsi="Times New Roman" w:eastAsia="Times New Roman" w:cs="Times New Roman"/>
                <w:color w:val="auto"/>
                <w:spacing w:val="-2"/>
                <w:highlight w:val="none"/>
              </w:rPr>
              <w:t>99.7%”</w:t>
            </w:r>
            <w:r>
              <w:rPr>
                <w:rFonts w:hint="default"/>
                <w:color w:val="auto"/>
                <w:spacing w:val="-2"/>
                <w:highlight w:val="none"/>
              </w:rPr>
              <w:t>，本项目</w:t>
            </w:r>
            <w:r>
              <w:rPr>
                <w:rFonts w:hint="eastAsia"/>
                <w:color w:val="auto"/>
                <w:spacing w:val="-2"/>
                <w:highlight w:val="none"/>
                <w:lang w:eastAsia="zh-CN"/>
              </w:rPr>
              <w:t>石膏粉</w:t>
            </w:r>
            <w:r>
              <w:rPr>
                <w:rFonts w:hint="default"/>
                <w:color w:val="auto"/>
                <w:spacing w:val="-2"/>
                <w:highlight w:val="none"/>
              </w:rPr>
              <w:t>年用量为</w:t>
            </w:r>
            <w:r>
              <w:rPr>
                <w:rFonts w:hint="eastAsia" w:ascii="Times New Roman" w:hAnsi="Times New Roman" w:eastAsia="宋体" w:cs="Times New Roman"/>
                <w:color w:val="auto"/>
                <w:spacing w:val="-3"/>
                <w:highlight w:val="none"/>
                <w:lang w:val="en-US" w:eastAsia="zh-CN"/>
              </w:rPr>
              <w:t>40000</w:t>
            </w:r>
            <w:r>
              <w:rPr>
                <w:rFonts w:hint="default" w:ascii="Times New Roman" w:hAnsi="Times New Roman" w:eastAsia="Times New Roman" w:cs="Times New Roman"/>
                <w:color w:val="auto"/>
                <w:spacing w:val="-3"/>
                <w:highlight w:val="none"/>
              </w:rPr>
              <w:t>t</w:t>
            </w:r>
            <w:r>
              <w:rPr>
                <w:rFonts w:hint="default"/>
                <w:color w:val="auto"/>
                <w:spacing w:val="-3"/>
                <w:highlight w:val="none"/>
              </w:rPr>
              <w:t>，</w:t>
            </w:r>
            <w:r>
              <w:rPr>
                <w:rFonts w:hint="eastAsia"/>
                <w:color w:val="auto"/>
                <w:spacing w:val="-3"/>
                <w:highlight w:val="none"/>
                <w:lang w:eastAsia="zh-CN"/>
              </w:rPr>
              <w:t>粉煤灰</w:t>
            </w:r>
            <w:r>
              <w:rPr>
                <w:rFonts w:hint="default"/>
                <w:color w:val="auto"/>
                <w:spacing w:val="-3"/>
                <w:highlight w:val="none"/>
              </w:rPr>
              <w:t>年用量为</w:t>
            </w:r>
            <w:r>
              <w:rPr>
                <w:rFonts w:hint="eastAsia" w:ascii="Times New Roman" w:hAnsi="Times New Roman" w:eastAsia="宋体" w:cs="Times New Roman"/>
                <w:color w:val="auto"/>
                <w:spacing w:val="-3"/>
                <w:highlight w:val="none"/>
                <w:lang w:val="en-US" w:eastAsia="zh-CN"/>
              </w:rPr>
              <w:t>13500</w:t>
            </w:r>
            <w:r>
              <w:rPr>
                <w:rFonts w:hint="default" w:ascii="Times New Roman" w:hAnsi="Times New Roman" w:eastAsia="Times New Roman" w:cs="Times New Roman"/>
                <w:color w:val="auto"/>
                <w:spacing w:val="-3"/>
                <w:highlight w:val="none"/>
              </w:rPr>
              <w:t>0t</w:t>
            </w:r>
            <w:r>
              <w:rPr>
                <w:rFonts w:hint="default"/>
                <w:color w:val="auto"/>
                <w:spacing w:val="-3"/>
                <w:highlight w:val="none"/>
              </w:rPr>
              <w:t>，水泥年用量为</w:t>
            </w:r>
            <w:r>
              <w:rPr>
                <w:rFonts w:hint="eastAsia" w:ascii="Times New Roman" w:hAnsi="Times New Roman" w:eastAsia="宋体" w:cs="Times New Roman"/>
                <w:color w:val="auto"/>
                <w:spacing w:val="-3"/>
                <w:highlight w:val="none"/>
                <w:lang w:val="en-US" w:eastAsia="zh-CN"/>
              </w:rPr>
              <w:t>75000</w:t>
            </w:r>
            <w:r>
              <w:rPr>
                <w:rFonts w:hint="default" w:ascii="Times New Roman" w:hAnsi="Times New Roman" w:eastAsia="Times New Roman" w:cs="Times New Roman"/>
                <w:color w:val="auto"/>
                <w:spacing w:val="-3"/>
                <w:highlight w:val="none"/>
              </w:rPr>
              <w:t>t</w:t>
            </w:r>
            <w:r>
              <w:rPr>
                <w:rFonts w:hint="default"/>
                <w:color w:val="auto"/>
                <w:spacing w:val="-3"/>
                <w:highlight w:val="none"/>
              </w:rPr>
              <w:t>，则料仓粉尘产生量为</w:t>
            </w:r>
            <w:r>
              <w:rPr>
                <w:rFonts w:hint="eastAsia" w:ascii="Times New Roman" w:hAnsi="Times New Roman" w:eastAsia="宋体" w:cs="Times New Roman"/>
                <w:color w:val="auto"/>
                <w:spacing w:val="-2"/>
                <w:highlight w:val="none"/>
                <w:lang w:val="en-US" w:eastAsia="zh-CN"/>
              </w:rPr>
              <w:t>30</w:t>
            </w:r>
            <w:r>
              <w:rPr>
                <w:rFonts w:hint="default" w:ascii="Times New Roman" w:hAnsi="Times New Roman" w:eastAsia="Times New Roman" w:cs="Times New Roman"/>
                <w:color w:val="auto"/>
                <w:spacing w:val="-2"/>
                <w:highlight w:val="none"/>
              </w:rPr>
              <w:t>t/a</w:t>
            </w:r>
            <w:r>
              <w:rPr>
                <w:rFonts w:hint="default"/>
                <w:color w:val="auto"/>
                <w:spacing w:val="-2"/>
                <w:highlight w:val="none"/>
              </w:rPr>
              <w:t>，粉尘产生速率为</w:t>
            </w:r>
            <w:r>
              <w:rPr>
                <w:rFonts w:hint="eastAsia" w:ascii="Times New Roman" w:hAnsi="Times New Roman" w:eastAsia="宋体" w:cs="Times New Roman"/>
                <w:color w:val="auto"/>
                <w:spacing w:val="-2"/>
                <w:highlight w:val="none"/>
                <w:lang w:val="en-US" w:eastAsia="zh-CN"/>
              </w:rPr>
              <w:t>4.17</w:t>
            </w:r>
            <w:r>
              <w:rPr>
                <w:rFonts w:hint="default" w:ascii="Times New Roman" w:hAnsi="Times New Roman" w:eastAsia="Times New Roman" w:cs="Times New Roman"/>
                <w:color w:val="auto"/>
                <w:spacing w:val="-2"/>
                <w:highlight w:val="none"/>
              </w:rPr>
              <w:t>kg/h</w:t>
            </w:r>
            <w:r>
              <w:rPr>
                <w:rFonts w:hint="default"/>
                <w:color w:val="auto"/>
                <w:spacing w:val="-2"/>
                <w:highlight w:val="none"/>
              </w:rPr>
              <w:t>，经筒仓顶部自带袋式除尘器处理后于仓顶无组织排放，则仓顶呼吸废气排放量为</w:t>
            </w:r>
            <w:r>
              <w:rPr>
                <w:rFonts w:hint="default" w:ascii="Times New Roman" w:hAnsi="Times New Roman" w:eastAsia="Times New Roman" w:cs="Times New Roman"/>
                <w:color w:val="auto"/>
                <w:spacing w:val="-2"/>
                <w:highlight w:val="none"/>
              </w:rPr>
              <w:t>0.0</w:t>
            </w:r>
            <w:r>
              <w:rPr>
                <w:rFonts w:hint="eastAsia" w:ascii="Times New Roman" w:hAnsi="Times New Roman" w:eastAsia="宋体" w:cs="Times New Roman"/>
                <w:color w:val="auto"/>
                <w:spacing w:val="-2"/>
                <w:highlight w:val="none"/>
                <w:lang w:val="en-US" w:eastAsia="zh-CN"/>
              </w:rPr>
              <w:t>9</w:t>
            </w:r>
            <w:r>
              <w:rPr>
                <w:rFonts w:hint="default" w:ascii="Times New Roman" w:hAnsi="Times New Roman" w:eastAsia="Times New Roman" w:cs="Times New Roman"/>
                <w:color w:val="auto"/>
                <w:spacing w:val="-2"/>
                <w:highlight w:val="none"/>
              </w:rPr>
              <w:t>t/a</w:t>
            </w:r>
            <w:r>
              <w:rPr>
                <w:rFonts w:hint="default"/>
                <w:color w:val="auto"/>
                <w:spacing w:val="-2"/>
                <w:highlight w:val="none"/>
              </w:rPr>
              <w:t>，排放速率为</w:t>
            </w:r>
            <w:r>
              <w:rPr>
                <w:rFonts w:hint="default" w:ascii="Times New Roman" w:hAnsi="Times New Roman" w:eastAsia="Times New Roman" w:cs="Times New Roman"/>
                <w:color w:val="auto"/>
                <w:spacing w:val="-2"/>
                <w:highlight w:val="none"/>
              </w:rPr>
              <w:t>0.0</w:t>
            </w:r>
            <w:r>
              <w:rPr>
                <w:rFonts w:hint="eastAsia" w:ascii="Times New Roman" w:hAnsi="Times New Roman" w:eastAsia="宋体" w:cs="Times New Roman"/>
                <w:color w:val="auto"/>
                <w:spacing w:val="-2"/>
                <w:highlight w:val="none"/>
                <w:lang w:val="en-US" w:eastAsia="zh-CN"/>
              </w:rPr>
              <w:t>125</w:t>
            </w:r>
            <w:r>
              <w:rPr>
                <w:rFonts w:hint="default" w:ascii="Times New Roman" w:hAnsi="Times New Roman" w:eastAsia="Times New Roman" w:cs="Times New Roman"/>
                <w:color w:val="auto"/>
                <w:spacing w:val="-2"/>
                <w:highlight w:val="none"/>
              </w:rPr>
              <w:t>kg/</w:t>
            </w:r>
            <w:r>
              <w:rPr>
                <w:rFonts w:hint="default" w:ascii="Times New Roman" w:hAnsi="Times New Roman" w:eastAsia="Times New Roman" w:cs="Times New Roman"/>
                <w:color w:val="auto"/>
                <w:spacing w:val="-3"/>
                <w:highlight w:val="none"/>
              </w:rPr>
              <w:t>h</w:t>
            </w:r>
            <w:r>
              <w:rPr>
                <w:rFonts w:hint="default"/>
                <w:color w:val="auto"/>
                <w:spacing w:val="-3"/>
                <w:highlight w:val="none"/>
              </w:rPr>
              <w:t>。</w:t>
            </w:r>
          </w:p>
          <w:p w14:paraId="16F76F6A">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③搅拌</w:t>
            </w:r>
            <w:r>
              <w:rPr>
                <w:rFonts w:hint="eastAsia"/>
                <w:color w:val="auto"/>
                <w:highlight w:val="none"/>
              </w:rPr>
              <w:t>粉尘</w:t>
            </w:r>
          </w:p>
          <w:p w14:paraId="5A21D4F1">
            <w:pPr>
              <w:pStyle w:val="76"/>
              <w:keepNext w:val="0"/>
              <w:keepLines w:val="0"/>
              <w:suppressLineNumbers w:val="0"/>
              <w:bidi w:val="0"/>
              <w:spacing w:before="0" w:beforeAutospacing="0" w:after="0" w:afterAutospacing="0"/>
              <w:ind w:left="0" w:right="0"/>
              <w:rPr>
                <w:rFonts w:hint="default"/>
                <w:color w:val="auto"/>
                <w:highlight w:val="none"/>
                <w:lang w:val="en-US"/>
              </w:rPr>
            </w:pPr>
            <w:r>
              <w:rPr>
                <w:rFonts w:hint="eastAsia"/>
                <w:color w:val="auto"/>
                <w:highlight w:val="none"/>
              </w:rPr>
              <w:t>各类物料经</w:t>
            </w:r>
            <w:r>
              <w:rPr>
                <w:rFonts w:hint="eastAsia"/>
                <w:color w:val="auto"/>
                <w:highlight w:val="none"/>
                <w:lang w:val="en-US" w:eastAsia="zh-CN"/>
              </w:rPr>
              <w:t>密闭皮带输送、密闭管道输送、铲车投料进去搅拌设备</w:t>
            </w:r>
            <w:r>
              <w:rPr>
                <w:rFonts w:hint="eastAsia"/>
                <w:color w:val="auto"/>
                <w:highlight w:val="none"/>
              </w:rPr>
              <w:t>进行搅拌混合，在达到预设的混合时间后搅拌主机自行打开主机卸料门将混合后的成品料卸入到主机卸料斗内。搅拌主机上配置了独立的布袋除尘器用来释放主机搅拌过程中的压力和粉尘，</w:t>
            </w:r>
            <w:r>
              <w:rPr>
                <w:rFonts w:hint="default" w:ascii="Times New Roman" w:hAnsi="Times New Roman" w:eastAsia="宋体" w:cs="Times New Roman"/>
                <w:bCs/>
                <w:color w:val="auto"/>
                <w:kern w:val="2"/>
                <w:sz w:val="24"/>
                <w:szCs w:val="24"/>
                <w:highlight w:val="none"/>
                <w:lang w:val="en-US" w:eastAsia="zh-CN" w:bidi="ar-SA"/>
              </w:rPr>
              <w:t>经除尘器处理后</w:t>
            </w:r>
            <w:r>
              <w:rPr>
                <w:rFonts w:hint="eastAsia" w:ascii="Times New Roman" w:hAnsi="Times New Roman" w:eastAsia="宋体" w:cs="Times New Roman"/>
                <w:bCs/>
                <w:color w:val="auto"/>
                <w:kern w:val="2"/>
                <w:sz w:val="24"/>
                <w:szCs w:val="24"/>
                <w:highlight w:val="none"/>
                <w:lang w:val="en-US" w:eastAsia="zh-CN" w:bidi="ar-SA"/>
              </w:rPr>
              <w:t>通过</w:t>
            </w:r>
            <w:r>
              <w:rPr>
                <w:rFonts w:hint="eastAsia" w:cs="Times New Roman"/>
                <w:bCs/>
                <w:color w:val="auto"/>
                <w:kern w:val="2"/>
                <w:sz w:val="24"/>
                <w:szCs w:val="24"/>
                <w:highlight w:val="none"/>
                <w:lang w:val="en-US" w:eastAsia="zh-CN" w:bidi="ar-SA"/>
              </w:rPr>
              <w:t>20</w:t>
            </w:r>
            <w:r>
              <w:rPr>
                <w:rFonts w:hint="eastAsia" w:ascii="Times New Roman" w:hAnsi="Times New Roman" w:eastAsia="宋体" w:cs="Times New Roman"/>
                <w:bCs/>
                <w:color w:val="auto"/>
                <w:kern w:val="2"/>
                <w:sz w:val="24"/>
                <w:szCs w:val="24"/>
                <w:highlight w:val="none"/>
                <w:lang w:val="en-US" w:eastAsia="zh-CN" w:bidi="ar-SA"/>
              </w:rPr>
              <w:t>m排气筒排放，</w:t>
            </w:r>
            <w:r>
              <w:rPr>
                <w:rFonts w:hint="default" w:ascii="Times New Roman" w:hAnsi="Times New Roman" w:eastAsia="宋体" w:cs="Times New Roman"/>
                <w:bCs/>
                <w:color w:val="auto"/>
                <w:kern w:val="2"/>
                <w:sz w:val="24"/>
                <w:szCs w:val="24"/>
                <w:highlight w:val="none"/>
                <w:lang w:val="en-US" w:eastAsia="zh-CN" w:bidi="ar-SA"/>
              </w:rPr>
              <w:t>收集的粉尘回收到仓内用于生产</w:t>
            </w:r>
            <w:r>
              <w:rPr>
                <w:rFonts w:hint="eastAsia" w:cs="Times New Roman"/>
                <w:bCs/>
                <w:color w:val="auto"/>
                <w:kern w:val="2"/>
                <w:sz w:val="24"/>
                <w:szCs w:val="24"/>
                <w:highlight w:val="none"/>
                <w:lang w:val="en-US" w:eastAsia="zh-CN" w:bidi="ar-SA"/>
              </w:rPr>
              <w:t>。</w:t>
            </w:r>
          </w:p>
          <w:p w14:paraId="0C31A3EE">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根据</w:t>
            </w:r>
            <w:r>
              <w:rPr>
                <w:rFonts w:hint="default"/>
                <w:color w:val="auto"/>
                <w:highlight w:val="none"/>
              </w:rPr>
              <w:t>《排放源统计调查产排污核算方法和系数手册》（2021年第24号）</w:t>
            </w:r>
            <w:r>
              <w:rPr>
                <w:rFonts w:hint="eastAsia"/>
                <w:color w:val="auto"/>
                <w:highlight w:val="none"/>
              </w:rPr>
              <w:t>中“3029其他水泥类似制品制造”行业产排污系数</w:t>
            </w:r>
            <w:r>
              <w:rPr>
                <w:rFonts w:hint="eastAsia"/>
                <w:color w:val="auto"/>
                <w:highlight w:val="none"/>
                <w:lang w:val="en-US" w:eastAsia="zh-CN"/>
              </w:rPr>
              <w:t>手册中</w:t>
            </w:r>
            <w:r>
              <w:rPr>
                <w:rFonts w:hint="eastAsia"/>
                <w:color w:val="auto"/>
                <w:highlight w:val="none"/>
              </w:rPr>
              <w:t>物料</w:t>
            </w:r>
            <w:r>
              <w:rPr>
                <w:rFonts w:hint="eastAsia"/>
                <w:color w:val="auto"/>
                <w:highlight w:val="none"/>
                <w:lang w:val="en-US" w:eastAsia="zh-CN"/>
              </w:rPr>
              <w:t>混合搅拌</w:t>
            </w:r>
            <w:r>
              <w:rPr>
                <w:rFonts w:hint="eastAsia"/>
                <w:color w:val="auto"/>
                <w:highlight w:val="none"/>
              </w:rPr>
              <w:t>工序颗粒物产</w:t>
            </w:r>
            <w:r>
              <w:rPr>
                <w:rFonts w:hint="eastAsia"/>
                <w:color w:val="auto"/>
                <w:highlight w:val="none"/>
                <w:lang w:val="en-US" w:eastAsia="zh-CN"/>
              </w:rPr>
              <w:t>污</w:t>
            </w:r>
            <w:r>
              <w:rPr>
                <w:rFonts w:hint="eastAsia"/>
                <w:color w:val="auto"/>
                <w:highlight w:val="none"/>
              </w:rPr>
              <w:t>系数</w:t>
            </w:r>
            <w:r>
              <w:rPr>
                <w:rFonts w:hint="eastAsia"/>
                <w:color w:val="auto"/>
                <w:highlight w:val="none"/>
                <w:lang w:eastAsia="zh-CN"/>
              </w:rPr>
              <w:t>（</w:t>
            </w:r>
            <w:r>
              <w:rPr>
                <w:rFonts w:hint="eastAsia"/>
                <w:color w:val="auto"/>
                <w:highlight w:val="none"/>
              </w:rPr>
              <w:t>0.1</w:t>
            </w:r>
            <w:r>
              <w:rPr>
                <w:rFonts w:hint="eastAsia"/>
                <w:color w:val="auto"/>
                <w:highlight w:val="none"/>
                <w:lang w:val="en-US" w:eastAsia="zh-CN"/>
              </w:rPr>
              <w:t>3</w:t>
            </w:r>
            <w:r>
              <w:rPr>
                <w:rFonts w:hint="eastAsia"/>
                <w:color w:val="auto"/>
                <w:highlight w:val="none"/>
              </w:rPr>
              <w:t>千克/吨-产品</w:t>
            </w:r>
            <w:r>
              <w:rPr>
                <w:rFonts w:hint="eastAsia"/>
                <w:color w:val="auto"/>
                <w:highlight w:val="none"/>
                <w:lang w:eastAsia="zh-CN"/>
              </w:rPr>
              <w:t>）</w:t>
            </w:r>
            <w:r>
              <w:rPr>
                <w:rFonts w:hint="eastAsia"/>
                <w:color w:val="auto"/>
                <w:highlight w:val="none"/>
                <w:lang w:val="en-US" w:eastAsia="zh-CN"/>
              </w:rPr>
              <w:t>计算</w:t>
            </w:r>
            <w:r>
              <w:rPr>
                <w:rFonts w:hint="eastAsia"/>
                <w:color w:val="auto"/>
                <w:highlight w:val="none"/>
              </w:rPr>
              <w:t>，</w:t>
            </w:r>
            <w:r>
              <w:rPr>
                <w:rFonts w:hint="eastAsia"/>
                <w:color w:val="auto"/>
                <w:highlight w:val="none"/>
                <w:lang w:val="en-US" w:eastAsia="zh-CN"/>
              </w:rPr>
              <w:t>由于搅拌过程处于全封闭状态</w:t>
            </w:r>
            <w:r>
              <w:rPr>
                <w:rFonts w:hint="eastAsia"/>
                <w:color w:val="auto"/>
                <w:highlight w:val="none"/>
              </w:rPr>
              <w:t>，</w:t>
            </w:r>
            <w:r>
              <w:rPr>
                <w:rFonts w:hint="eastAsia"/>
                <w:color w:val="FF0000"/>
                <w:szCs w:val="21"/>
                <w:highlight w:val="none"/>
              </w:rPr>
              <w:t>废气收集率可参考《袋式除尘工程通用技术规范》（</w:t>
            </w:r>
            <w:r>
              <w:rPr>
                <w:rFonts w:hint="default"/>
                <w:color w:val="FF0000"/>
                <w:szCs w:val="21"/>
                <w:highlight w:val="none"/>
              </w:rPr>
              <w:t>HJ2020-2012），其中密闭罩100%、半密闭罩95%、吹吸罩90%，本项目采用</w:t>
            </w:r>
            <w:r>
              <w:rPr>
                <w:rFonts w:hint="eastAsia"/>
                <w:color w:val="FF0000"/>
                <w:szCs w:val="21"/>
                <w:highlight w:val="none"/>
                <w:lang w:eastAsia="zh-CN"/>
              </w:rPr>
              <w:t>密闭</w:t>
            </w:r>
            <w:r>
              <w:rPr>
                <w:rFonts w:hint="eastAsia"/>
                <w:color w:val="FF0000"/>
                <w:szCs w:val="21"/>
                <w:highlight w:val="none"/>
              </w:rPr>
              <w:t>，收集效率为</w:t>
            </w:r>
            <w:r>
              <w:rPr>
                <w:rFonts w:hint="eastAsia"/>
                <w:color w:val="FF0000"/>
                <w:szCs w:val="21"/>
                <w:highlight w:val="none"/>
                <w:lang w:val="en-US" w:eastAsia="zh-CN"/>
              </w:rPr>
              <w:t>100</w:t>
            </w:r>
            <w:r>
              <w:rPr>
                <w:rFonts w:hint="default"/>
                <w:color w:val="FF0000"/>
                <w:szCs w:val="21"/>
                <w:highlight w:val="none"/>
              </w:rPr>
              <w:t>%</w:t>
            </w:r>
            <w:r>
              <w:rPr>
                <w:rFonts w:hint="eastAsia"/>
                <w:color w:val="FF0000"/>
                <w:szCs w:val="21"/>
                <w:highlight w:val="none"/>
                <w:lang w:eastAsia="zh-CN"/>
              </w:rPr>
              <w:t>，</w:t>
            </w:r>
            <w:r>
              <w:rPr>
                <w:rFonts w:hint="default"/>
                <w:color w:val="FF0000"/>
                <w:highlight w:val="none"/>
              </w:rPr>
              <w:t>工作时间</w:t>
            </w:r>
            <w:r>
              <w:rPr>
                <w:rFonts w:hint="eastAsia"/>
                <w:color w:val="FF0000"/>
                <w:highlight w:val="none"/>
                <w:lang w:val="en-US" w:eastAsia="zh-CN"/>
              </w:rPr>
              <w:t>7200h</w:t>
            </w:r>
            <w:r>
              <w:rPr>
                <w:rFonts w:hint="default"/>
                <w:color w:val="FF0000"/>
                <w:highlight w:val="none"/>
              </w:rPr>
              <w:t>，</w:t>
            </w:r>
            <w:r>
              <w:rPr>
                <w:rFonts w:hint="eastAsia"/>
                <w:color w:val="FF0000"/>
                <w:highlight w:val="none"/>
                <w:lang w:eastAsia="zh-CN"/>
              </w:rPr>
              <w:t>风量为</w:t>
            </w:r>
            <w:r>
              <w:rPr>
                <w:rFonts w:hint="eastAsia"/>
                <w:color w:val="FF0000"/>
                <w:highlight w:val="none"/>
                <w:lang w:val="en-US" w:eastAsia="zh-CN"/>
              </w:rPr>
              <w:t>8000m</w:t>
            </w:r>
            <w:r>
              <w:rPr>
                <w:rFonts w:hint="eastAsia"/>
                <w:color w:val="FF0000"/>
                <w:highlight w:val="none"/>
                <w:vertAlign w:val="superscript"/>
                <w:lang w:val="en-US" w:eastAsia="zh-CN"/>
              </w:rPr>
              <w:t>3</w:t>
            </w:r>
            <w:r>
              <w:rPr>
                <w:rFonts w:hint="eastAsia"/>
                <w:color w:val="FF0000"/>
                <w:highlight w:val="none"/>
                <w:lang w:val="en-US" w:eastAsia="zh-CN"/>
              </w:rPr>
              <w:t>/h，布袋除尘器去除效率为99.7%</w:t>
            </w:r>
            <w:r>
              <w:rPr>
                <w:rFonts w:hint="eastAsia"/>
                <w:color w:val="auto"/>
                <w:highlight w:val="none"/>
                <w:lang w:val="en-US" w:eastAsia="zh-CN"/>
              </w:rPr>
              <w:t>，项目产品年产量为900000</w:t>
            </w:r>
            <w:r>
              <w:rPr>
                <w:rFonts w:hint="default"/>
                <w:color w:val="auto"/>
                <w:highlight w:val="none"/>
              </w:rPr>
              <w:t>t</w:t>
            </w:r>
            <w:r>
              <w:rPr>
                <w:rFonts w:hint="eastAsia"/>
                <w:color w:val="auto"/>
                <w:highlight w:val="none"/>
              </w:rPr>
              <w:t>，则</w:t>
            </w:r>
            <w:r>
              <w:rPr>
                <w:rFonts w:hint="eastAsia"/>
                <w:color w:val="auto"/>
                <w:highlight w:val="none"/>
                <w:lang w:val="en-US" w:eastAsia="zh-CN"/>
              </w:rPr>
              <w:t>搅拌</w:t>
            </w:r>
            <w:r>
              <w:rPr>
                <w:rFonts w:hint="eastAsia"/>
                <w:color w:val="auto"/>
                <w:highlight w:val="none"/>
              </w:rPr>
              <w:t>粉尘的产生量为</w:t>
            </w:r>
            <w:r>
              <w:rPr>
                <w:rFonts w:hint="eastAsia"/>
                <w:color w:val="auto"/>
                <w:highlight w:val="none"/>
                <w:lang w:val="en-US" w:eastAsia="zh-CN"/>
              </w:rPr>
              <w:t>117</w:t>
            </w:r>
            <w:r>
              <w:rPr>
                <w:rFonts w:hint="default"/>
                <w:color w:val="auto"/>
                <w:highlight w:val="none"/>
              </w:rPr>
              <w:t>t/a</w:t>
            </w:r>
            <w:r>
              <w:rPr>
                <w:rFonts w:hint="eastAsia"/>
                <w:color w:val="auto"/>
                <w:highlight w:val="none"/>
              </w:rPr>
              <w:t>，</w:t>
            </w:r>
            <w:r>
              <w:rPr>
                <w:rFonts w:hint="eastAsia"/>
                <w:color w:val="auto"/>
                <w:highlight w:val="none"/>
                <w:lang w:val="en-US" w:eastAsia="zh-CN"/>
              </w:rPr>
              <w:t>搅拌粉尘</w:t>
            </w:r>
            <w:r>
              <w:rPr>
                <w:rFonts w:hint="eastAsia"/>
                <w:color w:val="auto"/>
                <w:highlight w:val="none"/>
              </w:rPr>
              <w:t>由</w:t>
            </w:r>
            <w:r>
              <w:rPr>
                <w:rFonts w:hint="eastAsia"/>
                <w:color w:val="auto"/>
                <w:highlight w:val="none"/>
                <w:lang w:val="en-US" w:eastAsia="zh-CN"/>
              </w:rPr>
              <w:t>密闭管道收集</w:t>
            </w:r>
            <w:r>
              <w:rPr>
                <w:rFonts w:hint="eastAsia"/>
                <w:color w:val="FF0000"/>
                <w:highlight w:val="none"/>
                <w:lang w:eastAsia="zh-CN"/>
              </w:rPr>
              <w:t>（</w:t>
            </w:r>
            <w:r>
              <w:rPr>
                <w:rFonts w:hint="eastAsia"/>
                <w:color w:val="FF0000"/>
                <w:highlight w:val="none"/>
                <w:lang w:val="en-US" w:eastAsia="zh-CN"/>
              </w:rPr>
              <w:t>收集效率100%</w:t>
            </w:r>
            <w:r>
              <w:rPr>
                <w:rFonts w:hint="eastAsia"/>
                <w:color w:val="FF0000"/>
                <w:highlight w:val="none"/>
                <w:lang w:eastAsia="zh-CN"/>
              </w:rPr>
              <w:t>）</w:t>
            </w:r>
            <w:r>
              <w:rPr>
                <w:rFonts w:hint="eastAsia"/>
                <w:color w:val="auto"/>
                <w:highlight w:val="none"/>
                <w:lang w:val="en-US" w:eastAsia="zh-CN"/>
              </w:rPr>
              <w:t>+</w:t>
            </w:r>
            <w:r>
              <w:rPr>
                <w:rFonts w:hint="eastAsia"/>
                <w:color w:val="auto"/>
                <w:highlight w:val="none"/>
              </w:rPr>
              <w:t>袋式除尘器</w:t>
            </w:r>
            <w:r>
              <w:rPr>
                <w:rFonts w:hint="eastAsia"/>
                <w:color w:val="auto"/>
                <w:highlight w:val="none"/>
                <w:lang w:eastAsia="zh-CN"/>
              </w:rPr>
              <w:t>（处理效率</w:t>
            </w:r>
            <w:r>
              <w:rPr>
                <w:rFonts w:hint="eastAsia"/>
                <w:color w:val="auto"/>
                <w:highlight w:val="none"/>
                <w:lang w:val="en-US" w:eastAsia="zh-CN"/>
              </w:rPr>
              <w:t>99.7%</w:t>
            </w:r>
            <w:r>
              <w:rPr>
                <w:rFonts w:hint="eastAsia"/>
                <w:color w:val="auto"/>
                <w:highlight w:val="none"/>
                <w:lang w:eastAsia="zh-CN"/>
              </w:rPr>
              <w:t>）</w:t>
            </w:r>
            <w:r>
              <w:rPr>
                <w:rFonts w:hint="eastAsia"/>
                <w:color w:val="auto"/>
                <w:highlight w:val="none"/>
                <w:lang w:val="en-US" w:eastAsia="zh-CN"/>
              </w:rPr>
              <w:t>处理后通过20m</w:t>
            </w:r>
            <w:r>
              <w:rPr>
                <w:rFonts w:hint="eastAsia"/>
                <w:color w:val="auto"/>
                <w:highlight w:val="none"/>
              </w:rPr>
              <w:t>排气筒（D</w:t>
            </w:r>
            <w:r>
              <w:rPr>
                <w:rFonts w:hint="default"/>
                <w:color w:val="auto"/>
                <w:highlight w:val="none"/>
              </w:rPr>
              <w:t>A</w:t>
            </w:r>
            <w:r>
              <w:rPr>
                <w:rFonts w:hint="eastAsia"/>
                <w:color w:val="auto"/>
                <w:highlight w:val="none"/>
                <w:lang w:val="en-US" w:eastAsia="zh-CN"/>
              </w:rPr>
              <w:t>003</w:t>
            </w:r>
            <w:r>
              <w:rPr>
                <w:rFonts w:hint="eastAsia"/>
                <w:color w:val="auto"/>
                <w:highlight w:val="none"/>
              </w:rPr>
              <w:t>）</w:t>
            </w:r>
            <w:r>
              <w:rPr>
                <w:rFonts w:hint="eastAsia"/>
                <w:color w:val="auto"/>
                <w:highlight w:val="none"/>
                <w:lang w:val="en-US" w:eastAsia="zh-CN"/>
              </w:rPr>
              <w:t>排放，</w:t>
            </w:r>
            <w:r>
              <w:rPr>
                <w:rFonts w:hint="eastAsia"/>
                <w:color w:val="auto"/>
                <w:highlight w:val="none"/>
              </w:rPr>
              <w:t>排放量为</w:t>
            </w:r>
            <w:r>
              <w:rPr>
                <w:rFonts w:hint="eastAsia"/>
                <w:color w:val="auto"/>
                <w:highlight w:val="none"/>
                <w:lang w:val="en-US" w:eastAsia="zh-CN"/>
              </w:rPr>
              <w:t>0.347</w:t>
            </w:r>
            <w:r>
              <w:rPr>
                <w:rFonts w:hint="default"/>
                <w:color w:val="auto"/>
                <w:highlight w:val="none"/>
              </w:rPr>
              <w:t>t/a</w:t>
            </w:r>
            <w:r>
              <w:rPr>
                <w:rFonts w:hint="eastAsia"/>
                <w:color w:val="auto"/>
                <w:highlight w:val="none"/>
              </w:rPr>
              <w:t>，</w:t>
            </w:r>
            <w:r>
              <w:rPr>
                <w:rFonts w:hint="default"/>
                <w:color w:val="auto"/>
                <w:highlight w:val="none"/>
              </w:rPr>
              <w:t>排放</w:t>
            </w:r>
            <w:r>
              <w:rPr>
                <w:rFonts w:hint="eastAsia"/>
                <w:color w:val="auto"/>
                <w:highlight w:val="none"/>
              </w:rPr>
              <w:t>速率为</w:t>
            </w:r>
            <w:r>
              <w:rPr>
                <w:rFonts w:hint="default"/>
                <w:color w:val="auto"/>
                <w:highlight w:val="none"/>
              </w:rPr>
              <w:t>0.</w:t>
            </w:r>
            <w:r>
              <w:rPr>
                <w:rFonts w:hint="eastAsia"/>
                <w:color w:val="auto"/>
                <w:highlight w:val="none"/>
                <w:lang w:val="en-US" w:eastAsia="zh-CN"/>
              </w:rPr>
              <w:t>048</w:t>
            </w:r>
            <w:r>
              <w:rPr>
                <w:rFonts w:hint="eastAsia"/>
                <w:color w:val="auto"/>
                <w:highlight w:val="none"/>
              </w:rPr>
              <w:t>kg/h，</w:t>
            </w:r>
            <w:r>
              <w:rPr>
                <w:rFonts w:hint="default"/>
                <w:color w:val="auto"/>
                <w:highlight w:val="none"/>
              </w:rPr>
              <w:t>未收集</w:t>
            </w:r>
            <w:r>
              <w:rPr>
                <w:rFonts w:hint="eastAsia"/>
                <w:color w:val="auto"/>
                <w:highlight w:val="none"/>
              </w:rPr>
              <w:t>粉尘</w:t>
            </w:r>
            <w:r>
              <w:rPr>
                <w:rFonts w:hint="eastAsia"/>
                <w:color w:val="auto"/>
                <w:highlight w:val="none"/>
                <w:lang w:val="en-US" w:eastAsia="zh-CN"/>
              </w:rPr>
              <w:t>1.17</w:t>
            </w:r>
            <w:r>
              <w:rPr>
                <w:rFonts w:hint="default"/>
                <w:color w:val="auto"/>
                <w:highlight w:val="none"/>
              </w:rPr>
              <w:t>t/a，</w:t>
            </w:r>
            <w:r>
              <w:rPr>
                <w:rFonts w:hint="eastAsia"/>
                <w:color w:val="auto"/>
                <w:highlight w:val="none"/>
                <w:lang w:val="en-US" w:eastAsia="zh-CN"/>
              </w:rPr>
              <w:t>由于搅拌过程位于半封闭厂房，且定期进行洒水除尘，</w:t>
            </w:r>
            <w:r>
              <w:rPr>
                <w:rFonts w:hint="eastAsia"/>
                <w:color w:val="auto"/>
                <w:highlight w:val="none"/>
              </w:rPr>
              <w:t>根据《排放源统计调查产排污核算方法和系数手册》附</w:t>
            </w:r>
            <w:r>
              <w:rPr>
                <w:rFonts w:hint="default"/>
                <w:color w:val="auto"/>
                <w:highlight w:val="none"/>
              </w:rPr>
              <w:t>1工业源－附表2固体物料堆存颗粒物产排污核算系数</w:t>
            </w:r>
            <w:r>
              <w:rPr>
                <w:rFonts w:hint="eastAsia"/>
                <w:color w:val="auto"/>
                <w:highlight w:val="none"/>
              </w:rPr>
              <w:t>手册，</w:t>
            </w:r>
            <w:r>
              <w:rPr>
                <w:rFonts w:hint="eastAsia"/>
                <w:color w:val="auto"/>
                <w:highlight w:val="none"/>
                <w:lang w:val="en-US" w:eastAsia="zh-CN"/>
              </w:rPr>
              <w:t>半封闭的沉降效率为60%，洒水抑尘的控制效率为74%，则总控制效率为89.6%，因此搅拌粉尘无组织排放量为0.122</w:t>
            </w:r>
            <w:r>
              <w:rPr>
                <w:rFonts w:hint="default"/>
                <w:color w:val="auto"/>
                <w:highlight w:val="none"/>
              </w:rPr>
              <w:t>t/a，排放速率</w:t>
            </w:r>
            <w:r>
              <w:rPr>
                <w:rFonts w:hint="eastAsia"/>
                <w:color w:val="auto"/>
                <w:highlight w:val="none"/>
                <w:lang w:val="en-US" w:eastAsia="zh-CN"/>
              </w:rPr>
              <w:t>0.017</w:t>
            </w:r>
            <w:r>
              <w:rPr>
                <w:rFonts w:hint="default"/>
                <w:color w:val="auto"/>
                <w:highlight w:val="none"/>
              </w:rPr>
              <w:t>kg/h。</w:t>
            </w:r>
          </w:p>
          <w:p w14:paraId="7D2685B4">
            <w:pPr>
              <w:pStyle w:val="76"/>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color w:val="auto"/>
                <w:highlight w:val="none"/>
              </w:rPr>
              <w:t>④</w:t>
            </w:r>
            <w:r>
              <w:rPr>
                <w:rFonts w:hint="eastAsia"/>
                <w:color w:val="auto"/>
                <w:highlight w:val="none"/>
                <w:lang w:eastAsia="zh-CN"/>
              </w:rPr>
              <w:t>破碎及筛分粉尘</w:t>
            </w:r>
          </w:p>
          <w:p w14:paraId="38A35C0D">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spacing w:val="-1"/>
                <w:highlight w:val="none"/>
                <w:lang w:eastAsia="zh-CN"/>
              </w:rPr>
              <w:t>项目环保免烧砖</w:t>
            </w:r>
            <w:r>
              <w:rPr>
                <w:rFonts w:hint="default"/>
                <w:color w:val="auto"/>
                <w:spacing w:val="-1"/>
                <w:highlight w:val="none"/>
              </w:rPr>
              <w:t>原料锂渣</w:t>
            </w:r>
            <w:r>
              <w:rPr>
                <w:rFonts w:hint="default"/>
                <w:color w:val="auto"/>
                <w:highlight w:val="none"/>
              </w:rPr>
              <w:t>因其易结块，</w:t>
            </w:r>
            <w:r>
              <w:rPr>
                <w:rFonts w:hint="eastAsia"/>
                <w:color w:val="auto"/>
                <w:highlight w:val="none"/>
                <w:lang w:eastAsia="zh-CN"/>
              </w:rPr>
              <w:t>配料前</w:t>
            </w:r>
            <w:r>
              <w:rPr>
                <w:rFonts w:hint="default"/>
                <w:color w:val="auto"/>
                <w:highlight w:val="none"/>
              </w:rPr>
              <w:t>需</w:t>
            </w:r>
            <w:r>
              <w:rPr>
                <w:rFonts w:hint="eastAsia"/>
                <w:color w:val="auto"/>
                <w:highlight w:val="none"/>
                <w:lang w:eastAsia="zh-CN"/>
              </w:rPr>
              <w:t>先进行</w:t>
            </w:r>
            <w:r>
              <w:rPr>
                <w:rFonts w:hint="default"/>
                <w:color w:val="auto"/>
                <w:highlight w:val="none"/>
              </w:rPr>
              <w:t>破碎</w:t>
            </w:r>
            <w:r>
              <w:rPr>
                <w:rFonts w:hint="default"/>
                <w:color w:val="auto"/>
                <w:spacing w:val="6"/>
                <w:highlight w:val="none"/>
              </w:rPr>
              <w:t>将结块的锂渣打散</w:t>
            </w:r>
            <w:r>
              <w:rPr>
                <w:rFonts w:hint="eastAsia"/>
                <w:color w:val="auto"/>
                <w:highlight w:val="none"/>
                <w:lang w:eastAsia="zh-CN"/>
              </w:rPr>
              <w:t>，</w:t>
            </w:r>
            <w:r>
              <w:rPr>
                <w:rFonts w:hint="default"/>
                <w:color w:val="auto"/>
                <w:spacing w:val="-1"/>
                <w:highlight w:val="none"/>
              </w:rPr>
              <w:t>通过厂区内传送带从原料库运送至</w:t>
            </w:r>
            <w:r>
              <w:rPr>
                <w:rFonts w:hint="default"/>
                <w:color w:val="auto"/>
                <w:spacing w:val="-2"/>
                <w:highlight w:val="none"/>
              </w:rPr>
              <w:t>生产厂房内</w:t>
            </w:r>
            <w:r>
              <w:rPr>
                <w:rFonts w:hint="default"/>
                <w:color w:val="auto"/>
                <w:spacing w:val="6"/>
                <w:highlight w:val="none"/>
              </w:rPr>
              <w:t>的破碎机，通过破碎机密闭破碎筛分，控制锂渣粒径小于</w:t>
            </w:r>
            <w:r>
              <w:rPr>
                <w:rFonts w:hint="default" w:ascii="Times New Roman" w:hAnsi="Times New Roman" w:eastAsia="Times New Roman" w:cs="Times New Roman"/>
                <w:color w:val="auto"/>
                <w:spacing w:val="-2"/>
                <w:highlight w:val="none"/>
              </w:rPr>
              <w:t>2mm</w:t>
            </w:r>
            <w:r>
              <w:rPr>
                <w:rFonts w:hint="default"/>
                <w:color w:val="auto"/>
                <w:spacing w:val="-2"/>
                <w:highlight w:val="none"/>
              </w:rPr>
              <w:t>。破碎工序中会产生粉尘，参照《逸散性工业粉尘控</w:t>
            </w:r>
            <w:r>
              <w:rPr>
                <w:rFonts w:hint="default"/>
                <w:color w:val="auto"/>
                <w:spacing w:val="-3"/>
                <w:highlight w:val="none"/>
              </w:rPr>
              <w:t>制技术》（中国环境科学出版社，</w:t>
            </w:r>
            <w:r>
              <w:rPr>
                <w:rFonts w:hint="default" w:ascii="Times New Roman" w:hAnsi="Times New Roman" w:eastAsia="Times New Roman" w:cs="Times New Roman"/>
                <w:color w:val="auto"/>
                <w:spacing w:val="-3"/>
                <w:highlight w:val="none"/>
              </w:rPr>
              <w:t>1989.12</w:t>
            </w:r>
            <w:r>
              <w:rPr>
                <w:rFonts w:hint="default"/>
                <w:color w:val="auto"/>
                <w:spacing w:val="-3"/>
                <w:highlight w:val="none"/>
              </w:rPr>
              <w:t>，作者</w:t>
            </w:r>
            <w:r>
              <w:rPr>
                <w:rFonts w:hint="default" w:ascii="Times New Roman" w:hAnsi="Times New Roman" w:eastAsia="Times New Roman" w:cs="Times New Roman"/>
                <w:color w:val="auto"/>
                <w:spacing w:val="-3"/>
                <w:highlight w:val="none"/>
              </w:rPr>
              <w:t>J.A.</w:t>
            </w:r>
            <w:r>
              <w:rPr>
                <w:rFonts w:hint="default"/>
                <w:color w:val="auto"/>
                <w:spacing w:val="-3"/>
                <w:highlight w:val="none"/>
              </w:rPr>
              <w:t>奥里蒙，</w:t>
            </w:r>
            <w:r>
              <w:rPr>
                <w:rFonts w:hint="default" w:ascii="Times New Roman" w:hAnsi="Times New Roman" w:eastAsia="Times New Roman" w:cs="Times New Roman"/>
                <w:color w:val="auto"/>
                <w:spacing w:val="-3"/>
                <w:highlight w:val="none"/>
              </w:rPr>
              <w:t>G.A.</w:t>
            </w:r>
            <w:r>
              <w:rPr>
                <w:rFonts w:hint="default"/>
                <w:color w:val="auto"/>
                <w:spacing w:val="-3"/>
                <w:highlight w:val="none"/>
              </w:rPr>
              <w:t>久兹等编著，张良璧等编译）表</w:t>
            </w:r>
            <w:r>
              <w:rPr>
                <w:rFonts w:hint="default" w:ascii="Times New Roman" w:hAnsi="Times New Roman" w:eastAsia="Times New Roman" w:cs="Times New Roman"/>
                <w:color w:val="auto"/>
                <w:spacing w:val="-3"/>
                <w:highlight w:val="none"/>
              </w:rPr>
              <w:t>18-1</w:t>
            </w:r>
            <w:r>
              <w:rPr>
                <w:rFonts w:hint="default"/>
                <w:color w:val="auto"/>
                <w:spacing w:val="-4"/>
                <w:highlight w:val="none"/>
              </w:rPr>
              <w:t>粒料加工厂逸散尘的排放因子，矿渣一级破碎和筛选</w:t>
            </w:r>
            <w:r>
              <w:rPr>
                <w:rFonts w:hint="default"/>
                <w:color w:val="auto"/>
                <w:spacing w:val="-5"/>
                <w:highlight w:val="none"/>
              </w:rPr>
              <w:t>粉尘排放因子为</w:t>
            </w:r>
            <w:r>
              <w:rPr>
                <w:rFonts w:hint="default" w:ascii="Times New Roman" w:hAnsi="Times New Roman" w:eastAsia="Times New Roman" w:cs="Times New Roman"/>
                <w:color w:val="auto"/>
                <w:spacing w:val="-5"/>
                <w:highlight w:val="none"/>
              </w:rPr>
              <w:t>0.25kg/t</w:t>
            </w:r>
            <w:r>
              <w:rPr>
                <w:rFonts w:hint="default"/>
                <w:color w:val="auto"/>
                <w:spacing w:val="-5"/>
                <w:highlight w:val="none"/>
              </w:rPr>
              <w:t>（破</w:t>
            </w:r>
            <w:r>
              <w:rPr>
                <w:rFonts w:hint="default"/>
                <w:color w:val="auto"/>
                <w:highlight w:val="none"/>
              </w:rPr>
              <w:t>碎料</w:t>
            </w:r>
            <w:r>
              <w:rPr>
                <w:rFonts w:hint="default"/>
                <w:color w:val="auto"/>
                <w:spacing w:val="10"/>
                <w:highlight w:val="none"/>
              </w:rPr>
              <w:t>），</w:t>
            </w:r>
            <w:r>
              <w:rPr>
                <w:rFonts w:hint="default"/>
                <w:color w:val="auto"/>
                <w:highlight w:val="none"/>
              </w:rPr>
              <w:t>本项目</w:t>
            </w:r>
            <w:r>
              <w:rPr>
                <w:rFonts w:hint="eastAsia"/>
                <w:color w:val="auto"/>
                <w:highlight w:val="none"/>
                <w:lang w:eastAsia="zh-CN"/>
              </w:rPr>
              <w:t>环保免烧砖</w:t>
            </w:r>
            <w:r>
              <w:rPr>
                <w:rFonts w:hint="default"/>
                <w:color w:val="auto"/>
                <w:highlight w:val="none"/>
              </w:rPr>
              <w:t>生产过程中锂渣用量为</w:t>
            </w:r>
            <w:r>
              <w:rPr>
                <w:rFonts w:hint="eastAsia" w:ascii="Times New Roman" w:hAnsi="Times New Roman" w:eastAsia="宋体" w:cs="Times New Roman"/>
                <w:color w:val="auto"/>
                <w:highlight w:val="none"/>
                <w:lang w:val="en-US" w:eastAsia="zh-CN"/>
              </w:rPr>
              <w:t>2</w:t>
            </w:r>
            <w:r>
              <w:rPr>
                <w:rFonts w:hint="eastAsia" w:cs="Times New Roman"/>
                <w:color w:val="auto"/>
                <w:highlight w:val="none"/>
                <w:lang w:val="en-US" w:eastAsia="zh-CN"/>
              </w:rPr>
              <w:t>5</w:t>
            </w:r>
            <w:r>
              <w:rPr>
                <w:rFonts w:hint="eastAsia" w:ascii="Times New Roman" w:hAnsi="Times New Roman" w:eastAsia="宋体" w:cs="Times New Roman"/>
                <w:color w:val="auto"/>
                <w:highlight w:val="none"/>
                <w:lang w:val="en-US" w:eastAsia="zh-CN"/>
              </w:rPr>
              <w:t>9000</w:t>
            </w:r>
            <w:r>
              <w:rPr>
                <w:rFonts w:hint="default" w:ascii="Times New Roman" w:hAnsi="Times New Roman" w:eastAsia="Times New Roman" w:cs="Times New Roman"/>
                <w:color w:val="auto"/>
                <w:highlight w:val="none"/>
              </w:rPr>
              <w:t>t</w:t>
            </w:r>
            <w:r>
              <w:rPr>
                <w:rFonts w:hint="default"/>
                <w:color w:val="auto"/>
                <w:highlight w:val="none"/>
              </w:rPr>
              <w:t>，则破碎</w:t>
            </w:r>
            <w:r>
              <w:rPr>
                <w:rFonts w:hint="default"/>
                <w:color w:val="auto"/>
                <w:spacing w:val="-1"/>
                <w:highlight w:val="none"/>
              </w:rPr>
              <w:t>筛选粉尘的产生</w:t>
            </w:r>
            <w:r>
              <w:rPr>
                <w:rFonts w:hint="default"/>
                <w:color w:val="auto"/>
                <w:spacing w:val="1"/>
                <w:highlight w:val="none"/>
              </w:rPr>
              <w:t>量为</w:t>
            </w:r>
            <w:r>
              <w:rPr>
                <w:rFonts w:hint="eastAsia" w:ascii="Times New Roman" w:hAnsi="Times New Roman" w:eastAsia="宋体" w:cs="Times New Roman"/>
                <w:color w:val="auto"/>
                <w:spacing w:val="1"/>
                <w:highlight w:val="none"/>
                <w:lang w:val="en-US" w:eastAsia="zh-CN"/>
              </w:rPr>
              <w:t>6</w:t>
            </w:r>
            <w:r>
              <w:rPr>
                <w:rFonts w:hint="eastAsia" w:cs="Times New Roman"/>
                <w:color w:val="auto"/>
                <w:spacing w:val="1"/>
                <w:highlight w:val="none"/>
                <w:lang w:val="en-US" w:eastAsia="zh-CN"/>
              </w:rPr>
              <w:t>4.75</w:t>
            </w:r>
            <w:r>
              <w:rPr>
                <w:rFonts w:hint="default" w:ascii="Times New Roman" w:hAnsi="Times New Roman" w:eastAsia="Times New Roman" w:cs="Times New Roman"/>
                <w:color w:val="auto"/>
                <w:spacing w:val="1"/>
                <w:highlight w:val="none"/>
              </w:rPr>
              <w:t>t/a</w:t>
            </w:r>
            <w:r>
              <w:rPr>
                <w:rFonts w:hint="default"/>
                <w:color w:val="auto"/>
                <w:spacing w:val="8"/>
                <w:highlight w:val="none"/>
              </w:rPr>
              <w:t>，</w:t>
            </w:r>
            <w:r>
              <w:rPr>
                <w:rFonts w:hint="default"/>
                <w:color w:val="auto"/>
                <w:spacing w:val="1"/>
                <w:highlight w:val="none"/>
              </w:rPr>
              <w:t>在破碎机产尘</w:t>
            </w:r>
            <w:r>
              <w:rPr>
                <w:rFonts w:hint="default"/>
                <w:color w:val="auto"/>
                <w:spacing w:val="-8"/>
                <w:highlight w:val="none"/>
              </w:rPr>
              <w:t>点上方设置</w:t>
            </w:r>
            <w:r>
              <w:rPr>
                <w:rFonts w:hint="eastAsia"/>
                <w:color w:val="auto"/>
                <w:spacing w:val="-8"/>
                <w:highlight w:val="none"/>
                <w:lang w:eastAsia="zh-CN"/>
              </w:rPr>
              <w:t>吹吸</w:t>
            </w:r>
            <w:r>
              <w:rPr>
                <w:rFonts w:hint="default"/>
                <w:color w:val="auto"/>
                <w:spacing w:val="-8"/>
                <w:highlight w:val="none"/>
              </w:rPr>
              <w:t>集气罩</w:t>
            </w:r>
            <w:r>
              <w:rPr>
                <w:rFonts w:hint="eastAsia"/>
                <w:color w:val="auto"/>
                <w:spacing w:val="-8"/>
                <w:highlight w:val="none"/>
                <w:lang w:eastAsia="zh-CN"/>
              </w:rPr>
              <w:t>收集</w:t>
            </w:r>
            <w:r>
              <w:rPr>
                <w:rFonts w:hint="default"/>
                <w:color w:val="auto"/>
                <w:spacing w:val="-8"/>
                <w:highlight w:val="none"/>
              </w:rPr>
              <w:t>，</w:t>
            </w:r>
            <w:r>
              <w:rPr>
                <w:rFonts w:hint="eastAsia"/>
                <w:color w:val="FF0000"/>
                <w:szCs w:val="21"/>
                <w:highlight w:val="none"/>
              </w:rPr>
              <w:t>废气收集</w:t>
            </w:r>
            <w:r>
              <w:rPr>
                <w:rFonts w:hint="eastAsia"/>
                <w:color w:val="FF0000"/>
                <w:szCs w:val="21"/>
                <w:highlight w:val="none"/>
                <w:lang w:eastAsia="zh-CN"/>
              </w:rPr>
              <w:t>效</w:t>
            </w:r>
            <w:r>
              <w:rPr>
                <w:rFonts w:hint="eastAsia"/>
                <w:color w:val="FF0000"/>
                <w:szCs w:val="21"/>
                <w:highlight w:val="none"/>
              </w:rPr>
              <w:t>率可参考《袋式除尘工程通用技术规范》（</w:t>
            </w:r>
            <w:r>
              <w:rPr>
                <w:rFonts w:hint="default"/>
                <w:color w:val="FF0000"/>
                <w:szCs w:val="21"/>
                <w:highlight w:val="none"/>
              </w:rPr>
              <w:t>HJ2020-2012），其中密闭罩100%、半密闭罩95%、吹吸罩90%，本项目采用</w:t>
            </w:r>
            <w:r>
              <w:rPr>
                <w:rFonts w:hint="eastAsia"/>
                <w:color w:val="FF0000"/>
                <w:szCs w:val="21"/>
                <w:highlight w:val="none"/>
                <w:lang w:eastAsia="zh-CN"/>
              </w:rPr>
              <w:t>吹吸罩</w:t>
            </w:r>
            <w:r>
              <w:rPr>
                <w:rFonts w:hint="eastAsia"/>
                <w:color w:val="FF0000"/>
                <w:szCs w:val="21"/>
                <w:highlight w:val="none"/>
              </w:rPr>
              <w:t>，收集效率</w:t>
            </w:r>
            <w:r>
              <w:rPr>
                <w:rFonts w:hint="eastAsia"/>
                <w:color w:val="FF0000"/>
                <w:szCs w:val="21"/>
                <w:highlight w:val="none"/>
                <w:lang w:eastAsia="zh-CN"/>
              </w:rPr>
              <w:t>取</w:t>
            </w:r>
            <w:r>
              <w:rPr>
                <w:rFonts w:hint="eastAsia"/>
                <w:color w:val="FF0000"/>
                <w:szCs w:val="21"/>
                <w:highlight w:val="none"/>
                <w:lang w:val="en-US" w:eastAsia="zh-CN"/>
              </w:rPr>
              <w:t>90</w:t>
            </w:r>
            <w:r>
              <w:rPr>
                <w:rFonts w:hint="default"/>
                <w:color w:val="FF0000"/>
                <w:szCs w:val="21"/>
                <w:highlight w:val="none"/>
              </w:rPr>
              <w:t>%</w:t>
            </w:r>
            <w:r>
              <w:rPr>
                <w:rFonts w:hint="eastAsia"/>
                <w:color w:val="FF0000"/>
                <w:szCs w:val="21"/>
                <w:highlight w:val="none"/>
                <w:lang w:eastAsia="zh-CN"/>
              </w:rPr>
              <w:t>，</w:t>
            </w:r>
            <w:r>
              <w:rPr>
                <w:rFonts w:hint="default"/>
                <w:color w:val="FF0000"/>
                <w:highlight w:val="none"/>
              </w:rPr>
              <w:t>工作时间</w:t>
            </w:r>
            <w:r>
              <w:rPr>
                <w:rFonts w:hint="eastAsia"/>
                <w:color w:val="FF0000"/>
                <w:highlight w:val="none"/>
                <w:lang w:val="en-US" w:eastAsia="zh-CN"/>
              </w:rPr>
              <w:t>7200h</w:t>
            </w:r>
            <w:r>
              <w:rPr>
                <w:rFonts w:hint="default"/>
                <w:color w:val="FF0000"/>
                <w:highlight w:val="none"/>
              </w:rPr>
              <w:t>，</w:t>
            </w:r>
            <w:r>
              <w:rPr>
                <w:rFonts w:hint="eastAsia"/>
                <w:color w:val="FF0000"/>
                <w:highlight w:val="none"/>
                <w:lang w:eastAsia="zh-CN"/>
              </w:rPr>
              <w:t>，风量为</w:t>
            </w:r>
            <w:r>
              <w:rPr>
                <w:rFonts w:hint="eastAsia"/>
                <w:color w:val="FF0000"/>
                <w:highlight w:val="none"/>
                <w:lang w:val="en-US" w:eastAsia="zh-CN"/>
              </w:rPr>
              <w:t>8000m</w:t>
            </w:r>
            <w:r>
              <w:rPr>
                <w:rFonts w:hint="eastAsia"/>
                <w:color w:val="FF0000"/>
                <w:highlight w:val="none"/>
                <w:vertAlign w:val="superscript"/>
                <w:lang w:val="en-US" w:eastAsia="zh-CN"/>
              </w:rPr>
              <w:t>3</w:t>
            </w:r>
            <w:r>
              <w:rPr>
                <w:rFonts w:hint="eastAsia"/>
                <w:color w:val="FF0000"/>
                <w:highlight w:val="none"/>
                <w:lang w:val="en-US" w:eastAsia="zh-CN"/>
              </w:rPr>
              <w:t>/h，</w:t>
            </w:r>
            <w:r>
              <w:rPr>
                <w:rFonts w:hint="eastAsia"/>
                <w:color w:val="FF0000"/>
                <w:szCs w:val="21"/>
                <w:highlight w:val="none"/>
                <w:lang w:eastAsia="zh-CN"/>
              </w:rPr>
              <w:t>。</w:t>
            </w:r>
            <w:r>
              <w:rPr>
                <w:rFonts w:hint="default"/>
                <w:color w:val="auto"/>
                <w:spacing w:val="-8"/>
                <w:highlight w:val="none"/>
              </w:rPr>
              <w:t>破碎筛选粉尘</w:t>
            </w:r>
            <w:r>
              <w:rPr>
                <w:rFonts w:hint="default"/>
                <w:color w:val="auto"/>
                <w:spacing w:val="-9"/>
                <w:highlight w:val="none"/>
              </w:rPr>
              <w:t>通过布袋除尘器（参</w:t>
            </w:r>
            <w:r>
              <w:rPr>
                <w:rFonts w:hint="default"/>
                <w:color w:val="auto"/>
                <w:spacing w:val="-2"/>
                <w:highlight w:val="none"/>
              </w:rPr>
              <w:t>照《排放源统计调查产排污核算方法和系数</w:t>
            </w:r>
            <w:r>
              <w:rPr>
                <w:rFonts w:hint="default"/>
                <w:color w:val="auto"/>
                <w:spacing w:val="-3"/>
                <w:highlight w:val="none"/>
              </w:rPr>
              <w:t>手册》</w:t>
            </w:r>
            <w:r>
              <w:rPr>
                <w:rFonts w:hint="default" w:ascii="Times New Roman" w:hAnsi="Times New Roman" w:eastAsia="Times New Roman" w:cs="Times New Roman"/>
                <w:color w:val="auto"/>
                <w:spacing w:val="-3"/>
                <w:highlight w:val="none"/>
              </w:rPr>
              <w:t>3021</w:t>
            </w:r>
            <w:r>
              <w:rPr>
                <w:rFonts w:hint="default"/>
                <w:color w:val="auto"/>
                <w:spacing w:val="-3"/>
                <w:highlight w:val="none"/>
              </w:rPr>
              <w:t>水泥制品制造行业系数表（续</w:t>
            </w:r>
            <w:r>
              <w:rPr>
                <w:rFonts w:hint="default" w:ascii="Times New Roman" w:hAnsi="Times New Roman" w:eastAsia="Times New Roman" w:cs="Times New Roman"/>
                <w:color w:val="auto"/>
                <w:spacing w:val="-3"/>
                <w:highlight w:val="none"/>
              </w:rPr>
              <w:t>1</w:t>
            </w:r>
            <w:r>
              <w:rPr>
                <w:rFonts w:hint="default"/>
                <w:color w:val="auto"/>
                <w:spacing w:val="-3"/>
                <w:highlight w:val="none"/>
              </w:rPr>
              <w:t>）中袋式除尘治理效率为</w:t>
            </w:r>
            <w:r>
              <w:rPr>
                <w:rFonts w:hint="default" w:ascii="Times New Roman" w:hAnsi="Times New Roman" w:eastAsia="Times New Roman" w:cs="Times New Roman"/>
                <w:color w:val="auto"/>
                <w:spacing w:val="-3"/>
                <w:highlight w:val="none"/>
              </w:rPr>
              <w:t>99.7%</w:t>
            </w:r>
            <w:r>
              <w:rPr>
                <w:rFonts w:hint="default"/>
                <w:color w:val="auto"/>
                <w:spacing w:val="-3"/>
                <w:highlight w:val="none"/>
              </w:rPr>
              <w:t>）处理后经</w:t>
            </w:r>
            <w:r>
              <w:rPr>
                <w:rFonts w:hint="default" w:ascii="Times New Roman" w:hAnsi="Times New Roman" w:eastAsia="Times New Roman" w:cs="Times New Roman"/>
                <w:color w:val="auto"/>
                <w:spacing w:val="-3"/>
                <w:highlight w:val="none"/>
              </w:rPr>
              <w:t>1</w:t>
            </w:r>
            <w:r>
              <w:rPr>
                <w:rFonts w:hint="default"/>
                <w:color w:val="auto"/>
                <w:spacing w:val="-3"/>
                <w:highlight w:val="none"/>
              </w:rPr>
              <w:t>根</w:t>
            </w:r>
            <w:r>
              <w:rPr>
                <w:rFonts w:hint="eastAsia"/>
                <w:color w:val="auto"/>
                <w:spacing w:val="-3"/>
                <w:highlight w:val="none"/>
                <w:lang w:val="en-US" w:eastAsia="zh-CN"/>
              </w:rPr>
              <w:t>20</w:t>
            </w:r>
            <w:r>
              <w:rPr>
                <w:rFonts w:hint="default" w:ascii="Times New Roman" w:hAnsi="Times New Roman" w:eastAsia="Times New Roman" w:cs="Times New Roman"/>
                <w:color w:val="auto"/>
                <w:spacing w:val="-3"/>
                <w:highlight w:val="none"/>
              </w:rPr>
              <w:t>m</w:t>
            </w:r>
            <w:r>
              <w:rPr>
                <w:rFonts w:hint="default"/>
                <w:color w:val="auto"/>
                <w:spacing w:val="-3"/>
                <w:highlight w:val="none"/>
              </w:rPr>
              <w:t>的排气筒（</w:t>
            </w:r>
            <w:r>
              <w:rPr>
                <w:rFonts w:hint="default" w:ascii="Times New Roman" w:hAnsi="Times New Roman" w:eastAsia="Times New Roman" w:cs="Times New Roman"/>
                <w:color w:val="auto"/>
                <w:spacing w:val="-3"/>
                <w:highlight w:val="none"/>
              </w:rPr>
              <w:t>DA00</w:t>
            </w:r>
            <w:r>
              <w:rPr>
                <w:rFonts w:hint="eastAsia" w:cs="Times New Roman"/>
                <w:color w:val="auto"/>
                <w:spacing w:val="-3"/>
                <w:highlight w:val="none"/>
                <w:lang w:val="en-US" w:eastAsia="zh-CN"/>
              </w:rPr>
              <w:t>4</w:t>
            </w:r>
            <w:r>
              <w:rPr>
                <w:rFonts w:hint="default"/>
                <w:color w:val="auto"/>
                <w:spacing w:val="-3"/>
                <w:highlight w:val="none"/>
              </w:rPr>
              <w:t>）</w:t>
            </w:r>
            <w:r>
              <w:rPr>
                <w:rFonts w:hint="default"/>
                <w:color w:val="auto"/>
                <w:spacing w:val="-2"/>
                <w:highlight w:val="none"/>
              </w:rPr>
              <w:t>排放</w:t>
            </w:r>
            <w:r>
              <w:rPr>
                <w:rFonts w:hint="eastAsia"/>
                <w:color w:val="auto"/>
                <w:spacing w:val="-2"/>
                <w:highlight w:val="none"/>
                <w:lang w:eastAsia="zh-CN"/>
              </w:rPr>
              <w:t>，</w:t>
            </w:r>
            <w:r>
              <w:rPr>
                <w:rFonts w:hint="eastAsia"/>
                <w:color w:val="auto"/>
                <w:highlight w:val="none"/>
                <w:lang w:val="en-US" w:eastAsia="zh-CN"/>
              </w:rPr>
              <w:t>则破碎及筛分粉尘的有组织</w:t>
            </w:r>
            <w:r>
              <w:rPr>
                <w:rFonts w:hint="eastAsia"/>
                <w:color w:val="auto"/>
                <w:highlight w:val="none"/>
              </w:rPr>
              <w:t>排放量为</w:t>
            </w:r>
            <w:r>
              <w:rPr>
                <w:rFonts w:hint="eastAsia"/>
                <w:color w:val="auto"/>
                <w:highlight w:val="none"/>
                <w:lang w:val="en-US" w:eastAsia="zh-CN"/>
              </w:rPr>
              <w:t>0.175</w:t>
            </w:r>
            <w:r>
              <w:rPr>
                <w:rFonts w:hint="default"/>
                <w:color w:val="auto"/>
                <w:highlight w:val="none"/>
              </w:rPr>
              <w:t>t/a</w:t>
            </w:r>
            <w:r>
              <w:rPr>
                <w:rFonts w:hint="eastAsia"/>
                <w:color w:val="auto"/>
                <w:highlight w:val="none"/>
              </w:rPr>
              <w:t>，</w:t>
            </w:r>
            <w:r>
              <w:rPr>
                <w:rFonts w:hint="default"/>
                <w:color w:val="auto"/>
                <w:highlight w:val="none"/>
              </w:rPr>
              <w:t>排放</w:t>
            </w:r>
            <w:r>
              <w:rPr>
                <w:rFonts w:hint="eastAsia"/>
                <w:color w:val="auto"/>
                <w:highlight w:val="none"/>
              </w:rPr>
              <w:t>速率为</w:t>
            </w:r>
            <w:r>
              <w:rPr>
                <w:rFonts w:hint="default"/>
                <w:color w:val="auto"/>
                <w:highlight w:val="none"/>
              </w:rPr>
              <w:t>0.</w:t>
            </w:r>
            <w:r>
              <w:rPr>
                <w:rFonts w:hint="eastAsia"/>
                <w:color w:val="auto"/>
                <w:highlight w:val="none"/>
                <w:lang w:val="en-US" w:eastAsia="zh-CN"/>
              </w:rPr>
              <w:t>024</w:t>
            </w:r>
            <w:r>
              <w:rPr>
                <w:rFonts w:hint="eastAsia"/>
                <w:color w:val="auto"/>
                <w:highlight w:val="none"/>
              </w:rPr>
              <w:t>kg/h，</w:t>
            </w:r>
            <w:r>
              <w:rPr>
                <w:rFonts w:hint="default"/>
                <w:color w:val="auto"/>
                <w:highlight w:val="none"/>
              </w:rPr>
              <w:t>未收集</w:t>
            </w:r>
            <w:r>
              <w:rPr>
                <w:rFonts w:hint="eastAsia"/>
                <w:color w:val="auto"/>
                <w:highlight w:val="none"/>
              </w:rPr>
              <w:t>粉尘</w:t>
            </w:r>
            <w:r>
              <w:rPr>
                <w:rFonts w:hint="eastAsia"/>
                <w:color w:val="auto"/>
                <w:highlight w:val="none"/>
                <w:lang w:val="en-US" w:eastAsia="zh-CN"/>
              </w:rPr>
              <w:t>6.5</w:t>
            </w:r>
            <w:r>
              <w:rPr>
                <w:rFonts w:hint="default"/>
                <w:color w:val="auto"/>
                <w:highlight w:val="none"/>
              </w:rPr>
              <w:t>t/a，</w:t>
            </w:r>
            <w:r>
              <w:rPr>
                <w:rFonts w:hint="eastAsia"/>
                <w:color w:val="auto"/>
                <w:highlight w:val="none"/>
                <w:lang w:val="en-US" w:eastAsia="zh-CN"/>
              </w:rPr>
              <w:t>由于破碎过程位于半封闭厂房</w:t>
            </w:r>
            <w:r>
              <w:rPr>
                <w:rFonts w:hint="eastAsia"/>
                <w:color w:val="auto"/>
                <w:highlight w:val="none"/>
              </w:rPr>
              <w:t>，</w:t>
            </w:r>
            <w:r>
              <w:rPr>
                <w:rFonts w:hint="eastAsia"/>
                <w:color w:val="auto"/>
                <w:highlight w:val="none"/>
                <w:lang w:val="en-US" w:eastAsia="zh-CN"/>
              </w:rPr>
              <w:t>且定期进行洒水除尘，</w:t>
            </w:r>
            <w:r>
              <w:rPr>
                <w:rFonts w:hint="eastAsia"/>
                <w:color w:val="auto"/>
                <w:highlight w:val="none"/>
              </w:rPr>
              <w:t>根据</w:t>
            </w:r>
            <w:r>
              <w:rPr>
                <w:rFonts w:hint="eastAsia"/>
                <w:color w:val="auto"/>
                <w:highlight w:val="none"/>
                <w:lang w:val="en-US" w:eastAsia="zh-CN"/>
              </w:rPr>
              <w:t>《排放源统计调查产排污核算方法和系数手册》“工业源固体物料堆场颗粒物核算系数手册”中的相关系数，半封闭的沉降效率为60%，洒水抑尘的控制效率为74%，则总控制效率为89.6%，则破碎及筛分粉尘无组织排放量为0.67t</w:t>
            </w:r>
            <w:r>
              <w:rPr>
                <w:rFonts w:hint="default"/>
                <w:color w:val="auto"/>
                <w:highlight w:val="none"/>
              </w:rPr>
              <w:t>/a，排放速率</w:t>
            </w:r>
            <w:r>
              <w:rPr>
                <w:rFonts w:hint="eastAsia"/>
                <w:color w:val="auto"/>
                <w:highlight w:val="none"/>
                <w:lang w:val="en-US" w:eastAsia="zh-CN"/>
              </w:rPr>
              <w:t>0.09kg</w:t>
            </w:r>
            <w:r>
              <w:rPr>
                <w:rFonts w:hint="default"/>
                <w:color w:val="auto"/>
                <w:highlight w:val="none"/>
              </w:rPr>
              <w:t>/h。</w:t>
            </w:r>
          </w:p>
          <w:p w14:paraId="485B6974">
            <w:pPr>
              <w:pStyle w:val="76"/>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lang w:val="en-US" w:eastAsia="zh-CN"/>
              </w:rPr>
              <w:t>本项目投料及转运</w:t>
            </w:r>
            <w:r>
              <w:rPr>
                <w:rFonts w:hint="eastAsia"/>
                <w:color w:val="auto"/>
                <w:highlight w:val="none"/>
              </w:rPr>
              <w:t>粉尘</w:t>
            </w:r>
            <w:r>
              <w:rPr>
                <w:rFonts w:hint="eastAsia"/>
                <w:color w:val="auto"/>
                <w:highlight w:val="none"/>
                <w:lang w:val="en-US" w:eastAsia="zh-CN"/>
              </w:rPr>
              <w:t>、料仓呼吸粉尘、搅拌</w:t>
            </w:r>
            <w:r>
              <w:rPr>
                <w:rFonts w:hint="eastAsia"/>
                <w:color w:val="auto"/>
                <w:highlight w:val="none"/>
              </w:rPr>
              <w:t>粉尘</w:t>
            </w:r>
            <w:r>
              <w:rPr>
                <w:rFonts w:hint="eastAsia"/>
                <w:color w:val="auto"/>
                <w:highlight w:val="none"/>
                <w:lang w:eastAsia="zh-CN"/>
              </w:rPr>
              <w:t>、破碎及筛分粉尘</w:t>
            </w:r>
            <w:r>
              <w:rPr>
                <w:rFonts w:hint="eastAsia"/>
                <w:color w:val="auto"/>
                <w:highlight w:val="none"/>
                <w:lang w:val="en-US" w:eastAsia="zh-CN"/>
              </w:rPr>
              <w:t>主要以颗粒物的形式排放，根据锂渣原料监测报告可知，锂渣中的</w:t>
            </w:r>
            <w:r>
              <w:rPr>
                <w:rFonts w:hint="eastAsia" w:ascii="Times New Roman" w:eastAsia="宋体"/>
                <w:color w:val="auto"/>
                <w:highlight w:val="none"/>
                <w:lang w:val="en-US" w:eastAsia="zh-CN"/>
              </w:rPr>
              <w:t>铊氟化物的含量分别</w:t>
            </w:r>
            <w:r>
              <w:rPr>
                <w:rFonts w:hint="eastAsia"/>
                <w:color w:val="auto"/>
                <w:highlight w:val="none"/>
                <w:lang w:val="en-US" w:eastAsia="zh-CN"/>
              </w:rPr>
              <w:t>9.34</w:t>
            </w:r>
            <w:r>
              <w:rPr>
                <w:rFonts w:hint="eastAsia" w:ascii="Times New Roman" w:eastAsia="宋体"/>
                <w:color w:val="auto"/>
                <w:highlight w:val="none"/>
                <w:lang w:val="en-US" w:eastAsia="zh-CN"/>
              </w:rPr>
              <w:t>mg/kg、</w:t>
            </w:r>
            <w:r>
              <w:rPr>
                <w:rFonts w:hint="eastAsia"/>
                <w:color w:val="auto"/>
                <w:highlight w:val="none"/>
                <w:lang w:val="en-US" w:eastAsia="zh-CN"/>
              </w:rPr>
              <w:t>1.87</w:t>
            </w:r>
            <w:r>
              <w:rPr>
                <w:rFonts w:hint="eastAsia" w:ascii="Times New Roman" w:eastAsia="宋体"/>
                <w:color w:val="auto"/>
                <w:highlight w:val="none"/>
                <w:lang w:val="en-US" w:eastAsia="zh-CN"/>
              </w:rPr>
              <w:t>%，</w:t>
            </w:r>
            <w:r>
              <w:rPr>
                <w:rFonts w:hint="eastAsia"/>
                <w:color w:val="auto"/>
                <w:highlight w:val="none"/>
                <w:lang w:val="en-US" w:eastAsia="zh-CN"/>
              </w:rPr>
              <w:t>根据该含量核算投料及转运</w:t>
            </w:r>
            <w:r>
              <w:rPr>
                <w:rFonts w:hint="eastAsia"/>
                <w:color w:val="auto"/>
                <w:highlight w:val="none"/>
              </w:rPr>
              <w:t>粉尘</w:t>
            </w:r>
            <w:r>
              <w:rPr>
                <w:rFonts w:hint="eastAsia"/>
                <w:color w:val="auto"/>
                <w:highlight w:val="none"/>
                <w:lang w:val="en-US" w:eastAsia="zh-CN"/>
              </w:rPr>
              <w:t>、料仓呼吸粉尘、搅拌</w:t>
            </w:r>
            <w:r>
              <w:rPr>
                <w:rFonts w:hint="eastAsia"/>
                <w:color w:val="auto"/>
                <w:highlight w:val="none"/>
              </w:rPr>
              <w:t>粉尘</w:t>
            </w:r>
            <w:r>
              <w:rPr>
                <w:rFonts w:hint="eastAsia"/>
                <w:color w:val="auto"/>
                <w:highlight w:val="none"/>
                <w:lang w:eastAsia="zh-CN"/>
              </w:rPr>
              <w:t>、破碎及筛分粉尘</w:t>
            </w:r>
            <w:r>
              <w:rPr>
                <w:rFonts w:hint="eastAsia"/>
                <w:color w:val="auto"/>
                <w:highlight w:val="none"/>
                <w:lang w:val="en-US" w:eastAsia="zh-CN"/>
              </w:rPr>
              <w:t>中</w:t>
            </w:r>
            <w:r>
              <w:rPr>
                <w:rFonts w:hint="eastAsia" w:ascii="Times New Roman" w:eastAsia="宋体"/>
                <w:color w:val="auto"/>
                <w:highlight w:val="none"/>
                <w:lang w:val="en-US" w:eastAsia="zh-CN"/>
              </w:rPr>
              <w:t>铊、氟化物的量</w:t>
            </w:r>
            <w:r>
              <w:rPr>
                <w:rFonts w:hint="eastAsia"/>
                <w:color w:val="auto"/>
                <w:highlight w:val="none"/>
                <w:lang w:val="en-US" w:eastAsia="zh-CN"/>
              </w:rPr>
              <w:t>，详情见4-1、4-2。</w:t>
            </w:r>
          </w:p>
          <w:p w14:paraId="21EAD73D">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default"/>
                <w:color w:val="auto"/>
                <w:highlight w:val="none"/>
              </w:rPr>
              <w:t>运输</w:t>
            </w:r>
            <w:r>
              <w:rPr>
                <w:rFonts w:hint="eastAsia"/>
                <w:color w:val="auto"/>
                <w:highlight w:val="none"/>
              </w:rPr>
              <w:t>扬尘</w:t>
            </w:r>
          </w:p>
          <w:p w14:paraId="73E708EB">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厂区外：</w:t>
            </w:r>
            <w:r>
              <w:rPr>
                <w:rFonts w:hint="default" w:ascii="Times New Roman" w:hAnsi="Times New Roman" w:eastAsia="宋体" w:cs="Times New Roman"/>
                <w:color w:val="auto"/>
                <w:sz w:val="24"/>
                <w:szCs w:val="24"/>
                <w:highlight w:val="none"/>
              </w:rPr>
              <w:t>本项目</w:t>
            </w:r>
            <w:r>
              <w:rPr>
                <w:rFonts w:hint="eastAsia" w:cs="Times New Roman"/>
                <w:color w:val="auto"/>
                <w:sz w:val="24"/>
                <w:szCs w:val="24"/>
                <w:highlight w:val="none"/>
                <w:lang w:eastAsia="zh-CN"/>
              </w:rPr>
              <w:t>锂渣</w:t>
            </w:r>
            <w:r>
              <w:rPr>
                <w:rFonts w:hint="default" w:ascii="Times New Roman" w:hAnsi="Times New Roman" w:eastAsia="宋体" w:cs="Times New Roman"/>
                <w:color w:val="auto"/>
                <w:sz w:val="24"/>
                <w:szCs w:val="24"/>
                <w:highlight w:val="none"/>
              </w:rPr>
              <w:t>从原料供应商运输至项目所在地，原料供应商位于工业园区，运输路线主要为省道和国道，省道和国道运输车辆粉尘已在道路环评中进行评价，本项目不作重复评价。</w:t>
            </w:r>
          </w:p>
          <w:p w14:paraId="7B4695AD">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b/>
                <w:bCs/>
                <w:color w:val="auto"/>
                <w:sz w:val="24"/>
                <w:szCs w:val="24"/>
                <w:highlight w:val="none"/>
              </w:rPr>
              <w:t>厂区内：</w:t>
            </w:r>
            <w:r>
              <w:rPr>
                <w:rFonts w:hint="default" w:ascii="Times New Roman" w:hAnsi="Times New Roman" w:eastAsia="宋体" w:cs="Times New Roman"/>
                <w:color w:val="auto"/>
                <w:sz w:val="24"/>
                <w:szCs w:val="24"/>
                <w:highlight w:val="none"/>
              </w:rPr>
              <w:t>项目原料及产品输送次数较多，针对此情况，项目需在厂区出入口设置冲洗车台和冲洗设施，未冲洗干净的车辆不得出厂；所有运输车辆必须安装有效防滴洒装置并确保正常使用，并设置篷布遮盖，本项目运输道路考虑路面洁净、平整因素，对沿途环境空气有一定影响。</w:t>
            </w:r>
          </w:p>
          <w:p w14:paraId="4DA31DCA">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根据建设单位提供的资料，项目采用自卸车进行</w:t>
            </w:r>
            <w:r>
              <w:rPr>
                <w:rFonts w:hint="eastAsia"/>
                <w:color w:val="auto"/>
                <w:highlight w:val="none"/>
                <w:lang w:val="en-US" w:eastAsia="zh-CN"/>
              </w:rPr>
              <w:t>物料</w:t>
            </w:r>
            <w:r>
              <w:rPr>
                <w:rFonts w:hint="eastAsia"/>
                <w:color w:val="auto"/>
                <w:highlight w:val="none"/>
                <w:lang w:eastAsia="zh-CN"/>
              </w:rPr>
              <w:t>装卸运输，平均</w:t>
            </w:r>
            <w:r>
              <w:rPr>
                <w:rFonts w:hint="eastAsia"/>
                <w:color w:val="auto"/>
                <w:highlight w:val="none"/>
              </w:rPr>
              <w:t>单车一次运输量为</w:t>
            </w:r>
            <w:r>
              <w:rPr>
                <w:rFonts w:hint="eastAsia"/>
                <w:color w:val="auto"/>
                <w:highlight w:val="none"/>
                <w:lang w:val="en-US" w:eastAsia="zh-CN"/>
              </w:rPr>
              <w:t>40</w:t>
            </w:r>
            <w:r>
              <w:rPr>
                <w:rFonts w:hint="eastAsia"/>
                <w:color w:val="auto"/>
                <w:highlight w:val="none"/>
              </w:rPr>
              <w:t>t，</w:t>
            </w:r>
            <w:r>
              <w:rPr>
                <w:rFonts w:hint="eastAsia"/>
                <w:color w:val="auto"/>
                <w:highlight w:val="none"/>
                <w:lang w:val="en-US" w:eastAsia="zh-CN"/>
              </w:rPr>
              <w:t>本项目原料和成品运输总量为179.216万t/a，</w:t>
            </w:r>
            <w:r>
              <w:rPr>
                <w:rFonts w:hint="eastAsia"/>
                <w:color w:val="auto"/>
                <w:highlight w:val="none"/>
                <w:lang w:eastAsia="zh-CN"/>
              </w:rPr>
              <w:t>则</w:t>
            </w:r>
            <w:r>
              <w:rPr>
                <w:rFonts w:hint="eastAsia"/>
                <w:color w:val="auto"/>
                <w:highlight w:val="none"/>
              </w:rPr>
              <w:t>项目年出场车辆</w:t>
            </w:r>
            <w:r>
              <w:rPr>
                <w:rFonts w:hint="eastAsia"/>
                <w:color w:val="auto"/>
                <w:highlight w:val="none"/>
                <w:lang w:val="en-US" w:eastAsia="zh-CN"/>
              </w:rPr>
              <w:t>35843</w:t>
            </w:r>
            <w:r>
              <w:rPr>
                <w:rFonts w:hint="eastAsia"/>
                <w:color w:val="auto"/>
                <w:highlight w:val="none"/>
              </w:rPr>
              <w:t>辆·次，日平均出场车辆</w:t>
            </w:r>
            <w:r>
              <w:rPr>
                <w:rFonts w:hint="eastAsia"/>
                <w:color w:val="auto"/>
                <w:highlight w:val="none"/>
                <w:lang w:eastAsia="zh-CN"/>
              </w:rPr>
              <w:t>约</w:t>
            </w:r>
            <w:r>
              <w:rPr>
                <w:rFonts w:hint="eastAsia"/>
                <w:color w:val="auto"/>
                <w:highlight w:val="none"/>
                <w:lang w:val="en-US" w:eastAsia="zh-CN"/>
              </w:rPr>
              <w:t>120</w:t>
            </w:r>
            <w:r>
              <w:rPr>
                <w:rFonts w:hint="eastAsia"/>
                <w:color w:val="auto"/>
                <w:highlight w:val="none"/>
              </w:rPr>
              <w:t>辆·次</w:t>
            </w:r>
            <w:r>
              <w:rPr>
                <w:rFonts w:hint="default"/>
                <w:color w:val="auto"/>
                <w:highlight w:val="none"/>
              </w:rPr>
              <w:t>。由于项目汽车运输量很大，载重车辆频繁地进出，引起周</w:t>
            </w:r>
            <w:r>
              <w:rPr>
                <w:rFonts w:hint="eastAsia"/>
                <w:color w:val="auto"/>
                <w:highlight w:val="none"/>
              </w:rPr>
              <w:t>边道路扬尘量增加，影响到厂区及周边的环境空气质量，参照国外的测定资料，其产尘强度为</w:t>
            </w:r>
            <w:r>
              <w:rPr>
                <w:rFonts w:hint="default"/>
                <w:color w:val="auto"/>
                <w:highlight w:val="none"/>
              </w:rPr>
              <w:t>620～3650mg/s，在未采取措施的情况下，路面空气中粉尘浓度为2.3～15.1mg/m³。</w:t>
            </w:r>
          </w:p>
          <w:p w14:paraId="27E9E04B">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本评价选取上海港环境保护中心和武汉水运工程学院提出的经验公式进行计算，公式如下：</w:t>
            </w:r>
          </w:p>
          <w:p w14:paraId="606A0131">
            <w:pPr>
              <w:keepNext w:val="0"/>
              <w:keepLines w:val="0"/>
              <w:suppressLineNumbers w:val="0"/>
              <w:spacing w:before="0" w:beforeAutospacing="0" w:after="0" w:afterAutospacing="0"/>
              <w:ind w:left="0" w:right="0" w:firstLine="480"/>
              <w:jc w:val="center"/>
              <w:rPr>
                <w:rFonts w:hint="default"/>
                <w:color w:val="auto"/>
                <w:szCs w:val="21"/>
                <w:highlight w:val="none"/>
              </w:rPr>
            </w:pPr>
            <m:oMathPara>
              <m:oMath>
                <m:sSub>
                  <m:sSubPr>
                    <m:ctrlPr>
                      <w:rPr>
                        <w:rFonts w:hint="default" w:ascii="Cambria Math" w:hAnsi="Cambria Math" w:eastAsia="Cambria Math" w:cs="Cambria Math"/>
                        <w:i/>
                        <w:color w:val="auto"/>
                        <w:szCs w:val="21"/>
                        <w:highlight w:val="none"/>
                      </w:rPr>
                    </m:ctrlPr>
                  </m:sSubPr>
                  <m:e>
                    <m:r>
                      <m:rPr/>
                      <w:rPr>
                        <w:rFonts w:hint="default" w:ascii="Cambria Math" w:hAnsi="Cambria Math" w:eastAsia="Cambria Math" w:cs="Cambria Math"/>
                        <w:color w:val="auto"/>
                        <w:szCs w:val="21"/>
                        <w:highlight w:val="none"/>
                      </w:rPr>
                      <m:t>Q</m:t>
                    </m:r>
                    <m:ctrlPr>
                      <w:rPr>
                        <w:rFonts w:hint="default" w:ascii="Cambria Math" w:hAnsi="Cambria Math" w:eastAsia="Cambria Math" w:cs="Cambria Math"/>
                        <w:i/>
                        <w:color w:val="auto"/>
                        <w:szCs w:val="21"/>
                        <w:highlight w:val="none"/>
                      </w:rPr>
                    </m:ctrlPr>
                  </m:e>
                  <m:sub>
                    <m:r>
                      <m:rPr/>
                      <w:rPr>
                        <w:rFonts w:hint="default" w:ascii="Cambria Math" w:hAnsi="Cambria Math" w:eastAsia="Cambria Math" w:cs="Cambria Math"/>
                        <w:color w:val="auto"/>
                        <w:szCs w:val="21"/>
                        <w:highlight w:val="none"/>
                      </w:rPr>
                      <m:t>p</m:t>
                    </m:r>
                    <m:ctrlPr>
                      <w:rPr>
                        <w:rFonts w:hint="default" w:ascii="Cambria Math" w:hAnsi="Cambria Math" w:eastAsia="Cambria Math" w:cs="Cambria Math"/>
                        <w:i/>
                        <w:color w:val="auto"/>
                        <w:szCs w:val="21"/>
                        <w:highlight w:val="none"/>
                      </w:rPr>
                    </m:ctrlPr>
                  </m:sub>
                </m:sSub>
                <m:r>
                  <m:rPr>
                    <m:sty m:val="p"/>
                  </m:rPr>
                  <w:rPr>
                    <w:rFonts w:hint="default" w:ascii="Cambria Math" w:hAnsi="Cambria Math" w:eastAsia="Cambria Math" w:cs="Cambria Math"/>
                    <w:color w:val="auto"/>
                    <w:szCs w:val="21"/>
                    <w:highlight w:val="none"/>
                  </w:rPr>
                  <m:t>=</m:t>
                </m:r>
                <m:r>
                  <m:rPr>
                    <m:sty m:val="p"/>
                  </m:rPr>
                  <w:rPr>
                    <w:rFonts w:hint="default" w:ascii="Cambria Math" w:hAnsi="Cambria Math" w:eastAsia="Cambria Math"/>
                    <w:color w:val="auto"/>
                    <w:szCs w:val="21"/>
                    <w:highlight w:val="none"/>
                  </w:rPr>
                  <m:t>0.123(</m:t>
                </m:r>
                <m:f>
                  <m:fPr>
                    <m:ctrlPr>
                      <w:rPr>
                        <w:rFonts w:hint="default" w:ascii="Cambria Math" w:hAnsi="Cambria Math" w:eastAsia="Cambria Math"/>
                        <w:color w:val="auto"/>
                        <w:szCs w:val="21"/>
                        <w:highlight w:val="none"/>
                      </w:rPr>
                    </m:ctrlPr>
                  </m:fPr>
                  <m:num>
                    <m:r>
                      <m:rPr/>
                      <w:rPr>
                        <w:rFonts w:hint="default" w:ascii="Cambria Math" w:hAnsi="Cambria Math" w:eastAsia="Cambria Math"/>
                        <w:color w:val="auto"/>
                        <w:szCs w:val="21"/>
                        <w:highlight w:val="none"/>
                      </w:rPr>
                      <m:t>V</m:t>
                    </m:r>
                    <m:ctrlPr>
                      <w:rPr>
                        <w:rFonts w:hint="default" w:ascii="Cambria Math" w:hAnsi="Cambria Math" w:eastAsia="Cambria Math"/>
                        <w:color w:val="auto"/>
                        <w:szCs w:val="21"/>
                        <w:highlight w:val="none"/>
                      </w:rPr>
                    </m:ctrlPr>
                  </m:num>
                  <m:den>
                    <m:r>
                      <m:rPr/>
                      <w:rPr>
                        <w:rFonts w:hint="default" w:ascii="Cambria Math" w:hAnsi="Cambria Math" w:eastAsia="Cambria Math"/>
                        <w:color w:val="auto"/>
                        <w:szCs w:val="21"/>
                        <w:highlight w:val="none"/>
                      </w:rPr>
                      <m:t>5</m:t>
                    </m:r>
                    <m:ctrlPr>
                      <w:rPr>
                        <w:rFonts w:hint="default" w:ascii="Cambria Math" w:hAnsi="Cambria Math" w:eastAsia="Cambria Math"/>
                        <w:color w:val="auto"/>
                        <w:szCs w:val="21"/>
                        <w:highlight w:val="none"/>
                      </w:rPr>
                    </m:ctrlPr>
                  </m:den>
                </m:f>
                <m:r>
                  <m:rPr/>
                  <w:rPr>
                    <w:rFonts w:hint="default" w:ascii="Cambria Math" w:hAnsi="Cambria Math" w:eastAsia="Cambria Math"/>
                    <w:color w:val="auto"/>
                    <w:szCs w:val="21"/>
                    <w:highlight w:val="none"/>
                  </w:rPr>
                  <m:t>)(</m:t>
                </m:r>
                <m:sSup>
                  <m:sSupPr>
                    <m:ctrlPr>
                      <w:rPr>
                        <w:rFonts w:hint="default" w:ascii="Cambria Math" w:hAnsi="Cambria Math" w:eastAsia="Cambria Math"/>
                        <w:i/>
                        <w:color w:val="auto"/>
                        <w:szCs w:val="21"/>
                        <w:highlight w:val="none"/>
                      </w:rPr>
                    </m:ctrlPr>
                  </m:sSupPr>
                  <m:e>
                    <m:f>
                      <m:fPr>
                        <m:ctrlPr>
                          <w:rPr>
                            <w:rFonts w:hint="default" w:ascii="Cambria Math" w:hAnsi="Cambria Math" w:eastAsia="Cambria Math"/>
                            <w:i/>
                            <w:color w:val="auto"/>
                            <w:szCs w:val="21"/>
                            <w:highlight w:val="none"/>
                          </w:rPr>
                        </m:ctrlPr>
                      </m:fPr>
                      <m:num>
                        <m:r>
                          <m:rPr/>
                          <w:rPr>
                            <w:rFonts w:hint="default" w:ascii="Cambria Math" w:hAnsi="Cambria Math" w:eastAsia="Cambria Math"/>
                            <w:color w:val="auto"/>
                            <w:szCs w:val="21"/>
                            <w:highlight w:val="none"/>
                          </w:rPr>
                          <m:t>M</m:t>
                        </m:r>
                        <m:ctrlPr>
                          <w:rPr>
                            <w:rFonts w:hint="default" w:ascii="Cambria Math" w:hAnsi="Cambria Math" w:eastAsia="Cambria Math"/>
                            <w:i/>
                            <w:color w:val="auto"/>
                            <w:szCs w:val="21"/>
                            <w:highlight w:val="none"/>
                          </w:rPr>
                        </m:ctrlPr>
                      </m:num>
                      <m:den>
                        <m:r>
                          <m:rPr/>
                          <w:rPr>
                            <w:rFonts w:hint="default" w:ascii="Cambria Math" w:hAnsi="Cambria Math" w:eastAsia="Cambria Math"/>
                            <w:color w:val="auto"/>
                            <w:szCs w:val="21"/>
                            <w:highlight w:val="none"/>
                          </w:rPr>
                          <m:t>6.8</m:t>
                        </m:r>
                        <m:ctrlPr>
                          <w:rPr>
                            <w:rFonts w:hint="default" w:ascii="Cambria Math" w:hAnsi="Cambria Math" w:eastAsia="Cambria Math"/>
                            <w:i/>
                            <w:color w:val="auto"/>
                            <w:szCs w:val="21"/>
                            <w:highlight w:val="none"/>
                          </w:rPr>
                        </m:ctrlPr>
                      </m:den>
                    </m:f>
                    <m:r>
                      <m:rPr/>
                      <w:rPr>
                        <w:rFonts w:hint="default" w:ascii="Cambria Math" w:hAnsi="Cambria Math" w:eastAsia="Cambria Math"/>
                        <w:color w:val="auto"/>
                        <w:szCs w:val="21"/>
                        <w:highlight w:val="none"/>
                      </w:rPr>
                      <m:t>)</m:t>
                    </m:r>
                    <m:ctrlPr>
                      <w:rPr>
                        <w:rFonts w:hint="default" w:ascii="Cambria Math" w:hAnsi="Cambria Math" w:eastAsia="Cambria Math"/>
                        <w:i/>
                        <w:color w:val="auto"/>
                        <w:szCs w:val="21"/>
                        <w:highlight w:val="none"/>
                      </w:rPr>
                    </m:ctrlPr>
                  </m:e>
                  <m:sup>
                    <m:r>
                      <m:rPr/>
                      <w:rPr>
                        <w:rFonts w:hint="default" w:ascii="Cambria Math" w:hAnsi="Cambria Math" w:eastAsia="Cambria Math"/>
                        <w:color w:val="auto"/>
                        <w:szCs w:val="21"/>
                        <w:highlight w:val="none"/>
                      </w:rPr>
                      <m:t>0.85</m:t>
                    </m:r>
                    <m:ctrlPr>
                      <w:rPr>
                        <w:rFonts w:hint="default" w:ascii="Cambria Math" w:hAnsi="Cambria Math" w:eastAsia="Cambria Math"/>
                        <w:i/>
                        <w:color w:val="auto"/>
                        <w:szCs w:val="21"/>
                        <w:highlight w:val="none"/>
                      </w:rPr>
                    </m:ctrlPr>
                  </m:sup>
                </m:sSup>
                <m:sSup>
                  <m:sSupPr>
                    <m:ctrlPr>
                      <w:rPr>
                        <w:rFonts w:hint="default" w:ascii="Cambria Math" w:hAnsi="Cambria Math" w:eastAsia="Cambria Math"/>
                        <w:i/>
                        <w:color w:val="auto"/>
                        <w:szCs w:val="21"/>
                        <w:highlight w:val="none"/>
                      </w:rPr>
                    </m:ctrlPr>
                  </m:sSupPr>
                  <m:e>
                    <m:r>
                      <m:rPr/>
                      <w:rPr>
                        <w:rFonts w:hint="default" w:ascii="Cambria Math" w:hAnsi="Cambria Math" w:eastAsia="Cambria Math"/>
                        <w:color w:val="auto"/>
                        <w:szCs w:val="21"/>
                        <w:highlight w:val="none"/>
                      </w:rPr>
                      <m:t>(</m:t>
                    </m:r>
                    <m:f>
                      <m:fPr>
                        <m:ctrlPr>
                          <w:rPr>
                            <w:rFonts w:hint="default" w:ascii="Cambria Math" w:hAnsi="Cambria Math" w:eastAsia="Cambria Math"/>
                            <w:i/>
                            <w:color w:val="auto"/>
                            <w:szCs w:val="21"/>
                            <w:highlight w:val="none"/>
                          </w:rPr>
                        </m:ctrlPr>
                      </m:fPr>
                      <m:num>
                        <m:r>
                          <m:rPr/>
                          <w:rPr>
                            <w:rFonts w:hint="default" w:ascii="Cambria Math" w:hAnsi="Cambria Math" w:eastAsia="Cambria Math"/>
                            <w:color w:val="auto"/>
                            <w:szCs w:val="21"/>
                            <w:highlight w:val="none"/>
                          </w:rPr>
                          <m:t>P</m:t>
                        </m:r>
                        <m:ctrlPr>
                          <w:rPr>
                            <w:rFonts w:hint="default" w:ascii="Cambria Math" w:hAnsi="Cambria Math" w:eastAsia="Cambria Math"/>
                            <w:i/>
                            <w:color w:val="auto"/>
                            <w:szCs w:val="21"/>
                            <w:highlight w:val="none"/>
                          </w:rPr>
                        </m:ctrlPr>
                      </m:num>
                      <m:den>
                        <m:r>
                          <m:rPr/>
                          <w:rPr>
                            <w:rFonts w:hint="default" w:ascii="Cambria Math" w:hAnsi="Cambria Math" w:eastAsia="Cambria Math"/>
                            <w:color w:val="auto"/>
                            <w:szCs w:val="21"/>
                            <w:highlight w:val="none"/>
                          </w:rPr>
                          <m:t>0.5</m:t>
                        </m:r>
                        <m:ctrlPr>
                          <w:rPr>
                            <w:rFonts w:hint="default" w:ascii="Cambria Math" w:hAnsi="Cambria Math" w:eastAsia="Cambria Math"/>
                            <w:i/>
                            <w:color w:val="auto"/>
                            <w:szCs w:val="21"/>
                            <w:highlight w:val="none"/>
                          </w:rPr>
                        </m:ctrlPr>
                      </m:den>
                    </m:f>
                    <m:r>
                      <m:rPr/>
                      <w:rPr>
                        <w:rFonts w:hint="default" w:ascii="Cambria Math" w:hAnsi="Cambria Math" w:eastAsia="Cambria Math"/>
                        <w:color w:val="auto"/>
                        <w:szCs w:val="21"/>
                        <w:highlight w:val="none"/>
                      </w:rPr>
                      <m:t>)</m:t>
                    </m:r>
                    <m:ctrlPr>
                      <w:rPr>
                        <w:rFonts w:hint="default" w:ascii="Cambria Math" w:hAnsi="Cambria Math" w:eastAsia="Cambria Math"/>
                        <w:i/>
                        <w:color w:val="auto"/>
                        <w:szCs w:val="21"/>
                        <w:highlight w:val="none"/>
                      </w:rPr>
                    </m:ctrlPr>
                  </m:e>
                  <m:sup>
                    <m:r>
                      <m:rPr/>
                      <w:rPr>
                        <w:rFonts w:hint="default" w:ascii="Cambria Math" w:hAnsi="Cambria Math" w:eastAsia="Cambria Math"/>
                        <w:color w:val="auto"/>
                        <w:szCs w:val="21"/>
                        <w:highlight w:val="none"/>
                      </w:rPr>
                      <m:t>0.72</m:t>
                    </m:r>
                    <m:ctrlPr>
                      <w:rPr>
                        <w:rFonts w:hint="default" w:ascii="Cambria Math" w:hAnsi="Cambria Math" w:eastAsia="Cambria Math"/>
                        <w:i/>
                        <w:color w:val="auto"/>
                        <w:szCs w:val="21"/>
                        <w:highlight w:val="none"/>
                      </w:rPr>
                    </m:ctrlPr>
                  </m:sup>
                </m:sSup>
              </m:oMath>
            </m:oMathPara>
          </w:p>
          <w:p w14:paraId="03ECA3FA">
            <w:pPr>
              <w:keepNext w:val="0"/>
              <w:keepLines w:val="0"/>
              <w:suppressLineNumbers w:val="0"/>
              <w:spacing w:before="0" w:beforeAutospacing="0" w:after="0" w:afterAutospacing="0"/>
              <w:ind w:left="0" w:right="0" w:firstLine="480"/>
              <w:jc w:val="center"/>
              <w:rPr>
                <w:rFonts w:hint="default"/>
                <w:color w:val="auto"/>
                <w:szCs w:val="21"/>
                <w:highlight w:val="none"/>
              </w:rPr>
            </w:pPr>
            <m:oMathPara>
              <m:oMath>
                <m:sSubSup>
                  <m:sSubSupPr>
                    <m:ctrlPr>
                      <w:rPr>
                        <w:rFonts w:hint="default" w:ascii="Cambria Math" w:hAnsi="Cambria Math"/>
                        <w:i/>
                        <w:color w:val="auto"/>
                        <w:szCs w:val="21"/>
                        <w:highlight w:val="none"/>
                      </w:rPr>
                    </m:ctrlPr>
                  </m:sSubSupPr>
                  <m:e>
                    <m:r>
                      <m:rPr/>
                      <w:rPr>
                        <w:rFonts w:hint="default" w:ascii="Cambria Math" w:hAnsi="Cambria Math"/>
                        <w:color w:val="auto"/>
                        <w:szCs w:val="21"/>
                        <w:highlight w:val="none"/>
                      </w:rPr>
                      <m:t>Q</m:t>
                    </m:r>
                    <m:ctrlPr>
                      <w:rPr>
                        <w:rFonts w:hint="default" w:ascii="Cambria Math" w:hAnsi="Cambria Math"/>
                        <w:i/>
                        <w:color w:val="auto"/>
                        <w:szCs w:val="21"/>
                        <w:highlight w:val="none"/>
                      </w:rPr>
                    </m:ctrlPr>
                  </m:e>
                  <m:sub>
                    <m:r>
                      <m:rPr/>
                      <w:rPr>
                        <w:rFonts w:hint="default" w:ascii="Cambria Math" w:hAnsi="Cambria Math"/>
                        <w:color w:val="auto"/>
                        <w:szCs w:val="21"/>
                        <w:highlight w:val="none"/>
                      </w:rPr>
                      <m:t>p</m:t>
                    </m:r>
                    <m:ctrlPr>
                      <w:rPr>
                        <w:rFonts w:hint="default" w:ascii="Cambria Math" w:hAnsi="Cambria Math"/>
                        <w:i/>
                        <w:color w:val="auto"/>
                        <w:szCs w:val="21"/>
                        <w:highlight w:val="none"/>
                      </w:rPr>
                    </m:ctrlPr>
                  </m:sub>
                  <m:sup>
                    <m:r>
                      <m:rPr/>
                      <w:rPr>
                        <w:rFonts w:hint="default" w:ascii="Cambria Math" w:hAnsi="Cambria Math"/>
                        <w:color w:val="auto"/>
                        <w:szCs w:val="21"/>
                        <w:highlight w:val="none"/>
                      </w:rPr>
                      <m:t>'</m:t>
                    </m:r>
                    <m:ctrlPr>
                      <w:rPr>
                        <w:rFonts w:hint="default" w:ascii="Cambria Math" w:hAnsi="Cambria Math"/>
                        <w:i/>
                        <w:color w:val="auto"/>
                        <w:szCs w:val="21"/>
                        <w:highlight w:val="none"/>
                      </w:rPr>
                    </m:ctrlPr>
                  </m:sup>
                </m:sSubSup>
                <m:r>
                  <m:rPr/>
                  <w:rPr>
                    <w:rFonts w:hint="default" w:ascii="Cambria Math" w:hAnsi="Cambria Math"/>
                    <w:color w:val="auto"/>
                    <w:szCs w:val="21"/>
                    <w:highlight w:val="none"/>
                  </w:rPr>
                  <m:t>=</m:t>
                </m:r>
                <m:sSub>
                  <m:sSubPr>
                    <m:ctrlPr>
                      <w:rPr>
                        <w:rFonts w:hint="default" w:ascii="Cambria Math" w:hAnsi="Cambria Math"/>
                        <w:i/>
                        <w:color w:val="auto"/>
                        <w:szCs w:val="21"/>
                        <w:highlight w:val="none"/>
                      </w:rPr>
                    </m:ctrlPr>
                  </m:sSubPr>
                  <m:e>
                    <m:r>
                      <m:rPr/>
                      <w:rPr>
                        <w:rFonts w:hint="default" w:ascii="Cambria Math" w:hAnsi="Cambria Math"/>
                        <w:color w:val="auto"/>
                        <w:szCs w:val="21"/>
                        <w:highlight w:val="none"/>
                      </w:rPr>
                      <m:t>Q</m:t>
                    </m:r>
                    <m:ctrlPr>
                      <w:rPr>
                        <w:rFonts w:hint="default" w:ascii="Cambria Math" w:hAnsi="Cambria Math"/>
                        <w:i/>
                        <w:color w:val="auto"/>
                        <w:szCs w:val="21"/>
                        <w:highlight w:val="none"/>
                      </w:rPr>
                    </m:ctrlPr>
                  </m:e>
                  <m:sub>
                    <m:r>
                      <m:rPr/>
                      <w:rPr>
                        <w:rFonts w:hint="default" w:ascii="Cambria Math" w:hAnsi="Cambria Math"/>
                        <w:color w:val="auto"/>
                        <w:szCs w:val="21"/>
                        <w:highlight w:val="none"/>
                      </w:rPr>
                      <m:t>p</m:t>
                    </m:r>
                    <m:ctrlPr>
                      <w:rPr>
                        <w:rFonts w:hint="default" w:ascii="Cambria Math" w:hAnsi="Cambria Math"/>
                        <w:i/>
                        <w:color w:val="auto"/>
                        <w:szCs w:val="21"/>
                        <w:highlight w:val="none"/>
                      </w:rPr>
                    </m:ctrlPr>
                  </m:sub>
                </m:sSub>
                <m:r>
                  <m:rPr/>
                  <w:rPr>
                    <w:rFonts w:hint="default" w:ascii="Cambria Math" w:hAnsi="Cambria Math"/>
                    <w:color w:val="auto"/>
                    <w:szCs w:val="21"/>
                    <w:highlight w:val="none"/>
                  </w:rPr>
                  <m:t>L(</m:t>
                </m:r>
                <m:f>
                  <m:fPr>
                    <m:ctrlPr>
                      <w:rPr>
                        <w:rFonts w:hint="default" w:ascii="Cambria Math" w:hAnsi="Cambria Math"/>
                        <w:i/>
                        <w:color w:val="auto"/>
                        <w:szCs w:val="21"/>
                        <w:highlight w:val="none"/>
                      </w:rPr>
                    </m:ctrlPr>
                  </m:fPr>
                  <m:num>
                    <m:r>
                      <m:rPr/>
                      <w:rPr>
                        <w:rFonts w:hint="default" w:ascii="Cambria Math" w:hAnsi="Cambria Math"/>
                        <w:color w:val="auto"/>
                        <w:szCs w:val="21"/>
                        <w:highlight w:val="none"/>
                      </w:rPr>
                      <m:t>Q</m:t>
                    </m:r>
                    <m:ctrlPr>
                      <w:rPr>
                        <w:rFonts w:hint="default" w:ascii="Cambria Math" w:hAnsi="Cambria Math"/>
                        <w:i/>
                        <w:color w:val="auto"/>
                        <w:szCs w:val="21"/>
                        <w:highlight w:val="none"/>
                      </w:rPr>
                    </m:ctrlPr>
                  </m:num>
                  <m:den>
                    <m:r>
                      <m:rPr/>
                      <w:rPr>
                        <w:rFonts w:hint="default" w:ascii="Cambria Math" w:hAnsi="Cambria Math"/>
                        <w:color w:val="auto"/>
                        <w:szCs w:val="21"/>
                        <w:highlight w:val="none"/>
                      </w:rPr>
                      <m:t>M</m:t>
                    </m:r>
                    <m:ctrlPr>
                      <w:rPr>
                        <w:rFonts w:hint="default" w:ascii="Cambria Math" w:hAnsi="Cambria Math"/>
                        <w:i/>
                        <w:color w:val="auto"/>
                        <w:szCs w:val="21"/>
                        <w:highlight w:val="none"/>
                      </w:rPr>
                    </m:ctrlPr>
                  </m:den>
                </m:f>
                <m:r>
                  <m:rPr/>
                  <w:rPr>
                    <w:rFonts w:hint="default" w:ascii="Cambria Math" w:hAnsi="Cambria Math"/>
                    <w:color w:val="auto"/>
                    <w:szCs w:val="21"/>
                    <w:highlight w:val="none"/>
                  </w:rPr>
                  <m:t>)</m:t>
                </m:r>
              </m:oMath>
            </m:oMathPara>
          </w:p>
          <w:p w14:paraId="0B8CE3B1">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其中：Q</w:t>
            </w:r>
            <w:r>
              <w:rPr>
                <w:rFonts w:hint="default"/>
                <w:color w:val="auto"/>
                <w:highlight w:val="none"/>
              </w:rPr>
              <w:t>p</w:t>
            </w:r>
            <w:r>
              <w:rPr>
                <w:rFonts w:hint="eastAsia"/>
                <w:color w:val="auto"/>
                <w:highlight w:val="none"/>
              </w:rPr>
              <w:t>：道路扬尘量，（</w:t>
            </w:r>
            <w:r>
              <w:rPr>
                <w:rFonts w:hint="default"/>
                <w:color w:val="auto"/>
                <w:highlight w:val="none"/>
              </w:rPr>
              <w:t>kg/km·辆）；</w:t>
            </w:r>
          </w:p>
          <w:p w14:paraId="4A4293CB">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QUOTE </w:instrText>
            </w:r>
            <w:r>
              <w:rPr>
                <w:rFonts w:hint="default"/>
                <w:color w:val="auto"/>
                <w:highlight w:val="none"/>
              </w:rPr>
              <w:pict>
                <v:shape id="_x0000_i1028" o:spt="75" type="#_x0000_t75" style="height:22.2pt;width:13.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0&quot;/&gt;&lt;w:displayBackgroundShape/&gt;&lt;w:doNotEmbedSystemFont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NTBkODU1MmE1ODg5NTM1YzE3MGE2MjA1Y2IwMTM3ZjQifQ==&quot;/&gt;&lt;/w:docVars&gt;&lt;wsp:rsids&gt;&lt;wsp:rsidRoot wsp:val=&quot;00172A27&quot;/&gt;&lt;wsp:rsid wsp:val=&quot;000030E6&quot;/&gt;&lt;wsp:rsid wsp:val=&quot;000060B3&quot;/&gt;&lt;wsp:rsid wsp:val=&quot;00007440&quot;/&gt;&lt;wsp:rsid wsp:val=&quot;0001147F&quot;/&gt;&lt;wsp:rsid wsp:val=&quot;0001333D&quot;/&gt;&lt;wsp:rsid wsp:val=&quot;00015825&quot;/&gt;&lt;wsp:rsid wsp:val=&quot;000172E8&quot;/&gt;&lt;wsp:rsid wsp:val=&quot;00020CF2&quot;/&gt;&lt;wsp:rsid wsp:val=&quot;0002561E&quot;/&gt;&lt;wsp:rsid wsp:val=&quot;00041942&quot;/&gt;&lt;wsp:rsid wsp:val=&quot;00042137&quot;/&gt;&lt;wsp:rsid wsp:val=&quot;0004364B&quot;/&gt;&lt;wsp:rsid wsp:val=&quot;00044EF2&quot;/&gt;&lt;wsp:rsid wsp:val=&quot;00054764&quot;/&gt;&lt;wsp:rsid wsp:val=&quot;00055109&quot;/&gt;&lt;wsp:rsid wsp:val=&quot;000552F8&quot;/&gt;&lt;wsp:rsid wsp:val=&quot;000575B9&quot;/&gt;&lt;wsp:rsid wsp:val=&quot;00061B1F&quot;/&gt;&lt;wsp:rsid wsp:val=&quot;000733C4&quot;/&gt;&lt;wsp:rsid wsp:val=&quot;00074783&quot;/&gt;&lt;wsp:rsid wsp:val=&quot;000765B9&quot;/&gt;&lt;wsp:rsid wsp:val=&quot;000771E8&quot;/&gt;&lt;wsp:rsid wsp:val=&quot;0008070B&quot;/&gt;&lt;wsp:rsid wsp:val=&quot;000810AC&quot;/&gt;&lt;wsp:rsid wsp:val=&quot;00081914&quot;/&gt;&lt;wsp:rsid wsp:val=&quot;00081A02&quot;/&gt;&lt;wsp:rsid wsp:val=&quot;0008205D&quot;/&gt;&lt;wsp:rsid wsp:val=&quot;00082231&quot;/&gt;&lt;wsp:rsid wsp:val=&quot;00092638&quot;/&gt;&lt;wsp:rsid wsp:val=&quot;00092D38&quot;/&gt;&lt;wsp:rsid wsp:val=&quot;0009377B&quot;/&gt;&lt;wsp:rsid wsp:val=&quot;00096560&quot;/&gt;&lt;wsp:rsid wsp:val=&quot;000A002F&quot;/&gt;&lt;wsp:rsid wsp:val=&quot;000A1BD1&quot;/&gt;&lt;wsp:rsid wsp:val=&quot;000A20C9&quot;/&gt;&lt;wsp:rsid wsp:val=&quot;000B058F&quot;/&gt;&lt;wsp:rsid wsp:val=&quot;000B3A41&quot;/&gt;&lt;wsp:rsid wsp:val=&quot;000B4467&quot;/&gt;&lt;wsp:rsid wsp:val=&quot;000B4DB9&quot;/&gt;&lt;wsp:rsid wsp:val=&quot;000B5404&quot;/&gt;&lt;wsp:rsid wsp:val=&quot;000B6281&quot;/&gt;&lt;wsp:rsid wsp:val=&quot;000B70D0&quot;/&gt;&lt;wsp:rsid wsp:val=&quot;000B74A6&quot;/&gt;&lt;wsp:rsid wsp:val=&quot;000C038D&quot;/&gt;&lt;wsp:rsid wsp:val=&quot;000C09AC&quot;/&gt;&lt;wsp:rsid wsp:val=&quot;000C0AE0&quot;/&gt;&lt;wsp:rsid wsp:val=&quot;000C0F10&quot;/&gt;&lt;wsp:rsid wsp:val=&quot;000C1FF9&quot;/&gt;&lt;wsp:rsid wsp:val=&quot;000C6CB9&quot;/&gt;&lt;wsp:rsid wsp:val=&quot;000C7560&quot;/&gt;&lt;wsp:rsid wsp:val=&quot;000C767F&quot;/&gt;&lt;wsp:rsid wsp:val=&quot;000D4715&quot;/&gt;&lt;wsp:rsid wsp:val=&quot;000D5A44&quot;/&gt;&lt;wsp:rsid wsp:val=&quot;000E3D36&quot;/&gt;&lt;wsp:rsid wsp:val=&quot;000E3ED2&quot;/&gt;&lt;wsp:rsid wsp:val=&quot;000E3FC3&quot;/&gt;&lt;wsp:rsid wsp:val=&quot;000E6A66&quot;/&gt;&lt;wsp:rsid wsp:val=&quot;000E7B1F&quot;/&gt;&lt;wsp:rsid wsp:val=&quot;000F2724&quot;/&gt;&lt;wsp:rsid wsp:val=&quot;000F48DE&quot;/&gt;&lt;wsp:rsid wsp:val=&quot;00113289&quot;/&gt;&lt;wsp:rsid wsp:val=&quot;00114B16&quot;/&gt;&lt;wsp:rsid wsp:val=&quot;001171F4&quot;/&gt;&lt;wsp:rsid wsp:val=&quot;00121EA8&quot;/&gt;&lt;wsp:rsid wsp:val=&quot;00121FAE&quot;/&gt;&lt;wsp:rsid wsp:val=&quot;00125861&quot;/&gt;&lt;wsp:rsid wsp:val=&quot;001302F0&quot;/&gt;&lt;wsp:rsid wsp:val=&quot;0013111E&quot;/&gt;&lt;wsp:rsid wsp:val=&quot;00131F42&quot;/&gt;&lt;wsp:rsid wsp:val=&quot;00135135&quot;/&gt;&lt;wsp:rsid wsp:val=&quot;001357F1&quot;/&gt;&lt;wsp:rsid wsp:val=&quot;00137F5F&quot;/&gt;&lt;wsp:rsid wsp:val=&quot;00140FA8&quot;/&gt;&lt;wsp:rsid wsp:val=&quot;00142FEB&quot;/&gt;&lt;wsp:rsid wsp:val=&quot;0014309E&quot;/&gt;&lt;wsp:rsid wsp:val=&quot;00143A2D&quot;/&gt;&lt;wsp:rsid wsp:val=&quot;00144837&quot;/&gt;&lt;wsp:rsid wsp:val=&quot;00145A41&quot;/&gt;&lt;wsp:rsid wsp:val=&quot;00151675&quot;/&gt;&lt;wsp:rsid wsp:val=&quot;00155EE4&quot;/&gt;&lt;wsp:rsid wsp:val=&quot;001570FF&quot;/&gt;&lt;wsp:rsid wsp:val=&quot;00157435&quot;/&gt;&lt;wsp:rsid wsp:val=&quot;0016008A&quot;/&gt;&lt;wsp:rsid wsp:val=&quot;00172E78&quot;/&gt;&lt;wsp:rsid wsp:val=&quot;001745C3&quot;/&gt;&lt;wsp:rsid wsp:val=&quot;0017504D&quot;/&gt;&lt;wsp:rsid wsp:val=&quot;00175502&quot;/&gt;&lt;wsp:rsid wsp:val=&quot;0017671A&quot;/&gt;&lt;wsp:rsid wsp:val=&quot;00177422&quot;/&gt;&lt;wsp:rsid wsp:val=&quot;00184590&quot;/&gt;&lt;wsp:rsid wsp:val=&quot;001870D1&quot;/&gt;&lt;wsp:rsid wsp:val=&quot;0018781E&quot;/&gt;&lt;wsp:rsid wsp:val=&quot;0019262D&quot;/&gt;&lt;wsp:rsid wsp:val=&quot;0019443D&quot;/&gt;&lt;wsp:rsid wsp:val=&quot;001A1B35&quot;/&gt;&lt;wsp:rsid wsp:val=&quot;001A48A2&quot;/&gt;&lt;wsp:rsid wsp:val=&quot;001A64C4&quot;/&gt;&lt;wsp:rsid wsp:val=&quot;001A6F61&quot;/&gt;&lt;wsp:rsid wsp:val=&quot;001B223C&quot;/&gt;&lt;wsp:rsid wsp:val=&quot;001B719A&quot;/&gt;&lt;wsp:rsid wsp:val=&quot;001B72B8&quot;/&gt;&lt;wsp:rsid wsp:val=&quot;001C3130&quot;/&gt;&lt;wsp:rsid wsp:val=&quot;001C66E0&quot;/&gt;&lt;wsp:rsid wsp:val=&quot;001C688B&quot;/&gt;&lt;wsp:rsid wsp:val=&quot;001C69B3&quot;/&gt;&lt;wsp:rsid wsp:val=&quot;001D03B5&quot;/&gt;&lt;wsp:rsid wsp:val=&quot;001D3722&quot;/&gt;&lt;wsp:rsid wsp:val=&quot;001D3E81&quot;/&gt;&lt;wsp:rsid wsp:val=&quot;001D5036&quot;/&gt;&lt;wsp:rsid wsp:val=&quot;001D5595&quot;/&gt;&lt;wsp:rsid wsp:val=&quot;001D5C99&quot;/&gt;&lt;wsp:rsid wsp:val=&quot;001D6A02&quot;/&gt;&lt;wsp:rsid wsp:val=&quot;001D7874&quot;/&gt;&lt;wsp:rsid wsp:val=&quot;001D7F22&quot;/&gt;&lt;wsp:rsid wsp:val=&quot;001E1318&quot;/&gt;&lt;wsp:rsid wsp:val=&quot;001E20B9&quot;/&gt;&lt;wsp:rsid wsp:val=&quot;001E21B6&quot;/&gt;&lt;wsp:rsid wsp:val=&quot;001E29A9&quot;/&gt;&lt;wsp:rsid wsp:val=&quot;001F0F17&quot;/&gt;&lt;wsp:rsid wsp:val=&quot;001F3347&quot;/&gt;&lt;wsp:rsid wsp:val=&quot;001F3ADA&quot;/&gt;&lt;wsp:rsid wsp:val=&quot;001F4063&quot;/&gt;&lt;wsp:rsid wsp:val=&quot;001F64F6&quot;/&gt;&lt;wsp:rsid wsp:val=&quot;001F69E4&quot;/&gt;&lt;wsp:rsid wsp:val=&quot;00201632&quot;/&gt;&lt;wsp:rsid wsp:val=&quot;00206B4F&quot;/&gt;&lt;wsp:rsid wsp:val=&quot;00207852&quot;/&gt;&lt;wsp:rsid wsp:val=&quot;0021252D&quot;/&gt;&lt;wsp:rsid wsp:val=&quot;002125B4&quot;/&gt;&lt;wsp:rsid wsp:val=&quot;00213694&quot;/&gt;&lt;wsp:rsid wsp:val=&quot;002155B8&quot;/&gt;&lt;wsp:rsid wsp:val=&quot;00215AA4&quot;/&gt;&lt;wsp:rsid wsp:val=&quot;002163B1&quot;/&gt;&lt;wsp:rsid wsp:val=&quot;0022181C&quot;/&gt;&lt;wsp:rsid wsp:val=&quot;002233E5&quot;/&gt;&lt;wsp:rsid wsp:val=&quot;002235CA&quot;/&gt;&lt;wsp:rsid wsp:val=&quot;00224839&quot;/&gt;&lt;wsp:rsid wsp:val=&quot;002249B2&quot;/&gt;&lt;wsp:rsid wsp:val=&quot;00225378&quot;/&gt;&lt;wsp:rsid wsp:val=&quot;00225B36&quot;/&gt;&lt;wsp:rsid wsp:val=&quot;0022608A&quot;/&gt;&lt;wsp:rsid wsp:val=&quot;00226574&quot;/&gt;&lt;wsp:rsid wsp:val=&quot;002278EC&quot;/&gt;&lt;wsp:rsid wsp:val=&quot;0023280E&quot;/&gt;&lt;wsp:rsid wsp:val=&quot;00232E9D&quot;/&gt;&lt;wsp:rsid wsp:val=&quot;00232F24&quot;/&gt;&lt;wsp:rsid wsp:val=&quot;002366A6&quot;/&gt;&lt;wsp:rsid wsp:val=&quot;002377D1&quot;/&gt;&lt;wsp:rsid wsp:val=&quot;00237DF4&quot;/&gt;&lt;wsp:rsid wsp:val=&quot;002412D4&quot;/&gt;&lt;wsp:rsid wsp:val=&quot;002444D9&quot;/&gt;&lt;wsp:rsid wsp:val=&quot;0024517A&quot;/&gt;&lt;wsp:rsid wsp:val=&quot;00247343&quot;/&gt;&lt;wsp:rsid wsp:val=&quot;002506BC&quot;/&gt;&lt;wsp:rsid wsp:val=&quot;00252F19&quot;/&gt;&lt;wsp:rsid wsp:val=&quot;00254345&quot;/&gt;&lt;wsp:rsid wsp:val=&quot;00254504&quot;/&gt;&lt;wsp:rsid wsp:val=&quot;00260E93&quot;/&gt;&lt;wsp:rsid wsp:val=&quot;00261E19&quot;/&gt;&lt;wsp:rsid wsp:val=&quot;0026257F&quot;/&gt;&lt;wsp:rsid wsp:val=&quot;002630BB&quot;/&gt;&lt;wsp:rsid wsp:val=&quot;002636CC&quot;/&gt;&lt;wsp:rsid wsp:val=&quot;00264557&quot;/&gt;&lt;wsp:rsid wsp:val=&quot;00264E69&quot;/&gt;&lt;wsp:rsid wsp:val=&quot;00265FAE&quot;/&gt;&lt;wsp:rsid wsp:val=&quot;00270A79&quot;/&gt;&lt;wsp:rsid wsp:val=&quot;00276E33&quot;/&gt;&lt;wsp:rsid wsp:val=&quot;002805AB&quot;/&gt;&lt;wsp:rsid wsp:val=&quot;00284204&quot;/&gt;&lt;wsp:rsid wsp:val=&quot;00284B4A&quot;/&gt;&lt;wsp:rsid wsp:val=&quot;00290BE0&quot;/&gt;&lt;wsp:rsid wsp:val=&quot;00291773&quot;/&gt;&lt;wsp:rsid wsp:val=&quot;00294613&quot;/&gt;&lt;wsp:rsid wsp:val=&quot;00295963&quot;/&gt;&lt;wsp:rsid wsp:val=&quot;002A098D&quot;/&gt;&lt;wsp:rsid wsp:val=&quot;002A168C&quot;/&gt;&lt;wsp:rsid wsp:val=&quot;002A3D00&quot;/&gt;&lt;wsp:rsid wsp:val=&quot;002A3DC7&quot;/&gt;&lt;wsp:rsid wsp:val=&quot;002A6522&quot;/&gt;&lt;wsp:rsid wsp:val=&quot;002A6926&quot;/&gt;&lt;wsp:rsid wsp:val=&quot;002B06D1&quot;/&gt;&lt;wsp:rsid wsp:val=&quot;002B247F&quot;/&gt;&lt;wsp:rsid wsp:val=&quot;002B3B82&quot;/&gt;&lt;wsp:rsid wsp:val=&quot;002B4926&quot;/&gt;&lt;wsp:rsid wsp:val=&quot;002B49E2&quot;/&gt;&lt;wsp:rsid wsp:val=&quot;002B536E&quot;/&gt;&lt;wsp:rsid wsp:val=&quot;002B74B5&quot;/&gt;&lt;wsp:rsid wsp:val=&quot;002B7B00&quot;/&gt;&lt;wsp:rsid wsp:val=&quot;002B7C44&quot;/&gt;&lt;wsp:rsid wsp:val=&quot;002C2B17&quot;/&gt;&lt;wsp:rsid wsp:val=&quot;002C4449&quot;/&gt;&lt;wsp:rsid wsp:val=&quot;002D215E&quot;/&gt;&lt;wsp:rsid wsp:val=&quot;002D3DD0&quot;/&gt;&lt;wsp:rsid wsp:val=&quot;002D4BA8&quot;/&gt;&lt;wsp:rsid wsp:val=&quot;002D4C90&quot;/&gt;&lt;wsp:rsid wsp:val=&quot;002D7AB9&quot;/&gt;&lt;wsp:rsid wsp:val=&quot;002E1F3A&quot;/&gt;&lt;wsp:rsid wsp:val=&quot;002E298A&quot;/&gt;&lt;wsp:rsid wsp:val=&quot;002F2D1E&quot;/&gt;&lt;wsp:rsid wsp:val=&quot;00300DF6&quot;/&gt;&lt;wsp:rsid wsp:val=&quot;00301978&quot;/&gt;&lt;wsp:rsid wsp:val=&quot;00302555&quot;/&gt;&lt;wsp:rsid wsp:val=&quot;0030332C&quot;/&gt;&lt;wsp:rsid wsp:val=&quot;00303F39&quot;/&gt;&lt;wsp:rsid wsp:val=&quot;003051C2&quot;/&gt;&lt;wsp:rsid wsp:val=&quot;00305CFD&quot;/&gt;&lt;wsp:rsid wsp:val=&quot;00306C23&quot;/&gt;&lt;wsp:rsid wsp:val=&quot;003071AB&quot;/&gt;&lt;wsp:rsid wsp:val=&quot;00307A95&quot;/&gt;&lt;wsp:rsid wsp:val=&quot;00310154&quot;/&gt;&lt;wsp:rsid wsp:val=&quot;00312296&quot;/&gt;&lt;wsp:rsid wsp:val=&quot;00314F0E&quot;/&gt;&lt;wsp:rsid wsp:val=&quot;00316633&quot;/&gt;&lt;wsp:rsid wsp:val=&quot;00321D8E&quot;/&gt;&lt;wsp:rsid wsp:val=&quot;003222D7&quot;/&gt;&lt;wsp:rsid wsp:val=&quot;00322DCE&quot;/&gt;&lt;wsp:rsid wsp:val=&quot;00323C98&quot;/&gt;&lt;wsp:rsid wsp:val=&quot;00323F36&quot;/&gt;&lt;wsp:rsid wsp:val=&quot;00325928&quot;/&gt;&lt;wsp:rsid wsp:val=&quot;00327CB1&quot;/&gt;&lt;wsp:rsid wsp:val=&quot;00332863&quot;/&gt;&lt;wsp:rsid wsp:val=&quot;00334AFE&quot;/&gt;&lt;wsp:rsid wsp:val=&quot;00336280&quot;/&gt;&lt;wsp:rsid wsp:val=&quot;0033684D&quot;/&gt;&lt;wsp:rsid wsp:val=&quot;00337B42&quot;/&gt;&lt;wsp:rsid wsp:val=&quot;00337F95&quot;/&gt;&lt;wsp:rsid wsp:val=&quot;00341B42&quot;/&gt;&lt;wsp:rsid wsp:val=&quot;0034348F&quot;/&gt;&lt;wsp:rsid wsp:val=&quot;003471E1&quot;/&gt;&lt;wsp:rsid wsp:val=&quot;003550AC&quot;/&gt;&lt;wsp:rsid wsp:val=&quot;0035547D&quot;/&gt;&lt;wsp:rsid wsp:val=&quot;00356653&quot;/&gt;&lt;wsp:rsid wsp:val=&quot;0035743F&quot;/&gt;&lt;wsp:rsid wsp:val=&quot;00357BE2&quot;/&gt;&lt;wsp:rsid wsp:val=&quot;0036170C&quot;/&gt;&lt;wsp:rsid wsp:val=&quot;00366E0F&quot;/&gt;&lt;wsp:rsid wsp:val=&quot;003752C8&quot;/&gt;&lt;wsp:rsid wsp:val=&quot;00381A72&quot;/&gt;&lt;wsp:rsid wsp:val=&quot;00382DEE&quot;/&gt;&lt;wsp:rsid wsp:val=&quot;00384676&quot;/&gt;&lt;wsp:rsid wsp:val=&quot;003847F9&quot;/&gt;&lt;wsp:rsid wsp:val=&quot;00390857&quot;/&gt;&lt;wsp:rsid wsp:val=&quot;0039109A&quot;/&gt;&lt;wsp:rsid wsp:val=&quot;00391E93&quot;/&gt;&lt;wsp:rsid wsp:val=&quot;003A0631&quot;/&gt;&lt;wsp:rsid wsp:val=&quot;003A3053&quot;/&gt;&lt;wsp:rsid wsp:val=&quot;003A4BF3&quot;/&gt;&lt;wsp:rsid wsp:val=&quot;003A4DB8&quot;/&gt;&lt;wsp:rsid wsp:val=&quot;003A6D8B&quot;/&gt;&lt;wsp:rsid wsp:val=&quot;003B2D66&quot;/&gt;&lt;wsp:rsid wsp:val=&quot;003B420D&quot;/&gt;&lt;wsp:rsid wsp:val=&quot;003B488E&quot;/&gt;&lt;wsp:rsid wsp:val=&quot;003C1876&quot;/&gt;&lt;wsp:rsid wsp:val=&quot;003C468C&quot;/&gt;&lt;wsp:rsid wsp:val=&quot;003C63BE&quot;/&gt;&lt;wsp:rsid wsp:val=&quot;003C6C16&quot;/&gt;&lt;wsp:rsid wsp:val=&quot;003C7C00&quot;/&gt;&lt;wsp:rsid wsp:val=&quot;003D0B69&quot;/&gt;&lt;wsp:rsid wsp:val=&quot;003D21B2&quot;/&gt;&lt;wsp:rsid wsp:val=&quot;003D794D&quot;/&gt;&lt;wsp:rsid wsp:val=&quot;003E3058&quot;/&gt;&lt;wsp:rsid wsp:val=&quot;003E3BB8&quot;/&gt;&lt;wsp:rsid wsp:val=&quot;003E46E3&quot;/&gt;&lt;wsp:rsid wsp:val=&quot;003E7244&quot;/&gt;&lt;wsp:rsid wsp:val=&quot;003E76A9&quot;/&gt;&lt;wsp:rsid wsp:val=&quot;003F0809&quot;/&gt;&lt;wsp:rsid wsp:val=&quot;003F2E14&quot;/&gt;&lt;wsp:rsid wsp:val=&quot;003F5F2A&quot;/&gt;&lt;wsp:rsid wsp:val=&quot;003F6927&quot;/&gt;&lt;wsp:rsid wsp:val=&quot;003F6A8C&quot;/&gt;&lt;wsp:rsid wsp:val=&quot;003F755C&quot;/&gt;&lt;wsp:rsid wsp:val=&quot;00406BAB&quot;/&gt;&lt;wsp:rsid wsp:val=&quot;00406F01&quot;/&gt;&lt;wsp:rsid wsp:val=&quot;0041439F&quot;/&gt;&lt;wsp:rsid wsp:val=&quot;00415118&quot;/&gt;&lt;wsp:rsid wsp:val=&quot;00416D50&quot;/&gt;&lt;wsp:rsid wsp:val=&quot;00416FD5&quot;/&gt;&lt;wsp:rsid wsp:val=&quot;00417772&quot;/&gt;&lt;wsp:rsid wsp:val=&quot;00420E6A&quot;/&gt;&lt;wsp:rsid wsp:val=&quot;00423AEC&quot;/&gt;&lt;wsp:rsid wsp:val=&quot;00425A9E&quot;/&gt;&lt;wsp:rsid wsp:val=&quot;00426D6B&quot;/&gt;&lt;wsp:rsid wsp:val=&quot;00427644&quot;/&gt;&lt;wsp:rsid wsp:val=&quot;0043008C&quot;/&gt;&lt;wsp:rsid wsp:val=&quot;00431E6C&quot;/&gt;&lt;wsp:rsid wsp:val=&quot;00433CE7&quot;/&gt;&lt;wsp:rsid wsp:val=&quot;00442B87&quot;/&gt;&lt;wsp:rsid wsp:val=&quot;00443541&quot;/&gt;&lt;wsp:rsid wsp:val=&quot;0044386F&quot;/&gt;&lt;wsp:rsid wsp:val=&quot;00445D95&quot;/&gt;&lt;wsp:rsid wsp:val=&quot;004513A3&quot;/&gt;&lt;wsp:rsid wsp:val=&quot;00451F76&quot;/&gt;&lt;wsp:rsid wsp:val=&quot;00452738&quot;/&gt;&lt;wsp:rsid wsp:val=&quot;00452B84&quot;/&gt;&lt;wsp:rsid wsp:val=&quot;00456091&quot;/&gt;&lt;wsp:rsid wsp:val=&quot;00456126&quot;/&gt;&lt;wsp:rsid wsp:val=&quot;00456B28&quot;/&gt;&lt;wsp:rsid wsp:val=&quot;00460C15&quot;/&gt;&lt;wsp:rsid wsp:val=&quot;00464CC6&quot;/&gt;&lt;wsp:rsid wsp:val=&quot;0046550B&quot;/&gt;&lt;wsp:rsid wsp:val=&quot;00466012&quot;/&gt;&lt;wsp:rsid wsp:val=&quot;00466321&quot;/&gt;&lt;wsp:rsid wsp:val=&quot;004672B9&quot;/&gt;&lt;wsp:rsid wsp:val=&quot;00467D8F&quot;/&gt;&lt;wsp:rsid wsp:val=&quot;00476A91&quot;/&gt;&lt;wsp:rsid wsp:val=&quot;00484B9B&quot;/&gt;&lt;wsp:rsid wsp:val=&quot;004855F6&quot;/&gt;&lt;wsp:rsid wsp:val=&quot;004856E9&quot;/&gt;&lt;wsp:rsid wsp:val=&quot;0048661E&quot;/&gt;&lt;wsp:rsid wsp:val=&quot;004913B4&quot;/&gt;&lt;wsp:rsid wsp:val=&quot;004916C3&quot;/&gt;&lt;wsp:rsid wsp:val=&quot;0049198A&quot;/&gt;&lt;wsp:rsid wsp:val=&quot;00494670&quot;/&gt;&lt;wsp:rsid wsp:val=&quot;00494FFB&quot;/&gt;&lt;wsp:rsid wsp:val=&quot;004A3823&quot;/&gt;&lt;wsp:rsid wsp:val=&quot;004B0D73&quot;/&gt;&lt;wsp:rsid wsp:val=&quot;004B205F&quot;/&gt;&lt;wsp:rsid wsp:val=&quot;004B2B21&quot;/&gt;&lt;wsp:rsid wsp:val=&quot;004B7B9A&quot;/&gt;&lt;wsp:rsid wsp:val=&quot;004B7EF4&quot;/&gt;&lt;wsp:rsid wsp:val=&quot;004C2FCF&quot;/&gt;&lt;wsp:rsid wsp:val=&quot;004C35B6&quot;/&gt;&lt;wsp:rsid wsp:val=&quot;004C56B3&quot;/&gt;&lt;wsp:rsid wsp:val=&quot;004C623F&quot;/&gt;&lt;wsp:rsid wsp:val=&quot;004D6899&quot;/&gt;&lt;wsp:rsid wsp:val=&quot;004E0863&quot;/&gt;&lt;wsp:rsid wsp:val=&quot;004E2959&quot;/&gt;&lt;wsp:rsid wsp:val=&quot;004E5C9B&quot;/&gt;&lt;wsp:rsid wsp:val=&quot;004E6946&quot;/&gt;&lt;wsp:rsid wsp:val=&quot;004E7838&quot;/&gt;&lt;wsp:rsid wsp:val=&quot;004F1417&quot;/&gt;&lt;wsp:rsid wsp:val=&quot;004F1AD8&quot;/&gt;&lt;wsp:rsid wsp:val=&quot;004F46C4&quot;/&gt;&lt;wsp:rsid wsp:val=&quot;00500138&quot;/&gt;&lt;wsp:rsid wsp:val=&quot;00501EE6&quot;/&gt;&lt;wsp:rsid wsp:val=&quot;00502069&quot;/&gt;&lt;wsp:rsid wsp:val=&quot;005039CB&quot;/&gt;&lt;wsp:rsid wsp:val=&quot;00505138&quot;/&gt;&lt;wsp:rsid wsp:val=&quot;00505279&quot;/&gt;&lt;wsp:rsid wsp:val=&quot;0050558F&quot;/&gt;&lt;wsp:rsid wsp:val=&quot;00506286&quot;/&gt;&lt;wsp:rsid wsp:val=&quot;0050638A&quot;/&gt;&lt;wsp:rsid wsp:val=&quot;0050640C&quot;/&gt;&lt;wsp:rsid wsp:val=&quot;00510813&quot;/&gt;&lt;wsp:rsid wsp:val=&quot;00511990&quot;/&gt;&lt;wsp:rsid wsp:val=&quot;00511DE0&quot;/&gt;&lt;wsp:rsid wsp:val=&quot;00514870&quot;/&gt;&lt;wsp:rsid wsp:val=&quot;00514B9B&quot;/&gt;&lt;wsp:rsid wsp:val=&quot;00515C5E&quot;/&gt;&lt;wsp:rsid wsp:val=&quot;00517F02&quot;/&gt;&lt;wsp:rsid wsp:val=&quot;0052089D&quot;/&gt;&lt;wsp:rsid wsp:val=&quot;00522102&quot;/&gt;&lt;wsp:rsid wsp:val=&quot;00523F11&quot;/&gt;&lt;wsp:rsid wsp:val=&quot;00524303&quot;/&gt;&lt;wsp:rsid wsp:val=&quot;005258A2&quot;/&gt;&lt;wsp:rsid wsp:val=&quot;005301B0&quot;/&gt;&lt;wsp:rsid wsp:val=&quot;005358FA&quot;/&gt;&lt;wsp:rsid wsp:val=&quot;00535E7A&quot;/&gt;&lt;wsp:rsid wsp:val=&quot;005401AE&quot;/&gt;&lt;wsp:rsid wsp:val=&quot;00542E07&quot;/&gt;&lt;wsp:rsid wsp:val=&quot;00544ABF&quot;/&gt;&lt;wsp:rsid wsp:val=&quot;00545424&quot;/&gt;&lt;wsp:rsid wsp:val=&quot;005509CF&quot;/&gt;&lt;wsp:rsid wsp:val=&quot;00554A7B&quot;/&gt;&lt;wsp:rsid wsp:val=&quot;005555F5&quot;/&gt;&lt;wsp:rsid wsp:val=&quot;0055572C&quot;/&gt;&lt;wsp:rsid wsp:val=&quot;0055615C&quot;/&gt;&lt;wsp:rsid wsp:val=&quot;0056106A&quot;/&gt;&lt;wsp:rsid wsp:val=&quot;0056152C&quot;/&gt;&lt;wsp:rsid wsp:val=&quot;00563821&quot;/&gt;&lt;wsp:rsid wsp:val=&quot;005720AE&quot;/&gt;&lt;wsp:rsid wsp:val=&quot;005748C0&quot;/&gt;&lt;wsp:rsid wsp:val=&quot;00577718&quot;/&gt;&lt;wsp:rsid wsp:val=&quot;0058073D&quot;/&gt;&lt;wsp:rsid wsp:val=&quot;0058523E&quot;/&gt;&lt;wsp:rsid wsp:val=&quot;00592129&quot;/&gt;&lt;wsp:rsid wsp:val=&quot;00594D77&quot;/&gt;&lt;wsp:rsid wsp:val=&quot;00595668&quot;/&gt;&lt;wsp:rsid wsp:val=&quot;005962BF&quot;/&gt;&lt;wsp:rsid wsp:val=&quot;005966E4&quot;/&gt;&lt;wsp:rsid wsp:val=&quot;005969E4&quot;/&gt;&lt;wsp:rsid wsp:val=&quot;00596ABC&quot;/&gt;&lt;wsp:rsid wsp:val=&quot;005A06B7&quot;/&gt;&lt;wsp:rsid wsp:val=&quot;005A1759&quot;/&gt;&lt;wsp:rsid wsp:val=&quot;005A2D64&quot;/&gt;&lt;wsp:rsid wsp:val=&quot;005A2EB1&quot;/&gt;&lt;wsp:rsid wsp:val=&quot;005A51EE&quot;/&gt;&lt;wsp:rsid wsp:val=&quot;005A5320&quot;/&gt;&lt;wsp:rsid wsp:val=&quot;005A68A7&quot;/&gt;&lt;wsp:rsid wsp:val=&quot;005A6B1E&quot;/&gt;&lt;wsp:rsid wsp:val=&quot;005B5550&quot;/&gt;&lt;wsp:rsid wsp:val=&quot;005B5D4A&quot;/&gt;&lt;wsp:rsid wsp:val=&quot;005B7BC2&quot;/&gt;&lt;wsp:rsid wsp:val=&quot;005C1D4D&quot;/&gt;&lt;wsp:rsid wsp:val=&quot;005C1F7F&quot;/&gt;&lt;wsp:rsid wsp:val=&quot;005C6CF4&quot;/&gt;&lt;wsp:rsid wsp:val=&quot;005D0A1A&quot;/&gt;&lt;wsp:rsid wsp:val=&quot;005D2B43&quot;/&gt;&lt;wsp:rsid wsp:val=&quot;005D36AB&quot;/&gt;&lt;wsp:rsid wsp:val=&quot;005D63ED&quot;/&gt;&lt;wsp:rsid wsp:val=&quot;005D745C&quot;/&gt;&lt;wsp:rsid wsp:val=&quot;005E787D&quot;/&gt;&lt;wsp:rsid wsp:val=&quot;005F037B&quot;/&gt;&lt;wsp:rsid wsp:val=&quot;006140F3&quot;/&gt;&lt;wsp:rsid wsp:val=&quot;00616552&quot;/&gt;&lt;wsp:rsid wsp:val=&quot;0061655A&quot;/&gt;&lt;wsp:rsid wsp:val=&quot;00616AB7&quot;/&gt;&lt;wsp:rsid wsp:val=&quot;00617301&quot;/&gt;&lt;wsp:rsid wsp:val=&quot;00617CC3&quot;/&gt;&lt;wsp:rsid wsp:val=&quot;006201BE&quot;/&gt;&lt;wsp:rsid wsp:val=&quot;0062260B&quot;/&gt;&lt;wsp:rsid wsp:val=&quot;00624E0A&quot;/&gt;&lt;wsp:rsid wsp:val=&quot;00636BF8&quot;/&gt;&lt;wsp:rsid wsp:val=&quot;006377A6&quot;/&gt;&lt;wsp:rsid wsp:val=&quot;00637A3D&quot;/&gt;&lt;wsp:rsid wsp:val=&quot;006411EF&quot;/&gt;&lt;wsp:rsid wsp:val=&quot;00641FAE&quot;/&gt;&lt;wsp:rsid wsp:val=&quot;00647B0A&quot;/&gt;&lt;wsp:rsid wsp:val=&quot;00647F8D&quot;/&gt;&lt;wsp:rsid wsp:val=&quot;0065499D&quot;/&gt;&lt;wsp:rsid wsp:val=&quot;006601A1&quot;/&gt;&lt;wsp:rsid wsp:val=&quot;00667315&quot;/&gt;&lt;wsp:rsid wsp:val=&quot;0066795B&quot;/&gt;&lt;wsp:rsid wsp:val=&quot;0067166B&quot;/&gt;&lt;wsp:rsid wsp:val=&quot;006748B8&quot;/&gt;&lt;wsp:rsid wsp:val=&quot;00675481&quot;/&gt;&lt;wsp:rsid wsp:val=&quot;00676A18&quot;/&gt;&lt;wsp:rsid wsp:val=&quot;0067722F&quot;/&gt;&lt;wsp:rsid wsp:val=&quot;006775C3&quot;/&gt;&lt;wsp:rsid wsp:val=&quot;00680358&quot;/&gt;&lt;wsp:rsid wsp:val=&quot;00680D2C&quot;/&gt;&lt;wsp:rsid wsp:val=&quot;00683408&quot;/&gt;&lt;wsp:rsid wsp:val=&quot;0068421A&quot;/&gt;&lt;wsp:rsid wsp:val=&quot;00685D9B&quot;/&gt;&lt;wsp:rsid wsp:val=&quot;0069290A&quot;/&gt;&lt;wsp:rsid wsp:val=&quot;00692FA7&quot;/&gt;&lt;wsp:rsid wsp:val=&quot;0069744B&quot;/&gt;&lt;wsp:rsid wsp:val=&quot;0069775A&quot;/&gt;&lt;wsp:rsid wsp:val=&quot;00697813&quot;/&gt;&lt;wsp:rsid wsp:val=&quot;006A26EE&quot;/&gt;&lt;wsp:rsid wsp:val=&quot;006A2DB4&quot;/&gt;&lt;wsp:rsid wsp:val=&quot;006A3EE8&quot;/&gt;&lt;wsp:rsid wsp:val=&quot;006A72B0&quot;/&gt;&lt;wsp:rsid wsp:val=&quot;006A72BF&quot;/&gt;&lt;wsp:rsid wsp:val=&quot;006B03F2&quot;/&gt;&lt;wsp:rsid wsp:val=&quot;006B31C3&quot;/&gt;&lt;wsp:rsid wsp:val=&quot;006B37DC&quot;/&gt;&lt;wsp:rsid wsp:val=&quot;006B3AC1&quot;/&gt;&lt;wsp:rsid wsp:val=&quot;006B4F68&quot;/&gt;&lt;wsp:rsid wsp:val=&quot;006B4F71&quot;/&gt;&lt;wsp:rsid wsp:val=&quot;006B747D&quot;/&gt;&lt;wsp:rsid wsp:val=&quot;006C00AE&quot;/&gt;&lt;wsp:rsid wsp:val=&quot;006C0592&quot;/&gt;&lt;wsp:rsid wsp:val=&quot;006C14C6&quot;/&gt;&lt;wsp:rsid wsp:val=&quot;006C272E&quot;/&gt;&lt;wsp:rsid wsp:val=&quot;006C5479&quot;/&gt;&lt;wsp:rsid wsp:val=&quot;006D07F9&quot;/&gt;&lt;wsp:rsid wsp:val=&quot;006D13B5&quot;/&gt;&lt;wsp:rsid wsp:val=&quot;006E0919&quot;/&gt;&lt;wsp:rsid wsp:val=&quot;006E1248&quot;/&gt;&lt;wsp:rsid wsp:val=&quot;006E12FF&quot;/&gt;&lt;wsp:rsid wsp:val=&quot;006E4A62&quot;/&gt;&lt;wsp:rsid wsp:val=&quot;006E607E&quot;/&gt;&lt;wsp:rsid wsp:val=&quot;006E6810&quot;/&gt;&lt;wsp:rsid wsp:val=&quot;006F5236&quot;/&gt;&lt;wsp:rsid wsp:val=&quot;00700148&quot;/&gt;&lt;wsp:rsid wsp:val=&quot;007024A0&quot;/&gt;&lt;wsp:rsid wsp:val=&quot;00704336&quot;/&gt;&lt;wsp:rsid wsp:val=&quot;00706C5D&quot;/&gt;&lt;wsp:rsid wsp:val=&quot;00713930&quot;/&gt;&lt;wsp:rsid wsp:val=&quot;00721B5C&quot;/&gt;&lt;wsp:rsid wsp:val=&quot;00732922&quot;/&gt;&lt;wsp:rsid wsp:val=&quot;00733155&quot;/&gt;&lt;wsp:rsid wsp:val=&quot;007353D3&quot;/&gt;&lt;wsp:rsid wsp:val=&quot;007408CB&quot;/&gt;&lt;wsp:rsid wsp:val=&quot;00741E3C&quot;/&gt;&lt;wsp:rsid wsp:val=&quot;00743E43&quot;/&gt;&lt;wsp:rsid wsp:val=&quot;00744674&quot;/&gt;&lt;wsp:rsid wsp:val=&quot;00747FB3&quot;/&gt;&lt;wsp:rsid wsp:val=&quot;0075162E&quot;/&gt;&lt;wsp:rsid wsp:val=&quot;00753484&quot;/&gt;&lt;wsp:rsid wsp:val=&quot;00754034&quot;/&gt;&lt;wsp:rsid wsp:val=&quot;007544C4&quot;/&gt;&lt;wsp:rsid wsp:val=&quot;00756556&quot;/&gt;&lt;wsp:rsid wsp:val=&quot;00757108&quot;/&gt;&lt;wsp:rsid wsp:val=&quot;00757B9E&quot;/&gt;&lt;wsp:rsid wsp:val=&quot;00757E2F&quot;/&gt;&lt;wsp:rsid wsp:val=&quot;007618C4&quot;/&gt;&lt;wsp:rsid wsp:val=&quot;00763C81&quot;/&gt;&lt;wsp:rsid wsp:val=&quot;00765535&quot;/&gt;&lt;wsp:rsid wsp:val=&quot;00766F94&quot;/&gt;&lt;wsp:rsid wsp:val=&quot;00767980&quot;/&gt;&lt;wsp:rsid wsp:val=&quot;00770B19&quot;/&gt;&lt;wsp:rsid wsp:val=&quot;0077463F&quot;/&gt;&lt;wsp:rsid wsp:val=&quot;00775479&quot;/&gt;&lt;wsp:rsid wsp:val=&quot;0077569B&quot;/&gt;&lt;wsp:rsid wsp:val=&quot;00777753&quot;/&gt;&lt;wsp:rsid wsp:val=&quot;00777B9D&quot;/&gt;&lt;wsp:rsid wsp:val=&quot;00777D75&quot;/&gt;&lt;wsp:rsid wsp:val=&quot;007825EA&quot;/&gt;&lt;wsp:rsid wsp:val=&quot;0078306E&quot;/&gt;&lt;wsp:rsid wsp:val=&quot;007836EA&quot;/&gt;&lt;wsp:rsid wsp:val=&quot;00783CAC&quot;/&gt;&lt;wsp:rsid wsp:val=&quot;00784CDA&quot;/&gt;&lt;wsp:rsid wsp:val=&quot;007868DF&quot;/&gt;&lt;wsp:rsid wsp:val=&quot;007906C4&quot;/&gt;&lt;wsp:rsid wsp:val=&quot;007940EA&quot;/&gt;&lt;wsp:rsid wsp:val=&quot;0079539A&quot;/&gt;&lt;wsp:rsid wsp:val=&quot;007958E0&quot;/&gt;&lt;wsp:rsid wsp:val=&quot;007967E8&quot;/&gt;&lt;wsp:rsid wsp:val=&quot;007A09ED&quot;/&gt;&lt;wsp:rsid wsp:val=&quot;007A2170&quot;/&gt;&lt;wsp:rsid wsp:val=&quot;007A22BF&quot;/&gt;&lt;wsp:rsid wsp:val=&quot;007A3323&quot;/&gt;&lt;wsp:rsid wsp:val=&quot;007A4023&quot;/&gt;&lt;wsp:rsid wsp:val=&quot;007A660E&quot;/&gt;&lt;wsp:rsid wsp:val=&quot;007B4027&quot;/&gt;&lt;wsp:rsid wsp:val=&quot;007B72B8&quot;/&gt;&lt;wsp:rsid wsp:val=&quot;007B7A58&quot;/&gt;&lt;wsp:rsid wsp:val=&quot;007C1B2E&quot;/&gt;&lt;wsp:rsid wsp:val=&quot;007C21B5&quot;/&gt;&lt;wsp:rsid wsp:val=&quot;007C296B&quot;/&gt;&lt;wsp:rsid wsp:val=&quot;007C6EB9&quot;/&gt;&lt;wsp:rsid wsp:val=&quot;007D4CAA&quot;/&gt;&lt;wsp:rsid wsp:val=&quot;007D6CAE&quot;/&gt;&lt;wsp:rsid wsp:val=&quot;007D6E62&quot;/&gt;&lt;wsp:rsid wsp:val=&quot;007E4BD2&quot;/&gt;&lt;wsp:rsid wsp:val=&quot;007E6B27&quot;/&gt;&lt;wsp:rsid wsp:val=&quot;007F023D&quot;/&gt;&lt;wsp:rsid wsp:val=&quot;007F2767&quot;/&gt;&lt;wsp:rsid wsp:val=&quot;007F6C6F&quot;/&gt;&lt;wsp:rsid wsp:val=&quot;00801393&quot;/&gt;&lt;wsp:rsid wsp:val=&quot;00802F88&quot;/&gt;&lt;wsp:rsid wsp:val=&quot;00803FE3&quot;/&gt;&lt;wsp:rsid wsp:val=&quot;008102F1&quot;/&gt;&lt;wsp:rsid wsp:val=&quot;00811C7B&quot;/&gt;&lt;wsp:rsid wsp:val=&quot;0081293E&quot;/&gt;&lt;wsp:rsid wsp:val=&quot;00814795&quot;/&gt;&lt;wsp:rsid wsp:val=&quot;00815465&quot;/&gt;&lt;wsp:rsid wsp:val=&quot;00815CDE&quot;/&gt;&lt;wsp:rsid wsp:val=&quot;00817E9A&quot;/&gt;&lt;wsp:rsid wsp:val=&quot;008230B2&quot;/&gt;&lt;wsp:rsid wsp:val=&quot;00824069&quot;/&gt;&lt;wsp:rsid wsp:val=&quot;008306BD&quot;/&gt;&lt;wsp:rsid wsp:val=&quot;00831A80&quot;/&gt;&lt;wsp:rsid wsp:val=&quot;00832DDB&quot;/&gt;&lt;wsp:rsid wsp:val=&quot;00833743&quot;/&gt;&lt;wsp:rsid wsp:val=&quot;008340A4&quot;/&gt;&lt;wsp:rsid wsp:val=&quot;00835316&quot;/&gt;&lt;wsp:rsid wsp:val=&quot;008421FB&quot;/&gt;&lt;wsp:rsid wsp:val=&quot;0084319E&quot;/&gt;&lt;wsp:rsid wsp:val=&quot;00846033&quot;/&gt;&lt;wsp:rsid wsp:val=&quot;008501BD&quot;/&gt;&lt;wsp:rsid wsp:val=&quot;0085040B&quot;/&gt;&lt;wsp:rsid wsp:val=&quot;00852F35&quot;/&gt;&lt;wsp:rsid wsp:val=&quot;00856784&quot;/&gt;&lt;wsp:rsid wsp:val=&quot;00863B59&quot;/&gt;&lt;wsp:rsid wsp:val=&quot;00866C70&quot;/&gt;&lt;wsp:rsid wsp:val=&quot;00867FFD&quot;/&gt;&lt;wsp:rsid wsp:val=&quot;0087135F&quot;/&gt;&lt;wsp:rsid wsp:val=&quot;0087167F&quot;/&gt;&lt;wsp:rsid wsp:val=&quot;0087279F&quot;/&gt;&lt;wsp:rsid wsp:val=&quot;00872D94&quot;/&gt;&lt;wsp:rsid wsp:val=&quot;008761E7&quot;/&gt;&lt;wsp:rsid wsp:val=&quot;00880364&quot;/&gt;&lt;wsp:rsid wsp:val=&quot;00880B80&quot;/&gt;&lt;wsp:rsid wsp:val=&quot;0088464D&quot;/&gt;&lt;wsp:rsid wsp:val=&quot;00887E9B&quot;/&gt;&lt;wsp:rsid wsp:val=&quot;00891592&quot;/&gt;&lt;wsp:rsid wsp:val=&quot;0089189B&quot;/&gt;&lt;wsp:rsid wsp:val=&quot;00891E9E&quot;/&gt;&lt;wsp:rsid wsp:val=&quot;00893649&quot;/&gt;&lt;wsp:rsid wsp:val=&quot;008953F8&quot;/&gt;&lt;wsp:rsid wsp:val=&quot;008A2F68&quot;/&gt;&lt;wsp:rsid wsp:val=&quot;008B146B&quot;/&gt;&lt;wsp:rsid wsp:val=&quot;008B4FA6&quot;/&gt;&lt;wsp:rsid wsp:val=&quot;008B5282&quot;/&gt;&lt;wsp:rsid wsp:val=&quot;008B7C17&quot;/&gt;&lt;wsp:rsid wsp:val=&quot;008C2021&quot;/&gt;&lt;wsp:rsid wsp:val=&quot;008C2D01&quot;/&gt;&lt;wsp:rsid wsp:val=&quot;008C40E6&quot;/&gt;&lt;wsp:rsid wsp:val=&quot;008C551E&quot;/&gt;&lt;wsp:rsid wsp:val=&quot;008C5A84&quot;/&gt;&lt;wsp:rsid wsp:val=&quot;008C6F31&quot;/&gt;&lt;wsp:rsid wsp:val=&quot;008D0F7A&quot;/&gt;&lt;wsp:rsid wsp:val=&quot;008D1F7D&quot;/&gt;&lt;wsp:rsid wsp:val=&quot;008D68E4&quot;/&gt;&lt;wsp:rsid wsp:val=&quot;008E0506&quot;/&gt;&lt;wsp:rsid wsp:val=&quot;008E0C60&quot;/&gt;&lt;wsp:rsid wsp:val=&quot;008E0CFF&quot;/&gt;&lt;wsp:rsid wsp:val=&quot;008E2D99&quot;/&gt;&lt;wsp:rsid wsp:val=&quot;008E4BC5&quot;/&gt;&lt;wsp:rsid wsp:val=&quot;008E5D6B&quot;/&gt;&lt;wsp:rsid wsp:val=&quot;008E76F0&quot;/&gt;&lt;wsp:rsid wsp:val=&quot;008F15FE&quot;/&gt;&lt;wsp:rsid wsp:val=&quot;008F25AA&quot;/&gt;&lt;wsp:rsid wsp:val=&quot;008F2D29&quot;/&gt;&lt;wsp:rsid wsp:val=&quot;008F30F3&quot;/&gt;&lt;wsp:rsid wsp:val=&quot;008F5187&quot;/&gt;&lt;wsp:rsid wsp:val=&quot;008F60D8&quot;/&gt;&lt;wsp:rsid wsp:val=&quot;008F73B9&quot;/&gt;&lt;wsp:rsid wsp:val=&quot;009021E7&quot;/&gt;&lt;wsp:rsid wsp:val=&quot;00902727&quot;/&gt;&lt;wsp:rsid wsp:val=&quot;0090312B&quot;/&gt;&lt;wsp:rsid wsp:val=&quot;00910162&quot;/&gt;&lt;wsp:rsid wsp:val=&quot;00913F01&quot;/&gt;&lt;wsp:rsid wsp:val=&quot;009148A4&quot;/&gt;&lt;wsp:rsid wsp:val=&quot;0091736D&quot;/&gt;&lt;wsp:rsid wsp:val=&quot;00924D69&quot;/&gt;&lt;wsp:rsid wsp:val=&quot;00925278&quot;/&gt;&lt;wsp:rsid wsp:val=&quot;00927B61&quot;/&gt;&lt;wsp:rsid wsp:val=&quot;0093037A&quot;/&gt;&lt;wsp:rsid wsp:val=&quot;00935118&quot;/&gt;&lt;wsp:rsid wsp:val=&quot;00936276&quot;/&gt;&lt;wsp:rsid wsp:val=&quot;0094154D&quot;/&gt;&lt;wsp:rsid wsp:val=&quot;00942D5A&quot;/&gt;&lt;wsp:rsid wsp:val=&quot;00950240&quot;/&gt;&lt;wsp:rsid wsp:val=&quot;009511CE&quot;/&gt;&lt;wsp:rsid wsp:val=&quot;0095155F&quot;/&gt;&lt;wsp:rsid wsp:val=&quot;00954429&quot;/&gt;&lt;wsp:rsid wsp:val=&quot;009563CE&quot;/&gt;&lt;wsp:rsid wsp:val=&quot;00957E9E&quot;/&gt;&lt;wsp:rsid wsp:val=&quot;009657D5&quot;/&gt;&lt;wsp:rsid wsp:val=&quot;0096657E&quot;/&gt;&lt;wsp:rsid wsp:val=&quot;00975D66&quot;/&gt;&lt;wsp:rsid wsp:val=&quot;00976328&quot;/&gt;&lt;wsp:rsid wsp:val=&quot;00976381&quot;/&gt;&lt;wsp:rsid wsp:val=&quot;0097680D&quot;/&gt;&lt;wsp:rsid wsp:val=&quot;00977B14&quot;/&gt;&lt;wsp:rsid wsp:val=&quot;00980E9E&quot;/&gt;&lt;wsp:rsid wsp:val=&quot;00982438&quot;/&gt;&lt;wsp:rsid wsp:val=&quot;0098245F&quot;/&gt;&lt;wsp:rsid wsp:val=&quot;0098388D&quot;/&gt;&lt;wsp:rsid wsp:val=&quot;0098404C&quot;/&gt;&lt;wsp:rsid wsp:val=&quot;00985283&quot;/&gt;&lt;wsp:rsid wsp:val=&quot;00986659&quot;/&gt;&lt;wsp:rsid wsp:val=&quot;00987413&quot;/&gt;&lt;wsp:rsid wsp:val=&quot;009910E5&quot;/&gt;&lt;wsp:rsid wsp:val=&quot;0099261C&quot;/&gt;&lt;wsp:rsid wsp:val=&quot;00995992&quot;/&gt;&lt;wsp:rsid wsp:val=&quot;009975AA&quot;/&gt;&lt;wsp:rsid wsp:val=&quot;009A03E5&quot;/&gt;&lt;wsp:rsid wsp:val=&quot;009A0F3B&quot;/&gt;&lt;wsp:rsid wsp:val=&quot;009A13B3&quot;/&gt;&lt;wsp:rsid wsp:val=&quot;009A168D&quot;/&gt;&lt;wsp:rsid wsp:val=&quot;009A1BB4&quot;/&gt;&lt;wsp:rsid wsp:val=&quot;009A1E4B&quot;/&gt;&lt;wsp:rsid wsp:val=&quot;009A2628&quot;/&gt;&lt;wsp:rsid wsp:val=&quot;009A2BED&quot;/&gt;&lt;wsp:rsid wsp:val=&quot;009A3200&quot;/&gt;&lt;wsp:rsid wsp:val=&quot;009B0897&quot;/&gt;&lt;wsp:rsid wsp:val=&quot;009B7BD9&quot;/&gt;&lt;wsp:rsid wsp:val=&quot;009C7DD5&quot;/&gt;&lt;wsp:rsid wsp:val=&quot;009D04B7&quot;/&gt;&lt;wsp:rsid wsp:val=&quot;009D4B99&quot;/&gt;&lt;wsp:rsid wsp:val=&quot;009D540F&quot;/&gt;&lt;wsp:rsid wsp:val=&quot;009E227D&quot;/&gt;&lt;wsp:rsid wsp:val=&quot;009E5019&quot;/&gt;&lt;wsp:rsid wsp:val=&quot;009F0C0B&quot;/&gt;&lt;wsp:rsid wsp:val=&quot;009F16F1&quot;/&gt;&lt;wsp:rsid wsp:val=&quot;009F40BA&quot;/&gt;&lt;wsp:rsid wsp:val=&quot;009F55E7&quot;/&gt;&lt;wsp:rsid wsp:val=&quot;009F6963&quot;/&gt;&lt;wsp:rsid wsp:val=&quot;00A00E1A&quot;/&gt;&lt;wsp:rsid wsp:val=&quot;00A013E6&quot;/&gt;&lt;wsp:rsid wsp:val=&quot;00A041F6&quot;/&gt;&lt;wsp:rsid wsp:val=&quot;00A04F1B&quot;/&gt;&lt;wsp:rsid wsp:val=&quot;00A0501B&quot;/&gt;&lt;wsp:rsid wsp:val=&quot;00A05A1D&quot;/&gt;&lt;wsp:rsid wsp:val=&quot;00A073D5&quot;/&gt;&lt;wsp:rsid wsp:val=&quot;00A14947&quot;/&gt;&lt;wsp:rsid wsp:val=&quot;00A1658C&quot;/&gt;&lt;wsp:rsid wsp:val=&quot;00A17C10&quot;/&gt;&lt;wsp:rsid wsp:val=&quot;00A24389&quot;/&gt;&lt;wsp:rsid wsp:val=&quot;00A32418&quot;/&gt;&lt;wsp:rsid wsp:val=&quot;00A3295D&quot;/&gt;&lt;wsp:rsid wsp:val=&quot;00A32A83&quot;/&gt;&lt;wsp:rsid wsp:val=&quot;00A364B9&quot;/&gt;&lt;wsp:rsid wsp:val=&quot;00A368DB&quot;/&gt;&lt;wsp:rsid wsp:val=&quot;00A40483&quot;/&gt;&lt;wsp:rsid wsp:val=&quot;00A423AA&quot;/&gt;&lt;wsp:rsid wsp:val=&quot;00A5373B&quot;/&gt;&lt;wsp:rsid wsp:val=&quot;00A53EC6&quot;/&gt;&lt;wsp:rsid wsp:val=&quot;00A54547&quot;/&gt;&lt;wsp:rsid wsp:val=&quot;00A55B18&quot;/&gt;&lt;wsp:rsid wsp:val=&quot;00A55C0F&quot;/&gt;&lt;wsp:rsid wsp:val=&quot;00A57FCD&quot;/&gt;&lt;wsp:rsid wsp:val=&quot;00A60657&quot;/&gt;&lt;wsp:rsid wsp:val=&quot;00A65FA9&quot;/&gt;&lt;wsp:rsid wsp:val=&quot;00A735A0&quot;/&gt;&lt;wsp:rsid wsp:val=&quot;00A738A9&quot;/&gt;&lt;wsp:rsid wsp:val=&quot;00A73910&quot;/&gt;&lt;wsp:rsid wsp:val=&quot;00A815A2&quot;/&gt;&lt;wsp:rsid wsp:val=&quot;00A82D89&quot;/&gt;&lt;wsp:rsid wsp:val=&quot;00A8713F&quot;/&gt;&lt;wsp:rsid wsp:val=&quot;00A8786B&quot;/&gt;&lt;wsp:rsid wsp:val=&quot;00A90BA1&quot;/&gt;&lt;wsp:rsid wsp:val=&quot;00A91086&quot;/&gt;&lt;wsp:rsid wsp:val=&quot;00A91530&quot;/&gt;&lt;wsp:rsid wsp:val=&quot;00A92DDC&quot;/&gt;&lt;wsp:rsid wsp:val=&quot;00A93D9E&quot;/&gt;&lt;wsp:rsid wsp:val=&quot;00A97315&quot;/&gt;&lt;wsp:rsid wsp:val=&quot;00A97A9A&quot;/&gt;&lt;wsp:rsid wsp:val=&quot;00AA0671&quot;/&gt;&lt;wsp:rsid wsp:val=&quot;00AA1B9A&quot;/&gt;&lt;wsp:rsid wsp:val=&quot;00AA1FFF&quot;/&gt;&lt;wsp:rsid wsp:val=&quot;00AA2531&quot;/&gt;&lt;wsp:rsid wsp:val=&quot;00AA3CEC&quot;/&gt;&lt;wsp:rsid wsp:val=&quot;00AA4733&quot;/&gt;&lt;wsp:rsid wsp:val=&quot;00AA5519&quot;/&gt;&lt;wsp:rsid wsp:val=&quot;00AB1E09&quot;/&gt;&lt;wsp:rsid wsp:val=&quot;00AB35C0&quot;/&gt;&lt;wsp:rsid wsp:val=&quot;00AB3DAD&quot;/&gt;&lt;wsp:rsid wsp:val=&quot;00AB5330&quot;/&gt;&lt;wsp:rsid wsp:val=&quot;00AB6EE2&quot;/&gt;&lt;wsp:rsid wsp:val=&quot;00AB7747&quot;/&gt;&lt;wsp:rsid wsp:val=&quot;00AC14CE&quot;/&gt;&lt;wsp:rsid wsp:val=&quot;00AC1889&quot;/&gt;&lt;wsp:rsid wsp:val=&quot;00AC2A56&quot;/&gt;&lt;wsp:rsid wsp:val=&quot;00AC2DEF&quot;/&gt;&lt;wsp:rsid wsp:val=&quot;00AC5C90&quot;/&gt;&lt;wsp:rsid wsp:val=&quot;00AC72B9&quot;/&gt;&lt;wsp:rsid wsp:val=&quot;00AD055E&quot;/&gt;&lt;wsp:rsid wsp:val=&quot;00AD22BE&quot;/&gt;&lt;wsp:rsid wsp:val=&quot;00AD47A7&quot;/&gt;&lt;wsp:rsid wsp:val=&quot;00AD4F86&quot;/&gt;&lt;wsp:rsid wsp:val=&quot;00AD7338&quot;/&gt;&lt;wsp:rsid wsp:val=&quot;00AE2918&quot;/&gt;&lt;wsp:rsid wsp:val=&quot;00AE4805&quot;/&gt;&lt;wsp:rsid wsp:val=&quot;00AF0CBF&quot;/&gt;&lt;wsp:rsid wsp:val=&quot;00AF1F5E&quot;/&gt;&lt;wsp:rsid wsp:val=&quot;00AF257F&quot;/&gt;&lt;wsp:rsid wsp:val=&quot;00AF33CF&quot;/&gt;&lt;wsp:rsid wsp:val=&quot;00AF4D50&quot;/&gt;&lt;wsp:rsid wsp:val=&quot;00AF6179&quot;/&gt;&lt;wsp:rsid wsp:val=&quot;00B00061&quot;/&gt;&lt;wsp:rsid wsp:val=&quot;00B0419F&quot;/&gt;&lt;wsp:rsid wsp:val=&quot;00B066FD&quot;/&gt;&lt;wsp:rsid wsp:val=&quot;00B07FD9&quot;/&gt;&lt;wsp:rsid wsp:val=&quot;00B1295A&quot;/&gt;&lt;wsp:rsid wsp:val=&quot;00B1314A&quot;/&gt;&lt;wsp:rsid wsp:val=&quot;00B1650A&quot;/&gt;&lt;wsp:rsid wsp:val=&quot;00B20A45&quot;/&gt;&lt;wsp:rsid wsp:val=&quot;00B22C5C&quot;/&gt;&lt;wsp:rsid wsp:val=&quot;00B24F30&quot;/&gt;&lt;wsp:rsid wsp:val=&quot;00B256FD&quot;/&gt;&lt;wsp:rsid wsp:val=&quot;00B31647&quot;/&gt;&lt;wsp:rsid wsp:val=&quot;00B31ABF&quot;/&gt;&lt;wsp:rsid wsp:val=&quot;00B333DE&quot;/&gt;&lt;wsp:rsid wsp:val=&quot;00B33BE3&quot;/&gt;&lt;wsp:rsid wsp:val=&quot;00B3548A&quot;/&gt;&lt;wsp:rsid wsp:val=&quot;00B3632D&quot;/&gt;&lt;wsp:rsid wsp:val=&quot;00B36DD2&quot;/&gt;&lt;wsp:rsid wsp:val=&quot;00B406C6&quot;/&gt;&lt;wsp:rsid wsp:val=&quot;00B43A9B&quot;/&gt;&lt;wsp:rsid wsp:val=&quot;00B457CC&quot;/&gt;&lt;wsp:rsid wsp:val=&quot;00B53B5D&quot;/&gt;&lt;wsp:rsid wsp:val=&quot;00B5443F&quot;/&gt;&lt;wsp:rsid wsp:val=&quot;00B5621D&quot;/&gt;&lt;wsp:rsid wsp:val=&quot;00B6055E&quot;/&gt;&lt;wsp:rsid wsp:val=&quot;00B6317D&quot;/&gt;&lt;wsp:rsid wsp:val=&quot;00B64019&quot;/&gt;&lt;wsp:rsid wsp:val=&quot;00B65C81&quot;/&gt;&lt;wsp:rsid wsp:val=&quot;00B6623C&quot;/&gt;&lt;wsp:rsid wsp:val=&quot;00B715E4&quot;/&gt;&lt;wsp:rsid wsp:val=&quot;00B731ED&quot;/&gt;&lt;wsp:rsid wsp:val=&quot;00B74C55&quot;/&gt;&lt;wsp:rsid wsp:val=&quot;00B75F72&quot;/&gt;&lt;wsp:rsid wsp:val=&quot;00B7723F&quot;/&gt;&lt;wsp:rsid wsp:val=&quot;00B777AE&quot;/&gt;&lt;wsp:rsid wsp:val=&quot;00B80534&quot;/&gt;&lt;wsp:rsid wsp:val=&quot;00B8433C&quot;/&gt;&lt;wsp:rsid wsp:val=&quot;00B853C4&quot;/&gt;&lt;wsp:rsid wsp:val=&quot;00B86A09&quot;/&gt;&lt;wsp:rsid wsp:val=&quot;00B86D47&quot;/&gt;&lt;wsp:rsid wsp:val=&quot;00B87491&quot;/&gt;&lt;wsp:rsid wsp:val=&quot;00B96D8D&quot;/&gt;&lt;wsp:rsid wsp:val=&quot;00BA039D&quot;/&gt;&lt;wsp:rsid wsp:val=&quot;00BA1659&quot;/&gt;&lt;wsp:rsid wsp:val=&quot;00BA29E9&quot;/&gt;&lt;wsp:rsid wsp:val=&quot;00BA3803&quot;/&gt;&lt;wsp:rsid wsp:val=&quot;00BA625B&quot;/&gt;&lt;wsp:rsid wsp:val=&quot;00BA7142&quot;/&gt;&lt;wsp:rsid wsp:val=&quot;00BB13AD&quot;/&gt;&lt;wsp:rsid wsp:val=&quot;00BB237C&quot;/&gt;&lt;wsp:rsid wsp:val=&quot;00BB257A&quot;/&gt;&lt;wsp:rsid wsp:val=&quot;00BB27D6&quot;/&gt;&lt;wsp:rsid wsp:val=&quot;00BB3585&quot;/&gt;&lt;wsp:rsid wsp:val=&quot;00BB41A3&quot;/&gt;&lt;wsp:rsid wsp:val=&quot;00BB612F&quot;/&gt;&lt;wsp:rsid wsp:val=&quot;00BB695F&quot;/&gt;&lt;wsp:rsid wsp:val=&quot;00BB6BB5&quot;/&gt;&lt;wsp:rsid wsp:val=&quot;00BC24AF&quot;/&gt;&lt;wsp:rsid wsp:val=&quot;00BC32DC&quot;/&gt;&lt;wsp:rsid wsp:val=&quot;00BC35B6&quot;/&gt;&lt;wsp:rsid wsp:val=&quot;00BD126B&quot;/&gt;&lt;wsp:rsid wsp:val=&quot;00BD1B51&quot;/&gt;&lt;wsp:rsid wsp:val=&quot;00BD4596&quot;/&gt;&lt;wsp:rsid wsp:val=&quot;00BE1405&quot;/&gt;&lt;wsp:rsid wsp:val=&quot;00BE1545&quot;/&gt;&lt;wsp:rsid wsp:val=&quot;00BE312D&quot;/&gt;&lt;wsp:rsid wsp:val=&quot;00BE573D&quot;/&gt;&lt;wsp:rsid wsp:val=&quot;00BE7183&quot;/&gt;&lt;wsp:rsid wsp:val=&quot;00BF0E19&quot;/&gt;&lt;wsp:rsid wsp:val=&quot;00BF1C20&quot;/&gt;&lt;wsp:rsid wsp:val=&quot;00BF3E3B&quot;/&gt;&lt;wsp:rsid wsp:val=&quot;00C03875&quot;/&gt;&lt;wsp:rsid wsp:val=&quot;00C062F0&quot;/&gt;&lt;wsp:rsid wsp:val=&quot;00C10578&quot;/&gt;&lt;wsp:rsid wsp:val=&quot;00C11035&quot;/&gt;&lt;wsp:rsid wsp:val=&quot;00C12DE3&quot;/&gt;&lt;wsp:rsid wsp:val=&quot;00C135BC&quot;/&gt;&lt;wsp:rsid wsp:val=&quot;00C14B91&quot;/&gt;&lt;wsp:rsid wsp:val=&quot;00C1515C&quot;/&gt;&lt;wsp:rsid wsp:val=&quot;00C15C95&quot;/&gt;&lt;wsp:rsid wsp:val=&quot;00C22910&quot;/&gt;&lt;wsp:rsid wsp:val=&quot;00C2596A&quot;/&gt;&lt;wsp:rsid wsp:val=&quot;00C25F3F&quot;/&gt;&lt;wsp:rsid wsp:val=&quot;00C27537&quot;/&gt;&lt;wsp:rsid wsp:val=&quot;00C30909&quot;/&gt;&lt;wsp:rsid wsp:val=&quot;00C328FE&quot;/&gt;&lt;wsp:rsid wsp:val=&quot;00C33507&quot;/&gt;&lt;wsp:rsid wsp:val=&quot;00C4409D&quot;/&gt;&lt;wsp:rsid wsp:val=&quot;00C444DF&quot;/&gt;&lt;wsp:rsid wsp:val=&quot;00C44A20&quot;/&gt;&lt;wsp:rsid wsp:val=&quot;00C44E72&quot;/&gt;&lt;wsp:rsid wsp:val=&quot;00C45A06&quot;/&gt;&lt;wsp:rsid wsp:val=&quot;00C47E5B&quot;/&gt;&lt;wsp:rsid wsp:val=&quot;00C50241&quot;/&gt;&lt;wsp:rsid wsp:val=&quot;00C50CA9&quot;/&gt;&lt;wsp:rsid wsp:val=&quot;00C5134B&quot;/&gt;&lt;wsp:rsid wsp:val=&quot;00C51FE0&quot;/&gt;&lt;wsp:rsid wsp:val=&quot;00C5593B&quot;/&gt;&lt;wsp:rsid wsp:val=&quot;00C61E4B&quot;/&gt;&lt;wsp:rsid wsp:val=&quot;00C64BFF&quot;/&gt;&lt;wsp:rsid wsp:val=&quot;00C65933&quot;/&gt;&lt;wsp:rsid wsp:val=&quot;00C704E9&quot;/&gt;&lt;wsp:rsid wsp:val=&quot;00C70CA4&quot;/&gt;&lt;wsp:rsid wsp:val=&quot;00C763C9&quot;/&gt;&lt;wsp:rsid wsp:val=&quot;00C80057&quot;/&gt;&lt;wsp:rsid wsp:val=&quot;00C80D58&quot;/&gt;&lt;wsp:rsid wsp:val=&quot;00C82232&quot;/&gt;&lt;wsp:rsid wsp:val=&quot;00C82913&quot;/&gt;&lt;wsp:rsid wsp:val=&quot;00C84172&quot;/&gt;&lt;wsp:rsid wsp:val=&quot;00C86196&quot;/&gt;&lt;wsp:rsid wsp:val=&quot;00C86BE2&quot;/&gt;&lt;wsp:rsid wsp:val=&quot;00C86ECE&quot;/&gt;&lt;wsp:rsid wsp:val=&quot;00C9012E&quot;/&gt;&lt;wsp:rsid wsp:val=&quot;00C9169D&quot;/&gt;&lt;wsp:rsid wsp:val=&quot;00C91D93&quot;/&gt;&lt;wsp:rsid wsp:val=&quot;00C9611B&quot;/&gt;&lt;wsp:rsid wsp:val=&quot;00C967CF&quot;/&gt;&lt;wsp:rsid wsp:val=&quot;00C972B1&quot;/&gt;&lt;wsp:rsid wsp:val=&quot;00CA0A03&quot;/&gt;&lt;wsp:rsid wsp:val=&quot;00CA115C&quot;/&gt;&lt;wsp:rsid wsp:val=&quot;00CA2CCE&quot;/&gt;&lt;wsp:rsid wsp:val=&quot;00CA43FD&quot;/&gt;&lt;wsp:rsid wsp:val=&quot;00CA5242&quot;/&gt;&lt;wsp:rsid wsp:val=&quot;00CA7B6F&quot;/&gt;&lt;wsp:rsid wsp:val=&quot;00CA7EEA&quot;/&gt;&lt;wsp:rsid wsp:val=&quot;00CA7EF8&quot;/&gt;&lt;wsp:rsid wsp:val=&quot;00CB1A5A&quot;/&gt;&lt;wsp:rsid wsp:val=&quot;00CB1EB4&quot;/&gt;&lt;wsp:rsid wsp:val=&quot;00CB4678&quot;/&gt;&lt;wsp:rsid wsp:val=&quot;00CB5A73&quot;/&gt;&lt;wsp:rsid wsp:val=&quot;00CB746B&quot;/&gt;&lt;wsp:rsid wsp:val=&quot;00CB77BE&quot;/&gt;&lt;wsp:rsid wsp:val=&quot;00CC489B&quot;/&gt;&lt;wsp:rsid wsp:val=&quot;00CD0212&quot;/&gt;&lt;wsp:rsid wsp:val=&quot;00CD28C9&quot;/&gt;&lt;wsp:rsid wsp:val=&quot;00CD2BCD&quot;/&gt;&lt;wsp:rsid wsp:val=&quot;00CD3A4C&quot;/&gt;&lt;wsp:rsid wsp:val=&quot;00CD7A40&quot;/&gt;&lt;wsp:rsid wsp:val=&quot;00CE10E9&quot;/&gt;&lt;wsp:rsid wsp:val=&quot;00CE2910&quot;/&gt;&lt;wsp:rsid wsp:val=&quot;00CE5393&quot;/&gt;&lt;wsp:rsid wsp:val=&quot;00CF20B6&quot;/&gt;&lt;wsp:rsid wsp:val=&quot;00CF36BE&quot;/&gt;&lt;wsp:rsid wsp:val=&quot;00CF6000&quot;/&gt;&lt;wsp:rsid wsp:val=&quot;00D003F3&quot;/&gt;&lt;wsp:rsid wsp:val=&quot;00D004AD&quot;/&gt;&lt;wsp:rsid wsp:val=&quot;00D03026&quot;/&gt;&lt;wsp:rsid wsp:val=&quot;00D0364F&quot;/&gt;&lt;wsp:rsid wsp:val=&quot;00D06834&quot;/&gt;&lt;wsp:rsid wsp:val=&quot;00D07005&quot;/&gt;&lt;wsp:rsid wsp:val=&quot;00D07B9F&quot;/&gt;&lt;wsp:rsid wsp:val=&quot;00D07F0D&quot;/&gt;&lt;wsp:rsid wsp:val=&quot;00D127C9&quot;/&gt;&lt;wsp:rsid wsp:val=&quot;00D22781&quot;/&gt;&lt;wsp:rsid wsp:val=&quot;00D2435B&quot;/&gt;&lt;wsp:rsid wsp:val=&quot;00D24E50&quot;/&gt;&lt;wsp:rsid wsp:val=&quot;00D308ED&quot;/&gt;&lt;wsp:rsid wsp:val=&quot;00D337D8&quot;/&gt;&lt;wsp:rsid wsp:val=&quot;00D36D86&quot;/&gt;&lt;wsp:rsid wsp:val=&quot;00D428AA&quot;/&gt;&lt;wsp:rsid wsp:val=&quot;00D50A34&quot;/&gt;&lt;wsp:rsid wsp:val=&quot;00D53EFA&quot;/&gt;&lt;wsp:rsid wsp:val=&quot;00D54F24&quot;/&gt;&lt;wsp:rsid wsp:val=&quot;00D6134A&quot;/&gt;&lt;wsp:rsid wsp:val=&quot;00D62385&quot;/&gt;&lt;wsp:rsid wsp:val=&quot;00D74C8E&quot;/&gt;&lt;wsp:rsid wsp:val=&quot;00D74EA1&quot;/&gt;&lt;wsp:rsid wsp:val=&quot;00D859F7&quot;/&gt;&lt;wsp:rsid wsp:val=&quot;00D9012D&quot;/&gt;&lt;wsp:rsid wsp:val=&quot;00D93289&quot;/&gt;&lt;wsp:rsid wsp:val=&quot;00D94A7C&quot;/&gt;&lt;wsp:rsid wsp:val=&quot;00D95896&quot;/&gt;&lt;wsp:rsid wsp:val=&quot;00DA1667&quot;/&gt;&lt;wsp:rsid wsp:val=&quot;00DA516B&quot;/&gt;&lt;wsp:rsid wsp:val=&quot;00DB0D62&quot;/&gt;&lt;wsp:rsid wsp:val=&quot;00DB2983&quot;/&gt;&lt;wsp:rsid wsp:val=&quot;00DB2D5D&quot;/&gt;&lt;wsp:rsid wsp:val=&quot;00DB3413&quot;/&gt;&lt;wsp:rsid wsp:val=&quot;00DB48CA&quot;/&gt;&lt;wsp:rsid wsp:val=&quot;00DB52CC&quot;/&gt;&lt;wsp:rsid wsp:val=&quot;00DB6628&quot;/&gt;&lt;wsp:rsid wsp:val=&quot;00DC1257&quot;/&gt;&lt;wsp:rsid wsp:val=&quot;00DC1734&quot;/&gt;&lt;wsp:rsid wsp:val=&quot;00DC250E&quot;/&gt;&lt;wsp:rsid wsp:val=&quot;00DC3DC0&quot;/&gt;&lt;wsp:rsid wsp:val=&quot;00DC5B2B&quot;/&gt;&lt;wsp:rsid wsp:val=&quot;00DC5E6F&quot;/&gt;&lt;wsp:rsid wsp:val=&quot;00DD318D&quot;/&gt;&lt;wsp:rsid wsp:val=&quot;00DE0CF6&quot;/&gt;&lt;wsp:rsid wsp:val=&quot;00DE1458&quot;/&gt;&lt;wsp:rsid wsp:val=&quot;00DE2FB0&quot;/&gt;&lt;wsp:rsid wsp:val=&quot;00DE3995&quot;/&gt;&lt;wsp:rsid wsp:val=&quot;00DF2E12&quot;/&gt;&lt;wsp:rsid wsp:val=&quot;00DF514A&quot;/&gt;&lt;wsp:rsid wsp:val=&quot;00DF6690&quot;/&gt;&lt;wsp:rsid wsp:val=&quot;00DF6804&quot;/&gt;&lt;wsp:rsid wsp:val=&quot;00DF7251&quot;/&gt;&lt;wsp:rsid wsp:val=&quot;00E0358D&quot;/&gt;&lt;wsp:rsid wsp:val=&quot;00E04323&quot;/&gt;&lt;wsp:rsid wsp:val=&quot;00E070A2&quot;/&gt;&lt;wsp:rsid wsp:val=&quot;00E106F3&quot;/&gt;&lt;wsp:rsid wsp:val=&quot;00E13486&quot;/&gt;&lt;wsp:rsid wsp:val=&quot;00E200F4&quot;/&gt;&lt;wsp:rsid wsp:val=&quot;00E2454E&quot;/&gt;&lt;wsp:rsid wsp:val=&quot;00E2656A&quot;/&gt;&lt;wsp:rsid wsp:val=&quot;00E265D8&quot;/&gt;&lt;wsp:rsid wsp:val=&quot;00E306EB&quot;/&gt;&lt;wsp:rsid wsp:val=&quot;00E30FAC&quot;/&gt;&lt;wsp:rsid wsp:val=&quot;00E31687&quot;/&gt;&lt;wsp:rsid wsp:val=&quot;00E33CD4&quot;/&gt;&lt;wsp:rsid wsp:val=&quot;00E34FD7&quot;/&gt;&lt;wsp:rsid wsp:val=&quot;00E40880&quot;/&gt;&lt;wsp:rsid wsp:val=&quot;00E412D0&quot;/&gt;&lt;wsp:rsid wsp:val=&quot;00E4135D&quot;/&gt;&lt;wsp:rsid wsp:val=&quot;00E41A76&quot;/&gt;&lt;wsp:rsid wsp:val=&quot;00E44657&quot;/&gt;&lt;wsp:rsid wsp:val=&quot;00E526A2&quot;/&gt;&lt;wsp:rsid wsp:val=&quot;00E52F76&quot;/&gt;&lt;wsp:rsid wsp:val=&quot;00E56322&quot;/&gt;&lt;wsp:rsid wsp:val=&quot;00E57012&quot;/&gt;&lt;wsp:rsid wsp:val=&quot;00E60982&quot;/&gt;&lt;wsp:rsid wsp:val=&quot;00E62C62&quot;/&gt;&lt;wsp:rsid wsp:val=&quot;00E654C1&quot;/&gt;&lt;wsp:rsid wsp:val=&quot;00E658DB&quot;/&gt;&lt;wsp:rsid wsp:val=&quot;00E65D97&quot;/&gt;&lt;wsp:rsid wsp:val=&quot;00E72A5A&quot;/&gt;&lt;wsp:rsid wsp:val=&quot;00E73354&quot;/&gt;&lt;wsp:rsid wsp:val=&quot;00E80642&quot;/&gt;&lt;wsp:rsid wsp:val=&quot;00E80A88&quot;/&gt;&lt;wsp:rsid wsp:val=&quot;00E90A6A&quot;/&gt;&lt;wsp:rsid wsp:val=&quot;00E9242D&quot;/&gt;&lt;wsp:rsid wsp:val=&quot;00E9288D&quot;/&gt;&lt;wsp:rsid wsp:val=&quot;00E939F8&quot;/&gt;&lt;wsp:rsid wsp:val=&quot;00E93F34&quot;/&gt;&lt;wsp:rsid wsp:val=&quot;00E957A0&quot;/&gt;&lt;wsp:rsid wsp:val=&quot;00EA058C&quot;/&gt;&lt;wsp:rsid wsp:val=&quot;00EA0D83&quot;/&gt;&lt;wsp:rsid wsp:val=&quot;00EA1A34&quot;/&gt;&lt;wsp:rsid wsp:val=&quot;00EA40E8&quot;/&gt;&lt;wsp:rsid wsp:val=&quot;00EA6457&quot;/&gt;&lt;wsp:rsid wsp:val=&quot;00EB45D6&quot;/&gt;&lt;wsp:rsid wsp:val=&quot;00EB5255&quot;/&gt;&lt;wsp:rsid wsp:val=&quot;00EB5C47&quot;/&gt;&lt;wsp:rsid wsp:val=&quot;00EC04CC&quot;/&gt;&lt;wsp:rsid wsp:val=&quot;00EC2B9A&quot;/&gt;&lt;wsp:rsid wsp:val=&quot;00ED0639&quot;/&gt;&lt;wsp:rsid wsp:val=&quot;00ED234F&quot;/&gt;&lt;wsp:rsid wsp:val=&quot;00ED3E0E&quot;/&gt;&lt;wsp:rsid wsp:val=&quot;00EF4755&quot;/&gt;&lt;wsp:rsid wsp:val=&quot;00EF5BA2&quot;/&gt;&lt;wsp:rsid wsp:val=&quot;00EF7135&quot;/&gt;&lt;wsp:rsid wsp:val=&quot;00F0218F&quot;/&gt;&lt;wsp:rsid wsp:val=&quot;00F027DB&quot;/&gt;&lt;wsp:rsid wsp:val=&quot;00F036C9&quot;/&gt;&lt;wsp:rsid wsp:val=&quot;00F05477&quot;/&gt;&lt;wsp:rsid wsp:val=&quot;00F124AA&quot;/&gt;&lt;wsp:rsid wsp:val=&quot;00F13F69&quot;/&gt;&lt;wsp:rsid wsp:val=&quot;00F14A7A&quot;/&gt;&lt;wsp:rsid wsp:val=&quot;00F175F7&quot;/&gt;&lt;wsp:rsid wsp:val=&quot;00F20962&quot;/&gt;&lt;wsp:rsid wsp:val=&quot;00F211EF&quot;/&gt;&lt;wsp:rsid wsp:val=&quot;00F22985&quot;/&gt;&lt;wsp:rsid wsp:val=&quot;00F22F9D&quot;/&gt;&lt;wsp:rsid wsp:val=&quot;00F25C11&quot;/&gt;&lt;wsp:rsid wsp:val=&quot;00F30AC1&quot;/&gt;&lt;wsp:rsid wsp:val=&quot;00F3383E&quot;/&gt;&lt;wsp:rsid wsp:val=&quot;00F354E7&quot;/&gt;&lt;wsp:rsid wsp:val=&quot;00F363B3&quot;/&gt;&lt;wsp:rsid wsp:val=&quot;00F465A7&quot;/&gt;&lt;wsp:rsid wsp:val=&quot;00F50A8E&quot;/&gt;&lt;wsp:rsid wsp:val=&quot;00F50B7C&quot;/&gt;&lt;wsp:rsid wsp:val=&quot;00F54B35&quot;/&gt;&lt;wsp:rsid wsp:val=&quot;00F550E6&quot;/&gt;&lt;wsp:rsid wsp:val=&quot;00F63C38&quot;/&gt;&lt;wsp:rsid wsp:val=&quot;00F64F0F&quot;/&gt;&lt;wsp:rsid wsp:val=&quot;00F705B3&quot;/&gt;&lt;wsp:rsid wsp:val=&quot;00F73D8A&quot;/&gt;&lt;wsp:rsid wsp:val=&quot;00F74345&quot;/&gt;&lt;wsp:rsid wsp:val=&quot;00F76805&quot;/&gt;&lt;wsp:rsid wsp:val=&quot;00F80A0A&quot;/&gt;&lt;wsp:rsid wsp:val=&quot;00F80BD5&quot;/&gt;&lt;wsp:rsid wsp:val=&quot;00F82835&quot;/&gt;&lt;wsp:rsid wsp:val=&quot;00F82B19&quot;/&gt;&lt;wsp:rsid wsp:val=&quot;00F83568&quot;/&gt;&lt;wsp:rsid wsp:val=&quot;00F906B5&quot;/&gt;&lt;wsp:rsid wsp:val=&quot;00F9212D&quot;/&gt;&lt;wsp:rsid wsp:val=&quot;00F95851&quot;/&gt;&lt;wsp:rsid wsp:val=&quot;00F965DA&quot;/&gt;&lt;wsp:rsid wsp:val=&quot;00FA20D0&quot;/&gt;&lt;wsp:rsid wsp:val=&quot;00FA406A&quot;/&gt;&lt;wsp:rsid wsp:val=&quot;00FB503A&quot;/&gt;&lt;wsp:rsid wsp:val=&quot;00FB516C&quot;/&gt;&lt;wsp:rsid wsp:val=&quot;00FB5550&quot;/&gt;&lt;wsp:rsid wsp:val=&quot;00FB659B&quot;/&gt;&lt;wsp:rsid wsp:val=&quot;00FB6DC2&quot;/&gt;&lt;wsp:rsid wsp:val=&quot;00FB6F37&quot;/&gt;&lt;wsp:rsid wsp:val=&quot;00FC02BF&quot;/&gt;&lt;wsp:rsid wsp:val=&quot;00FC206D&quot;/&gt;&lt;wsp:rsid wsp:val=&quot;00FC32CC&quot;/&gt;&lt;wsp:rsid wsp:val=&quot;00FC7849&quot;/&gt;&lt;wsp:rsid wsp:val=&quot;00FD0236&quot;/&gt;&lt;wsp:rsid wsp:val=&quot;00FD18F4&quot;/&gt;&lt;wsp:rsid wsp:val=&quot;00FD54DB&quot;/&gt;&lt;wsp:rsid wsp:val=&quot;00FD59BF&quot;/&gt;&lt;wsp:rsid wsp:val=&quot;00FD5F35&quot;/&gt;&lt;wsp:rsid wsp:val=&quot;00FD619F&quot;/&gt;&lt;wsp:rsid wsp:val=&quot;00FD643F&quot;/&gt;&lt;wsp:rsid wsp:val=&quot;00FE1942&quot;/&gt;&lt;wsp:rsid wsp:val=&quot;00FF0212&quot;/&gt;&lt;wsp:rsid wsp:val=&quot;00FF1DF6&quot;/&gt;&lt;wsp:rsid wsp:val=&quot;00FF4C64&quot;/&gt;&lt;wsp:rsid wsp:val=&quot;00FF795D&quot;/&gt;&lt;wsp:rsid wsp:val=&quot;01001546&quot;/&gt;&lt;wsp:rsid wsp:val=&quot;01001B5E&quot;/&gt;&lt;wsp:rsid wsp:val=&quot;01011432&quot;/&gt;&lt;wsp:rsid wsp:val=&quot;010158D6&quot;/&gt;&lt;wsp:rsid wsp:val=&quot;01026E45&quot;/&gt;&lt;wsp:rsid wsp:val=&quot;01031592&quot;/&gt;&lt;wsp:rsid wsp:val=&quot;010333FC&quot;/&gt;&lt;wsp:rsid wsp:val=&quot;010351AA&quot;/&gt;&lt;wsp:rsid wsp:val=&quot;01067C6D&quot;/&gt;&lt;wsp:rsid wsp:val=&quot;01080A12&quot;/&gt;&lt;wsp:rsid wsp:val=&quot;010827C0&quot;/&gt;&lt;wsp:rsid wsp:val=&quot;0109515E&quot;/&gt;&lt;wsp:rsid wsp:val=&quot;0109689F&quot;/&gt;&lt;wsp:rsid wsp:val=&quot;01097DCB&quot;/&gt;&lt;wsp:rsid wsp:val=&quot;010A0977&quot;/&gt;&lt;wsp:rsid wsp:val=&quot;010A6538&quot;/&gt;&lt;wsp:rsid wsp:val=&quot;010B22B0&quot;/&gt;&lt;wsp:rsid wsp:val=&quot;010C0502&quot;/&gt;&lt;wsp:rsid wsp:val=&quot;010D4F6F&quot;/&gt;&lt;wsp:rsid wsp:val=&quot;010D7DD7&quot;/&gt;&lt;wsp:rsid wsp:val=&quot;010F15F0&quot;/&gt;&lt;wsp:rsid wsp:val=&quot;010F1DA1&quot;/&gt;&lt;wsp:rsid wsp:val=&quot;01101675&quot;/&gt;&lt;wsp:rsid wsp:val=&quot;011078C7&quot;/&gt;&lt;wsp:rsid wsp:val=&quot;01115B19&quot;/&gt;&lt;wsp:rsid wsp:val=&quot;0112004D&quot;/&gt;&lt;wsp:rsid wsp:val=&quot;0112363F&quot;/&gt;&lt;wsp:rsid wsp:val=&quot;01141165&quot;/&gt;&lt;wsp:rsid wsp:val=&quot;01142271&quot;/&gt;&lt;wsp:rsid wsp:val=&quot;01154EDD&quot;/&gt;&lt;wsp:rsid wsp:val=&quot;011562D2&quot;/&gt;&lt;wsp:rsid wsp:val=&quot;011570DC&quot;/&gt;&lt;wsp:rsid wsp:val=&quot;01161381&quot;/&gt;&lt;wsp:rsid wsp:val=&quot;0116312F&quot;/&gt;&lt;wsp:rsid wsp:val=&quot;011679E5&quot;/&gt;&lt;wsp:rsid wsp:val=&quot;01170C55&quot;/&gt;&lt;wsp:rsid wsp:val=&quot;01172333&quot;/&gt;&lt;wsp:rsid wsp:val=&quot;01192C1F&quot;/&gt;&lt;wsp:rsid wsp:val=&quot;0119334B&quot;/&gt;&lt;wsp:rsid wsp:val=&quot;01193755&quot;/&gt;&lt;wsp:rsid wsp:val=&quot;011A24F4&quot;/&gt;&lt;wsp:rsid wsp:val=&quot;011B57BD&quot;/&gt;&lt;wsp:rsid wsp:val=&quot;011B6516&quot;/&gt;&lt;wsp:rsid wsp:val=&quot;011D2710&quot;/&gt;&lt;wsp:rsid wsp:val=&quot;011E0004&quot;/&gt;&lt;wsp:rsid wsp:val=&quot;01203FAE&quot;/&gt;&lt;wsp:rsid wsp:val=&quot;01205D5C&quot;/&gt;&lt;wsp:rsid wsp:val=&quot;01207B0A&quot;/&gt;&lt;wsp:rsid wsp:val=&quot;01213882&quot;/&gt;&lt;wsp:rsid wsp:val=&quot;01264686&quot;/&gt;&lt;wsp:rsid wsp:val=&quot;01270291&quot;/&gt;&lt;wsp:rsid wsp:val=&quot;0127533C&quot;/&gt;&lt;wsp:rsid wsp:val=&quot;01287F18&quot;/&gt;&lt;wsp:rsid wsp:val=&quot;01290F7E&quot;/&gt;&lt;wsp:rsid wsp:val=&quot;012A4E2C&quot;/&gt;&lt;wsp:rsid wsp:val=&quot;012B64AF&quot;/&gt;&lt;wsp:rsid wsp:val=&quot;012C2953&quot;/&gt;&lt;wsp:rsid wsp:val=&quot;012D4559&quot;/&gt;&lt;wsp:rsid wsp:val=&quot;012D66CB&quot;/&gt;&lt;wsp:rsid wsp:val=&quot;012E74A2&quot;/&gt;&lt;wsp:rsid wsp:val=&quot;012F2443&quot;/&gt;&lt;wsp:rsid wsp:val=&quot;012F5F9F&quot;/&gt;&lt;wsp:rsid wsp:val=&quot;01323CE1&quot;/&gt;&lt;wsp:rsid wsp:val=&quot;013435B5&quot;/&gt;&lt;wsp:rsid wsp:val=&quot;013637D1&quot;/&gt;&lt;wsp:rsid wsp:val=&quot;013712F7&quot;/&gt;&lt;wsp:rsid wsp:val=&quot;0137560B&quot;/&gt;&lt;wsp:rsid wsp:val=&quot;01390BCC&quot;/&gt;&lt;wsp:rsid wsp:val=&quot;013B4530&quot;/&gt;&lt;wsp:rsid wsp:val=&quot;013D4B60&quot;/&gt;&lt;wsp:rsid wsp:val=&quot;013E61E2&quot;/&gt;&lt;wsp:rsid wsp:val=&quot;014001AC&quot;/&gt;&lt;wsp:rsid wsp:val=&quot;01402DC2&quot;/&gt;&lt;wsp:rsid wsp:val=&quot;01413E5F&quot;/&gt;&lt;wsp:rsid wsp:val=&quot;0141499A&quot;/&gt;&lt;wsp:rsid wsp:val=&quot;01415CD2&quot;/&gt;&lt;wsp:rsid wsp:val=&quot;01422DB3&quot;/&gt;&lt;wsp:rsid wsp:val=&quot;01437C9C&quot;/&gt;&lt;wsp:rsid wsp:val=&quot;01453A52&quot;/&gt;&lt;wsp:rsid wsp:val=&quot;014557C2&quot;/&gt;&lt;wsp:rsid wsp:val=&quot;01457570&quot;/&gt;&lt;wsp:rsid wsp:val=&quot;014632E9&quot;/&gt;&lt;wsp:rsid wsp:val=&quot;0147778C&quot;/&gt;&lt;wsp:rsid wsp:val=&quot;01487061&quot;/&gt;&lt;wsp:rsid wsp:val=&quot;014A2DD9&quot;/&gt;&lt;wsp:rsid wsp:val=&quot;014C0F72&quot;/&gt;&lt;wsp:rsid wsp:val=&quot;014C637D&quot;/&gt;&lt;wsp:rsid wsp:val=&quot;014D28C9&quot;/&gt;&lt;wsp:rsid wsp:val=&quot;014D4997&quot;/&gt;&lt;wsp:rsid wsp:val=&quot;014E2D2F&quot;/&gt;&lt;wsp:rsid wsp:val=&quot;014F219D&quot;/&gt;&lt;wsp:rsid wsp:val=&quot;014F6641&quot;/&gt;&lt;wsp:rsid wsp:val=&quot;01505F15&quot;/&gt;&lt;wsp:rsid wsp:val=&quot;015123B9&quot;/&gt;&lt;wsp:rsid wsp:val=&quot;01527EDF&quot;/&gt;&lt;wsp:rsid wsp:val=&quot;01541EA9&quot;/&gt;&lt;wsp:rsid wsp:val=&quot;01543C57&quot;/&gt;&lt;wsp:rsid wsp:val=&quot;0156177E&quot;/&gt;&lt;wsp:rsid wsp:val=&quot;01565C22&quot;/&gt;&lt;wsp:rsid wsp:val=&quot;015726F9&quot;/&gt;&lt;wsp:rsid wsp:val=&quot;015B6D94&quot;/&gt;&lt;wsp:rsid wsp:val=&quot;015C48BA&quot;/&gt;&lt;wsp:rsid wsp:val=&quot;015D1E09&quot;/&gt;&lt;wsp:rsid wsp:val=&quot;015E4AD6&quot;/&gt;&lt;wsp:rsid wsp:val=&quot;0160084E&quot;/&gt;&lt;wsp:rsid wsp:val=&quot;016073E8&quot;/&gt;&lt;wsp:rsid wsp:val=&quot;0161427F&quot;/&gt;&lt;wsp:rsid wsp:val=&quot;016245C6&quot;/&gt;&lt;wsp:rsid wsp:val=&quot;01633E9B&quot;/&gt;&lt;wsp:rsid wsp:val=&quot;016519C1&quot;/&gt;&lt;wsp:rsid wsp:val=&quot;0165325A&quot;/&gt;&lt;wsp:rsid wsp:val=&quot;01671BDD&quot;/&gt;&lt;wsp:rsid wsp:val=&quot;0167398B&quot;/&gt;&lt;wsp:rsid wsp:val=&quot;01675739&quot;/&gt;&lt;wsp:rsid wsp:val=&quot;016814B1&quot;/&gt;&lt;wsp:rsid wsp:val=&quot;016874B2&quot;/&gt;&lt;wsp:rsid wsp:val=&quot;016A5229&quot;/&gt;&lt;wsp:rsid wsp:val=&quot;016C055C&quot;/&gt;&lt;wsp:rsid wsp:val=&quot;016E2F6B&quot;/&gt;&lt;wsp:rsid wsp:val=&quot;016F0A91&quot;/&gt;&lt;wsp:rsid wsp:val=&quot;016F1C45&quot;/&gt;&lt;wsp:rsid wsp:val=&quot;016F283F&quot;/&gt;&lt;wsp:rsid wsp:val=&quot;0170236A&quot;/&gt;&lt;wsp:rsid wsp:val=&quot;017302B7&quot;/&gt;&lt;wsp:rsid wsp:val=&quot;01730582&quot;/&gt;&lt;wsp:rsid wsp:val=&quot;01731C66&quot;/&gt;&lt;wsp:rsid wsp:val=&quot;0173585E&quot;/&gt;&lt;wsp:rsid wsp:val=&quot;017460A8&quot;/&gt;&lt;wsp:rsid wsp:val=&quot;01747E56&quot;/&gt;&lt;wsp:rsid wsp:val=&quot;0175017E&quot;/&gt;&lt;wsp:rsid wsp:val=&quot;0179546C&quot;/&gt;&lt;wsp:rsid wsp:val=&quot;017B11E4&quot;/&gt;&lt;wsp:rsid wsp:val=&quot;017B2F92&quot;/&gt;&lt;wsp:rsid wsp:val=&quot;017B3FF0&quot;/&gt;&lt;wsp:rsid wsp:val=&quot;017D4F5C&quot;/&gt;&lt;wsp:rsid wsp:val=&quot;017E2A82&quot;/&gt;&lt;wsp:rsid wsp:val=&quot;017F5F3B&quot;/&gt;&lt;wsp:rsid wsp:val=&quot;01852063&quot;/&gt;&lt;wsp:rsid wsp:val=&quot;01854AA0&quot;/&gt;&lt;wsp:rsid wsp:val=&quot;01875164&quot;/&gt;&lt;wsp:rsid wsp:val=&quot;018A1427&quot;/&gt;&lt;wsp:rsid wsp:val=&quot;018A58CB&quot;/&gt;&lt;wsp:rsid wsp:val=&quot;018F04BB&quot;/&gt;&lt;wsp:rsid wsp:val=&quot;018F4C90&quot;/&gt;&lt;wsp:rsid wsp:val=&quot;01916C5A&quot;/&gt;&lt;wsp:rsid wsp:val=&quot;019276A6&quot;/&gt;&lt;wsp:rsid wsp:val=&quot;01930B36&quot;/&gt;&lt;wsp:rsid wsp:val=&quot;01944054&quot;/&gt;&lt;wsp:rsid wsp:val=&quot;01967DCC&quot;/&gt;&lt;wsp:rsid wsp:val=&quot;01981D96&quot;/&gt;&lt;wsp:rsid wsp:val=&quot;01995B0E&quot;/&gt;&lt;wsp:rsid wsp:val=&quot;019978BC&quot;/&gt;&lt;wsp:rsid wsp:val=&quot;019A20D0&quot;/&gt;&lt;wsp:rsid wsp:val=&quot;019E18C1&quot;/&gt;&lt;wsp:rsid wsp:val=&quot;019E3125&quot;/&gt;&lt;wsp:rsid wsp:val=&quot;01A06E9D&quot;/&gt;&lt;wsp:rsid wsp:val=&quot;01A253C9&quot;/&gt;&lt;wsp:rsid wsp:val=&quot;01A4698D&quot;/&gt;&lt;wsp:rsid wsp:val=&quot;01A52705&quot;/&gt;&lt;wsp:rsid wsp:val=&quot;01A544B3&quot;/&gt;&lt;wsp:rsid wsp:val=&quot;01A73D87&quot;/&gt;&lt;wsp:rsid wsp:val=&quot;01A7647D&quot;/&gt;&lt;wsp:rsid wsp:val=&quot;01A8508C&quot;/&gt;&lt;wsp:rsid wsp:val=&quot;01A85D51&quot;/&gt;&lt;wsp:rsid wsp:val=&quot;01A87AFF&quot;/&gt;&lt;wsp:rsid wsp:val=&quot;01A9592D&quot;/&gt;&lt;wsp:rsid wsp:val=&quot;01AA04FE&quot;/&gt;&lt;wsp:rsid wsp:val=&quot;01AA3877&quot;/&gt;&lt;wsp:rsid wsp:val=&quot;01AB7BDE&quot;/&gt;&lt;wsp:rsid wsp:val=&quot;01AC3A93&quot;/&gt;&lt;wsp:rsid wsp:val=&quot;01AC5842&quot;/&gt;&lt;wsp:rsid wsp:val=&quot;01AD5116&quot;/&gt;&lt;wsp:rsid wsp:val=&quot;01AE15BA&quot;/&gt;&lt;wsp:rsid wsp:val=&quot;01AE3368&quot;/&gt;&lt;wsp:rsid wsp:val=&quot;01B110AA&quot;/&gt;&lt;wsp:rsid wsp:val=&quot;01B14C06&quot;/&gt;&lt;wsp:rsid wsp:val=&quot;01B36BD0&quot;/&gt;&lt;wsp:rsid wsp:val=&quot;01B446F6&quot;/&gt;&lt;wsp:rsid wsp:val=&quot;01B53BF3&quot;/&gt;&lt;wsp:rsid wsp:val=&quot;01B6046E&quot;/&gt;&lt;wsp:rsid wsp:val=&quot;01B81547&quot;/&gt;&lt;wsp:rsid wsp:val=&quot;01B85F94&quot;/&gt;&lt;wsp:rsid wsp:val=&quot;01BA61B0&quot;/&gt;&lt;wsp:rsid wsp:val=&quot;01BB00AF&quot;/&gt;&lt;wsp:rsid wsp:val=&quot;01BD7A4F&quot;/&gt;&lt;wsp:rsid wsp:val=&quot;01BF5575&quot;/&gt;&lt;wsp:rsid wsp:val=&quot;01C0309B&quot;/&gt;&lt;wsp:rsid wsp:val=&quot;01C16785&quot;/&gt;&lt;wsp:rsid wsp:val=&quot;01C20BC1&quot;/&gt;&lt;wsp:rsid wsp:val=&quot;01C25065&quot;/&gt;&lt;wsp:rsid wsp:val=&quot;01C26E13&quot;/&gt;&lt;wsp:rsid wsp:val=&quot;01C42B8B&quot;/&gt;&lt;wsp:rsid wsp:val=&quot;01C563DE&quot;/&gt;&lt;wsp:rsid wsp:val=&quot;01C62732&quot;/&gt;&lt;wsp:rsid wsp:val=&quot;01C963F3&quot;/&gt;&lt;wsp:rsid wsp:val=&quot;01CB0F78&quot;/&gt;&lt;wsp:rsid wsp:val=&quot;01CC1A40&quot;/&gt;&lt;wsp:rsid wsp:val=&quot;01CD722E&quot;/&gt;&lt;wsp:rsid wsp:val=&quot;01CD7566&quot;/&gt;&lt;wsp:rsid wsp:val=&quot;01CE78F9&quot;/&gt;&lt;wsp:rsid wsp:val=&quot;01CF1530&quot;/&gt;&lt;wsp:rsid wsp:val=&quot;01CF32DE&quot;/&gt;&lt;wsp:rsid wsp:val=&quot;01CF7782&quot;/&gt;&lt;wsp:rsid wsp:val=&quot;01D13C8A&quot;/&gt;&lt;wsp:rsid wsp:val=&quot;01D31020&quot;/&gt;&lt;wsp:rsid wsp:val=&quot;01D37272&quot;/&gt;&lt;wsp:rsid wsp:val=&quot;01D408F4&quot;/&gt;&lt;wsp:rsid wsp:val=&quot;01D43F24&quot;/&gt;&lt;wsp:rsid wsp:val=&quot;01D46B46&quot;/&gt;&lt;wsp:rsid wsp:val=&quot;01D628BE&quot;/&gt;&lt;wsp:rsid wsp:val=&quot;01D8357C&quot;/&gt;&lt;wsp:rsid wsp:val=&quot;01D84888&quot;/&gt;&lt;wsp:rsid wsp:val=&quot;01D866AD&quot;/&gt;&lt;wsp:rsid wsp:val=&quot;01D95F0B&quot;/&gt;&lt;wsp:rsid wsp:val=&quot;01DA23AF&quot;/&gt;&lt;wsp:rsid wsp:val=&quot;01DA596D&quot;/&gt;&lt;wsp:rsid wsp:val=&quot;01DD59FB&quot;/&gt;&lt;wsp:rsid wsp:val=&quot;01DF79C5&quot;/&gt;&lt;wsp:rsid wsp:val=&quot;01E0373D&quot;/&gt;&lt;wsp:rsid wsp:val=&quot;01E0730D&quot;/&gt;&lt;wsp:rsid wsp:val=&quot;01E10B2C&quot;/&gt;&lt;wsp:rsid wsp:val=&quot;01E1319E&quot;/&gt;&lt;wsp:rsid wsp:val=&quot;01E44FDB&quot;/&gt;&lt;wsp:rsid wsp:val=&quot;01E50D53&quot;/&gt;&lt;wsp:rsid wsp:val=&quot;01E7687A&quot;/&gt;&lt;wsp:rsid wsp:val=&quot;01E925F2&quot;/&gt;&lt;wsp:rsid wsp:val=&quot;01EA0118&quot;/&gt;&lt;wsp:rsid wsp:val=&quot;01EC0334&quot;/&gt;&lt;wsp:rsid wsp:val=&quot;01F01BD2&quot;/&gt;&lt;wsp:rsid wsp:val=&quot;01F14123&quot;/&gt;&lt;wsp:rsid wsp:val=&quot;01F36FCC&quot;/&gt;&lt;wsp:rsid wsp:val=&quot;01F40F97&quot;/&gt;&lt;wsp:rsid wsp:val=&quot;01F42D45&quot;/&gt;&lt;wsp:rsid wsp:val=&quot;01F66ABD&quot;/&gt;&lt;wsp:rsid wsp:val=&quot;01F8223F&quot;/&gt;&lt;wsp:rsid wsp:val=&quot;01F86CD9&quot;/&gt;&lt;wsp:rsid wsp:val=&quot;01FB0577&quot;/&gt;&lt;wsp:rsid wsp:val=&quot;01FC7DA6&quot;/&gt;&lt;wsp:rsid wsp:val=&quot;01FD609D&quot;/&gt;&lt;wsp:rsid wsp:val=&quot;01FF1E15&quot;/&gt;&lt;wsp:rsid wsp:val=&quot;02002788&quot;/&gt;&lt;wsp:rsid wsp:val=&quot;020236B3&quot;/&gt;&lt;wsp:rsid wsp:val=&quot;0204742C&quot;/&gt;&lt;wsp:rsid wsp:val=&quot;020531A4&quot;/&gt;&lt;wsp:rsid wsp:val=&quot;02054F52&quot;/&gt;&lt;wsp:rsid wsp:val=&quot;02070CCA&quot;/&gt;&lt;wsp:rsid wsp:val=&quot;02076F1C&quot;/&gt;&lt;wsp:rsid wsp:val=&quot;020B07BA&quot;/&gt;&lt;wsp:rsid wsp:val=&quot;020C008E&quot;/&gt;&lt;wsp:rsid wsp:val=&quot;020C554D&quot;/&gt;&lt;wsp:rsid wsp:val=&quot;020C62E0&quot;/&gt;&lt;wsp:rsid wsp:val=&quot;020E3E06&quot;/&gt;&lt;wsp:rsid wsp:val=&quot;02104022&quot;/&gt;&lt;wsp:rsid wsp:val=&quot;02117D9A&quot;/&gt;&lt;wsp:rsid wsp:val=&quot;0213141D&quot;/&gt;&lt;wsp:rsid wsp:val=&quot;021358C1&quot;/&gt;&lt;wsp:rsid wsp:val=&quot;02160F0D&quot;/&gt;&lt;wsp:rsid wsp:val=&quot;021653B1&quot;/&gt;&lt;wsp:rsid wsp:val=&quot;02186A33&quot;/&gt;&lt;wsp:rsid wsp:val=&quot;021872CE&quot;/&gt;&lt;wsp:rsid wsp:val=&quot;021D04ED&quot;/&gt;&lt;wsp:rsid wsp:val=&quot;021D673F&quot;/&gt;&lt;wsp:rsid wsp:val=&quot;021F4265&quot;/&gt;&lt;wsp:rsid wsp:val=&quot;02203B3A&quot;/&gt;&lt;wsp:rsid wsp:val=&quot;02205A33&quot;/&gt;&lt;wsp:rsid wsp:val=&quot;02223D56&quot;/&gt;&lt;wsp:rsid wsp:val=&quot;022415AB&quot;/&gt;&lt;wsp:rsid wsp:val=&quot;0224187C&quot;/&gt;&lt;wsp:rsid wsp:val=&quot;02290C40&quot;/&gt;&lt;wsp:rsid wsp:val=&quot;02292750&quot;/&gt;&lt;wsp:rsid wsp:val=&quot;022C0730&quot;/&gt;&lt;wsp:rsid wsp:val=&quot;022C5D05&quot;/&gt;&lt;wsp:rsid wsp:val=&quot;022D740A&quot;/&gt;&lt;wsp:rsid wsp:val=&quot;022E26FA&quot;/&gt;&lt;wsp:rsid wsp:val=&quot;02301FCF&quot;/&gt;&lt;wsp:rsid wsp:val=&quot;02322A46&quot;/&gt;&lt;wsp:rsid wsp:val=&quot;02337D11&quot;/&gt;&lt;wsp:rsid wsp:val=&quot;02345366&quot;/&gt;&lt;wsp:rsid wsp:val=&quot;02365B70&quot;/&gt;&lt;wsp:rsid wsp:val=&quot;02376C53&quot;/&gt;&lt;wsp:rsid wsp:val=&quot;02377801&quot;/&gt;&lt;wsp:rsid wsp:val=&quot;023868B8&quot;/&gt;&lt;wsp:rsid wsp:val=&quot;02397D48&quot;/&gt;&lt;wsp:rsid wsp:val=&quot;023B0973&quot;/&gt;&lt;wsp:rsid wsp:val=&quot;023D293E&quot;/&gt;&lt;wsp:rsid wsp:val=&quot;0240504A&quot;/&gt;&lt;wsp:rsid wsp:val=&quot;02405F8A&quot;/&gt;&lt;wsp:rsid wsp:val=&quot;024164DA&quot;/&gt;&lt;wsp:rsid wsp:val=&quot;02457A2C&quot;/&gt;&lt;wsp:rsid wsp:val=&quot;024617F2&quot;/&gt;&lt;wsp:rsid wsp:val=&quot;024737BC&quot;/&gt;&lt;wsp:rsid wsp:val=&quot;0247556A&quot;/&gt;&lt;wsp:rsid wsp:val=&quot;02477318&quot;/&gt;&lt;wsp:rsid wsp:val=&quot;02493090&quot;/&gt;&lt;wsp:rsid wsp:val=&quot;02497D5F&quot;/&gt;&lt;wsp:rsid wsp:val=&quot;024A6C81&quot;/&gt;&lt;wsp:rsid wsp:val=&quot;024C492F&quot;/&gt;&lt;wsp:rsid wsp:val=&quot;024D4EDE&quot;/&gt;&lt;wsp:rsid wsp:val=&quot;024D764E&quot;/&gt;&lt;wsp:rsid wsp:val=&quot;02527FB8&quot;/&gt;&lt;wsp:rsid wsp:val=&quot;02557C87&quot;/&gt;&lt;wsp:rsid wsp:val=&quot;025657AD&quot;/&gt;&lt;wsp:rsid wsp:val=&quot;02570700&quot;/&gt;&lt;wsp:rsid wsp:val=&quot;02572162&quot;/&gt;&lt;wsp:rsid wsp:val=&quot;025C7268&quot;/&gt;&lt;wsp:rsid wsp:val=&quot;025D08EA&quot;/&gt;&lt;wsp:rsid wsp:val=&quot;025F0B06&quot;/&gt;&lt;wsp:rsid wsp:val=&quot;025F4662&quot;/&gt;&lt;wsp:rsid wsp:val=&quot;02624152&quot;/&gt;&lt;wsp:rsid wsp:val=&quot;026305F6&quot;/&gt;&lt;wsp:rsid wsp:val=&quot;02647ECA&quot;/&gt;&lt;wsp:rsid wsp:val=&quot;02651518&quot;/&gt;&lt;wsp:rsid wsp:val=&quot;02671768&quot;/&gt;&lt;wsp:rsid wsp:val=&quot;02681684&quot;/&gt;&lt;wsp:rsid wsp:val=&quot;02693733&quot;/&gt;&lt;wsp:rsid wsp:val=&quot;02697903&quot;/&gt;&lt;wsp:rsid wsp:val=&quot;026A6B75&quot;/&gt;&lt;wsp:rsid wsp:val=&quot;026B74AB&quot;/&gt;&lt;wsp:rsid wsp:val=&quot;026E6F9B&quot;/&gt;&lt;wsp:rsid wsp:val=&quot;0270061D&quot;/&gt;&lt;wsp:rsid wsp:val=&quot;027125E7&quot;/&gt;&lt;wsp:rsid wsp:val=&quot;02714395&quot;/&gt;&lt;wsp:rsid wsp:val=&quot;02720839&quot;/&gt;&lt;wsp:rsid wsp:val=&quot;02746F16&quot;/&gt;&lt;wsp:rsid wsp:val=&quot;02750329&quot;/&gt;&lt;wsp:rsid wsp:val=&quot;027520D7&quot;/&gt;&lt;wsp:rsid wsp:val=&quot;0275544D&quot;/&gt;&lt;wsp:rsid wsp:val=&quot;02785724&quot;/&gt;&lt;wsp:rsid wsp:val=&quot;027A76EE&quot;/&gt;&lt;wsp:rsid wsp:val=&quot;027B5D8E&quot;/&gt;&lt;wsp:rsid wsp:val=&quot;027D0F8C&quot;/&gt;&lt;wsp:rsid wsp:val=&quot;027D71DE&quot;/&gt;&lt;wsp:rsid wsp:val=&quot;0281282A&quot;/&gt;&lt;wsp:rsid wsp:val=&quot;02820350&quot;/&gt;&lt;wsp:rsid wsp:val=&quot;02832A46&quot;/&gt;&lt;wsp:rsid wsp:val=&quot;0284056C&quot;/&gt;&lt;wsp:rsid wsp:val=&quot;028422ED&quot;/&gt;&lt;wsp:rsid wsp:val=&quot;02854EBE&quot;/&gt;&lt;wsp:rsid wsp:val=&quot;028714FA&quot;/&gt;&lt;wsp:rsid wsp:val=&quot;0287551F&quot;/&gt;&lt;wsp:rsid wsp:val=&quot;02881420&quot;/&gt;&lt;wsp:rsid wsp:val=&quot;02881E0B&quot;/&gt;&lt;wsp:rsid wsp:val=&quot;0288383F&quot;/&gt;&lt;wsp:rsid wsp:val=&quot;02883974&quot;/&gt;&lt;wsp:rsid wsp:val=&quot;028B36A9&quot;/&gt;&lt;wsp:rsid wsp:val=&quot;028C11CF&quot;/&gt;&lt;wsp:rsid wsp:val=&quot;028C3EBB&quot;/&gt;&lt;wsp:rsid wsp:val=&quot;028C4D7E&quot;/&gt;&lt;wsp:rsid wsp:val=&quot;028D5673&quot;/&gt;&lt;wsp:rsid wsp:val=&quot;028E4F47&quot;/&gt;&lt;wsp:rsid wsp:val=&quot;028F3AEF&quot;/&gt;&lt;wsp:rsid wsp:val=&quot;02906F11&quot;/&gt;&lt;wsp:rsid wsp:val=&quot;029201DD&quot;/&gt;&lt;wsp:rsid wsp:val=&quot;02954528&quot;/&gt;&lt;wsp:rsid wsp:val=&quot;02961A83&quot;/&gt;&lt;wsp:rsid wsp:val=&quot;02964D69&quot;/&gt;&lt;wsp:rsid wsp:val=&quot;0297204E&quot;/&gt;&lt;wsp:rsid wsp:val=&quot;029772D3&quot;/&gt;&lt;wsp:rsid wsp:val=&quot;02987B74&quot;/&gt;&lt;wsp:rsid wsp:val=&quot;02994018&quot;/&gt;&lt;wsp:rsid wsp:val=&quot;029A38EC&quot;/&gt;&lt;wsp:rsid wsp:val=&quot;029C1412&quot;/&gt;&lt;wsp:rsid wsp:val=&quot;029C7664&quot;/&gt;&lt;wsp:rsid wsp:val=&quot;029D518A&quot;/&gt;&lt;wsp:rsid wsp:val=&quot;029F1DE1&quot;/&gt;&lt;wsp:rsid wsp:val=&quot;02A12ECC&quot;/&gt;&lt;wsp:rsid wsp:val=&quot;02A14C7A&quot;/&gt;&lt;wsp:rsid wsp:val=&quot;02A227A1&quot;/&gt;&lt;wsp:rsid wsp:val=&quot;02A357AF&quot;/&gt;&lt;wsp:rsid wsp:val=&quot;02A4476B&quot;/&gt;&lt;wsp:rsid wsp:val=&quot;02A47E10&quot;/&gt;&lt;wsp:rsid wsp:val=&quot;02A604E3&quot;/&gt;&lt;wsp:rsid wsp:val=&quot;02A75687&quot;/&gt;&lt;wsp:rsid wsp:val=&quot;02A8425B&quot;/&gt;&lt;wsp:rsid wsp:val=&quot;02A97830&quot;/&gt;&lt;wsp:rsid wsp:val=&quot;02AB16C1&quot;/&gt;&lt;wsp:rsid wsp:val=&quot;02AC5426&quot;/&gt;&lt;wsp:rsid wsp:val=&quot;02AD1871&quot;/&gt;&lt;wsp:rsid wsp:val=&quot;02AF363D&quot;/&gt;&lt;wsp:rsid wsp:val=&quot;02B01361&quot;/&gt;&lt;wsp:rsid wsp:val=&quot;02B052A9&quot;/&gt;&lt;wsp:rsid wsp:val=&quot;02B07E7A&quot;/&gt;&lt;wsp:rsid wsp:val=&quot;02B20C36&quot;/&gt;&lt;wsp:rsid wsp:val=&quot;02B2285A&quot;/&gt;&lt;wsp:rsid wsp:val=&quot;02B250DA&quot;/&gt;&lt;wsp:rsid wsp:val=&quot;02B40466&quot;/&gt;&lt;wsp:rsid wsp:val=&quot;02B50726&quot;/&gt;&lt;wsp:rsid wsp:val=&quot;02B726F0&quot;/&gt;&lt;wsp:rsid wsp:val=&quot;02B96468&quot;/&gt;&lt;wsp:rsid wsp:val=&quot;02BC4B03&quot;/&gt;&lt;wsp:rsid wsp:val=&quot;02BC6564&quot;/&gt;&lt;wsp:rsid wsp:val=&quot;02BC7D06&quot;/&gt;&lt;wsp:rsid wsp:val=&quot;02BE582C&quot;/&gt;&lt;wsp:rsid wsp:val=&quot;02BF77F6&quot;/&gt;&lt;wsp:rsid wsp:val=&quot;02C10E79&quot;/&gt;&lt;wsp:rsid wsp:val=&quot;02C55120&quot;/&gt;&lt;wsp:rsid wsp:val=&quot;02C646E1&quot;/&gt;&lt;wsp:rsid wsp:val=&quot;02C941D1&quot;/&gt;&lt;wsp:rsid wsp:val=&quot;02C95F7F&quot;/&gt;&lt;wsp:rsid wsp:val=&quot;02CB1CF7&quot;/&gt;&lt;wsp:rsid wsp:val=&quot;02CB7F49&quot;/&gt;&lt;wsp:rsid wsp:val=&quot;02CD5A6F&quot;/&gt;&lt;wsp:rsid wsp:val=&quot;02D037B2&quot;/&gt;&lt;wsp:rsid wsp:val=&quot;02D50DC8&quot;/&gt;&lt;wsp:rsid wsp:val=&quot;02D52B76&quot;/&gt;&lt;wsp:rsid wsp:val=&quot;02D54924&quot;/&gt;&lt;wsp:rsid wsp:val=&quot;02D71101&quot;/&gt;&lt;wsp:rsid wsp:val=&quot;02D74B40&quot;/&gt;&lt;wsp:rsid wsp:val=&quot;02D84414&quot;/&gt;&lt;wsp:rsid wsp:val=&quot;02DA018C&quot;/&gt;&lt;wsp:rsid wsp:val=&quot;02DA1F3A&quot;/&gt;&lt;wsp:rsid wsp:val=&quot;02DC3F04&quot;/&gt;&lt;wsp:rsid wsp:val=&quot;02DC5CB3&quot;/&gt;&lt;wsp:rsid wsp:val=&quot;02DE5ECF&quot;/&gt;&lt;wsp:rsid wsp:val=&quot;02DE6EAF&quot;/&gt;&lt;wsp:rsid wsp:val=&quot;02DE7C7D&quot;/&gt;&lt;wsp:rsid wsp:val=&quot;02E1151B&quot;/&gt;&lt;wsp:rsid wsp:val=&quot;02E334E5&quot;/&gt;&lt;wsp:rsid wsp:val=&quot;02E35293&quot;/&gt;&lt;wsp:rsid wsp:val=&quot;02E41BD9&quot;/&gt;&lt;wsp:rsid wsp:val=&quot;02E5725D&quot;/&gt;&lt;wsp:rsid wsp:val=&quot;02E64D83&quot;/&gt;&lt;wsp:rsid wsp:val=&quot;02E84657&quot;/&gt;&lt;wsp:rsid wsp:val=&quot;02ED6E19&quot;/&gt;&lt;wsp:rsid wsp:val=&quot;02ED7EC0&quot;/&gt;&lt;wsp:rsid wsp:val=&quot;02EE67F5&quot;/&gt;&lt;wsp:rsid wsp:val=&quot;02EF12AC&quot;/&gt;&lt;wsp:rsid wsp:val=&quot;02EF3E7D&quot;/&gt;&lt;wsp:rsid wsp:val=&quot;02F05C02&quot;/&gt;&lt;wsp:rsid wsp:val=&quot;02F079B0&quot;/&gt;&lt;wsp:rsid wsp:val=&quot;02F32FFC&quot;/&gt;&lt;wsp:rsid wsp:val=&quot;02F474A0&quot;/&gt;&lt;wsp:rsid wsp:val=&quot;02F500EE&quot;/&gt;&lt;wsp:rsid wsp:val=&quot;02F54FC6&quot;/&gt;&lt;wsp:rsid wsp:val=&quot;02F70D3E&quot;/&gt;&lt;wsp:rsid wsp:val=&quot;02F76F90&quot;/&gt;&lt;wsp:rsid wsp:val=&quot;02F92D08&quot;/&gt;&lt;wsp:rsid wsp:val=&quot;02F94AB6&quot;/&gt;&lt;wsp:rsid wsp:val=&quot;02F96569&quot;/&gt;&lt;wsp:rsid wsp:val=&quot;02FA25DD&quot;/&gt;&lt;wsp:rsid wsp:val=&quot;02FC0103&quot;/&gt;&lt;wsp:rsid wsp:val=&quot;02FF2231&quot;/&gt;&lt;wsp:rsid wsp:val=&quot;03062D2F&quot;/&gt;&lt;wsp:rsid wsp:val=&quot;030A0A72&quot;/&gt;&lt;wsp:rsid wsp:val=&quot;030A1E29&quot;/&gt;&lt;wsp:rsid wsp:val=&quot;030B2A3C&quot;/&gt;&lt;wsp:rsid wsp:val=&quot;030E0896&quot;/&gt;&lt;wsp:rsid wsp:val=&quot;030E5A07&quot;/&gt;&lt;wsp:rsid wsp:val=&quot;03101E00&quot;/&gt;&lt;wsp:rsid wsp:val=&quot;03103BAE&quot;/&gt;&lt;wsp:rsid wsp:val=&quot;03125B78&quot;/&gt;&lt;wsp:rsid wsp:val=&quot;031511C4&quot;/&gt;&lt;wsp:rsid wsp:val=&quot;03165668&quot;/&gt;&lt;wsp:rsid wsp:val=&quot;03192A63&quot;/&gt;&lt;wsp:rsid wsp:val=&quot;03195159&quot;/&gt;&lt;wsp:rsid wsp:val=&quot;03196F07&quot;/&gt;&lt;wsp:rsid wsp:val=&quot;031A67DB&quot;/&gt;&lt;wsp:rsid wsp:val=&quot;031B2C7F&quot;/&gt;&lt;wsp:rsid wsp:val=&quot;031D1CF9&quot;/&gt;&lt;wsp:rsid wsp:val=&quot;031E276F&quot;/&gt;&lt;wsp:rsid wsp:val=&quot;03200295&quot;/&gt;&lt;wsp:rsid wsp:val=&quot;03231B33&quot;/&gt;&lt;wsp:rsid wsp:val=&quot;032338E1&quot;/&gt;&lt;wsp:rsid wsp:val=&quot;03242405&quot;/&gt;&lt;wsp:rsid wsp:val=&quot;032558AB&quot;/&gt;&lt;wsp:rsid wsp:val=&quot;03274B78&quot;/&gt;&lt;wsp:rsid wsp:val=&quot;03280EF8&quot;/&gt;&lt;wsp:rsid wsp:val=&quot;0328400E&quot;/&gt;&lt;wsp:rsid wsp:val=&quot;032869F6&quot;/&gt;&lt;wsp:rsid wsp:val=&quot;032A1114&quot;/&gt;&lt;wsp:rsid wsp:val=&quot;032A2EC2&quot;/&gt;&lt;wsp:rsid wsp:val=&quot;032B6C3A&quot;/&gt;&lt;wsp:rsid wsp:val=&quot;032D4760&quot;/&gt;&lt;wsp:rsid wsp:val=&quot;032D650E&quot;/&gt;&lt;wsp:rsid wsp:val=&quot;032D7ACD&quot;/&gt;&lt;wsp:rsid wsp:val=&quot;03304250&quot;/&gt;&lt;wsp:rsid wsp:val=&quot;03305FFE&quot;/&gt;&lt;wsp:rsid wsp:val=&quot;03307091&quot;/&gt;&lt;wsp:rsid wsp:val=&quot;03311865&quot;/&gt;&lt;wsp:rsid wsp:val=&quot;033124A2&quot;/&gt;&lt;wsp:rsid wsp:val=&quot;03323B24&quot;/&gt;&lt;wsp:rsid wsp:val=&quot;03327FC8&quot;/&gt;&lt;wsp:rsid wsp:val=&quot;03337221&quot;/&gt;&lt;wsp:rsid wsp:val=&quot;0334789D&quot;/&gt;&lt;wsp:rsid wsp:val=&quot;033B50CF&quot;/&gt;&lt;wsp:rsid wsp:val=&quot;033C0D43&quot;/&gt;&lt;wsp:rsid wsp:val=&quot;033D00D6&quot;/&gt;&lt;wsp:rsid wsp:val=&quot;03402295&quot;/&gt;&lt;wsp:rsid wsp:val=&quot;034026E5&quot;/&gt;&lt;wsp:rsid wsp:val=&quot;03411FB9&quot;/&gt;&lt;wsp:rsid wsp:val=&quot;034128F9&quot;/&gt;&lt;wsp:rsid wsp:val=&quot;03413725&quot;/&gt;&lt;wsp:rsid wsp:val=&quot;0342096A&quot;/&gt;&lt;wsp:rsid wsp:val=&quot;03454CDB&quot;/&gt;&lt;wsp:rsid wsp:val=&quot;03463A74&quot;/&gt;&lt;wsp:rsid wsp:val=&quot;034675D0&quot;/&gt;&lt;wsp:rsid wsp:val=&quot;03475B40&quot;/&gt;&lt;wsp:rsid wsp:val=&quot;03480A27&quot;/&gt;&lt;wsp:rsid wsp:val=&quot;0348159A&quot;/&gt;&lt;wsp:rsid wsp:val=&quot;034877EC&quot;/&gt;&lt;wsp:rsid wsp:val=&quot;0349016D&quot;/&gt;&lt;wsp:rsid wsp:val=&quot;034A18C4&quot;/&gt;&lt;wsp:rsid wsp:val=&quot;034A3564&quot;/&gt;&lt;wsp:rsid wsp:val=&quot;034A5312&quot;/&gt;&lt;wsp:rsid wsp:val=&quot;034B4BE6&quot;/&gt;&lt;wsp:rsid wsp:val=&quot;034C108A&quot;/&gt;&lt;wsp:rsid wsp:val=&quot;035241C7&quot;/&gt;&lt;wsp:rsid wsp:val=&quot;03561F09&quot;/&gt;&lt;wsp:rsid wsp:val=&quot;03563CB7&quot;/&gt;&lt;wsp:rsid wsp:val=&quot;035919AC&quot;/&gt;&lt;wsp:rsid wsp:val=&quot;0359239C&quot;/&gt;&lt;wsp:rsid wsp:val=&quot;035A60F3&quot;/&gt;&lt;wsp:rsid wsp:val=&quot;035B4B68&quot;/&gt;&lt;wsp:rsid wsp:val=&quot;035B751F&quot;/&gt;&lt;wsp:rsid wsp:val=&quot;035C5045&quot;/&gt;&lt;wsp:rsid wsp:val=&quot;035C6DF3&quot;/&gt;&lt;wsp:rsid wsp:val=&quot;035E700F&quot;/&gt;&lt;wsp:rsid wsp:val=&quot;03604B36&quot;/&gt;&lt;wsp:rsid wsp:val=&quot;03633EEE&quot;/&gt;&lt;wsp:rsid wsp:val=&quot;036363D4&quot;/&gt;&lt;wsp:rsid wsp:val=&quot;03653EFA&quot;/&gt;&lt;wsp:rsid wsp:val=&quot;03664663&quot;/&gt;&lt;wsp:rsid wsp:val=&quot;036A1510&quot;/&gt;&lt;wsp:rsid wsp:val=&quot;036A7762&quot;/&gt;&lt;wsp:rsid wsp:val=&quot;036C66E1&quot;/&gt;&lt;wsp:rsid wsp:val=&quot;036D2C68&quot;/&gt;&lt;wsp:rsid wsp:val=&quot;036D7252&quot;/&gt;&lt;wsp:rsid wsp:val=&quot;03716D43&quot;/&gt;&lt;wsp:rsid wsp:val=&quot;03726617&quot;/&gt;&lt;wsp:rsid wsp:val=&quot;03726C53&quot;/&gt;&lt;wsp:rsid wsp:val=&quot;03744E73&quot;/&gt;&lt;wsp:rsid wsp:val=&quot;03764359&quot;/&gt;&lt;wsp:rsid wsp:val=&quot;03767EB5&quot;/&gt;&lt;wsp:rsid wsp:val=&quot;03771E7F&quot;/&gt;&lt;wsp:rsid wsp:val=&quot;03773C2D&quot;/&gt;&lt;wsp:rsid wsp:val=&quot;037759DB&quot;/&gt;&lt;wsp:rsid wsp:val=&quot;03777697&quot;/&gt;&lt;wsp:rsid wsp:val=&quot;03795BF7&quot;/&gt;&lt;wsp:rsid wsp:val=&quot;037B371D&quot;/&gt;&lt;wsp:rsid wsp:val=&quot;037E1AD1&quot;/&gt;&lt;wsp:rsid wsp:val=&quot;037F41D8&quot;/&gt;&lt;wsp:rsid wsp:val=&quot;03806094&quot;/&gt;&lt;wsp:rsid wsp:val=&quot;03815ED1&quot;/&gt;&lt;wsp:rsid wsp:val=&quot;0381685A&quot;/&gt;&lt;wsp:rsid wsp:val=&quot;03824AAC&quot;/&gt;&lt;wsp:rsid wsp:val=&quot;03830824&quot;/&gt;&lt;wsp:rsid wsp:val=&quot;03836A76&quot;/&gt;&lt;wsp:rsid wsp:val=&quot;03860CAF&quot;/&gt;&lt;wsp:rsid wsp:val=&quot;03863E70&quot;/&gt;&lt;wsp:rsid wsp:val=&quot;03870314&quot;/&gt;&lt;wsp:rsid wsp:val=&quot;03887307&quot;/&gt;&lt;wsp:rsid wsp:val=&quot;03896FE7&quot;/&gt;&lt;wsp:rsid wsp:val=&quot;038D1478&quot;/&gt;&lt;wsp:rsid wsp:val=&quot;038D16A3&quot;/&gt;&lt;wsp:rsid wsp:val=&quot;038D3451&quot;/&gt;&lt;wsp:rsid wsp:val=&quot;038F265D&quot;/&gt;&lt;wsp:rsid wsp:val=&quot;03912F41&quot;/&gt;&lt;wsp:rsid wsp:val=&quot;03920A67&quot;/&gt;&lt;wsp:rsid wsp:val=&quot;03920A7C&quot;/&gt;&lt;wsp:rsid wsp:val=&quot;0394702E&quot;/&gt;&lt;wsp:rsid wsp:val=&quot;0397607D&quot;/&gt;&lt;wsp:rsid wsp:val=&quot;039842CF&quot;/&gt;&lt;wsp:rsid wsp:val=&quot;039A7DB6&quot;/&gt;&lt;wsp:rsid wsp:val=&quot;039B0BCA&quot;/&gt;&lt;wsp:rsid wsp:val=&quot;039B3DC0&quot;/&gt;&lt;wsp:rsid wsp:val=&quot;039C57C0&quot;/&gt;&lt;wsp:rsid wsp:val=&quot;039E565E&quot;/&gt;&lt;wsp:rsid wsp:val=&quot;039F4B0C&quot;/&gt;&lt;wsp:rsid wsp:val=&quot;03A013D6&quot;/&gt;&lt;wsp:rsid wsp:val=&quot;03A038B1&quot;/&gt;&lt;wsp:rsid wsp:val=&quot;03A223FB&quot;/&gt;&lt;wsp:rsid wsp:val=&quot;03A2514E&quot;/&gt;&lt;wsp:rsid wsp:val=&quot;03A32C74&quot;/&gt;&lt;wsp:rsid wsp:val=&quot;03A367D0&quot;/&gt;&lt;wsp:rsid wsp:val=&quot;03A52548&quot;/&gt;&lt;wsp:rsid wsp:val=&quot;03A56CF2&quot;/&gt;&lt;wsp:rsid wsp:val=&quot;03A64B7B&quot;/&gt;&lt;wsp:rsid wsp:val=&quot;03A66872&quot;/&gt;&lt;wsp:rsid wsp:val=&quot;03A72764&quot;/&gt;&lt;wsp:rsid wsp:val=&quot;03A74512&quot;/&gt;&lt;wsp:rsid wsp:val=&quot;03A964DC&quot;/&gt;&lt;wsp:rsid wsp:val=&quot;03AA5DB1&quot;/&gt;&lt;wsp:rsid wsp:val=&quot;03AC1B29&quot;/&gt;&lt;wsp:rsid wsp:val=&quot;03AE3AF3&quot;/&gt;&lt;wsp:rsid wsp:val=&quot;03B00259&quot;/&gt;&lt;wsp:rsid wsp:val=&quot;03B10EED&quot;/&gt;&lt;wsp:rsid wsp:val=&quot;03B24C65&quot;/&gt;&lt;wsp:rsid wsp:val=&quot;03B60333&quot;/&gt;&lt;wsp:rsid wsp:val=&quot;03B629A7&quot;/&gt;&lt;wsp:rsid wsp:val=&quot;03B92498&quot;/&gt;&lt;wsp:rsid wsp:val=&quot;03B946F4&quot;/&gt;&lt;wsp:rsid wsp:val=&quot;03BB7FBE&quot;/&gt;&lt;wsp:rsid wsp:val=&quot;03BC7892&quot;/&gt;&lt;wsp:rsid wsp:val=&quot;03BD5AE4&quot;/&gt;&lt;wsp:rsid wsp:val=&quot;03BD623A&quot;/&gt;&lt;wsp:rsid wsp:val=&quot;03BE185C&quot;/&gt;&lt;wsp:rsid wsp:val=&quot;03BE360A&quot;/&gt;&lt;wsp:rsid wsp:val=&quot;03BE7AAE&quot;/&gt;&lt;wsp:rsid wsp:val=&quot;03C2134C&quot;/&gt;&lt;wsp:rsid wsp:val=&quot;03C350C4&quot;/&gt;&lt;wsp:rsid wsp:val=&quot;03C52BEB&quot;/&gt;&lt;wsp:rsid wsp:val=&quot;03C74BB5&quot;/&gt;&lt;wsp:rsid wsp:val=&quot;03C84489&quot;/&gt;&lt;wsp:rsid wsp:val=&quot;03C926DB&quot;/&gt;&lt;wsp:rsid wsp:val=&quot;03CA0201&quot;/&gt;&lt;wsp:rsid wsp:val=&quot;03CA6453&quot;/&gt;&lt;wsp:rsid wsp:val=&quot;03CC5D27&quot;/&gt;&lt;wsp:rsid wsp:val=&quot;03CD1A9F&quot;/&gt;&lt;wsp:rsid wsp:val=&quot;03CD57E0&quot;/&gt;&lt;wsp:rsid wsp:val=&quot;03CE5A7E&quot;/&gt;&lt;wsp:rsid wsp:val=&quot;03CF5817&quot;/&gt;&lt;wsp:rsid wsp:val=&quot;03D1333D&quot;/&gt;&lt;wsp:rsid wsp:val=&quot;03D26A21&quot;/&gt;&lt;wsp:rsid wsp:val=&quot;03D270B5&quot;/&gt;&lt;wsp:rsid wsp:val=&quot;03D41080&quot;/&gt;&lt;wsp:rsid wsp:val=&quot;03D66BA6&quot;/&gt;&lt;wsp:rsid wsp:val=&quot;03D8291E&quot;/&gt;&lt;wsp:rsid wsp:val=&quot;03D90444&quot;/&gt;&lt;wsp:rsid wsp:val=&quot;03DB240E&quot;/&gt;&lt;wsp:rsid wsp:val=&quot;03DE5A5A&quot;/&gt;&lt;wsp:rsid wsp:val=&quot;03DF158C&quot;/&gt;&lt;wsp:rsid wsp:val=&quot;03E11322&quot;/&gt;&lt;wsp:rsid wsp:val=&quot;03E270E6&quot;/&gt;&lt;wsp:rsid wsp:val=&quot;03E272F9&quot;/&gt;&lt;wsp:rsid wsp:val=&quot;03E33071&quot;/&gt;&lt;wsp:rsid wsp:val=&quot;03E47515&quot;/&gt;&lt;wsp:rsid wsp:val=&quot;03E5328D&quot;/&gt;&lt;wsp:rsid wsp:val=&quot;03E868D9&quot;/&gt;&lt;wsp:rsid wsp:val=&quot;03E94B2B&quot;/&gt;&lt;wsp:rsid wsp:val=&quot;03EA2651&quot;/&gt;&lt;wsp:rsid wsp:val=&quot;03EA7B21&quot;/&gt;&lt;wsp:rsid wsp:val=&quot;03EB521C&quot;/&gt;&lt;wsp:rsid wsp:val=&quot;03EC461B&quot;/&gt;&lt;wsp:rsid wsp:val=&quot;03EE2141&quot;/&gt;&lt;wsp:rsid wsp:val=&quot;03EF5EB9&quot;/&gt;&lt;wsp:rsid wsp:val=&quot;03EF7C67&quot;/&gt;&lt;wsp:rsid wsp:val=&quot;03F10E17&quot;/&gt;&lt;wsp:rsid wsp:val=&quot;03F112DB&quot;/&gt;&lt;wsp:rsid wsp:val=&quot;03F222A7&quot;/&gt;&lt;wsp:rsid wsp:val=&quot;03F359AA&quot;/&gt;&lt;wsp:rsid wsp:val=&quot;03F40ED9&quot;/&gt;&lt;wsp:rsid wsp:val=&quot;03F60FF6&quot;/&gt;&lt;wsp:rsid wsp:val=&quot;03F82FC0&quot;/&gt;&lt;wsp:rsid wsp:val=&quot;03F86B1C&quot;/&gt;&lt;wsp:rsid wsp:val=&quot;03FC7842&quot;/&gt;&lt;wsp:rsid wsp:val=&quot;03FF3CD8&quot;/&gt;&lt;wsp:rsid wsp:val=&quot;040000C7&quot;/&gt;&lt;wsp:rsid wsp:val=&quot;04001E75&quot;/&gt;&lt;wsp:rsid wsp:val=&quot;040451F1&quot;/&gt;&lt;wsp:rsid wsp:val=&quot;04047518&quot;/&gt;&lt;wsp:rsid wsp:val=&quot;04051239&quot;/&gt;&lt;wsp:rsid wsp:val=&quot;040532EE&quot;/&gt;&lt;wsp:rsid wsp:val=&quot;040556DD&quot;/&gt;&lt;wsp:rsid wsp:val=&quot;040700BF&quot;/&gt;&lt;wsp:rsid wsp:val=&quot;04073203&quot;/&gt;&lt;wsp:rsid wsp:val=&quot;04074FB1&quot;/&gt;&lt;wsp:rsid wsp:val=&quot;04082329&quot;/&gt;&lt;wsp:rsid wsp:val=&quot;04082AD7&quot;/&gt;&lt;wsp:rsid wsp:val=&quot;04096F7B&quot;/&gt;&lt;wsp:rsid wsp:val=&quot;040A4AA1&quot;/&gt;&lt;wsp:rsid wsp:val=&quot;040A684F&quot;/&gt;&lt;wsp:rsid wsp:val=&quot;040A7970&quot;/&gt;&lt;wsp:rsid wsp:val=&quot;040C49EA&quot;/&gt;&lt;wsp:rsid wsp:val=&quot;040C6A6B&quot;/&gt;&lt;wsp:rsid wsp:val=&quot;040D00EE&quot;/&gt;&lt;wsp:rsid wsp:val=&quot;040D4E97&quot;/&gt;&lt;wsp:rsid wsp:val=&quot;040E2F10&quot;/&gt;&lt;wsp:rsid wsp:val=&quot;040E6340&quot;/&gt;&lt;wsp:rsid wsp:val=&quot;040F20B8&quot;/&gt;&lt;wsp:rsid wsp:val=&quot;04106F71&quot;/&gt;&lt;wsp:rsid wsp:val=&quot;041476CE&quot;/&gt;&lt;wsp:rsid wsp:val=&quot;041845DB&quot;/&gt;&lt;wsp:rsid wsp:val=&quot;04186B93&quot;/&gt;&lt;wsp:rsid wsp:val=&quot;04194CE4&quot;/&gt;&lt;wsp:rsid wsp:val=&quot;041A2F36&quot;/&gt;&lt;wsp:rsid wsp:val=&quot;041D1579&quot;/&gt;&lt;wsp:rsid wsp:val=&quot;041F679F&quot;/&gt;&lt;wsp:rsid wsp:val=&quot;042042C5&quot;/&gt;&lt;wsp:rsid wsp:val=&quot;04233CA6&quot;/&gt;&lt;wsp:rsid wsp:val=&quot;04242D62&quot;/&gt;&lt;wsp:rsid wsp:val=&quot;042434D3&quot;/&gt;&lt;wsp:rsid wsp:val=&quot;04245B63&quot;/&gt;&lt;wsp:rsid wsp:val=&quot;04247911&quot;/&gt;&lt;wsp:rsid wsp:val=&quot;04267B2D&quot;/&gt;&lt;wsp:rsid wsp:val=&quot;042711AF&quot;/&gt;&lt;wsp:rsid wsp:val=&quot;04272627&quot;/&gt;&lt;wsp:rsid wsp:val=&quot;04277401&quot;/&gt;&lt;wsp:rsid wsp:val=&quot;042913CB&quot;/&gt;&lt;wsp:rsid wsp:val=&quot;04292471&quot;/&gt;&lt;wsp:rsid wsp:val=&quot;042A0CA0&quot;/&gt;&lt;wsp:rsid wsp:val=&quot;042C4A18&quot;/&gt;&lt;wsp:rsid wsp:val=&quot;042C6499&quot;/&gt;&lt;wsp:rsid wsp:val=&quot;042E0790&quot;/&gt;&lt;wsp:rsid wsp:val=&quot;042E24FA&quot;/&gt;&lt;wsp:rsid wsp:val=&quot;042E69E2&quot;/&gt;&lt;wsp:rsid wsp:val=&quot;0430275A&quot;/&gt;&lt;wsp:rsid wsp:val=&quot;04310280&quot;/&gt;&lt;wsp:rsid wsp:val=&quot;04312C14&quot;/&gt;&lt;wsp:rsid wsp:val=&quot;04314F03&quot;/&gt;&lt;wsp:rsid wsp:val=&quot;043162AA&quot;/&gt;&lt;wsp:rsid wsp:val=&quot;04351B1E&quot;/&gt;&lt;wsp:rsid wsp:val=&quot;04352BE0&quot;/&gt;&lt;wsp:rsid wsp:val=&quot;043537B8&quot;/&gt;&lt;wsp:rsid wsp:val=&quot;043579D8&quot;/&gt;&lt;wsp:rsid wsp:val=&quot;04363AE8&quot;/&gt;&lt;wsp:rsid wsp:val=&quot;04365896&quot;/&gt;&lt;wsp:rsid wsp:val=&quot;043867EE&quot;/&gt;&lt;wsp:rsid wsp:val=&quot;043D484D&quot;/&gt;&lt;wsp:rsid wsp:val=&quot;043D6C25&quot;/&gt;&lt;wsp:rsid wsp:val=&quot;043F299D&quot;/&gt;&lt;wsp:rsid wsp:val=&quot;044004C3&quot;/&gt;&lt;wsp:rsid wsp:val=&quot;04402271&quot;/&gt;&lt;wsp:rsid wsp:val=&quot;0440490F&quot;/&gt;&lt;wsp:rsid wsp:val=&quot;04421C84&quot;/&gt;&lt;wsp:rsid wsp:val=&quot;04422150&quot;/&gt;&lt;wsp:rsid wsp:val=&quot;0442423B&quot;/&gt;&lt;wsp:rsid wsp:val=&quot;04441D61&quot;/&gt;&lt;wsp:rsid wsp:val=&quot;044628F3&quot;/&gt;&lt;wsp:rsid wsp:val=&quot;04471852&quot;/&gt;&lt;wsp:rsid wsp:val=&quot;044730A1&quot;/&gt;&lt;wsp:rsid wsp:val=&quot;04477AA3&quot;/&gt;&lt;wsp:rsid wsp:val=&quot;04497378&quot;/&gt;&lt;wsp:rsid wsp:val=&quot;044A0592&quot;/&gt;&lt;wsp:rsid wsp:val=&quot;044B7594&quot;/&gt;&lt;wsp:rsid wsp:val=&quot;044C6E68&quot;/&gt;&lt;wsp:rsid wsp:val=&quot;04502B0E&quot;/&gt;&lt;wsp:rsid wsp:val=&quot;045301F6&quot;/&gt;&lt;wsp:rsid wsp:val=&quot;04531FA4&quot;/&gt;&lt;wsp:rsid wsp:val=&quot;04536448&quot;/&gt;&lt;wsp:rsid wsp:val=&quot;04545D1C&quot;/&gt;&lt;wsp:rsid wsp:val=&quot;04553F6E&quot;/&gt;&lt;wsp:rsid wsp:val=&quot;045556A5&quot;/&gt;&lt;wsp:rsid wsp:val=&quot;04567CE7&quot;/&gt;&lt;wsp:rsid wsp:val=&quot;04581455&quot;/&gt;&lt;wsp:rsid wsp:val=&quot;04594577&quot;/&gt;&lt;wsp:rsid wsp:val=&quot;045A22A5&quot;/&gt;&lt;wsp:rsid wsp:val=&quot;045A6946&quot;/&gt;&lt;wsp:rsid wsp:val=&quot;045F303F&quot;/&gt;&lt;wsp:rsid wsp:val=&quot;045F4DED&quot;/&gt;&lt;wsp:rsid wsp:val=&quot;045F58FA&quot;/&gt;&lt;wsp:rsid wsp:val=&quot;04603ACA&quot;/&gt;&lt;wsp:rsid wsp:val=&quot;046046C1&quot;/&gt;&lt;wsp:rsid wsp:val=&quot;046250D8&quot;/&gt;&lt;wsp:rsid wsp:val=&quot;04644636&quot;/&gt;&lt;wsp:rsid wsp:val=&quot;04662722&quot;/&gt;&lt;wsp:rsid wsp:val=&quot;0466617C&quot;/&gt;&lt;wsp:rsid wsp:val=&quot;04671EF4&quot;/&gt;&lt;wsp:rsid wsp:val=&quot;04673E53&quot;/&gt;&lt;wsp:rsid wsp:val=&quot;04675A50&quot;/&gt;&lt;wsp:rsid wsp:val=&quot;04695C6C&quot;/&gt;&lt;wsp:rsid wsp:val=&quot;046B5355&quot;/&gt;&lt;wsp:rsid wsp:val=&quot;046C3066&quot;/&gt;&lt;wsp:rsid wsp:val=&quot;046E5030&quot;/&gt;&lt;wsp:rsid wsp:val=&quot;046E6DDE&quot;/&gt;&lt;wsp:rsid wsp:val=&quot;04700DA8&quot;/&gt;&lt;wsp:rsid wsp:val=&quot;04702B56&quot;/&gt;&lt;wsp:rsid wsp:val=&quot;04705B1D&quot;/&gt;&lt;wsp:rsid wsp:val=&quot;04706FFA&quot;/&gt;&lt;wsp:rsid wsp:val=&quot;04714B20&quot;/&gt;&lt;wsp:rsid wsp:val=&quot;0472733C&quot;/&gt;&lt;wsp:rsid wsp:val=&quot;04730898&quot;/&gt;&lt;wsp:rsid wsp:val=&quot;047420BE&quot;/&gt;&lt;wsp:rsid wsp:val=&quot;0474497E&quot;/&gt;&lt;wsp:rsid wsp:val=&quot;04785FF9&quot;/&gt;&lt;wsp:rsid wsp:val=&quot;04793F05&quot;/&gt;&lt;wsp:rsid wsp:val=&quot;047955F4&quot;/&gt;&lt;wsp:rsid wsp:val=&quot;047A1C27&quot;/&gt;&lt;wsp:rsid wsp:val=&quot;047A39D5&quot;/&gt;&lt;wsp:rsid wsp:val=&quot;047B1417&quot;/&gt;&lt;wsp:rsid wsp:val=&quot;047E26A8&quot;/&gt;&lt;wsp:rsid wsp:val=&quot;047F2D99&quot;/&gt;&lt;wsp:rsid wsp:val=&quot;047F723D&quot;/&gt;&lt;wsp:rsid wsp:val=&quot;048031B8&quot;/&gt;&lt;wsp:rsid wsp:val=&quot;04806B11&quot;/&gt;&lt;wsp:rsid wsp:val=&quot;04812FB5&quot;/&gt;&lt;wsp:rsid wsp:val=&quot;04814D63&quot;/&gt;&lt;wsp:rsid wsp:val=&quot;04842AA6&quot;/&gt;&lt;wsp:rsid wsp:val=&quot;04854128&quot;/&gt;&lt;wsp:rsid wsp:val=&quot;048605CC&quot;/&gt;&lt;wsp:rsid wsp:val=&quot;04877EA0&quot;/&gt;&lt;wsp:rsid wsp:val=&quot;048900BC&quot;/&gt;&lt;wsp:rsid wsp:val=&quot;04891E6A&quot;/&gt;&lt;wsp:rsid wsp:val=&quot;04892E54&quot;/&gt;&lt;wsp:rsid wsp:val=&quot;048B3E34&quot;/&gt;&lt;wsp:rsid wsp:val=&quot;048B7990&quot;/&gt;&lt;wsp:rsid wsp:val=&quot;048E122E&quot;/&gt;&lt;wsp:rsid wsp:val=&quot;04904FA7&quot;/&gt;&lt;wsp:rsid wsp:val=&quot;04947F67&quot;/&gt;&lt;wsp:rsid wsp:val=&quot;0495080F&quot;/&gt;&lt;wsp:rsid wsp:val=&quot;049525BD&quot;/&gt;&lt;wsp:rsid wsp:val=&quot;04956A61&quot;/&gt;&lt;wsp:rsid wsp:val=&quot;04974587&quot;/&gt;&lt;wsp:rsid wsp:val=&quot;049802FF&quot;/&gt;&lt;wsp:rsid wsp:val=&quot;049A7BD3&quot;/&gt;&lt;wsp:rsid wsp:val=&quot;049C1B9D&quot;/&gt;&lt;wsp:rsid wsp:val=&quot;049F168E&quot;/&gt;&lt;wsp:rsid wsp:val=&quot;049F343C&quot;/&gt;&lt;wsp:rsid wsp:val=&quot;049F37E8&quot;/&gt;&lt;wsp:rsid wsp:val=&quot;04A10F62&quot;/&gt;&lt;wsp:rsid wsp:val=&quot;04A15406&quot;/&gt;&lt;wsp:rsid wsp:val=&quot;04A2256B&quot;/&gt;&lt;wsp:rsid wsp:val=&quot;04A3117E&quot;/&gt;&lt;wsp:rsid wsp:val=&quot;04A86794&quot;/&gt;&lt;wsp:rsid wsp:val=&quot;04A937D5&quot;/&gt;&lt;wsp:rsid wsp:val=&quot;04A96068&quot;/&gt;&lt;wsp:rsid wsp:val=&quot;04A9786D&quot;/&gt;&lt;wsp:rsid wsp:val=&quot;04AB1DE0&quot;/&gt;&lt;wsp:rsid wsp:val=&quot;04AB3B8E&quot;/&gt;&lt;wsp:rsid wsp:val=&quot;04AC0C48&quot;/&gt;&lt;wsp:rsid wsp:val=&quot;04AD3DAA&quot;/&gt;&lt;wsp:rsid wsp:val=&quot;04AE18D1&quot;/&gt;&lt;wsp:rsid wsp:val=&quot;04AE367F&quot;/&gt;&lt;wsp:rsid wsp:val=&quot;04AE7B23&quot;/&gt;&lt;wsp:rsid wsp:val=&quot;04B073F7&quot;/&gt;&lt;wsp:rsid wsp:val=&quot;04B213C1&quot;/&gt;&lt;wsp:rsid wsp:val=&quot;04B22060&quot;/&gt;&lt;wsp:rsid wsp:val=&quot;04B2316F&quot;/&gt;&lt;wsp:rsid wsp:val=&quot;04B25DED&quot;/&gt;&lt;wsp:rsid wsp:val=&quot;04B47551&quot;/&gt;&lt;wsp:rsid wsp:val=&quot;04B50EB1&quot;/&gt;&lt;wsp:rsid wsp:val=&quot;04B70785&quot;/&gt;&lt;wsp:rsid wsp:val=&quot;04B74C29&quot;/&gt;&lt;wsp:rsid wsp:val=&quot;04B8274F&quot;/&gt;&lt;wsp:rsid wsp:val=&quot;04B82D60&quot;/&gt;&lt;wsp:rsid wsp:val=&quot;04B844FD&quot;/&gt;&lt;wsp:rsid wsp:val=&quot;04BD1B14&quot;/&gt;&lt;wsp:rsid wsp:val=&quot;04BE31D4&quot;/&gt;&lt;wsp:rsid wsp:val=&quot;04C063C5&quot;/&gt;&lt;wsp:rsid wsp:val=&quot;04C11604&quot;/&gt;&lt;wsp:rsid wsp:val=&quot;04C46318&quot;/&gt;&lt;wsp:rsid wsp:val=&quot;04C74F24&quot;/&gt;&lt;wsp:rsid wsp:val=&quot;04C80BE4&quot;/&gt;&lt;wsp:rsid wsp:val=&quot;04C95D42&quot;/&gt;&lt;wsp:rsid wsp:val=&quot;04CB2483&quot;/&gt;&lt;wsp:rsid wsp:val=&quot;04CE5ACF&quot;/&gt;&lt;wsp:rsid wsp:val=&quot;04D035F5&quot;/&gt;&lt;wsp:rsid wsp:val=&quot;04D04690&quot;/&gt;&lt;wsp:rsid wsp:val=&quot;04D06D2A&quot;/&gt;&lt;wsp:rsid wsp:val=&quot;04D23811&quot;/&gt;&lt;wsp:rsid wsp:val=&quot;04D255BF&quot;/&gt;&lt;wsp:rsid wsp:val=&quot;04D27F09&quot;/&gt;&lt;wsp:rsid wsp:val=&quot;04D31337&quot;/&gt;&lt;wsp:rsid wsp:val=&quot;04D33D38&quot;/&gt;&lt;wsp:rsid wsp:val=&quot;04D70E27&quot;/&gt;&lt;wsp:rsid wsp:val=&quot;04D87ADD&quot;/&gt;&lt;wsp:rsid wsp:val=&quot;04D921AC&quot;/&gt;&lt;wsp:rsid wsp:val=&quot;04DA26C6&quot;/&gt;&lt;wsp:rsid wsp:val=&quot;04DC643E&quot;/&gt;&lt;wsp:rsid wsp:val=&quot;04E11CA6&quot;/&gt;&lt;wsp:rsid wsp:val=&quot;04E13A54&quot;/&gt;&lt;wsp:rsid wsp:val=&quot;04E15802&quot;/&gt;&lt;wsp:rsid wsp:val=&quot;04E23328&quot;/&gt;&lt;wsp:rsid wsp:val=&quot;04E470A0&quot;/&gt;&lt;wsp:rsid wsp:val=&quot;04E569E0&quot;/&gt;&lt;wsp:rsid wsp:val=&quot;04E807D8&quot;/&gt;&lt;wsp:rsid wsp:val=&quot;04E86B91&quot;/&gt;&lt;wsp:rsid wsp:val=&quot;04ED014B&quot;/&gt;&lt;wsp:rsid wsp:val=&quot;04ED064B&quot;/&gt;&lt;wsp:rsid wsp:val=&quot;04ED23F9&quot;/&gt;&lt;wsp:rsid wsp:val=&quot;04ED41A7&quot;/&gt;&lt;wsp:rsid wsp:val=&quot;04EE6171&quot;/&gt;&lt;wsp:rsid wsp:val=&quot;04F03A34&quot;/&gt;&lt;wsp:rsid wsp:val=&quot;04F217BD&quot;/&gt;&lt;wsp:rsid wsp:val=&quot;04F25C61&quot;/&gt;&lt;wsp:rsid wsp:val=&quot;04F27A0F&quot;/&gt;&lt;wsp:rsid wsp:val=&quot;04F33787&quot;/&gt;&lt;wsp:rsid wsp:val=&quot;04F5472C&quot;/&gt;&lt;wsp:rsid wsp:val=&quot;04F55751&quot;/&gt;&lt;wsp:rsid wsp:val=&quot;04F95C85&quot;/&gt;&lt;wsp:rsid wsp:val=&quot;04FC088E&quot;/&gt;&lt;wsp:rsid wsp:val=&quot;04FC263C&quot;/&gt;&lt;wsp:rsid wsp:val=&quot;04FC359C&quot;/&gt;&lt;wsp:rsid wsp:val=&quot;04FF037E&quot;/&gt;&lt;wsp:rsid wsp:val=&quot;04FF7EFB&quot;/&gt;&lt;wsp:rsid wsp:val=&quot;05025778&quot;/&gt;&lt;wsp:rsid wsp:val=&quot;05033049&quot;/&gt;&lt;wsp:rsid wsp:val=&quot;0504615D&quot;/&gt;&lt;wsp:rsid wsp:val=&quot;05087233&quot;/&gt;&lt;wsp:rsid wsp:val=&quot;050938AE&quot;/&gt;&lt;wsp:rsid wsp:val=&quot;0509577A&quot;/&gt;&lt;wsp:rsid wsp:val=&quot;05096B07&quot;/&gt;&lt;wsp:rsid wsp:val=&quot;050977E4&quot;/&gt;&lt;wsp:rsid wsp:val=&quot;050B6D23&quot;/&gt;&lt;wsp:rsid wsp:val=&quot;050D4849&quot;/&gt;&lt;wsp:rsid wsp:val=&quot;050F15EC&quot;/&gt;&lt;wsp:rsid wsp:val=&quot;0510425D&quot;/&gt;&lt;wsp:rsid wsp:val=&quot;05113F0C&quot;/&gt;&lt;wsp:rsid wsp:val=&quot;05114226&quot;/&gt;&lt;wsp:rsid wsp:val=&quot;05127B50&quot;/&gt;&lt;wsp:rsid wsp:val=&quot;051339FC&quot;/&gt;&lt;wsp:rsid wsp:val=&quot;05143E2A&quot;/&gt;&lt;wsp:rsid wsp:val=&quot;05143FCE&quot;/&gt;&lt;wsp:rsid wsp:val=&quot;05145BD8&quot;/&gt;&lt;wsp:rsid wsp:val=&quot;051536FE&quot;/&gt;&lt;wsp:rsid wsp:val=&quot;05157BA2&quot;/&gt;&lt;wsp:rsid wsp:val=&quot;0518120E&quot;/&gt;&lt;wsp:rsid wsp:val=&quot;0519526F&quot;/&gt;&lt;wsp:rsid wsp:val=&quot;051A6F66&quot;/&gt;&lt;wsp:rsid wsp:val=&quot;051B5485&quot;/&gt;&lt;wsp:rsid wsp:val=&quot;051E5080&quot;/&gt;&lt;wsp:rsid wsp:val=&quot;052027CE&quot;/&gt;&lt;wsp:rsid wsp:val=&quot;052102F4&quot;/&gt;&lt;wsp:rsid wsp:val=&quot;052136C5&quot;/&gt;&lt;wsp:rsid wsp:val=&quot;0523012E&quot;/&gt;&lt;wsp:rsid wsp:val=&quot;0523406D&quot;/&gt;&lt;wsp:rsid wsp:val=&quot;05237BC9&quot;/&gt;&lt;wsp:rsid wsp:val=&quot;052A1D5E&quot;/&gt;&lt;wsp:rsid wsp:val=&quot;052D0A47&quot;/&gt;&lt;wsp:rsid wsp:val=&quot;052E656D&quot;/&gt;&lt;wsp:rsid wsp:val=&quot;053022E6&quot;/&gt;&lt;wsp:rsid wsp:val=&quot;0530678A&quot;/&gt;&lt;wsp:rsid wsp:val=&quot;05340028&quot;/&gt;&lt;wsp:rsid wsp:val=&quot;05341DD6&quot;/&gt;&lt;wsp:rsid wsp:val=&quot;053425C2&quot;/&gt;&lt;wsp:rsid wsp:val=&quot;0534627A&quot;/&gt;&lt;wsp:rsid wsp:val=&quot;05353DA0&quot;/&gt;&lt;wsp:rsid wsp:val=&quot;05355B4E&quot;/&gt;&lt;wsp:rsid wsp:val=&quot;053578FC&quot;/&gt;&lt;wsp:rsid wsp:val=&quot;05364797&quot;/&gt;&lt;wsp:rsid wsp:val=&quot;05377B18&quot;/&gt;&lt;wsp:rsid wsp:val=&quot;053973EC&quot;/&gt;&lt;wsp:rsid wsp:val=&quot;053A3164&quot;/&gt;&lt;wsp:rsid wsp:val=&quot;053B422B&quot;/&gt;&lt;wsp:rsid wsp:val=&quot;053C512E&quot;/&gt;&lt;wsp:rsid wsp:val=&quot;053E0EA6&quot;/&gt;&lt;wsp:rsid wsp:val=&quot;054335EC&quot;/&gt;&lt;wsp:rsid wsp:val=&quot;05445D91&quot;/&gt;&lt;wsp:rsid wsp:val=&quot;0546428C&quot;/&gt;&lt;wsp:rsid wsp:val=&quot;05465CDE&quot;/&gt;&lt;wsp:rsid wsp:val=&quot;05483AD3&quot;/&gt;&lt;wsp:rsid wsp:val=&quot;05485881&quot;/&gt;&lt;wsp:rsid wsp:val=&quot;05492C0D&quot;/&gt;&lt;wsp:rsid wsp:val=&quot;054B6C6E&quot;/&gt;&lt;wsp:rsid wsp:val=&quot;054D2E98&quot;/&gt;&lt;wsp:rsid wsp:val=&quot;054D733B&quot;/&gt;&lt;wsp:rsid wsp:val=&quot;054E6641&quot;/&gt;&lt;wsp:rsid wsp:val=&quot;054F6C10&quot;/&gt;&lt;wsp:rsid wsp:val=&quot;05500BDA&quot;/&gt;&lt;wsp:rsid wsp:val=&quot;055224BF&quot;/&gt;&lt;wsp:rsid wsp:val=&quot;05557F9E&quot;/&gt;&lt;wsp:rsid wsp:val=&quot;05573D16&quot;/&gt;&lt;wsp:rsid wsp:val=&quot;05575AC4&quot;/&gt;&lt;wsp:rsid wsp:val=&quot;055A55B4&quot;/&gt;&lt;wsp:rsid wsp:val=&quot;055F2BCB&quot;/&gt;&lt;wsp:rsid wsp:val=&quot;05616943&quot;/&gt;&lt;wsp:rsid wsp:val=&quot;05626134&quot;/&gt;&lt;wsp:rsid wsp:val=&quot;056273E3&quot;/&gt;&lt;wsp:rsid wsp:val=&quot;0563090D&quot;/&gt;&lt;wsp:rsid wsp:val=&quot;056326BB&quot;/&gt;&lt;wsp:rsid wsp:val=&quot;05654DFE&quot;/&gt;&lt;wsp:rsid wsp:val=&quot;056621AB&quot;/&gt;&lt;wsp:rsid wsp:val=&quot;05665D07&quot;/&gt;&lt;wsp:rsid wsp:val=&quot;05681A7F&quot;/&gt;&lt;wsp:rsid wsp:val=&quot;05687CD1&quot;/&gt;&lt;wsp:rsid wsp:val=&quot;056A6836&quot;/&gt;&lt;wsp:rsid wsp:val=&quot;056B1570&quot;/&gt;&lt;wsp:rsid wsp:val=&quot;056D353A&quot;/&gt;&lt;wsp:rsid wsp:val=&quot;056F1060&quot;/&gt;&lt;wsp:rsid wsp:val=&quot;05704DD8&quot;/&gt;&lt;wsp:rsid wsp:val=&quot;05706B86&quot;/&gt;&lt;wsp:rsid wsp:val=&quot;0571302A&quot;/&gt;&lt;wsp:rsid wsp:val=&quot;05720B50&quot;/&gt;&lt;wsp:rsid wsp:val=&quot;05726DA2&quot;/&gt;&lt;wsp:rsid wsp:val=&quot;057448C8&quot;/&gt;&lt;wsp:rsid wsp:val=&quot;05777F14&quot;/&gt;&lt;wsp:rsid wsp:val=&quot;05785C8A&quot;/&gt;&lt;wsp:rsid wsp:val=&quot;057905AA&quot;/&gt;&lt;wsp:rsid wsp:val=&quot;057A317B&quot;/&gt;&lt;wsp:rsid wsp:val=&quot;057C552B&quot;/&gt;&lt;wsp:rsid wsp:val=&quot;057D1AFC&quot;/&gt;&lt;wsp:rsid wsp:val=&quot;057E12A3&quot;/&gt;&lt;wsp:rsid wsp:val=&quot;058058AC&quot;/&gt;&lt;wsp:rsid wsp:val=&quot;05816D3C&quot;/&gt;&lt;wsp:rsid wsp:val=&quot;05816FE5&quot;/&gt;&lt;wsp:rsid wsp:val=&quot;05827C69&quot;/&gt;&lt;wsp:rsid wsp:val=&quot;05834B0B&quot;/&gt;&lt;wsp:rsid wsp:val=&quot;05850883&quot;/&gt;&lt;wsp:rsid wsp:val=&quot;05856AD5&quot;/&gt;&lt;wsp:rsid wsp:val=&quot;0586171E&quot;/&gt;&lt;wsp:rsid wsp:val=&quot;058755A7&quot;/&gt;&lt;wsp:rsid wsp:val=&quot;05882122&quot;/&gt;&lt;wsp:rsid wsp:val=&quot;05883ED0&quot;/&gt;&lt;wsp:rsid wsp:val=&quot;058A7C48&quot;/&gt;&lt;wsp:rsid wsp:val=&quot;058D7738&quot;/&gt;&lt;wsp:rsid wsp:val=&quot;058F1340&quot;/&gt;&lt;wsp:rsid wsp:val=&quot;058F34B0&quot;/&gt;&lt;wsp:rsid wsp:val=&quot;059053A1&quot;/&gt;&lt;wsp:rsid wsp:val=&quot;05921402&quot;/&gt;&lt;wsp:rsid wsp:val=&quot;05924D4E&quot;/&gt;&lt;wsp:rsid wsp:val=&quot;0592789B&quot;/&gt;&lt;wsp:rsid wsp:val=&quot;05946D18&quot;/&gt;&lt;wsp:rsid wsp:val=&quot;059565ED&quot;/&gt;&lt;wsp:rsid wsp:val=&quot;05960810&quot;/&gt;&lt;wsp:rsid wsp:val=&quot;0596483F&quot;/&gt;&lt;wsp:rsid wsp:val=&quot;0596560E&quot;/&gt;&lt;wsp:rsid wsp:val=&quot;059705B7&quot;/&gt;&lt;wsp:rsid wsp:val=&quot;05972365&quot;/&gt;&lt;wsp:rsid wsp:val=&quot;059B00A7&quot;/&gt;&lt;wsp:rsid wsp:val=&quot;059B275E&quot;/&gt;&lt;wsp:rsid wsp:val=&quot;059C797B&quot;/&gt;&lt;wsp:rsid wsp:val=&quot;059D002F&quot;/&gt;&lt;wsp:rsid wsp:val=&quot;059D1DD7&quot;/&gt;&lt;wsp:rsid wsp:val=&quot;059E36F3&quot;/&gt;&lt;wsp:rsid wsp:val=&quot;059E3A51&quot;/&gt;&lt;wsp:rsid wsp:val=&quot;059F689E&quot;/&gt;&lt;wsp:rsid wsp:val=&quot;05A14F91&quot;/&gt;&lt;wsp:rsid wsp:val=&quot;05A30C46&quot;/&gt;&lt;wsp:rsid wsp:val=&quot;05A36F5B&quot;/&gt;&lt;wsp:rsid wsp:val=&quot;05A47C83&quot;/&gt;&lt;wsp:rsid wsp:val=&quot;05A607FA&quot;/&gt;&lt;wsp:rsid wsp:val=&quot;05A84572&quot;/&gt;&lt;wsp:rsid wsp:val=&quot;05A86320&quot;/&gt;&lt;wsp:rsid wsp:val=&quot;05AA653C&quot;/&gt;&lt;wsp:rsid wsp:val=&quot;05AC22B4&quot;/&gt;&lt;wsp:rsid wsp:val=&quot;05AD1B88&quot;/&gt;&lt;wsp:rsid wsp:val=&quot;05B05EAE&quot;/&gt;&lt;wsp:rsid wsp:val=&quot;05B11678&quot;/&gt;&lt;wsp:rsid wsp:val=&quot;05B11BB0&quot;/&gt;&lt;wsp:rsid wsp:val=&quot;05B13426&quot;/&gt;&lt;wsp:rsid wsp:val=&quot;05B44CC5&quot;/&gt;&lt;wsp:rsid wsp:val=&quot;05B515C4&quot;/&gt;&lt;wsp:rsid wsp:val=&quot;05B72A07&quot;/&gt;&lt;wsp:rsid wsp:val=&quot;05B747B5&quot;/&gt;&lt;wsp:rsid wsp:val=&quot;05B80C59&quot;/&gt;&lt;wsp:rsid wsp:val=&quot;05BB42A5&quot;/&gt;&lt;wsp:rsid wsp:val=&quot;05BC1DCB&quot;/&gt;&lt;wsp:rsid wsp:val=&quot;05BE0308&quot;/&gt;&lt;wsp:rsid wsp:val=&quot;05BE5B43&quot;/&gt;&lt;wsp:rsid wsp:val=&quot;05C0366A&quot;/&gt;&lt;wsp:rsid wsp:val=&quot;05C05142&quot;/&gt;&lt;wsp:rsid wsp:val=&quot;05C173E2&quot;/&gt;&lt;wsp:rsid wsp:val=&quot;05C375FE&quot;/&gt;&lt;wsp:rsid wsp:val=&quot;05C50C80&quot;/&gt;&lt;wsp:rsid wsp:val=&quot;05C56ED2&quot;/&gt;&lt;wsp:rsid wsp:val=&quot;05C649F8&quot;/&gt;&lt;wsp:rsid wsp:val=&quot;05C84C14&quot;/&gt;&lt;wsp:rsid wsp:val=&quot;05CA273A&quot;/&gt;&lt;wsp:rsid wsp:val=&quot;05CB200E&quot;/&gt;&lt;wsp:rsid wsp:val=&quot;05CD3FD8&quot;/&gt;&lt;wsp:rsid wsp:val=&quot;05CD426B&quot;/&gt;&lt;wsp:rsid wsp:val=&quot;05CF7D50&quot;/&gt;&lt;wsp:rsid wsp:val=&quot;05D25154&quot;/&gt;&lt;wsp:rsid wsp:val=&quot;05D435B9&quot;/&gt;&lt;wsp:rsid wsp:val=&quot;05D610DF&quot;/&gt;&lt;wsp:rsid wsp:val=&quot;05D709B3&quot;/&gt;&lt;wsp:rsid wsp:val=&quot;05D76C05&quot;/&gt;&lt;wsp:rsid wsp:val=&quot;05D77B36&quot;/&gt;&lt;wsp:rsid wsp:val=&quot;05D830A9&quot;/&gt;&lt;wsp:rsid wsp:val=&quot;05D9297D&quot;/&gt;&lt;wsp:rsid wsp:val=&quot;05D95027&quot;/&gt;&lt;wsp:rsid wsp:val=&quot;05D97CE4&quot;/&gt;&lt;wsp:rsid wsp:val=&quot;05DA498B&quot;/&gt;&lt;wsp:rsid wsp:val=&quot;05DB4947&quot;/&gt;&lt;wsp:rsid wsp:val=&quot;05DC034A&quot;/&gt;&lt;wsp:rsid wsp:val=&quot;05DC421B&quot;/&gt;&lt;wsp:rsid wsp:val=&quot;05DE1D42&quot;/&gt;&lt;wsp:rsid wsp:val=&quot;05E02329&quot;/&gt;&lt;wsp:rsid wsp:val=&quot;05E03D0C&quot;/&gt;&lt;wsp:rsid wsp:val=&quot;05E25CD6&quot;/&gt;&lt;wsp:rsid wsp:val=&quot;05E27A84&quot;/&gt;&lt;wsp:rsid wsp:val=&quot;05E41A4E&quot;/&gt;&lt;wsp:rsid wsp:val=&quot;05E66D48&quot;/&gt;&lt;wsp:rsid wsp:val=&quot;05E7509A&quot;/&gt;&lt;wsp:rsid wsp:val=&quot;05E76E48&quot;/&gt;&lt;wsp:rsid wsp:val=&quot;05E82BC0&quot;/&gt;&lt;wsp:rsid wsp:val=&quot;05E8737A&quot;/&gt;&lt;wsp:rsid wsp:val=&quot;05EA2DDC&quot;/&gt;&lt;wsp:rsid wsp:val=&quot;05EB743C&quot;/&gt;&lt;wsp:rsid wsp:val=&quot;05EC0902&quot;/&gt;&lt;wsp:rsid wsp:val=&quot;05EC26B0&quot;/&gt;&lt;wsp:rsid wsp:val=&quot;05EC445F&quot;/&gt;&lt;wsp:rsid wsp:val=&quot;05EE467B&quot;/&gt;&lt;wsp:rsid wsp:val=&quot;05EF03F3&quot;/&gt;&lt;wsp:rsid wsp:val=&quot;05F05CF2&quot;/&gt;&lt;wsp:rsid wsp:val=&quot;05F11A75&quot;/&gt;&lt;wsp:rsid wsp:val=&quot;05F31C91&quot;/&gt;&lt;wsp:rsid wsp:val=&quot;05F477B7&quot;/&gt;&lt;wsp:rsid wsp:val=&quot;05F504EE&quot;/&gt;&lt;wsp:rsid wsp:val=&quot;05F607BC&quot;/&gt;&lt;wsp:rsid wsp:val=&quot;05F81055&quot;/&gt;&lt;wsp:rsid wsp:val=&quot;05F83EAE&quot;/&gt;&lt;wsp:rsid wsp:val=&quot;05F872A7&quot;/&gt;&lt;wsp:rsid wsp:val=&quot;05F96B7B&quot;/&gt;&lt;wsp:rsid wsp:val=&quot;05FA2ED0&quot;/&gt;&lt;wsp:rsid wsp:val=&quot;05FB0B46&quot;/&gt;&lt;wsp:rsid wsp:val=&quot;05FB6F31&quot;/&gt;&lt;wsp:rsid wsp:val=&quot;05FC6E82&quot;/&gt;&lt;wsp:rsid wsp:val=&quot;05FD3676&quot;/&gt;&lt;wsp:rsid wsp:val=&quot;05FE4192&quot;/&gt;&lt;wsp:rsid wsp:val=&quot;0600615C&quot;/&gt;&lt;wsp:rsid wsp:val=&quot;06007521&quot;/&gt;&lt;wsp:rsid wsp:val=&quot;06020126&quot;/&gt;&lt;wsp:rsid wsp:val=&quot;06027304&quot;/&gt;&lt;wsp:rsid wsp:val=&quot;060379FA&quot;/&gt;&lt;wsp:rsid wsp:val=&quot;06043E9E&quot;/&gt;&lt;wsp:rsid wsp:val=&quot;0605140F&quot;/&gt;&lt;wsp:rsid wsp:val=&quot;06055745&quot;/&gt;&lt;wsp:rsid wsp:val=&quot;060754D4&quot;/&gt;&lt;wsp:rsid wsp:val=&quot;060774EA&quot;/&gt;&lt;wsp:rsid wsp:val=&quot;060B3732&quot;/&gt;&lt;wsp:rsid wsp:val=&quot;060C4B01&quot;/&gt;&lt;wsp:rsid wsp:val=&quot;060D2627&quot;/&gt;&lt;wsp:rsid wsp:val=&quot;060E6ACB&quot;/&gt;&lt;wsp:rsid wsp:val=&quot;06103988&quot;/&gt;&lt;wsp:rsid wsp:val=&quot;06112117&quot;/&gt;&lt;wsp:rsid wsp:val=&quot;061619C4&quot;/&gt;&lt;wsp:rsid wsp:val=&quot;061922C9&quot;/&gt;&lt;wsp:rsid wsp:val=&quot;0619721E&quot;/&gt;&lt;wsp:rsid wsp:val=&quot;061B2F96&quot;/&gt;&lt;wsp:rsid wsp:val=&quot;061C6A69&quot;/&gt;&lt;wsp:rsid wsp:val=&quot;061E65E2&quot;/&gt;&lt;wsp:rsid wsp:val=&quot;0620235A&quot;/&gt;&lt;wsp:rsid wsp:val=&quot;06222576&quot;/&gt;&lt;wsp:rsid wsp:val=&quot;06225E41&quot;/&gt;&lt;wsp:rsid wsp:val=&quot;062260D2&quot;/&gt;&lt;wsp:rsid wsp:val=&quot;06242FF1&quot;/&gt;&lt;wsp:rsid wsp:val=&quot;06247AF7&quot;/&gt;&lt;wsp:rsid wsp:val=&quot;06250A5D&quot;/&gt;&lt;wsp:rsid wsp:val=&quot;06255BC2&quot;/&gt;&lt;wsp:rsid wsp:val=&quot;062655AD&quot;/&gt;&lt;wsp:rsid wsp:val=&quot;0627193B&quot;/&gt;&lt;wsp:rsid wsp:val=&quot;06277B8D&quot;/&gt;&lt;wsp:rsid wsp:val=&quot;062A142B&quot;/&gt;&lt;wsp:rsid wsp:val=&quot;062B48CF&quot;/&gt;&lt;wsp:rsid wsp:val=&quot;062C1FDF&quot;/&gt;&lt;wsp:rsid wsp:val=&quot;062C5DC4&quot;/&gt;&lt;wsp:rsid wsp:val=&quot;062E2CC9&quot;/&gt;&lt;wsp:rsid wsp:val=&quot;062F6A41&quot;/&gt;&lt;wsp:rsid wsp:val=&quot;063063B7&quot;/&gt;&lt;wsp:rsid wsp:val=&quot;06314567&quot;/&gt;&lt;wsp:rsid wsp:val=&quot;06336531&quot;/&gt;&lt;wsp:rsid wsp:val=&quot;06345E06&quot;/&gt;&lt;wsp:rsid wsp:val=&quot;0636392C&quot;/&gt;&lt;wsp:rsid wsp:val=&quot;06383B48&quot;/&gt;&lt;wsp:rsid wsp:val=&quot;0639166E&quot;/&gt;&lt;wsp:rsid wsp:val=&quot;0639341C&quot;/&gt;&lt;wsp:rsid wsp:val=&quot;063A2055&quot;/&gt;&lt;wsp:rsid wsp:val=&quot;063B3638&quot;/&gt;&lt;wsp:rsid wsp:val=&quot;063D2F0C&quot;/&gt;&lt;wsp:rsid wsp:val=&quot;063D4ADF&quot;/&gt;&lt;wsp:rsid wsp:val=&quot;063E7D85&quot;/&gt;&lt;wsp:rsid wsp:val=&quot;06420522&quot;/&gt;&lt;wsp:rsid wsp:val=&quot;064249C6&quot;/&gt;&lt;wsp:rsid wsp:val=&quot;06436049&quot;/&gt;&lt;wsp:rsid wsp:val=&quot;064424ED&quot;/&gt;&lt;wsp:rsid wsp:val=&quot;06466906&quot;/&gt;&lt;wsp:rsid wsp:val=&quot;0648365F&quot;/&gt;&lt;wsp:rsid wsp:val=&quot;064A5629&quot;/&gt;&lt;wsp:rsid wsp:val=&quot;064A72F9&quot;/&gt;&lt;wsp:rsid wsp:val=&quot;064A73D7&quot;/&gt;&lt;wsp:rsid wsp:val=&quot;064C13A1&quot;/&gt;&lt;wsp:rsid wsp:val=&quot;065026A6&quot;/&gt;&lt;wsp:rsid wsp:val=&quot;0650515A&quot;/&gt;&lt;wsp:rsid wsp:val=&quot;065344DE&quot;/&gt;&lt;wsp:rsid wsp:val=&quot;06565D7C&quot;/&gt;&lt;wsp:rsid wsp:val=&quot;0657245C&quot;/&gt;&lt;wsp:rsid wsp:val=&quot;06581AF4&quot;/&gt;&lt;wsp:rsid wsp:val=&quot;065B15E4&quot;/&gt;&lt;wsp:rsid wsp:val=&quot;065B7800&quot;/&gt;&lt;wsp:rsid wsp:val=&quot;065B7836&quot;/&gt;&lt;wsp:rsid wsp:val=&quot;065E2E82&quot;/&gt;&lt;wsp:rsid wsp:val=&quot;06604E4C&quot;/&gt;&lt;wsp:rsid wsp:val=&quot;06622973&quot;/&gt;&lt;wsp:rsid wsp:val=&quot;06624721&quot;/&gt;&lt;wsp:rsid wsp:val=&quot;066A1827&quot;/&gt;&lt;wsp:rsid wsp:val=&quot;066C559F&quot;/&gt;&lt;wsp:rsid wsp:val=&quot;066E30C6&quot;/&gt;&lt;wsp:rsid wsp:val=&quot;066E57BB&quot;/&gt;&lt;wsp:rsid wsp:val=&quot;066F6FA2&quot;/&gt;&lt;wsp:rsid wsp:val=&quot;06717BF5&quot;/&gt;&lt;wsp:rsid wsp:val=&quot;06743E9A&quot;/&gt;&lt;wsp:rsid wsp:val=&quot;067601CC&quot;/&gt;&lt;wsp:rsid wsp:val=&quot;067642A4&quot;/&gt;&lt;wsp:rsid wsp:val=&quot;06764670&quot;/&gt;&lt;wsp:rsid wsp:val=&quot;067716B0&quot;/&gt;&lt;wsp:rsid wsp:val=&quot;067803E8&quot;/&gt;&lt;wsp:rsid wsp:val=&quot;067A4160&quot;/&gt;&lt;wsp:rsid wsp:val=&quot;067A7CBC&quot;/&gt;&lt;wsp:rsid wsp:val=&quot;067B3A34&quot;/&gt;&lt;wsp:rsid wsp:val=&quot;067C0116&quot;/&gt;&lt;wsp:rsid wsp:val=&quot;067C1376&quot;/&gt;&lt;wsp:rsid wsp:val=&quot;067C3F20&quot;/&gt;&lt;wsp:rsid wsp:val=&quot;067D59FE&quot;/&gt;&lt;wsp:rsid wsp:val=&quot;067D77AC&quot;/&gt;&lt;wsp:rsid wsp:val=&quot;067E2910&quot;/&gt;&lt;wsp:rsid wsp:val=&quot;067F3525&quot;/&gt;&lt;wsp:rsid wsp:val=&quot;067F6A97&quot;/&gt;&lt;wsp:rsid wsp:val=&quot;06807F27&quot;/&gt;&lt;wsp:rsid wsp:val=&quot;068414E6&quot;/&gt;&lt;wsp:rsid wsp:val=&quot;06846D8D&quot;/&gt;&lt;wsp:rsid wsp:val=&quot;06856661&quot;/&gt;&lt;wsp:rsid wsp:val=&quot;06860D59&quot;/&gt;&lt;wsp:rsid wsp:val=&quot;06863D99&quot;/&gt;&lt;wsp:rsid wsp:val=&quot;068648B3&quot;/&gt;&lt;wsp:rsid wsp:val=&quot;0687062B&quot;/&gt;&lt;wsp:rsid wsp:val=&quot;068723D9&quot;/&gt;&lt;wsp:rsid wsp:val=&quot;06874187&quot;/&gt;&lt;wsp:rsid wsp:val=&quot;068943A3&quot;/&gt;&lt;wsp:rsid wsp:val=&quot;068A3169&quot;/&gt;&lt;wsp:rsid wsp:val=&quot;068A3C77&quot;/&gt;&lt;wsp:rsid wsp:val=&quot;068B011B&quot;/&gt;&lt;wsp:rsid wsp:val=&quot;068C109B&quot;/&gt;&lt;wsp:rsid wsp:val=&quot;068C5C42&quot;/&gt;&lt;wsp:rsid wsp:val=&quot;068C6DA8&quot;/&gt;&lt;wsp:rsid wsp:val=&quot;068E19BA&quot;/&gt;&lt;wsp:rsid wsp:val=&quot;068E3768&quot;/&gt;&lt;wsp:rsid wsp:val=&quot;068E5516&quot;/&gt;&lt;wsp:rsid wsp:val=&quot;068F29C4&quot;/&gt;&lt;wsp:rsid wsp:val=&quot;069006E6&quot;/&gt;&lt;wsp:rsid wsp:val=&quot;06905732&quot;/&gt;&lt;wsp:rsid wsp:val=&quot;06913258&quot;/&gt;&lt;wsp:rsid wsp:val=&quot;06913A7D&quot;/&gt;&lt;wsp:rsid wsp:val=&quot;06915006&quot;/&gt;&lt;wsp:rsid wsp:val=&quot;06921D2E&quot;/&gt;&lt;wsp:rsid wsp:val=&quot;0693207B&quot;/&gt;&lt;wsp:rsid wsp:val=&quot;069468A4&quot;/&gt;&lt;wsp:rsid wsp:val=&quot;06972968&quot;/&gt;&lt;wsp:rsid wsp:val=&quot;06976AC0&quot;/&gt;&lt;wsp:rsid wsp:val=&quot;06982838&quot;/&gt;&lt;wsp:rsid wsp:val=&quot;0699791D&quot;/&gt;&lt;wsp:rsid wsp:val=&quot;069A1511&quot;/&gt;&lt;wsp:rsid wsp:val=&quot;069A3EBB&quot;/&gt;&lt;wsp:rsid wsp:val=&quot;069B290D&quot;/&gt;&lt;wsp:rsid wsp:val=&quot;069B5E85&quot;/&gt;&lt;wsp:rsid wsp:val=&quot;069B7C33&quot;/&gt;&lt;wsp:rsid wsp:val=&quot;069C40D7&quot;/&gt;&lt;wsp:rsid wsp:val=&quot;069D39AB&quot;/&gt;&lt;wsp:rsid wsp:val=&quot;069D6E76&quot;/&gt;&lt;wsp:rsid wsp:val=&quot;069E34B0&quot;/&gt;&lt;wsp:rsid wsp:val=&quot;06A07511&quot;/&gt;&lt;wsp:rsid wsp:val=&quot;06A27213&quot;/&gt;&lt;wsp:rsid wsp:val=&quot;06A37C3B&quot;/&gt;&lt;wsp:rsid wsp:val=&quot;06A42F8B&quot;/&gt;&lt;wsp:rsid wsp:val=&quot;06A47322&quot;/&gt;&lt;wsp:rsid wsp:val=&quot;06A604B4&quot;/&gt;&lt;wsp:rsid wsp:val=&quot;06A64F55&quot;/&gt;&lt;wsp:rsid wsp:val=&quot;06A75CA3&quot;/&gt;&lt;wsp:rsid wsp:val=&quot;06A95C2E&quot;/&gt;&lt;wsp:rsid wsp:val=&quot;06AB256C&quot;/&gt;&lt;wsp:rsid wsp:val=&quot;06AB60C8&quot;/&gt;&lt;wsp:rsid wsp:val=&quot;06B153D4&quot;/&gt;&lt;wsp:rsid wsp:val=&quot;06B34246&quot;/&gt;&lt;wsp:rsid wsp:val=&quot;06B44301&quot;/&gt;&lt;wsp:rsid wsp:val=&quot;06B46E17&quot;/&gt;&lt;wsp:rsid wsp:val=&quot;06B676F4&quot;/&gt;&lt;wsp:rsid wsp:val=&quot;06B807E5&quot;/&gt;&lt;wsp:rsid wsp:val=&quot;06B86C6A&quot;/&gt;&lt;wsp:rsid wsp:val=&quot;06BA630B&quot;/&gt;&lt;wsp:rsid wsp:val=&quot;06BF1B73&quot;/&gt;&lt;wsp:rsid wsp:val=&quot;06BF7DC5&quot;/&gt;&lt;wsp:rsid wsp:val=&quot;06C13B3D&quot;/&gt;&lt;wsp:rsid wsp:val=&quot;06C17D49&quot;/&gt;&lt;wsp:rsid wsp:val=&quot;06C21162&quot;/&gt;&lt;wsp:rsid wsp:val=&quot;06C21663&quot;/&gt;&lt;wsp:rsid wsp:val=&quot;06C4362D&quot;/&gt;&lt;wsp:rsid wsp:val=&quot;06C61153&quot;/&gt;&lt;wsp:rsid wsp:val=&quot;06C90C44&quot;/&gt;&lt;wsp:rsid wsp:val=&quot;06C929F2&quot;/&gt;&lt;wsp:rsid wsp:val=&quot;06C947A0&quot;/&gt;&lt;wsp:rsid wsp:val=&quot;06CA3201&quot;/&gt;&lt;wsp:rsid wsp:val=&quot;06CB49BC&quot;/&gt;&lt;wsp:rsid wsp:val=&quot;06CC4290&quot;/&gt;&lt;wsp:rsid wsp:val=&quot;06CE625A&quot;/&gt;&lt;wsp:rsid wsp:val=&quot;06D05B2E&quot;/&gt;&lt;wsp:rsid wsp:val=&quot;06D21D6E&quot;/&gt;&lt;wsp:rsid wsp:val=&quot;06D44CBF&quot;/&gt;&lt;wsp:rsid wsp:val=&quot;06D46400&quot;/&gt;&lt;wsp:rsid wsp:val=&quot;06D80E87&quot;/&gt;&lt;wsp:rsid wsp:val=&quot;06D870D9&quot;/&gt;&lt;wsp:rsid wsp:val=&quot;06DC0977&quot;/&gt;&lt;wsp:rsid wsp:val=&quot;06DD024B&quot;/&gt;&lt;wsp:rsid wsp:val=&quot;06DE46EF&quot;/&gt;&lt;wsp:rsid wsp:val=&quot;06DF0467&quot;/&gt;&lt;wsp:rsid wsp:val=&quot;06DF3FC3&quot;/&gt;&lt;wsp:rsid wsp:val=&quot;06E17D3B&quot;/&gt;&lt;wsp:rsid wsp:val=&quot;06E23AB3&quot;/&gt;&lt;wsp:rsid wsp:val=&quot;06E31BE3&quot;/&gt;&lt;wsp:rsid wsp:val=&quot;06E31D05&quot;/&gt;&lt;wsp:rsid wsp:val=&quot;06E67100&quot;/&gt;&lt;wsp:rsid wsp:val=&quot;06E710CA&quot;/&gt;&lt;wsp:rsid wsp:val=&quot;06E845C5&quot;/&gt;&lt;wsp:rsid wsp:val=&quot;06EB0BBA&quot;/&gt;&lt;wsp:rsid wsp:val=&quot;06EB2968&quot;/&gt;&lt;wsp:rsid wsp:val=&quot;06EE2458&quot;/&gt;&lt;wsp:rsid wsp:val=&quot;06F02BDD&quot;/&gt;&lt;wsp:rsid wsp:val=&quot;06F35CC1&quot;/&gt;&lt;wsp:rsid wsp:val=&quot;06F85085&quot;/&gt;&lt;wsp:rsid wsp:val=&quot;06FA0DFD&quot;/&gt;&lt;wsp:rsid wsp:val=&quot;06FA2BAB&quot;/&gt;&lt;wsp:rsid wsp:val=&quot;06FB7310&quot;/&gt;&lt;wsp:rsid wsp:val=&quot;06FC4B75&quot;/&gt;&lt;wsp:rsid wsp:val=&quot;06FC6923&quot;/&gt;&lt;wsp:rsid wsp:val=&quot;06FD269B&quot;/&gt;&lt;wsp:rsid wsp:val=&quot;070103DE&quot;/&gt;&lt;wsp:rsid wsp:val=&quot;07043D9E&quot;/&gt;&lt;wsp:rsid wsp:val=&quot;0704692D&quot;/&gt;&lt;wsp:rsid wsp:val=&quot;07061550&quot;/&gt;&lt;wsp:rsid wsp:val=&quot;070659F4&quot;/&gt;&lt;wsp:rsid wsp:val=&quot;07091040&quot;/&gt;&lt;wsp:rsid wsp:val=&quot;070B300A&quot;/&gt;&lt;wsp:rsid wsp:val=&quot;070C28DE&quot;/&gt;&lt;wsp:rsid wsp:val=&quot;070C4C2F&quot;/&gt;&lt;wsp:rsid wsp:val=&quot;070E394A&quot;/&gt;&lt;wsp:rsid wsp:val=&quot;070E48A8&quot;/&gt;&lt;wsp:rsid wsp:val=&quot;070F58BA&quot;/&gt;&lt;wsp:rsid wsp:val=&quot;07155C37&quot;/&gt;&lt;wsp:rsid wsp:val=&quot;07177C01&quot;/&gt;&lt;wsp:rsid wsp:val=&quot;071874D5&quot;/&gt;&lt;wsp:rsid wsp:val=&quot;071A4FFB&quot;/&gt;&lt;wsp:rsid wsp:val=&quot;071C34B5&quot;/&gt;&lt;wsp:rsid wsp:val=&quot;071E0F8F&quot;/&gt;&lt;wsp:rsid wsp:val=&quot;071F6AB6&quot;/&gt;&lt;wsp:rsid wsp:val=&quot;0721282E&quot;/&gt;&lt;wsp:rsid wsp:val=&quot;07222102&quot;/&gt;&lt;wsp:rsid wsp:val=&quot;0728596A&quot;/&gt;&lt;wsp:rsid wsp:val=&quot;07293586&quot;/&gt;&lt;wsp:rsid wsp:val=&quot;07295285&quot;/&gt;&lt;wsp:rsid wsp:val=&quot;072C31D4&quot;/&gt;&lt;wsp:rsid wsp:val=&quot;072D2F81&quot;/&gt;&lt;wsp:rsid wsp:val=&quot;072F4F4B&quot;/&gt;&lt;wsp:rsid wsp:val=&quot;072F5DBC&quot;/&gt;&lt;wsp:rsid wsp:val=&quot;072F799E&quot;/&gt;&lt;wsp:rsid wsp:val=&quot;07305894&quot;/&gt;&lt;wsp:rsid wsp:val=&quot;07305FB4&quot;/&gt;&lt;wsp:rsid wsp:val=&quot;073065CD&quot;/&gt;&lt;wsp:rsid wsp:val=&quot;07320597&quot;/&gt;&lt;wsp:rsid wsp:val=&quot;073267E9&quot;/&gt;&lt;wsp:rsid wsp:val=&quot;073360BD&quot;/&gt;&lt;wsp:rsid wsp:val=&quot;07342561&quot;/&gt;&lt;wsp:rsid wsp:val=&quot;07350087&quot;/&gt;&lt;wsp:rsid wsp:val=&quot;07351E35&quot;/&gt;&lt;wsp:rsid wsp:val=&quot;07352BCC&quot;/&gt;&lt;wsp:rsid wsp:val=&quot;07373DFF&quot;/&gt;&lt;wsp:rsid wsp:val=&quot;0737795B&quot;/&gt;&lt;wsp:rsid wsp:val=&quot;07391925&quot;/&gt;&lt;wsp:rsid wsp:val=&quot;07397B77&quot;/&gt;&lt;wsp:rsid wsp:val=&quot;073A569E&quot;/&gt;&lt;wsp:rsid wsp:val=&quot;073C1416&quot;/&gt;&lt;wsp:rsid wsp:val=&quot;073C31C4&quot;/&gt;&lt;wsp:rsid wsp:val=&quot;073C5AF2&quot;/&gt;&lt;wsp:rsid wsp:val=&quot;073E3C7E&quot;/&gt;&lt;wsp:rsid wsp:val=&quot;073E5294&quot;/&gt;&lt;wsp:rsid wsp:val=&quot;073E6F3C&quot;/&gt;&lt;wsp:rsid wsp:val=&quot;073F2CB4&quot;/&gt;&lt;wsp:rsid wsp:val=&quot;07416A2C&quot;/&gt;&lt;wsp:rsid wsp:val=&quot;074309F6&quot;/&gt;&lt;wsp:rsid wsp:val=&quot;074327A4&quot;/&gt;&lt;wsp:rsid wsp:val=&quot;07436660&quot;/&gt;&lt;wsp:rsid wsp:val=&quot;07447AF0&quot;/&gt;&lt;wsp:rsid wsp:val=&quot;07464042&quot;/&gt;&lt;wsp:rsid wsp:val=&quot;07477BB2&quot;/&gt;&lt;wsp:rsid wsp:val=&quot;07481B68&quot;/&gt;&lt;wsp:rsid wsp:val=&quot;0748600C&quot;/&gt;&lt;wsp:rsid wsp:val=&quot;07486471&quot;/&gt;&lt;wsp:rsid wsp:val=&quot;0749768F&quot;/&gt;&lt;wsp:rsid wsp:val=&quot;074A1D85&quot;/&gt;&lt;wsp:rsid wsp:val=&quot;074A3B33&quot;/&gt;&lt;wsp:rsid wsp:val=&quot;074B3407&quot;/&gt;&lt;wsp:rsid wsp:val=&quot;074B78AB&quot;/&gt;&lt;wsp:rsid wsp:val=&quot;074D28B2&quot;/&gt;&lt;wsp:rsid wsp:val=&quot;074D53D1&quot;/&gt;&lt;wsp:rsid wsp:val=&quot;074D717F&quot;/&gt;&lt;wsp:rsid wsp:val=&quot;074F1149&quot;/&gt;&lt;wsp:rsid wsp:val=&quot;074F4623&quot;/&gt;&lt;wsp:rsid wsp:val=&quot;074F739B&quot;/&gt;&lt;wsp:rsid wsp:val=&quot;07500A1D&quot;/&gt;&lt;wsp:rsid wsp:val=&quot;07510F1E&quot;/&gt;&lt;wsp:rsid wsp:val=&quot;07524795&quot;/&gt;&lt;wsp:rsid wsp:val=&quot;0753050D&quot;/&gt;&lt;wsp:rsid wsp:val=&quot;07536155&quot;/&gt;&lt;wsp:rsid wsp:val=&quot;075449B1&quot;/&gt;&lt;wsp:rsid wsp:val=&quot;0754675F&quot;/&gt;&lt;wsp:rsid wsp:val=&quot;075475E5&quot;/&gt;&lt;wsp:rsid wsp:val=&quot;07550729&quot;/&gt;&lt;wsp:rsid wsp:val=&quot;07577FFE&quot;/&gt;&lt;wsp:rsid wsp:val=&quot;075C34FB&quot;/&gt;&lt;wsp:rsid wsp:val=&quot;075C73C2&quot;/&gt;&lt;wsp:rsid wsp:val=&quot;075E138C&quot;/&gt;&lt;wsp:rsid wsp:val=&quot;075F5104&quot;/&gt;&lt;wsp:rsid wsp:val=&quot;07604BD4&quot;/&gt;&lt;wsp:rsid wsp:val=&quot;07636392&quot;/&gt;&lt;wsp:rsid wsp:val=&quot;07660241&quot;/&gt;&lt;wsp:rsid wsp:val=&quot;076646E5&quot;/&gt;&lt;wsp:rsid wsp:val=&quot;07666493&quot;/&gt;&lt;wsp:rsid wsp:val=&quot;0768045D&quot;/&gt;&lt;wsp:rsid wsp:val=&quot;076845A8&quot;/&gt;&lt;wsp:rsid wsp:val=&quot;07685977&quot;/&gt;&lt;wsp:rsid wsp:val=&quot;07691ABC&quot;/&gt;&lt;wsp:rsid wsp:val=&quot;07691ADF&quot;/&gt;&lt;wsp:rsid wsp:val=&quot;076A6D07&quot;/&gt;&lt;wsp:rsid wsp:val=&quot;07702E6D&quot;/&gt;&lt;wsp:rsid wsp:val=&quot;07706FB0&quot;/&gt;&lt;wsp:rsid wsp:val=&quot;07754928&quot;/&gt;&lt;wsp:rsid wsp:val=&quot;07762B7A&quot;/&gt;&lt;wsp:rsid wsp:val=&quot;07770C56&quot;/&gt;&lt;wsp:rsid wsp:val=&quot;0777297F&quot;/&gt;&lt;wsp:rsid wsp:val=&quot;077811A5&quot;/&gt;&lt;wsp:rsid wsp:val=&quot;077961C6&quot;/&gt;&lt;wsp:rsid wsp:val=&quot;077A1F3E&quot;/&gt;&lt;wsp:rsid wsp:val=&quot;077B0190&quot;/&gt;&lt;wsp:rsid wsp:val=&quot;077E1A2E&quot;/&gt;&lt;wsp:rsid wsp:val=&quot;077E558A&quot;/&gt;&lt;wsp:rsid wsp:val=&quot;077F1302&quot;/&gt;&lt;wsp:rsid wsp:val=&quot;07801ECC&quot;/&gt;&lt;wsp:rsid wsp:val=&quot;07805172&quot;/&gt;&lt;wsp:rsid wsp:val=&quot;0781507A&quot;/&gt;&lt;wsp:rsid wsp:val=&quot;07827A92&quot;/&gt;&lt;wsp:rsid wsp:val=&quot;07832BA1&quot;/&gt;&lt;wsp:rsid wsp:val=&quot;07846626&quot;/&gt;&lt;wsp:rsid wsp:val=&quot;07854B6B&quot;/&gt;&lt;wsp:rsid wsp:val=&quot;07857B54&quot;/&gt;&lt;wsp:rsid wsp:val=&quot;07893136&quot;/&gt;&lt;wsp:rsid wsp:val=&quot;07893F2F&quot;/&gt;&lt;wsp:rsid wsp:val=&quot;078B414B&quot;/&gt;&lt;wsp:rsid wsp:val=&quot;078B5CF1&quot;/&gt;&lt;wsp:rsid wsp:val=&quot;078C2285&quot;/&gt;&lt;wsp:rsid wsp:val=&quot;078D0392&quot;/&gt;&lt;wsp:rsid wsp:val=&quot;078E1545&quot;/&gt;&lt;wsp:rsid wsp:val=&quot;078F7F52&quot;/&gt;&lt;wsp:rsid wsp:val=&quot;07910380&quot;/&gt;&lt;wsp:rsid wsp:val=&quot;07911761&quot;/&gt;&lt;wsp:rsid wsp:val=&quot;07917C6B&quot;/&gt;&lt;wsp:rsid wsp:val=&quot;079254DA&quot;/&gt;&lt;wsp:rsid wsp:val=&quot;07941252&quot;/&gt;&lt;wsp:rsid wsp:val=&quot;07944DAE&quot;/&gt;&lt;wsp:rsid wsp:val=&quot;07950B26&quot;/&gt;&lt;wsp:rsid wsp:val=&quot;0797489E&quot;/&gt;&lt;wsp:rsid wsp:val=&quot;0797664C&quot;/&gt;&lt;wsp:rsid wsp:val=&quot;079923C4&quot;/&gt;&lt;wsp:rsid wsp:val=&quot;07996868&quot;/&gt;&lt;wsp:rsid wsp:val=&quot;079A16F4&quot;/&gt;&lt;wsp:rsid wsp:val=&quot;079B25E0&quot;/&gt;&lt;wsp:rsid wsp:val=&quot;079B438E&quot;/&gt;&lt;wsp:rsid wsp:val=&quot;079C3C62&quot;/&gt;&lt;wsp:rsid wsp:val=&quot;079E06FB&quot;/&gt;&lt;wsp:rsid wsp:val=&quot;079E5C2C&quot;/&gt;&lt;wsp:rsid wsp:val=&quot;07A05C0E&quot;/&gt;&lt;wsp:rsid wsp:val=&quot;07A07BF6&quot;/&gt;&lt;wsp:rsid wsp:val=&quot;07A11279&quot;/&gt;&lt;wsp:rsid wsp:val=&quot;07A14383&quot;/&gt;&lt;wsp:rsid wsp:val=&quot;07A174CB&quot;/&gt;&lt;wsp:rsid wsp:val=&quot;07A2707C&quot;/&gt;&lt;wsp:rsid wsp:val=&quot;07A33243&quot;/&gt;&lt;wsp:rsid wsp:val=&quot;07A42E2C&quot;/&gt;&lt;wsp:rsid wsp:val=&quot;07A50D69&quot;/&gt;&lt;wsp:rsid wsp:val=&quot;07A559FD&quot;/&gt;&lt;wsp:rsid wsp:val=&quot;07A56FBB&quot;/&gt;&lt;wsp:rsid wsp:val=&quot;07A92310&quot;/&gt;&lt;wsp:rsid wsp:val=&quot;07AC1A3E&quot;/&gt;&lt;wsp:rsid wsp:val=&quot;07B205E1&quot;/&gt;&lt;wsp:rsid wsp:val=&quot;07B23486&quot;/&gt;&lt;wsp:rsid wsp:val=&quot;07B436A2&quot;/&gt;&lt;wsp:rsid wsp:val=&quot;07B812A2&quot;/&gt;&lt;wsp:rsid wsp:val=&quot;07BA6D2A&quot;/&gt;&lt;wsp:rsid wsp:val=&quot;07BB058C&quot;/&gt;&lt;wsp:rsid wsp:val=&quot;07BC2556&quot;/&gt;&lt;wsp:rsid wsp:val=&quot;07BE7AF8&quot;/&gt;&lt;wsp:rsid wsp:val=&quot;07BF1A61&quot;/&gt;&lt;wsp:rsid wsp:val=&quot;07C05BA3&quot;/&gt;&lt;wsp:rsid wsp:val=&quot;07C27AF6&quot;/&gt;&lt;wsp:rsid wsp:val=&quot;07C363B5&quot;/&gt;&lt;wsp:rsid wsp:val=&quot;07C37441&quot;/&gt;&lt;wsp:rsid wsp:val=&quot;07C531B9&quot;/&gt;&lt;wsp:rsid wsp:val=&quot;07C5765D&quot;/&gt;&lt;wsp:rsid wsp:val=&quot;07C91A81&quot;/&gt;&lt;wsp:rsid wsp:val=&quot;07CA07CF&quot;/&gt;&lt;wsp:rsid wsp:val=&quot;07CA4AA7&quot;/&gt;&lt;wsp:rsid wsp:val=&quot;07CA6A21&quot;/&gt;&lt;wsp:rsid wsp:val=&quot;07CE4C09&quot;/&gt;&lt;wsp:rsid wsp:val=&quot;07CF1338&quot;/&gt;&lt;wsp:rsid wsp:val=&quot;07CF4038&quot;/&gt;&lt;wsp:rsid wsp:val=&quot;07D21D7A&quot;/&gt;&lt;wsp:rsid wsp:val=&quot;07D23B28&quot;/&gt;&lt;wsp:rsid wsp:val=&quot;07D433FC&quot;/&gt;&lt;wsp:rsid wsp:val=&quot;07D478A0&quot;/&gt;&lt;wsp:rsid wsp:val=&quot;07D653C6&quot;/&gt;&lt;wsp:rsid wsp:val=&quot;07D7113E&quot;/&gt;&lt;wsp:rsid wsp:val=&quot;07D72EEC&quot;/&gt;&lt;wsp:rsid wsp:val=&quot;07D92D31&quot;/&gt;&lt;wsp:rsid wsp:val=&quot;07D948ED&quot;/&gt;&lt;wsp:rsid wsp:val=&quot;07DB0C2F&quot;/&gt;&lt;wsp:rsid wsp:val=&quot;07DB478B&quot;/&gt;&lt;wsp:rsid wsp:val=&quot;07DB63FB&quot;/&gt;&lt;wsp:rsid wsp:val=&quot;07DD49A7&quot;/&gt;&lt;wsp:rsid wsp:val=&quot;07DE427B&quot;/&gt;&lt;wsp:rsid wsp:val=&quot;07DE470A&quot;/&gt;&lt;wsp:rsid wsp:val=&quot;07E04497&quot;/&gt;&lt;wsp:rsid wsp:val=&quot;07E31891&quot;/&gt;&lt;wsp:rsid wsp:val=&quot;07E33A79&quot;/&gt;&lt;wsp:rsid wsp:val=&quot;07E35D35&quot;/&gt;&lt;wsp:rsid wsp:val=&quot;07E41A00&quot;/&gt;&lt;wsp:rsid wsp:val=&quot;07E51AAD&quot;/&gt;&lt;wsp:rsid wsp:val=&quot;07E5527B&quot;/&gt;&lt;wsp:rsid wsp:val=&quot;07E569E5&quot;/&gt;&lt;wsp:rsid wsp:val=&quot;07E61381&quot;/&gt;&lt;wsp:rsid wsp:val=&quot;07E6312F&quot;/&gt;&lt;wsp:rsid wsp:val=&quot;07E8334B&quot;/&gt;&lt;wsp:rsid wsp:val=&quot;07E850FA&quot;/&gt;&lt;wsp:rsid wsp:val=&quot;07EA42D2&quot;/&gt;&lt;wsp:rsid wsp:val=&quot;07ED0962&quot;/&gt;&lt;wsp:rsid wsp:val=&quot;07EE66EF&quot;/&gt;&lt;wsp:rsid wsp:val=&quot;07EF0236&quot;/&gt;&lt;wsp:rsid wsp:val=&quot;07EF6488&quot;/&gt;&lt;wsp:rsid wsp:val=&quot;07F25F78&quot;/&gt;&lt;wsp:rsid wsp:val=&quot;07F27D26&quot;/&gt;&lt;wsp:rsid wsp:val=&quot;07F341CA&quot;/&gt;&lt;wsp:rsid wsp:val=&quot;07F615C4&quot;/&gt;&lt;wsp:rsid wsp:val=&quot;07F7358F&quot;/&gt;&lt;wsp:rsid wsp:val=&quot;07F92E63&quot;/&gt;&lt;wsp:rsid wsp:val=&quot;07FA1055&quot;/&gt;&lt;wsp:rsid wsp:val=&quot;07FB4E2D&quot;/&gt;&lt;wsp:rsid wsp:val=&quot;07FC0BA5&quot;/&gt;&lt;wsp:rsid wsp:val=&quot;07FE66CB&quot;/&gt;&lt;wsp:rsid wsp:val=&quot;08010F28&quot;/&gt;&lt;wsp:rsid wsp:val=&quot;0802440D&quot;/&gt;&lt;wsp:rsid wsp:val=&quot;08035739&quot;/&gt;&lt;wsp:rsid wsp:val=&quot;0806421B&quot;/&gt;&lt;wsp:rsid wsp:val=&quot;080662FF&quot;/&gt;&lt;wsp:rsid wsp:val=&quot;080715F7&quot;/&gt;&lt;wsp:rsid wsp:val=&quot;08071A24&quot;/&gt;&lt;wsp:rsid wsp:val=&quot;080A32C2&quot;/&gt;&lt;wsp:rsid wsp:val=&quot;080A5070&quot;/&gt;&lt;wsp:rsid wsp:val=&quot;080C703A&quot;/&gt;&lt;wsp:rsid wsp:val=&quot;080D34CF&quot;/&gt;&lt;wsp:rsid wsp:val=&quot;080D690E&quot;/&gt;&lt;wsp:rsid wsp:val=&quot;080F08D8&quot;/&gt;&lt;wsp:rsid wsp:val=&quot;080F6B2A&quot;/&gt;&lt;wsp:rsid wsp:val=&quot;081128A2&quot;/&gt;&lt;wsp:rsid wsp:val=&quot;08123F24&quot;/&gt;&lt;wsp:rsid wsp:val=&quot;08140F75&quot;/&gt;&lt;wsp:rsid wsp:val=&quot;08147C9D&quot;/&gt;&lt;wsp:rsid wsp:val=&quot;081571C7&quot;/&gt;&lt;wsp:rsid wsp:val=&quot;08167EB9&quot;/&gt;&lt;wsp:rsid wsp:val=&quot;0817778D&quot;/&gt;&lt;wsp:rsid wsp:val=&quot;0818229C&quot;/&gt;&lt;wsp:rsid wsp:val=&quot;081845DE&quot;/&gt;&lt;wsp:rsid wsp:val=&quot;081B102B&quot;/&gt;&lt;wsp:rsid wsp:val=&quot;081C57E7&quot;/&gt;&lt;wsp:rsid wsp:val=&quot;081D79E5&quot;/&gt;&lt;wsp:rsid wsp:val=&quot;081E0B1B&quot;/&gt;&lt;wsp:rsid wsp:val=&quot;0822060B&quot;/&gt;&lt;wsp:rsid wsp:val=&quot;08232813&quot;/&gt;&lt;wsp:rsid wsp:val=&quot;082500FC&quot;/&gt;&lt;wsp:rsid wsp:val=&quot;08251EAA&quot;/&gt;&lt;wsp:rsid wsp:val=&quot;082617B3&quot;/&gt;&lt;wsp:rsid wsp:val=&quot;08272E75&quot;/&gt;&lt;wsp:rsid wsp:val=&quot;08273E74&quot;/&gt;&lt;wsp:rsid wsp:val=&quot;082779D0&quot;/&gt;&lt;wsp:rsid wsp:val=&quot;0828199A&quot;/&gt;&lt;wsp:rsid wsp:val=&quot;082827E7&quot;/&gt;&lt;wsp:rsid wsp:val=&quot;08283748&quot;/&gt;&lt;wsp:rsid wsp:val=&quot;082B3EF7&quot;/&gt;&lt;wsp:rsid wsp:val=&quot;082D6FB0&quot;/&gt;&lt;wsp:rsid wsp:val=&quot;082E1370&quot;/&gt;&lt;wsp:rsid wsp:val=&quot;082F13D5&quot;/&gt;&lt;wsp:rsid wsp:val=&quot;082F4AD6&quot;/&gt;&lt;wsp:rsid wsp:val=&quot;08311C34&quot;/&gt;&lt;wsp:rsid wsp:val=&quot;08332819&quot;/&gt;&lt;wsp:rsid wsp:val=&quot;08345F36&quot;/&gt;&lt;wsp:rsid wsp:val=&quot;08365E65&quot;/&gt;&lt;wsp:rsid wsp:val=&quot;0837398B&quot;/&gt;&lt;wsp:rsid wsp:val=&quot;08381BDD&quot;/&gt;&lt;wsp:rsid wsp:val=&quot;08395955&quot;/&gt;&lt;wsp:rsid wsp:val=&quot;083A10B9&quot;/&gt;&lt;wsp:rsid wsp:val=&quot;083C05DD&quot;/&gt;&lt;wsp:rsid wsp:val=&quot;083D3697&quot;/&gt;&lt;wsp:rsid wsp:val=&quot;084037EA&quot;/&gt;&lt;wsp:rsid wsp:val=&quot;08406CE4&quot;/&gt;&lt;wsp:rsid wsp:val=&quot;08417F6A&quot;/&gt;&lt;wsp:rsid wsp:val=&quot;084270BC&quot;/&gt;&lt;wsp:rsid wsp:val=&quot;08444A26&quot;/&gt;&lt;wsp:rsid wsp:val=&quot;08452613&quot;/&gt;&lt;wsp:rsid wsp:val=&quot;08464A84&quot;/&gt;&lt;wsp:rsid wsp:val=&quot;08470AEB&quot;/&gt;&lt;wsp:rsid wsp:val=&quot;084762C4&quot;/&gt;&lt;wsp:rsid wsp:val=&quot;08485B98&quot;/&gt;&lt;wsp:rsid wsp:val=&quot;084939FF&quot;/&gt;&lt;wsp:rsid wsp:val=&quot;0849771D&quot;/&gt;&lt;wsp:rsid wsp:val=&quot;084C7436&quot;/&gt;&lt;wsp:rsid wsp:val=&quot;084E7652&quot;/&gt;&lt;wsp:rsid wsp:val=&quot;084F5179&quot;/&gt;&lt;wsp:rsid wsp:val=&quot;08512CB2&quot;/&gt;&lt;wsp:rsid wsp:val=&quot;085207C5&quot;/&gt;&lt;wsp:rsid wsp:val=&quot;085539AF&quot;/&gt;&lt;wsp:rsid wsp:val=&quot;0858402D&quot;/&gt;&lt;wsp:rsid wsp:val=&quot;0858732C&quot;/&gt;&lt;wsp:rsid wsp:val=&quot;08591B53&quot;/&gt;&lt;wsp:rsid wsp:val=&quot;085A5AD1&quot;/&gt;&lt;wsp:rsid wsp:val=&quot;085B58CB&quot;/&gt;&lt;wsp:rsid wsp:val=&quot;085D4452&quot;/&gt;&lt;wsp:rsid wsp:val=&quot;085D7896&quot;/&gt;&lt;wsp:rsid wsp:val=&quot;085E716A&quot;/&gt;&lt;wsp:rsid wsp:val=&quot;08602EE2&quot;/&gt;&lt;wsp:rsid wsp:val=&quot;086230FE&quot;/&gt;&lt;wsp:rsid wsp:val=&quot;08624EAC&quot;/&gt;&lt;wsp:rsid wsp:val=&quot;08634780&quot;/&gt;&lt;wsp:rsid wsp:val=&quot;08646E76&quot;/&gt;&lt;wsp:rsid wsp:val=&quot;086557B5&quot;/&gt;&lt;wsp:rsid wsp:val=&quot;0865674A&quot;/&gt;&lt;wsp:rsid wsp:val=&quot;08664074&quot;/&gt;&lt;wsp:rsid wsp:val=&quot;08670714&quot;/&gt;&lt;wsp:rsid wsp:val=&quot;08674270&quot;/&gt;&lt;wsp:rsid wsp:val=&quot;0869448C&quot;/&gt;&lt;wsp:rsid wsp:val=&quot;0869623A&quot;/&gt;&lt;wsp:rsid wsp:val=&quot;086A1FB2&quot;/&gt;&lt;wsp:rsid wsp:val=&quot;086A3D60&quot;/&gt;&lt;wsp:rsid wsp:val=&quot;086A6A56&quot;/&gt;&lt;wsp:rsid wsp:val=&quot;086C1887&quot;/&gt;&lt;wsp:rsid wsp:val=&quot;086C5D2B&quot;/&gt;&lt;wsp:rsid wsp:val=&quot;086F75C9&quot;/&gt;&lt;wsp:rsid wsp:val=&quot;08713341&quot;/&gt;&lt;wsp:rsid wsp:val=&quot;087150EF&quot;/&gt;&lt;wsp:rsid wsp:val=&quot;08744BDF&quot;/&gt;&lt;wsp:rsid wsp:val=&quot;08760957&quot;/&gt;&lt;wsp:rsid wsp:val=&quot;087921F6&quot;/&gt;&lt;wsp:rsid wsp:val=&quot;087937D2&quot;/&gt;&lt;wsp:rsid wsp:val=&quot;087B3986&quot;/&gt;&lt;wsp:rsid wsp:val=&quot;087B41C0&quot;/&gt;&lt;wsp:rsid wsp:val=&quot;087B7D1C&quot;/&gt;&lt;wsp:rsid wsp:val=&quot;088352BB&quot;/&gt;&lt;wsp:rsid wsp:val=&quot;088618A1&quot;/&gt;&lt;wsp:rsid wsp:val=&quot;088766C0&quot;/&gt;&lt;wsp:rsid wsp:val=&quot;0889068B&quot;/&gt;&lt;wsp:rsid wsp:val=&quot;088A61B1&quot;/&gt;&lt;wsp:rsid wsp:val=&quot;088B080D&quot;/&gt;&lt;wsp:rsid wsp:val=&quot;088B74D0&quot;/&gt;&lt;wsp:rsid wsp:val=&quot;088C1F29&quot;/&gt;&lt;wsp:rsid wsp:val=&quot;088E3EF3&quot;/&gt;&lt;wsp:rsid wsp:val=&quot;088E5CA1&quot;/&gt;&lt;wsp:rsid wsp:val=&quot;088E7A4F&quot;/&gt;&lt;wsp:rsid wsp:val=&quot;089112ED&quot;/&gt;&lt;wsp:rsid wsp:val=&quot;08931509&quot;/&gt;&lt;wsp:rsid wsp:val=&quot;08961B37&quot;/&gt;&lt;wsp:rsid wsp:val=&quot;08964B56&quot;/&gt;&lt;wsp:rsid wsp:val=&quot;08980644&quot;/&gt;&lt;wsp:rsid wsp:val=&quot;089808CE&quot;/&gt;&lt;wsp:rsid wsp:val=&quot;089C787D&quot;/&gt;&lt;wsp:rsid wsp:val=&quot;089D4136&quot;/&gt;&lt;wsp:rsid wsp:val=&quot;08A059D4&quot;/&gt;&lt;wsp:rsid wsp:val=&quot;08A07D80&quot;/&gt;&lt;wsp:rsid wsp:val=&quot;08A13C26&quot;/&gt;&lt;wsp:rsid wsp:val=&quot;08A2174C&quot;/&gt;&lt;wsp:rsid wsp:val=&quot;08A31374&quot;/&gt;&lt;wsp:rsid wsp:val=&quot;08A41020&quot;/&gt;&lt;wsp:rsid wsp:val=&quot;08A46BE7&quot;/&gt;&lt;wsp:rsid wsp:val=&quot;08A52FEB&quot;/&gt;&lt;wsp:rsid wsp:val=&quot;08A54D99&quot;/&gt;&lt;wsp:rsid wsp:val=&quot;08A551D4&quot;/&gt;&lt;wsp:rsid wsp:val=&quot;08A6123D&quot;/&gt;&lt;wsp:rsid wsp:val=&quot;08A67A0E&quot;/&gt;&lt;wsp:rsid wsp:val=&quot;08A76D63&quot;/&gt;&lt;wsp:rsid wsp:val=&quot;08A90D2D&quot;/&gt;&lt;wsp:rsid wsp:val=&quot;08A92ADB&quot;/&gt;&lt;wsp:rsid wsp:val=&quot;08AB69AB&quot;/&gt;&lt;wsp:rsid wsp:val=&quot;08AC0DB1&quot;/&gt;&lt;wsp:rsid wsp:val=&quot;08AC25CB&quot;/&gt;&lt;wsp:rsid wsp:val=&quot;08AC35B4&quot;/&gt;&lt;wsp:rsid wsp:val=&quot;08AC4379&quot;/&gt;&lt;wsp:rsid wsp:val=&quot;08AC6127&quot;/&gt;&lt;wsp:rsid wsp:val=&quot;08B135FF&quot;/&gt;&lt;wsp:rsid wsp:val=&quot;08B1373D&quot;/&gt;&lt;wsp:rsid wsp:val=&quot;08B17BE1&quot;/&gt;&lt;wsp:rsid wsp:val=&quot;08B374B6&quot;/&gt;&lt;wsp:rsid wsp:val=&quot;08B4685D&quot;/&gt;&lt;wsp:rsid wsp:val=&quot;08B50FFC&quot;/&gt;&lt;wsp:rsid wsp:val=&quot;08B5322E&quot;/&gt;&lt;wsp:rsid wsp:val=&quot;08B53DF1&quot;/&gt;&lt;wsp:rsid wsp:val=&quot;08B576D2&quot;/&gt;&lt;wsp:rsid wsp:val=&quot;08B65A08&quot;/&gt;&lt;wsp:rsid wsp:val=&quot;08B66FA6&quot;/&gt;&lt;wsp:rsid wsp:val=&quot;08B8779C&quot;/&gt;&lt;wsp:rsid wsp:val=&quot;08B916C3&quot;/&gt;&lt;wsp:rsid wsp:val=&quot;08BA6A96&quot;/&gt;&lt;wsp:rsid wsp:val=&quot;08BB45BC&quot;/&gt;&lt;wsp:rsid wsp:val=&quot;08BB636A&quot;/&gt;&lt;wsp:rsid wsp:val=&quot;08BB7A19&quot;/&gt;&lt;wsp:rsid wsp:val=&quot;08BC0A60&quot;/&gt;&lt;wsp:rsid wsp:val=&quot;08BD6586&quot;/&gt;&lt;wsp:rsid wsp:val=&quot;08C04C7F&quot;/&gt;&lt;wsp:rsid wsp:val=&quot;08C07E24&quot;/&gt;&lt;wsp:rsid wsp:val=&quot;08C16076&quot;/&gt;&lt;wsp:rsid wsp:val=&quot;08C1610F&quot;/&gt;&lt;wsp:rsid wsp:val=&quot;08C3507A&quot;/&gt;&lt;wsp:rsid wsp:val=&quot;08C43471&quot;/&gt;&lt;wsp:rsid wsp:val=&quot;08C55F20&quot;/&gt;&lt;wsp:rsid wsp:val=&quot;08C61F81&quot;/&gt;&lt;wsp:rsid wsp:val=&quot;08C6368D&quot;/&gt;&lt;wsp:rsid wsp:val=&quot;08C77405&quot;/&gt;&lt;wsp:rsid wsp:val=&quot;08C82909&quot;/&gt;&lt;wsp:rsid wsp:val=&quot;08C848A1&quot;/&gt;&lt;wsp:rsid wsp:val=&quot;08C96CD9&quot;/&gt;&lt;wsp:rsid wsp:val=&quot;08CC0577&quot;/&gt;&lt;wsp:rsid wsp:val=&quot;08CF1E16&quot;/&gt;&lt;wsp:rsid wsp:val=&quot;08CF39D9&quot;/&gt;&lt;wsp:rsid wsp:val=&quot;08D00067&quot;/&gt;&lt;wsp:rsid wsp:val=&quot;08D04774&quot;/&gt;&lt;wsp:rsid wsp:val=&quot;08D12032&quot;/&gt;&lt;wsp:rsid wsp:val=&quot;08D31906&quot;/&gt;&lt;wsp:rsid wsp:val=&quot;08D35DAA&quot;/&gt;&lt;wsp:rsid wsp:val=&quot;08D51B22&quot;/&gt;&lt;wsp:rsid wsp:val=&quot;08D538D0&quot;/&gt;&lt;wsp:rsid wsp:val=&quot;08D631A4&quot;/&gt;&lt;wsp:rsid wsp:val=&quot;08D833C0&quot;/&gt;&lt;wsp:rsid wsp:val=&quot;08D8516E&quot;/&gt;&lt;wsp:rsid wsp:val=&quot;08DA0EE6&quot;/&gt;&lt;wsp:rsid wsp:val=&quot;08DA2C94&quot;/&gt;&lt;wsp:rsid wsp:val=&quot;08DB6A0C&quot;/&gt;&lt;wsp:rsid wsp:val=&quot;08DD4532&quot;/&gt;&lt;wsp:rsid wsp:val=&quot;08DF64FD&quot;/&gt;&lt;wsp:rsid wsp:val=&quot;08E104C7&quot;/&gt;&lt;wsp:rsid wsp:val=&quot;08E12275&quot;/&gt;&lt;wsp:rsid wsp:val=&quot;08E17D6D&quot;/&gt;&lt;wsp:rsid wsp:val=&quot;08E42E33&quot;/&gt;&lt;wsp:rsid wsp:val=&quot;08E458C1&quot;/&gt;&lt;wsp:rsid wsp:val=&quot;08E51639&quot;/&gt;&lt;wsp:rsid wsp:val=&quot;08E528FC&quot;/&gt;&lt;wsp:rsid wsp:val=&quot;08E6766C&quot;/&gt;&lt;wsp:rsid wsp:val=&quot;08E6788B&quot;/&gt;&lt;wsp:rsid wsp:val=&quot;08E76FAB&quot;/&gt;&lt;wsp:rsid wsp:val=&quot;08E828A9&quot;/&gt;&lt;wsp:rsid wsp:val=&quot;08E91129&quot;/&gt;&lt;wsp:rsid wsp:val=&quot;08E92ED7&quot;/&gt;&lt;wsp:rsid wsp:val=&quot;08EB30F3&quot;/&gt;&lt;wsp:rsid wsp:val=&quot;08EB4EA1&quot;/&gt;&lt;wsp:rsid wsp:val=&quot;08EB6C4F&quot;/&gt;&lt;wsp:rsid wsp:val=&quot;08EC0C19&quot;/&gt;&lt;wsp:rsid wsp:val=&quot;08EC29C7&quot;/&gt;&lt;wsp:rsid wsp:val=&quot;08EC3C9C&quot;/&gt;&lt;wsp:rsid wsp:val=&quot;08EE6740&quot;/&gt;&lt;wsp:rsid wsp:val=&quot;08EF6592&quot;/&gt;&lt;wsp:rsid wsp:val=&quot;08F024B8&quot;/&gt;&lt;wsp:rsid wsp:val=&quot;08F04266&quot;/&gt;&lt;wsp:rsid wsp:val=&quot;08F24482&quot;/&gt;&lt;wsp:rsid wsp:val=&quot;08F31FA8&quot;/&gt;&lt;wsp:rsid wsp:val=&quot;08F5187C&quot;/&gt;&lt;wsp:rsid wsp:val=&quot;08F63846&quot;/&gt;&lt;wsp:rsid wsp:val=&quot;08F951DD&quot;/&gt;&lt;wsp:rsid wsp:val=&quot;08FA3336&quot;/&gt;&lt;wsp:rsid wsp:val=&quot;08FA50E4&quot;/&gt;&lt;wsp:rsid wsp:val=&quot;08FA6E92&quot;/&gt;&lt;wsp:rsid wsp:val=&quot;08FB2771&quot;/&gt;&lt;wsp:rsid wsp:val=&quot;08FC3626&quot;/&gt;&lt;wsp:rsid wsp:val=&quot;08FF0C82&quot;/&gt;&lt;wsp:rsid wsp:val=&quot;08FF26FB&quot;/&gt;&lt;wsp:rsid wsp:val=&quot;09000221&quot;/&gt;&lt;wsp:rsid wsp:val=&quot;090137FA&quot;/&gt;&lt;wsp:rsid wsp:val=&quot;09016473&quot;/&gt;&lt;wsp:rsid wsp:val=&quot;0902043D&quot;/&gt;&lt;wsp:rsid wsp:val=&quot;090221EB&quot;/&gt;&lt;wsp:rsid wsp:val=&quot;09027603&quot;/&gt;&lt;wsp:rsid wsp:val=&quot;090441B5&quot;/&gt;&lt;wsp:rsid wsp:val=&quot;09044B9E&quot;/&gt;&lt;wsp:rsid wsp:val=&quot;09045F63&quot;/&gt;&lt;wsp:rsid wsp:val=&quot;09047D11&quot;/&gt;&lt;wsp:rsid wsp:val=&quot;09063A89&quot;/&gt;&lt;wsp:rsid wsp:val=&quot;09083475&quot;/&gt;&lt;wsp:rsid wsp:val=&quot;09093579&quot;/&gt;&lt;wsp:rsid wsp:val=&quot;090D12BC&quot;/&gt;&lt;wsp:rsid wsp:val=&quot;090D1B45&quot;/&gt;&lt;wsp:rsid wsp:val=&quot;09102B5A&quot;/&gt;&lt;wsp:rsid wsp:val=&quot;0911242E&quot;/&gt;&lt;wsp:rsid wsp:val=&quot;09120680&quot;/&gt;&lt;wsp:rsid wsp:val=&quot;0913264A&quot;/&gt;&lt;wsp:rsid wsp:val=&quot;09150170&quot;/&gt;&lt;wsp:rsid wsp:val=&quot;09151F1E&quot;/&gt;&lt;wsp:rsid wsp:val=&quot;09175C96&quot;/&gt;&lt;wsp:rsid wsp:val=&quot;091A12E3&quot;/&gt;&lt;wsp:rsid wsp:val=&quot;091F2D9D&quot;/&gt;&lt;wsp:rsid wsp:val=&quot;092108C3&quot;/&gt;&lt;wsp:rsid wsp:val=&quot;09212671&quot;/&gt;&lt;wsp:rsid wsp:val=&quot;092217DD&quot;/&gt;&lt;wsp:rsid wsp:val=&quot;0923288D&quot;/&gt;&lt;wsp:rsid wsp:val=&quot;092403B3&quot;/&gt;&lt;wsp:rsid wsp:val=&quot;09242161&quot;/&gt;&lt;wsp:rsid wsp:val=&quot;09245AAA&quot;/&gt;&lt;wsp:rsid wsp:val=&quot;0926237D&quot;/&gt;&lt;wsp:rsid wsp:val=&quot;09287EA3&quot;/&gt;&lt;wsp:rsid wsp:val=&quot;092927AE&quot;/&gt;&lt;wsp:rsid wsp:val=&quot;09292D87&quot;/&gt;&lt;wsp:rsid wsp:val=&quot;092959CA&quot;/&gt;&lt;wsp:rsid wsp:val=&quot;092E1232&quot;/&gt;&lt;wsp:rsid wsp:val=&quot;09300DA6&quot;/&gt;&lt;wsp:rsid wsp:val=&quot;09304FAA&quot;/&gt;&lt;wsp:rsid wsp:val=&quot;09306D58&quot;/&gt;&lt;wsp:rsid wsp:val=&quot;09336848&quot;/&gt;&lt;wsp:rsid wsp:val=&quot;09364DC9&quot;/&gt;&lt;wsp:rsid wsp:val=&quot;09382988&quot;/&gt;&lt;wsp:rsid wsp:val=&quot;093A3733&quot;/&gt;&lt;wsp:rsid wsp:val=&quot;093A7294&quot;/&gt;&lt;wsp:rsid wsp:val=&quot;093D1475&quot;/&gt;&lt;wsp:rsid wsp:val=&quot;093E76C7&quot;/&gt;&lt;wsp:rsid wsp:val=&quot;093F29B1&quot;/&gt;&lt;wsp:rsid wsp:val=&quot;093F29C2&quot;/&gt;&lt;wsp:rsid wsp:val=&quot;09410A35&quot;/&gt;&lt;wsp:rsid wsp:val=&quot;09414AC1&quot;/&gt;&lt;wsp:rsid wsp:val=&quot;09420839&quot;/&gt;&lt;wsp:rsid wsp:val=&quot;09436A8B&quot;/&gt;&lt;wsp:rsid wsp:val=&quot;09475E50&quot;/&gt;&lt;wsp:rsid wsp:val=&quot;09491BC8&quot;/&gt;&lt;wsp:rsid wsp:val=&quot;094B3B92&quot;/&gt;&lt;wsp:rsid wsp:val=&quot;094B59B5&quot;/&gt;&lt;wsp:rsid wsp:val=&quot;094B782F&quot;/&gt;&lt;wsp:rsid wsp:val=&quot;094C3466&quot;/&gt;&lt;wsp:rsid wsp:val=&quot;094E3682&quot;/&gt;&lt;wsp:rsid wsp:val=&quot;094F1627&quot;/&gt;&lt;wsp:rsid wsp:val=&quot;095073FA&quot;/&gt;&lt;wsp:rsid wsp:val=&quot;0951429E&quot;/&gt;&lt;wsp:rsid wsp:val=&quot;09532A47&quot;/&gt;&lt;wsp:rsid wsp:val=&quot;09542264&quot;/&gt;&lt;wsp:rsid wsp:val=&quot;09562B22&quot;/&gt;&lt;wsp:rsid wsp:val=&quot;09570789&quot;/&gt;&lt;wsp:rsid wsp:val=&quot;095742E5&quot;/&gt;&lt;wsp:rsid wsp:val=&quot;0958005D&quot;/&gt;&lt;wsp:rsid wsp:val=&quot;09585107&quot;/&gt;&lt;wsp:rsid wsp:val=&quot;095962AF&quot;/&gt;&lt;wsp:rsid wsp:val=&quot;095A2027&quot;/&gt;&lt;wsp:rsid wsp:val=&quot;095A3DD5&quot;/&gt;&lt;wsp:rsid wsp:val=&quot;095A5B83&quot;/&gt;&lt;wsp:rsid wsp:val=&quot;095C0F1D&quot;/&gt;&lt;wsp:rsid wsp:val=&quot;096124E4&quot;/&gt;&lt;wsp:rsid wsp:val=&quot;096133B5&quot;/&gt;&lt;wsp:rsid wsp:val=&quot;096236A8&quot;/&gt;&lt;wsp:rsid wsp:val=&quot;096609CC&quot;/&gt;&lt;wsp:rsid wsp:val=&quot;09664528&quot;/&gt;&lt;wsp:rsid wsp:val=&quot;09694018&quot;/&gt;&lt;wsp:rsid wsp:val=&quot;096A04BC&quot;/&gt;&lt;wsp:rsid wsp:val=&quot;096A533F&quot;/&gt;&lt;wsp:rsid wsp:val=&quot;096B7D90&quot;/&gt;&lt;wsp:rsid wsp:val=&quot;096C65C2&quot;/&gt;&lt;wsp:rsid wsp:val=&quot;096D3B08&quot;/&gt;&lt;wsp:rsid wsp:val=&quot;096E162B&quot;/&gt;&lt;wsp:rsid wsp:val=&quot;096E7880&quot;/&gt;&lt;wsp:rsid wsp:val=&quot;09711DE5&quot;/&gt;&lt;wsp:rsid wsp:val=&quot;0972111F&quot;/&gt;&lt;wsp:rsid wsp:val=&quot;09722ECD&quot;/&gt;&lt;wsp:rsid wsp:val=&quot;09727371&quot;/&gt;&lt;wsp:rsid wsp:val=&quot;097338C4&quot;/&gt;&lt;wsp:rsid wsp:val=&quot;09744D54&quot;/&gt;&lt;wsp:rsid wsp:val=&quot;09750C0F&quot;/&gt;&lt;wsp:rsid wsp:val=&quot;09756E61&quot;/&gt;&lt;wsp:rsid wsp:val=&quot;09761AF5&quot;/&gt;&lt;wsp:rsid wsp:val=&quot;09766816&quot;/&gt;&lt;wsp:rsid wsp:val=&quot;09772245&quot;/&gt;&lt;wsp:rsid wsp:val=&quot;097736D5&quot;/&gt;&lt;wsp:rsid wsp:val=&quot;0978425B&quot;/&gt;&lt;wsp:rsid wsp:val=&quot;097906FF&quot;/&gt;&lt;wsp:rsid wsp:val=&quot;097924AD&quot;/&gt;&lt;wsp:rsid wsp:val=&quot;097C2B40&quot;/&gt;&lt;wsp:rsid wsp:val=&quot;097C3D4B&quot;/&gt;&lt;wsp:rsid wsp:val=&quot;097D1872&quot;/&gt;&lt;wsp:rsid wsp:val=&quot;097E3F67&quot;/&gt;&lt;wsp:rsid wsp:val=&quot;097F5989&quot;/&gt;&lt;wsp:rsid wsp:val=&quot;098032F7&quot;/&gt;&lt;wsp:rsid wsp:val=&quot;098175B4&quot;/&gt;&lt;wsp:rsid wsp:val=&quot;0983332C&quot;/&gt;&lt;wsp:rsid wsp:val=&quot;098378B0&quot;/&gt;&lt;wsp:rsid wsp:val=&quot;09842C00&quot;/&gt;&lt;wsp:rsid wsp:val=&quot;098470A4&quot;/&gt;&lt;wsp:rsid wsp:val=&quot;09862E1C&quot;/&gt;&lt;wsp:rsid wsp:val=&quot;098B3F8E&quot;/&gt;&lt;wsp:rsid wsp:val=&quot;098D79C2&quot;/&gt;&lt;wsp:rsid wsp:val=&quot;098E3A7F&quot;/&gt;&lt;wsp:rsid wsp:val=&quot;098E58FB&quot;/&gt;&lt;wsp:rsid wsp:val=&quot;098E6D32&quot;/&gt;&lt;wsp:rsid wsp:val=&quot;098F7F23&quot;/&gt;&lt;wsp:rsid wsp:val=&quot;09903C9B&quot;/&gt;&lt;wsp:rsid wsp:val=&quot;099077F7&quot;/&gt;&lt;wsp:rsid wsp:val=&quot;09930631&quot;/&gt;&lt;wsp:rsid wsp:val=&quot;099472E7&quot;/&gt;&lt;wsp:rsid wsp:val=&quot;099512B1&quot;/&gt;&lt;wsp:rsid wsp:val=&quot;09954E0D&quot;/&gt;&lt;wsp:rsid wsp:val=&quot;0996182F&quot;/&gt;&lt;wsp:rsid wsp:val=&quot;0997182D&quot;/&gt;&lt;wsp:rsid wsp:val=&quot;09992BB0&quot;/&gt;&lt;wsp:rsid wsp:val=&quot;099948FD&quot;/&gt;&lt;wsp:rsid wsp:val=&quot;099A01B0&quot;/&gt;&lt;wsp:rsid wsp:val=&quot;099B68C7&quot;/&gt;&lt;wsp:rsid wsp:val=&quot;099F5C8C&quot;/&gt;&lt;wsp:rsid wsp:val=&quot;09A339CE&quot;/&gt;&lt;wsp:rsid wsp:val=&quot;09A3577C&quot;/&gt;&lt;wsp:rsid wsp:val=&quot;09A514F4&quot;/&gt;&lt;wsp:rsid wsp:val=&quot;09A552C3&quot;/&gt;&lt;wsp:rsid wsp:val=&quot;09A63E5B&quot;/&gt;&lt;wsp:rsid wsp:val=&quot;09A6701A&quot;/&gt;&lt;wsp:rsid wsp:val=&quot;09A80FE4&quot;/&gt;&lt;wsp:rsid wsp:val=&quot;09A83091&quot;/&gt;&lt;wsp:rsid wsp:val=&quot;09A911B7&quot;/&gt;&lt;wsp:rsid wsp:val=&quot;09AD480B&quot;/&gt;&lt;wsp:rsid wsp:val=&quot;09AD4EE5&quot;/&gt;&lt;wsp:rsid wsp:val=&quot;09AF2373&quot;/&gt;&lt;wsp:rsid wsp:val=&quot;09B2776D&quot;/&gt;&lt;wsp:rsid wsp:val=&quot;09B278C7&quot;/&gt;&lt;wsp:rsid wsp:val=&quot;09B36291&quot;/&gt;&lt;wsp:rsid wsp:val=&quot;09B554AF&quot;/&gt;&lt;wsp:rsid wsp:val=&quot;09B711FF&quot;/&gt;&lt;wsp:rsid wsp:val=&quot;09B71227&quot;/&gt;&lt;wsp:rsid wsp:val=&quot;09B72FD5&quot;/&gt;&lt;wsp:rsid wsp:val=&quot;09B74D83&quot;/&gt;&lt;wsp:rsid wsp:val=&quot;09B94F9F&quot;/&gt;&lt;wsp:rsid wsp:val=&quot;09B96D4E&quot;/&gt;&lt;wsp:rsid wsp:val=&quot;09BA2AC6&quot;/&gt;&lt;wsp:rsid wsp:val=&quot;09BA6059&quot;/&gt;&lt;wsp:rsid wsp:val=&quot;09BC683E&quot;/&gt;&lt;wsp:rsid wsp:val=&quot;09BD1661&quot;/&gt;&lt;wsp:rsid wsp:val=&quot;09BD3CE3&quot;/&gt;&lt;wsp:rsid wsp:val=&quot;09BE4364&quot;/&gt;&lt;wsp:rsid wsp:val=&quot;09C15C02&quot;/&gt;&lt;wsp:rsid wsp:val=&quot;09C33728&quot;/&gt;&lt;wsp:rsid wsp:val=&quot;09C37BCC&quot;/&gt;&lt;wsp:rsid wsp:val=&quot;09C4534A&quot;/&gt;&lt;wsp:rsid wsp:val=&quot;09C851E3&quot;/&gt;&lt;wsp:rsid wsp:val=&quot;09CB082F&quot;/&gt;&lt;wsp:rsid wsp:val=&quot;09CB4CD3&quot;/&gt;&lt;wsp:rsid wsp:val=&quot;09CC3D82&quot;/&gt;&lt;wsp:rsid wsp:val=&quot;09CD27F9&quot;/&gt;&lt;wsp:rsid wsp:val=&quot;09CE595E&quot;/&gt;&lt;wsp:rsid wsp:val=&quot;09CF031F&quot;/&gt;&lt;wsp:rsid wsp:val=&quot;09D04097&quot;/&gt;&lt;wsp:rsid wsp:val=&quot;09D26061&quot;/&gt;&lt;wsp:rsid wsp:val=&quot;09D35323&quot;/&gt;&lt;wsp:rsid wsp:val=&quot;09D516AE&quot;/&gt;&lt;wsp:rsid wsp:val=&quot;09D5345C&quot;/&gt;&lt;wsp:rsid wsp:val=&quot;09D57E5C&quot;/&gt;&lt;wsp:rsid wsp:val=&quot;09D65B51&quot;/&gt;&lt;wsp:rsid wsp:val=&quot;09D73678&quot;/&gt;&lt;wsp:rsid wsp:val=&quot;09D973F0&quot;/&gt;&lt;wsp:rsid wsp:val=&quot;09DA6CC4&quot;/&gt;&lt;wsp:rsid wsp:val=&quot;09DC2A3C&quot;/&gt;&lt;wsp:rsid wsp:val=&quot;09DC47EA&quot;/&gt;&lt;wsp:rsid wsp:val=&quot;09DE4A06&quot;/&gt;&lt;wsp:rsid wsp:val=&quot;09DE78F8&quot;/&gt;&lt;wsp:rsid wsp:val=&quot;09DF42DA&quot;/&gt;&lt;wsp:rsid wsp:val=&quot;09E0252C&quot;/&gt;&lt;wsp:rsid wsp:val=&quot;09E10931&quot;/&gt;&lt;wsp:rsid wsp:val=&quot;09E162A4&quot;/&gt;&lt;wsp:rsid wsp:val=&quot;09E22693&quot;/&gt;&lt;wsp:rsid wsp:val=&quot;09E32279&quot;/&gt;&lt;wsp:rsid wsp:val=&quot;09E33DCA&quot;/&gt;&lt;wsp:rsid wsp:val=&quot;09E813E1&quot;/&gt;&lt;wsp:rsid wsp:val=&quot;09ED2377&quot;/&gt;&lt;wsp:rsid wsp:val=&quot;09F064E7&quot;/&gt;&lt;wsp:rsid wsp:val=&quot;09F16263&quot;/&gt;&lt;wsp:rsid wsp:val=&quot;09F20866&quot;/&gt;&lt;wsp:rsid wsp:val=&quot;09F5224A&quot;/&gt;&lt;wsp:rsid wsp:val=&quot;09F63AFE&quot;/&gt;&lt;wsp:rsid wsp:val=&quot;09F63FDE&quot;/&gt;&lt;wsp:rsid wsp:val=&quot;09F71624&quot;/&gt;&lt;wsp:rsid wsp:val=&quot;09F77876&quot;/&gt;&lt;wsp:rsid wsp:val=&quot;09FB1114&quot;/&gt;&lt;wsp:rsid wsp:val=&quot;09FB7366&quot;/&gt;&lt;wsp:rsid wsp:val=&quot;09FC30DE&quot;/&gt;&lt;wsp:rsid wsp:val=&quot;09FE29B2&quot;/&gt;&lt;wsp:rsid wsp:val=&quot;09FE6E56&quot;/&gt;&lt;wsp:rsid wsp:val=&quot;0A002BCE&quot;/&gt;&lt;wsp:rsid wsp:val=&quot;0A00672A&quot;/&gt;&lt;wsp:rsid wsp:val=&quot;0A0124A3&quot;/&gt;&lt;wsp:rsid wsp:val=&quot;0A014251&quot;/&gt;&lt;wsp:rsid wsp:val=&quot;0A021C7D&quot;/&gt;&lt;wsp:rsid wsp:val=&quot;0A037FC9&quot;/&gt;&lt;wsp:rsid wsp:val=&quot;0A042DB5&quot;/&gt;&lt;wsp:rsid wsp:val=&quot;0A043EC0&quot;/&gt;&lt;wsp:rsid wsp:val=&quot;0A065F23&quot;/&gt;&lt;wsp:rsid wsp:val=&quot;0A081A83&quot;/&gt;&lt;wsp:rsid wsp:val=&quot;0A083831&quot;/&gt;&lt;wsp:rsid wsp:val=&quot;0A0855DF&quot;/&gt;&lt;wsp:rsid wsp:val=&quot;0A0A73CC&quot;/&gt;&lt;wsp:rsid wsp:val=&quot;0A0A75A9&quot;/&gt;&lt;wsp:rsid wsp:val=&quot;0A0B52DE&quot;/&gt;&lt;wsp:rsid wsp:val=&quot;0A0C3321&quot;/&gt;&lt;wsp:rsid wsp:val=&quot;0A0F4BBF&quot;/&gt;&lt;wsp:rsid wsp:val=&quot;0A1120C2&quot;/&gt;&lt;wsp:rsid wsp:val=&quot;0A1254C0&quot;/&gt;&lt;wsp:rsid wsp:val=&quot;0A125989&quot;/&gt;&lt;wsp:rsid wsp:val=&quot;0A157CFC&quot;/&gt;&lt;wsp:rsid wsp:val=&quot;0A1641A0&quot;/&gt;&lt;wsp:rsid wsp:val=&quot;0A171CC6&quot;/&gt;&lt;wsp:rsid wsp:val=&quot;0A1977EC&quot;/&gt;&lt;wsp:rsid wsp:val=&quot;0A1C6343&quot;/&gt;&lt;wsp:rsid wsp:val=&quot;0A1C72DC&quot;/&gt;&lt;wsp:rsid wsp:val=&quot;0A1D552E&quot;/&gt;&lt;wsp:rsid wsp:val=&quot;0A1E12A6&quot;/&gt;&lt;wsp:rsid wsp:val=&quot;0A1E3055&quot;/&gt;&lt;wsp:rsid wsp:val=&quot;0A1E4E03&quot;/&gt;&lt;wsp:rsid wsp:val=&quot;0A200B7B&quot;/&gt;&lt;wsp:rsid wsp:val=&quot;0A2166A1&quot;/&gt;&lt;wsp:rsid wsp:val=&quot;0A232C32&quot;/&gt;&lt;wsp:rsid wsp:val=&quot;0A233B87&quot;/&gt;&lt;wsp:rsid wsp:val=&quot;0A2368BD&quot;/&gt;&lt;wsp:rsid wsp:val=&quot;0A252635&quot;/&gt;&lt;wsp:rsid wsp:val=&quot;0A256191&quot;/&gt;&lt;wsp:rsid wsp:val=&quot;0A2564A7&quot;/&gt;&lt;wsp:rsid wsp:val=&quot;0A261F09&quot;/&gt;&lt;wsp:rsid wsp:val=&quot;0A263993&quot;/&gt;&lt;wsp:rsid wsp:val=&quot;0A27773E&quot;/&gt;&lt;wsp:rsid wsp:val=&quot;0A283ED3&quot;/&gt;&lt;wsp:rsid wsp:val=&quot;0A285C81&quot;/&gt;&lt;wsp:rsid wsp:val=&quot;0A2B3004&quot;/&gt;&lt;wsp:rsid wsp:val=&quot;0A2C5771&quot;/&gt;&lt;wsp:rsid wsp:val=&quot;0A2D14EA&quot;/&gt;&lt;wsp:rsid wsp:val=&quot;0A2D3298&quot;/&gt;&lt;wsp:rsid wsp:val=&quot;0A2D3AC2&quot;/&gt;&lt;wsp:rsid wsp:val=&quot;0A335ED5&quot;/&gt;&lt;wsp:rsid wsp:val=&quot;0A344626&quot;/&gt;&lt;wsp:rsid wsp:val=&quot;0A344DEA&quot;/&gt;&lt;wsp:rsid wsp:val=&quot;0A36039E&quot;/&gt;&lt;wsp:rsid wsp:val=&quot;0A365384&quot;/&gt;&lt;wsp:rsid wsp:val=&quot;0A374116&quot;/&gt;&lt;wsp:rsid wsp:val=&quot;0A375EC4&quot;/&gt;&lt;wsp:rsid wsp:val=&quot;0A382368&quot;/&gt;&lt;wsp:rsid wsp:val=&quot;0A395DAD&quot;/&gt;&lt;wsp:rsid wsp:val=&quot;0A3B1E0E&quot;/&gt;&lt;wsp:rsid wsp:val=&quot;0A3B3C06&quot;/&gt;&lt;wsp:rsid wsp:val=&quot;0A3B59B5&quot;/&gt;&lt;wsp:rsid wsp:val=&quot;0A3B7763&quot;/&gt;&lt;wsp:rsid wsp:val=&quot;0A3D5C96&quot;/&gt;&lt;wsp:rsid wsp:val=&quot;0A3D797F&quot;/&gt;&lt;wsp:rsid wsp:val=&quot;0A3E36F7&quot;/&gt;&lt;wsp:rsid wsp:val=&quot;0A3E54A5&quot;/&gt;&lt;wsp:rsid wsp:val=&quot;0A40746F&quot;/&gt;&lt;wsp:rsid wsp:val=&quot;0A410AF1&quot;/&gt;&lt;wsp:rsid wsp:val=&quot;0A426D43&quot;/&gt;&lt;wsp:rsid wsp:val=&quot;0A434869&quot;/&gt;&lt;wsp:rsid wsp:val=&quot;0A445900&quot;/&gt;&lt;wsp:rsid wsp:val=&quot;0A4505E1&quot;/&gt;&lt;wsp:rsid wsp:val=&quot;0A466F21&quot;/&gt;&lt;wsp:rsid wsp:val=&quot;0A4703B1&quot;/&gt;&lt;wsp:rsid wsp:val=&quot;0A4725AB&quot;/&gt;&lt;wsp:rsid wsp:val=&quot;0A4C7BC2&quot;/&gt;&lt;wsp:rsid wsp:val=&quot;0A4E0284&quot;/&gt;&lt;wsp:rsid wsp:val=&quot;0A4E393A&quot;/&gt;&lt;wsp:rsid wsp:val=&quot;0A522CFE&quot;/&gt;&lt;wsp:rsid wsp:val=&quot;0A5254C4&quot;/&gt;&lt;wsp:rsid wsp:val=&quot;0A530F50&quot;/&gt;&lt;wsp:rsid wsp:val=&quot;0A540824&quot;/&gt;&lt;wsp:rsid wsp:val=&quot;0A5440F6&quot;/&gt;&lt;wsp:rsid wsp:val=&quot;0A572A77&quot;/&gt;&lt;wsp:rsid wsp:val=&quot;0A5871AD&quot;/&gt;&lt;wsp:rsid wsp:val=&quot;0A590531&quot;/&gt;&lt;wsp:rsid wsp:val=&quot;0A59408D&quot;/&gt;&lt;wsp:rsid wsp:val=&quot;0A5A77C7&quot;/&gt;&lt;wsp:rsid wsp:val=&quot;0A5D3B7D&quot;/&gt;&lt;wsp:rsid wsp:val=&quot;0A5E7D79&quot;/&gt;&lt;wsp:rsid wsp:val=&quot;0A60541B&quot;/&gt;&lt;wsp:rsid wsp:val=&quot;0A6070FA&quot;/&gt;&lt;wsp:rsid wsp:val=&quot;0A634F0B&quot;/&gt;&lt;wsp:rsid wsp:val=&quot;0A670558&quot;/&gt;&lt;wsp:rsid wsp:val=&quot;0A6749FB&quot;/&gt;&lt;wsp:rsid wsp:val=&quot;0A67799B&quot;/&gt;&lt;wsp:rsid wsp:val=&quot;0A6937F7&quot;/&gt;&lt;wsp:rsid wsp:val=&quot;0A6A0048&quot;/&gt;&lt;wsp:rsid wsp:val=&quot;0A6C0264&quot;/&gt;&lt;wsp:rsid wsp:val=&quot;0A6D7B38&quot;/&gt;&lt;wsp:rsid wsp:val=&quot;0A6E1BE3&quot;/&gt;&lt;wsp:rsid wsp:val=&quot;0A6E2DC3&quot;/&gt;&lt;wsp:rsid wsp:val=&quot;0A7143CA&quot;/&gt;&lt;wsp:rsid wsp:val=&quot;0A71587A&quot;/&gt;&lt;wsp:rsid wsp:val=&quot;0A726EFC&quot;/&gt;&lt;wsp:rsid wsp:val=&quot;0A7315F2&quot;/&gt;&lt;wsp:rsid wsp:val=&quot;0A742C74&quot;/&gt;&lt;wsp:rsid wsp:val=&quot;0A75342F&quot;/&gt;&lt;wsp:rsid wsp:val=&quot;0A780920&quot;/&gt;&lt;wsp:rsid wsp:val=&quot;0A782765&quot;/&gt;&lt;wsp:rsid wsp:val=&quot;0A79028B&quot;/&gt;&lt;wsp:rsid wsp:val=&quot;0A793240&quot;/&gt;&lt;wsp:rsid wsp:val=&quot;0A79472F&quot;/&gt;&lt;wsp:rsid wsp:val=&quot;0A7B2255&quot;/&gt;&lt;wsp:rsid wsp:val=&quot;0A7D5FCD&quot;/&gt;&lt;wsp:rsid wsp:val=&quot;0A7F4ED7&quot;/&gt;&lt;wsp:rsid wsp:val=&quot;0A7F7F97&quot;/&gt;&lt;wsp:rsid wsp:val=&quot;0A801619&quot;/&gt;&lt;wsp:rsid wsp:val=&quot;0A805ABD&quot;/&gt;&lt;wsp:rsid wsp:val=&quot;0A851326&quot;/&gt;&lt;wsp:rsid wsp:val=&quot;0A8530D4&quot;/&gt;&lt;wsp:rsid wsp:val=&quot;0A856C30&quot;/&gt;&lt;wsp:rsid wsp:val=&quot;0A872AF4&quot;/&gt;&lt;wsp:rsid wsp:val=&quot;0A886CD4&quot;/&gt;&lt;wsp:rsid wsp:val=&quot;0A88778E&quot;/&gt;&lt;wsp:rsid wsp:val=&quot;0A8A06EA&quot;/&gt;&lt;wsp:rsid wsp:val=&quot;0A8A41C5&quot;/&gt;&lt;wsp:rsid wsp:val=&quot;0A8C0226&quot;/&gt;&lt;wsp:rsid wsp:val=&quot;0A8C4462&quot;/&gt;&lt;wsp:rsid wsp:val=&quot;0A8C6210&quot;/&gt;&lt;wsp:rsid wsp:val=&quot;0A8E5717&quot;/&gt;&lt;wsp:rsid wsp:val=&quot;0A8F7AAE&quot;/&gt;&lt;wsp:rsid wsp:val=&quot;0A905466&quot;/&gt;&lt;wsp:rsid wsp:val=&quot;0A913826&quot;/&gt;&lt;wsp:rsid wsp:val=&quot;0A934F20&quot;/&gt;&lt;wsp:rsid wsp:val=&quot;0A93759F&quot;/&gt;&lt;wsp:rsid wsp:val=&quot;0A9450C5&quot;/&gt;&lt;wsp:rsid wsp:val=&quot;0A975339&quot;/&gt;&lt;wsp:rsid wsp:val=&quot;0A9926DB&quot;/&gt;&lt;wsp:rsid wsp:val=&quot;0A9B61E0&quot;/&gt;&lt;wsp:rsid wsp:val=&quot;0A9F4BAA&quot;/&gt;&lt;wsp:rsid wsp:val=&quot;0AA03A6A&quot;/&gt;&lt;wsp:rsid wsp:val=&quot;0AA07F0D&quot;/&gt;&lt;wsp:rsid wsp:val=&quot;0AA277E2&quot;/&gt;&lt;wsp:rsid wsp:val=&quot;0AA30322&quot;/&gt;&lt;wsp:rsid wsp:val=&quot;0AA417AC&quot;/&gt;&lt;wsp:rsid wsp:val=&quot;0AA572D2&quot;/&gt;&lt;wsp:rsid wsp:val=&quot;0AA64BFD&quot;/&gt;&lt;wsp:rsid wsp:val=&quot;0AA7304A&quot;/&gt;&lt;wsp:rsid wsp:val=&quot;0AA7305B&quot;/&gt;&lt;wsp:rsid wsp:val=&quot;0AA755DF&quot;/&gt;&lt;wsp:rsid wsp:val=&quot;0AA95014&quot;/&gt;&lt;wsp:rsid wsp:val=&quot;0AA96DC2&quot;/&gt;&lt;wsp:rsid wsp:val=&quot;0AAA48E8&quot;/&gt;&lt;wsp:rsid wsp:val=&quot;0AAA76AD&quot;/&gt;&lt;wsp:rsid wsp:val=&quot;0AAE262A&quot;/&gt;&lt;wsp:rsid wsp:val=&quot;0AAE6186&quot;/&gt;&lt;wsp:rsid wsp:val=&quot;0AAF0151&quot;/&gt;&lt;wsp:rsid wsp:val=&quot;0AAF1EFF&quot;/&gt;&lt;wsp:rsid wsp:val=&quot;0AB13EC9&quot;/&gt;&lt;wsp:rsid wsp:val=&quot;0AB15C77&quot;/&gt;&lt;wsp:rsid wsp:val=&quot;0AB1607D&quot;/&gt;&lt;wsp:rsid wsp:val=&quot;0AB319EF&quot;/&gt;&lt;wsp:rsid wsp:val=&quot;0AB32A98&quot;/&gt;&lt;wsp:rsid wsp:val=&quot;0AB3379D&quot;/&gt;&lt;wsp:rsid wsp:val=&quot;0AB47515&quot;/&gt;&lt;wsp:rsid wsp:val=&quot;0AB539B9&quot;/&gt;&lt;wsp:rsid wsp:val=&quot;0AB6328D&quot;/&gt;&lt;wsp:rsid wsp:val=&quot;0AB67731&quot;/&gt;&lt;wsp:rsid wsp:val=&quot;0AB76A72&quot;/&gt;&lt;wsp:rsid wsp:val=&quot;0AB87005&quot;/&gt;&lt;wsp:rsid wsp:val=&quot;0AB9243E&quot;/&gt;&lt;wsp:rsid wsp:val=&quot;0ABA0FCF&quot;/&gt;&lt;wsp:rsid wsp:val=&quot;0ABA2D7D&quot;/&gt;&lt;wsp:rsid wsp:val=&quot;0ABB157D&quot;/&gt;&lt;wsp:rsid wsp:val=&quot;0ABB4D47&quot;/&gt;&lt;wsp:rsid wsp:val=&quot;0ABB6AF5&quot;/&gt;&lt;wsp:rsid wsp:val=&quot;0ABD461B&quot;/&gt;&lt;wsp:rsid wsp:val=&quot;0ABF4757&quot;/&gt;&lt;wsp:rsid wsp:val=&quot;0AC260D6&quot;/&gt;&lt;wsp:rsid wsp:val=&quot;0AC27E84&quot;/&gt;&lt;wsp:rsid wsp:val=&quot;0AC503B7&quot;/&gt;&lt;wsp:rsid wsp:val=&quot;0AC51722&quot;/&gt;&lt;wsp:rsid wsp:val=&quot;0AC56739&quot;/&gt;&lt;wsp:rsid wsp:val=&quot;0AC57974&quot;/&gt;&lt;wsp:rsid wsp:val=&quot;0AC7549A&quot;/&gt;&lt;wsp:rsid wsp:val=&quot;0AC96233&quot;/&gt;&lt;wsp:rsid wsp:val=&quot;0ACA1658&quot;/&gt;&lt;wsp:rsid wsp:val=&quot;0ACC5D22&quot;/&gt;&lt;wsp:rsid wsp:val=&quot;0ACE4A7B&quot;/&gt;&lt;wsp:rsid wsp:val=&quot;0AD100C7&quot;/&gt;&lt;wsp:rsid wsp:val=&quot;0AD16319&quot;/&gt;&lt;wsp:rsid wsp:val=&quot;0AD32091&quot;/&gt;&lt;wsp:rsid wsp:val=&quot;0AD6133C&quot;/&gt;&lt;wsp:rsid wsp:val=&quot;0AD61B81&quot;/&gt;&lt;wsp:rsid wsp:val=&quot;0AD876A7&quot;/&gt;&lt;wsp:rsid wsp:val=&quot;0ADA114D&quot;/&gt;&lt;wsp:rsid wsp:val=&quot;0ADD6A6C&quot;/&gt;&lt;wsp:rsid wsp:val=&quot;0ADF0F5E&quot;/&gt;&lt;wsp:rsid wsp:val=&quot;0AE20526&quot;/&gt;&lt;wsp:rsid wsp:val=&quot;0AE47DFA&quot;/&gt;&lt;wsp:rsid wsp:val=&quot;0AE55920&quot;/&gt;&lt;wsp:rsid wsp:val=&quot;0AE61DC4&quot;/&gt;&lt;wsp:rsid wsp:val=&quot;0AE676F0&quot;/&gt;&lt;wsp:rsid wsp:val=&quot;0AED76B8&quot;/&gt;&lt;wsp:rsid wsp:val=&quot;0AF02C43&quot;/&gt;&lt;wsp:rsid wsp:val=&quot;0AF049F1&quot;/&gt;&lt;wsp:rsid wsp:val=&quot;0AF0679F&quot;/&gt;&lt;wsp:rsid wsp:val=&quot;0AF10769&quot;/&gt;&lt;wsp:rsid wsp:val=&quot;0AF12517&quot;/&gt;&lt;wsp:rsid wsp:val=&quot;0AF13E1F&quot;/&gt;&lt;wsp:rsid wsp:val=&quot;0AF344E1&quot;/&gt;&lt;wsp:rsid wsp:val=&quot;0AF40A48&quot;/&gt;&lt;wsp:rsid wsp:val=&quot;0AF46B43&quot;/&gt;&lt;wsp:rsid wsp:val=&quot;0AF50230&quot;/&gt;&lt;wsp:rsid wsp:val=&quot;0AF83246&quot;/&gt;&lt;wsp:rsid wsp:val=&quot;0AF85654&quot;/&gt;&lt;wsp:rsid wsp:val=&quot;0AF97978&quot;/&gt;&lt;wsp:rsid wsp:val=&quot;0AFA5870&quot;/&gt;&lt;wsp:rsid wsp:val=&quot;0AFB2838&quot;/&gt;&lt;wsp:rsid wsp:val=&quot;0AFB3396&quot;/&gt;&lt;wsp:rsid wsp:val=&quot;0AFD0EBC&quot;/&gt;&lt;wsp:rsid wsp:val=&quot;0AFD2C6A&quot;/&gt;&lt;wsp:rsid wsp:val=&quot;0AFF4C34&quot;/&gt;&lt;wsp:rsid wsp:val=&quot;0AFF69E2&quot;/&gt;&lt;wsp:rsid wsp:val=&quot;0B022976&quot;/&gt;&lt;wsp:rsid wsp:val=&quot;0B024724&quot;/&gt;&lt;wsp:rsid wsp:val=&quot;0B026C14&quot;/&gt;&lt;wsp:rsid wsp:val=&quot;0B043FF8&quot;/&gt;&lt;wsp:rsid wsp:val=&quot;0B064214&quot;/&gt;&lt;wsp:rsid wsp:val=&quot;0B093D05&quot;/&gt;&lt;wsp:rsid wsp:val=&quot;0B0B182B&quot;/&gt;&lt;wsp:rsid wsp:val=&quot;0B0B35D9&quot;/&gt;&lt;wsp:rsid wsp:val=&quot;0B0C36F5&quot;/&gt;&lt;wsp:rsid wsp:val=&quot;0B0C55A3&quot;/&gt;&lt;wsp:rsid wsp:val=&quot;0B0E131B&quot;/&gt;&lt;wsp:rsid wsp:val=&quot;0B0E4E77&quot;/&gt;&lt;wsp:rsid wsp:val=&quot;0B0F4442&quot;/&gt;&lt;wsp:rsid wsp:val=&quot;0B0F4475&quot;/&gt;&lt;wsp:rsid wsp:val=&quot;0B106E41&quot;/&gt;&lt;wsp:rsid wsp:val=&quot;0B112BB9&quot;/&gt;&lt;wsp:rsid wsp:val=&quot;0B116715&quot;/&gt;&lt;wsp:rsid wsp:val=&quot;0B120D44&quot;/&gt;&lt;wsp:rsid wsp:val=&quot;0B1306DF&quot;/&gt;&lt;wsp:rsid wsp:val=&quot;0B1526A9&quot;/&gt;&lt;wsp:rsid wsp:val=&quot;0B1609CB&quot;/&gt;&lt;wsp:rsid wsp:val=&quot;0B1701D0&quot;/&gt;&lt;wsp:rsid wsp:val=&quot;0B187AA4&quot;/&gt;&lt;wsp:rsid wsp:val=&quot;0B1A59F6&quot;/&gt;&lt;wsp:rsid wsp:val=&quot;0B1B1342&quot;/&gt;&lt;wsp:rsid wsp:val=&quot;0B1B7594&quot;/&gt;&lt;wsp:rsid wsp:val=&quot;0B1C57E6&quot;/&gt;&lt;wsp:rsid wsp:val=&quot;0B1D155E&quot;/&gt;&lt;wsp:rsid wsp:val=&quot;0B1F0E32&quot;/&gt;&lt;wsp:rsid wsp:val=&quot;0B21104E&quot;/&gt;&lt;wsp:rsid wsp:val=&quot;0B212DFC&quot;/&gt;&lt;wsp:rsid wsp:val=&quot;0B226B74&quot;/&gt;&lt;wsp:rsid wsp:val=&quot;0B260413&quot;/&gt;&lt;wsp:rsid wsp:val=&quot;0B2621C1&quot;/&gt;&lt;wsp:rsid wsp:val=&quot;0B2823DD&quot;/&gt;&lt;wsp:rsid wsp:val=&quot;0B2B3533&quot;/&gt;&lt;wsp:rsid wsp:val=&quot;0B2B3C7B&quot;/&gt;&lt;wsp:rsid wsp:val=&quot;0B2B4994&quot;/&gt;&lt;wsp:rsid wsp:val=&quot;0B2B77D7&quot;/&gt;&lt;wsp:rsid wsp:val=&quot;0B2E376B&quot;/&gt;&lt;wsp:rsid wsp:val=&quot;0B2F0419&quot;/&gt;&lt;wsp:rsid wsp:val=&quot;0B30303F&quot;/&gt;&lt;wsp:rsid wsp:val=&quot;0B315442&quot;/&gt;&lt;wsp:rsid wsp:val=&quot;0B325009&quot;/&gt;&lt;wsp:rsid wsp:val=&quot;0B330D82&quot;/&gt;&lt;wsp:rsid wsp:val=&quot;0B332B30&quot;/&gt;&lt;wsp:rsid wsp:val=&quot;0B350656&quot;/&gt;&lt;wsp:rsid wsp:val=&quot;0B352404&quot;/&gt;&lt;wsp:rsid wsp:val=&quot;0B3568A8&quot;/&gt;&lt;wsp:rsid wsp:val=&quot;0B36617C&quot;/&gt;&lt;wsp:rsid wsp:val=&quot;0B3A7735&quot;/&gt;&lt;wsp:rsid wsp:val=&quot;0B3D39AE&quot;/&gt;&lt;wsp:rsid wsp:val=&quot;0B41349E&quot;/&gt;&lt;wsp:rsid wsp:val=&quot;0B424B21&quot;/&gt;&lt;wsp:rsid wsp:val=&quot;0B425A17&quot;/&gt;&lt;wsp:rsid wsp:val=&quot;0B460AB5&quot;/&gt;&lt;wsp:rsid wsp:val=&quot;0B464611&quot;/&gt;&lt;wsp:rsid wsp:val=&quot;0B494101&quot;/&gt;&lt;wsp:rsid wsp:val=&quot;0B495713&quot;/&gt;&lt;wsp:rsid wsp:val=&quot;0B4D3BF1&quot;/&gt;&lt;wsp:rsid wsp:val=&quot;0B4E1717&quot;/&gt;&lt;wsp:rsid wsp:val=&quot;0B4E7969&quot;/&gt;&lt;wsp:rsid wsp:val=&quot;0B52745A&quot;/&gt;&lt;wsp:rsid wsp:val=&quot;0B5330E0&quot;/&gt;&lt;wsp:rsid wsp:val=&quot;0B534F80&quot;/&gt;&lt;wsp:rsid wsp:val=&quot;0B554854&quot;/&gt;&lt;wsp:rsid wsp:val=&quot;0B57681E&quot;/&gt;&lt;wsp:rsid wsp:val=&quot;0B584344&quot;/&gt;&lt;wsp:rsid wsp:val=&quot;0B5A67F7&quot;/&gt;&lt;wsp:rsid wsp:val=&quot;0B5B2331&quot;/&gt;&lt;wsp:rsid wsp:val=&quot;0B5C3E34&quot;/&gt;&lt;wsp:rsid wsp:val=&quot;0B5D195B&quot;/&gt;&lt;wsp:rsid wsp:val=&quot;0B5F3925&quot;/&gt;&lt;wsp:rsid wsp:val=&quot;0B610D74&quot;/&gt;&lt;wsp:rsid wsp:val=&quot;0B61144B&quot;/&gt;&lt;wsp:rsid wsp:val=&quot;0B612DC8&quot;/&gt;&lt;wsp:rsid wsp:val=&quot;0B635EFF&quot;/&gt;&lt;wsp:rsid wsp:val=&quot;0B6363AB&quot;/&gt;&lt;wsp:rsid wsp:val=&quot;0B640F3B&quot;/&gt;&lt;wsp:rsid wsp:val=&quot;0B653E82&quot;/&gt;&lt;wsp:rsid wsp:val=&quot;0B664CB3&quot;/&gt;&lt;wsp:rsid wsp:val=&quot;0B6727D9&quot;/&gt;&lt;wsp:rsid wsp:val=&quot;0B674587&quot;/&gt;&lt;wsp:rsid wsp:val=&quot;0B680A2B&quot;/&gt;&lt;wsp:rsid wsp:val=&quot;0B6C5BA6&quot;/&gt;&lt;wsp:rsid wsp:val=&quot;0B6D61E9&quot;/&gt;&lt;wsp:rsid wsp:val=&quot;0B6E5916&quot;/&gt;&lt;wsp:rsid wsp:val=&quot;0B6E7BBE&quot;/&gt;&lt;wsp:rsid wsp:val=&quot;0B723658&quot;/&gt;&lt;wsp:rsid wsp:val=&quot;0B725F18&quot;/&gt;&lt;wsp:rsid wsp:val=&quot;0B732F2C&quot;/&gt;&lt;wsp:rsid wsp:val=&quot;0B7373D0&quot;/&gt;&lt;wsp:rsid wsp:val=&quot;0B7471EA&quot;/&gt;&lt;wsp:rsid wsp:val=&quot;0B756CA4&quot;/&gt;&lt;wsp:rsid wsp:val=&quot;0B776EC0&quot;/&gt;&lt;wsp:rsid wsp:val=&quot;0B7849E6&quot;/&gt;&lt;wsp:rsid wsp:val=&quot;0B786794&quot;/&gt;&lt;wsp:rsid wsp:val=&quot;0B792C38&quot;/&gt;&lt;wsp:rsid wsp:val=&quot;0B7A1CF4&quot;/&gt;&lt;wsp:rsid wsp:val=&quot;0B7A250D&quot;/&gt;&lt;wsp:rsid wsp:val=&quot;0B7B191B&quot;/&gt;&lt;wsp:rsid wsp:val=&quot;0B7B255E&quot;/&gt;&lt;wsp:rsid wsp:val=&quot;0B7B44EC&quot;/&gt;&lt;wsp:rsid wsp:val=&quot;0B7B708E&quot;/&gt;&lt;wsp:rsid wsp:val=&quot;0B7C0033&quot;/&gt;&lt;wsp:rsid wsp:val=&quot;0B7D3DAB&quot;/&gt;&lt;wsp:rsid wsp:val=&quot;0B7F3C9A&quot;/&gt;&lt;wsp:rsid wsp:val=&quot;0B7F3FC7&quot;/&gt;&lt;wsp:rsid wsp:val=&quot;0B811AED&quot;/&gt;&lt;wsp:rsid wsp:val=&quot;0B81389B&quot;/&gt;&lt;wsp:rsid wsp:val=&quot;0B815649&quot;/&gt;&lt;wsp:rsid wsp:val=&quot;0B8213C1&quot;/&gt;&lt;wsp:rsid wsp:val=&quot;0B8217EE&quot;/&gt;&lt;wsp:rsid wsp:val=&quot;0B837613&quot;/&gt;&lt;wsp:rsid wsp:val=&quot;0B8415DD&quot;/&gt;&lt;wsp:rsid wsp:val=&quot;0B845C08&quot;/&gt;&lt;wsp:rsid wsp:val=&quot;0B855DBF&quot;/&gt;&lt;wsp:rsid wsp:val=&quot;0B8769D7&quot;/&gt;&lt;wsp:rsid wsp:val=&quot;0B883F1F&quot;/&gt;&lt;wsp:rsid wsp:val=&quot;0B884C29&quot;/&gt;&lt;wsp:rsid wsp:val=&quot;0B896BF3&quot;/&gt;&lt;wsp:rsid wsp:val=&quot;0B8C1CD4&quot;/&gt;&lt;wsp:rsid wsp:val=&quot;0B8C5773&quot;/&gt;&lt;wsp:rsid wsp:val=&quot;0B8E5FB8&quot;/&gt;&lt;wsp:rsid wsp:val=&quot;0B931032&quot;/&gt;&lt;wsp:rsid wsp:val=&quot;0B932773&quot;/&gt;&lt;wsp:rsid wsp:val=&quot;0B9412A5&quot;/&gt;&lt;wsp:rsid wsp:val=&quot;0B941820&quot;/&gt;&lt;wsp:rsid wsp:val=&quot;0B955598&quot;/&gt;&lt;wsp:rsid wsp:val=&quot;0B995695&quot;/&gt;&lt;wsp:rsid wsp:val=&quot;0B996E37&quot;/&gt;&lt;wsp:rsid wsp:val=&quot;0B9A2BAF&quot;/&gt;&lt;wsp:rsid wsp:val=&quot;0B9B34E3&quot;/&gt;&lt;wsp:rsid wsp:val=&quot;0B9C2483&quot;/&gt;&lt;wsp:rsid wsp:val=&quot;0B9D61FB&quot;/&gt;&lt;wsp:rsid wsp:val=&quot;0BA17A99&quot;/&gt;&lt;wsp:rsid wsp:val=&quot;0BA37CB5&quot;/&gt;&lt;wsp:rsid wsp:val=&quot;0BA40E03&quot;/&gt;&lt;wsp:rsid wsp:val=&quot;0BA457DB&quot;/&gt;&lt;wsp:rsid wsp:val=&quot;0BA47589&quot;/&gt;&lt;wsp:rsid wsp:val=&quot;0BA80E28&quot;/&gt;&lt;wsp:rsid wsp:val=&quot;0BA83509&quot;/&gt;&lt;wsp:rsid wsp:val=&quot;0BA852CC&quot;/&gt;&lt;wsp:rsid wsp:val=&quot;0BA92DA1&quot;/&gt;&lt;wsp:rsid wsp:val=&quot;0BA93258&quot;/&gt;&lt;wsp:rsid wsp:val=&quot;0BA95DFE&quot;/&gt;&lt;wsp:rsid wsp:val=&quot;0BAA5E29&quot;/&gt;&lt;wsp:rsid wsp:val=&quot;0BAC0749&quot;/&gt;&lt;wsp:rsid wsp:val=&quot;0BAD643E&quot;/&gt;&lt;wsp:rsid wsp:val=&quot;0BAE0408&quot;/&gt;&lt;wsp:rsid wsp:val=&quot;0BB05F2E&quot;/&gt;&lt;wsp:rsid wsp:val=&quot;0BB21CA6&quot;/&gt;&lt;wsp:rsid wsp:val=&quot;0BB2509F&quot;/&gt;&lt;wsp:rsid wsp:val=&quot;0BB53545&quot;/&gt;&lt;wsp:rsid wsp:val=&quot;0BB7042D&quot;/&gt;&lt;wsp:rsid wsp:val=&quot;0BB772BD&quot;/&gt;&lt;wsp:rsid wsp:val=&quot;0BB84DE3&quot;/&gt;&lt;wsp:rsid wsp:val=&quot;0BB92D4D&quot;/&gt;&lt;wsp:rsid wsp:val=&quot;0BBA2E99&quot;/&gt;&lt;wsp:rsid wsp:val=&quot;0BBC023E&quot;/&gt;&lt;wsp:rsid wsp:val=&quot;0BBF2615&quot;/&gt;&lt;wsp:rsid wsp:val=&quot;0BBF7D67&quot;/&gt;&lt;wsp:rsid wsp:val=&quot;0BC15EF9&quot;/&gt;&lt;wsp:rsid wsp:val=&quot;0BC30917&quot;/&gt;&lt;wsp:rsid wsp:val=&quot;0BC32105&quot;/&gt;&lt;wsp:rsid wsp:val=&quot;0BC55E7E&quot;/&gt;&lt;wsp:rsid wsp:val=&quot;0BC63786&quot;/&gt;&lt;wsp:rsid wsp:val=&quot;0BC639A4&quot;/&gt;&lt;wsp:rsid wsp:val=&quot;0BC65752&quot;/&gt;&lt;wsp:rsid wsp:val=&quot;0BC7676E&quot;/&gt;&lt;wsp:rsid wsp:val=&quot;0BC814CA&quot;/&gt;&lt;wsp:rsid wsp:val=&quot;0BC83278&quot;/&gt;&lt;wsp:rsid wsp:val=&quot;0BC83EB9&quot;/&gt;&lt;wsp:rsid wsp:val=&quot;0BCD6AE0&quot;/&gt;&lt;wsp:rsid wsp:val=&quot;0BD065D0&quot;/&gt;&lt;wsp:rsid wsp:val=&quot;0BD25EA5&quot;/&gt;&lt;wsp:rsid wsp:val=&quot;0BD27BF6&quot;/&gt;&lt;wsp:rsid wsp:val=&quot;0BD31C1D&quot;/&gt;&lt;wsp:rsid wsp:val=&quot;0BD75BB1&quot;/&gt;&lt;wsp:rsid wsp:val=&quot;0BD87233&quot;/&gt;&lt;wsp:rsid wsp:val=&quot;0BDB744F&quot;/&gt;&lt;wsp:rsid wsp:val=&quot;0BDC4F75&quot;/&gt;&lt;wsp:rsid wsp:val=&quot;0BDC6D23&quot;/&gt;&lt;wsp:rsid wsp:val=&quot;0BDE2A9B&quot;/&gt;&lt;wsp:rsid wsp:val=&quot;0BDE6F3F&quot;/&gt;&lt;wsp:rsid wsp:val=&quot;0BDF05C2&quot;/&gt;&lt;wsp:rsid wsp:val=&quot;0BE107DE&quot;/&gt;&lt;wsp:rsid wsp:val=&quot;0BE2000F&quot;/&gt;&lt;wsp:rsid wsp:val=&quot;0BE300B2&quot;/&gt;&lt;wsp:rsid wsp:val=&quot;0BE34556&quot;/&gt;&lt;wsp:rsid wsp:val=&quot;0BE370B5&quot;/&gt;&lt;wsp:rsid wsp:val=&quot;0BE43E2A&quot;/&gt;&lt;wsp:rsid wsp:val=&quot;0BE45BD8&quot;/&gt;&lt;wsp:rsid wsp:val=&quot;0BE5207C&quot;/&gt;&lt;wsp:rsid wsp:val=&quot;0BE65DF4&quot;/&gt;&lt;wsp:rsid wsp:val=&quot;0BE91440&quot;/&gt;&lt;wsp:rsid wsp:val=&quot;0BEA58E4&quot;/&gt;&lt;wsp:rsid wsp:val=&quot;0BEA7692&quot;/&gt;&lt;wsp:rsid wsp:val=&quot;0BEB340A&quot;/&gt;&lt;wsp:rsid wsp:val=&quot;0BEB474C&quot;/&gt;&lt;wsp:rsid wsp:val=&quot;0BEB51B8&quot;/&gt;&lt;wsp:rsid wsp:val=&quot;0BED2CDE&quot;/&gt;&lt;wsp:rsid wsp:val=&quot;0BED7182&quot;/&gt;&lt;wsp:rsid wsp:val=&quot;0BEE469A&quot;/&gt;&lt;wsp:rsid wsp:val=&quot;0BEF4CA9&quot;/&gt;&lt;wsp:rsid wsp:val=&quot;0BF00A21&quot;/&gt;&lt;wsp:rsid wsp:val=&quot;0BF0712E&quot;/&gt;&lt;wsp:rsid wsp:val=&quot;0BF4406D&quot;/&gt;&lt;wsp:rsid wsp:val=&quot;0BF73321&quot;/&gt;&lt;wsp:rsid wsp:val=&quot;0BF7590B&quot;/&gt;&lt;wsp:rsid wsp:val=&quot;0BF91921&quot;/&gt;&lt;wsp:rsid wsp:val=&quot;0BF978D5&quot;/&gt;&lt;wsp:rsid wsp:val=&quot;0BFA5A3B&quot;/&gt;&lt;wsp:rsid wsp:val=&quot;0BFC1173&quot;/&gt;&lt;wsp:rsid wsp:val=&quot;0BFC73C5&quot;/&gt;&lt;wsp:rsid wsp:val=&quot;0BFE4EEC&quot;/&gt;&lt;wsp:rsid wsp:val=&quot;0BFE54F1&quot;/&gt;&lt;wsp:rsid wsp:val=&quot;0BFF2A12&quot;/&gt;&lt;wsp:rsid wsp:val=&quot;0C006C23&quot;/&gt;&lt;wsp:rsid wsp:val=&quot;0C006EB6&quot;/&gt;&lt;wsp:rsid wsp:val=&quot;0C01678A&quot;/&gt;&lt;wsp:rsid wsp:val=&quot;0C030754&quot;/&gt;&lt;wsp:rsid wsp:val=&quot;0C032502&quot;/&gt;&lt;wsp:rsid wsp:val=&quot;0C0471A1&quot;/&gt;&lt;wsp:rsid wsp:val=&quot;0C060244&quot;/&gt;&lt;wsp:rsid wsp:val=&quot;0C0727E4&quot;/&gt;&lt;wsp:rsid wsp:val=&quot;0C0859DB&quot;/&gt;&lt;wsp:rsid wsp:val=&quot;0C0B585A&quot;/&gt;&lt;wsp:rsid wsp:val=&quot;0C0B7609&quot;/&gt;&lt;wsp:rsid wsp:val=&quot;0C0D3381&quot;/&gt;&lt;wsp:rsid wsp:val=&quot;0C0D3BE5&quot;/&gt;&lt;wsp:rsid wsp:val=&quot;0C0E1D54&quot;/&gt;&lt;wsp:rsid wsp:val=&quot;0C0E2D11&quot;/&gt;&lt;wsp:rsid wsp:val=&quot;0C0F70F9&quot;/&gt;&lt;wsp:rsid wsp:val=&quot;0C104FD7&quot;/&gt;&lt;wsp:rsid wsp:val=&quot;0C107BA8&quot;/&gt;&lt;wsp:rsid wsp:val=&quot;0C112E71&quot;/&gt;&lt;wsp:rsid wsp:val=&quot;0C116467&quot;/&gt;&lt;wsp:rsid wsp:val=&quot;0C1174B2&quot;/&gt;&lt;wsp:rsid wsp:val=&quot;0C120997&quot;/&gt;&lt;wsp:rsid wsp:val=&quot;0C1464BD&quot;/&gt;&lt;wsp:rsid wsp:val=&quot;0C152235&quot;/&gt;&lt;wsp:rsid wsp:val=&quot;0C160487&quot;/&gt;&lt;wsp:rsid wsp:val=&quot;0C175FAD&quot;/&gt;&lt;wsp:rsid wsp:val=&quot;0C177D5B&quot;/&gt;&lt;wsp:rsid wsp:val=&quot;0C191D25&quot;/&gt;&lt;wsp:rsid wsp:val=&quot;0C1B46F8&quot;/&gt;&lt;wsp:rsid wsp:val=&quot;0C1C7A68&quot;/&gt;&lt;wsp:rsid wsp:val=&quot;0C215F5C&quot;/&gt;&lt;wsp:rsid wsp:val=&quot;0C230DF6&quot;/&gt;&lt;wsp:rsid wsp:val=&quot;0C234952&quot;/&gt;&lt;wsp:rsid wsp:val=&quot;0C2514B7&quot;/&gt;&lt;wsp:rsid wsp:val=&quot;0C254BBB&quot;/&gt;&lt;wsp:rsid wsp:val=&quot;0C25691C&quot;/&gt;&lt;wsp:rsid wsp:val=&quot;0C2801BA&quot;/&gt;&lt;wsp:rsid wsp:val=&quot;0C2846EE&quot;/&gt;&lt;wsp:rsid wsp:val=&quot;0C2A3F33&quot;/&gt;&lt;wsp:rsid wsp:val=&quot;0C2B1A59&quot;/&gt;&lt;wsp:rsid wsp:val=&quot;0C2B3807&quot;/&gt;&lt;wsp:rsid wsp:val=&quot;0C2C7CAB&quot;/&gt;&lt;wsp:rsid wsp:val=&quot;0C322DE7&quot;/&gt;&lt;wsp:rsid wsp:val=&quot;0C324B95&quot;/&gt;&lt;wsp:rsid wsp:val=&quot;0C3374A6&quot;/&gt;&lt;wsp:rsid wsp:val=&quot;0C346B5F&quot;/&gt;&lt;wsp:rsid wsp:val=&quot;0C364685&quot;/&gt;&lt;wsp:rsid wsp:val=&quot;0C3703FE&quot;/&gt;&lt;wsp:rsid wsp:val=&quot;0C394176&quot;/&gt;&lt;wsp:rsid wsp:val=&quot;0C395F3C&quot;/&gt;&lt;wsp:rsid wsp:val=&quot;0C3A0244&quot;/&gt;&lt;wsp:rsid wsp:val=&quot;0C3B1C9C&quot;/&gt;&lt;wsp:rsid wsp:val=&quot;0C3B3C7D&quot;/&gt;&lt;wsp:rsid wsp:val=&quot;0C3B6140&quot;/&gt;&lt;wsp:rsid wsp:val=&quot;0C3B7EEE&quot;/&gt;&lt;wsp:rsid wsp:val=&quot;0C3C77C2&quot;/&gt;&lt;wsp:rsid wsp:val=&quot;0C3D1EB8&quot;/&gt;&lt;wsp:rsid wsp:val=&quot;0C3D3FF4&quot;/&gt;&lt;wsp:rsid wsp:val=&quot;0C3D45A5&quot;/&gt;&lt;wsp:rsid wsp:val=&quot;0C3E178C&quot;/&gt;&lt;wsp:rsid wsp:val=&quot;0C3E4981&quot;/&gt;&lt;wsp:rsid wsp:val=&quot;0C3E5484&quot;/&gt;&lt;wsp:rsid wsp:val=&quot;0C3F14E5&quot;/&gt;&lt;wsp:rsid wsp:val=&quot;0C403756&quot;/&gt;&lt;wsp:rsid wsp:val=&quot;0C41127C&quot;/&gt;&lt;wsp:rsid wsp:val=&quot;0C41302A&quot;/&gt;&lt;wsp:rsid wsp:val=&quot;0C4148FE&quot;/&gt;&lt;wsp:rsid wsp:val=&quot;0C430B50&quot;/&gt;&lt;wsp:rsid wsp:val=&quot;0C436DA2&quot;/&gt;&lt;wsp:rsid wsp:val=&quot;0C45205D&quot;/&gt;&lt;wsp:rsid wsp:val=&quot;0C452C96&quot;/&gt;&lt;wsp:rsid wsp:val=&quot;0C460641&quot;/&gt;&lt;wsp:rsid wsp:val=&quot;0C47614F&quot;/&gt;&lt;wsp:rsid wsp:val=&quot;0C476893&quot;/&gt;&lt;wsp:rsid wsp:val=&quot;0C48085D&quot;/&gt;&lt;wsp:rsid wsp:val=&quot;0C482675&quot;/&gt;&lt;wsp:rsid wsp:val=&quot;0C492597&quot;/&gt;&lt;wsp:rsid wsp:val=&quot;0C4A3397&quot;/&gt;&lt;wsp:rsid wsp:val=&quot;0C4B11C9&quot;/&gt;&lt;wsp:rsid wsp:val=&quot;0C4D19CF&quot;/&gt;&lt;wsp:rsid wsp:val=&quot;0C4D7C21&quot;/&gt;&lt;wsp:rsid wsp:val=&quot;0C4E201F&quot;/&gt;&lt;wsp:rsid wsp:val=&quot;0C4E75A8&quot;/&gt;&lt;wsp:rsid wsp:val=&quot;0C4F5747&quot;/&gt;&lt;wsp:rsid wsp:val=&quot;0C510BAA&quot;/&gt;&lt;wsp:rsid wsp:val=&quot;0C517711&quot;/&gt;&lt;wsp:rsid wsp:val=&quot;0C550358&quot;/&gt;&lt;wsp:rsid wsp:val=&quot;0C5614BF&quot;/&gt;&lt;wsp:rsid wsp:val=&quot;0C564D28&quot;/&gt;&lt;wsp:rsid wsp:val=&quot;0C5745FC&quot;/&gt;&lt;wsp:rsid wsp:val=&quot;0C5C1C12&quot;/&gt;&lt;wsp:rsid wsp:val=&quot;0C5E3BDC&quot;/&gt;&lt;wsp:rsid wsp:val=&quot;0C62191E&quot;/&gt;&lt;wsp:rsid wsp:val=&quot;0C623BFC&quot;/&gt;&lt;wsp:rsid wsp:val=&quot;0C6250DD&quot;/&gt;&lt;wsp:rsid wsp:val=&quot;0C654F6B&quot;/&gt;&lt;wsp:rsid wsp:val=&quot;0C68140E&quot;/&gt;&lt;wsp:rsid wsp:val=&quot;0C686809&quot;/&gt;&lt;wsp:rsid wsp:val=&quot;0C690D99&quot;/&gt;&lt;wsp:rsid wsp:val=&quot;0C692CAD&quot;/&gt;&lt;wsp:rsid wsp:val=&quot;0C6A4098&quot;/&gt;&lt;wsp:rsid wsp:val=&quot;0C6D2071&quot;/&gt;&lt;wsp:rsid wsp:val=&quot;0C711B61&quot;/&gt;&lt;wsp:rsid wsp:val=&quot;0C71390F&quot;/&gt;&lt;wsp:rsid wsp:val=&quot;0C71711F&quot;/&gt;&lt;wsp:rsid wsp:val=&quot;0C730031&quot;/&gt;&lt;wsp:rsid wsp:val=&quot;0C735804&quot;/&gt;&lt;wsp:rsid wsp:val=&quot;0C7358DA&quot;/&gt;&lt;wsp:rsid wsp:val=&quot;0C741652&quot;/&gt;&lt;wsp:rsid wsp:val=&quot;0C762CD4&quot;/&gt;&lt;wsp:rsid wsp:val=&quot;0C774C9E&quot;/&gt;&lt;wsp:rsid wsp:val=&quot;0C782EF0&quot;/&gt;&lt;wsp:rsid wsp:val=&quot;0C792EAC&quot;/&gt;&lt;wsp:rsid wsp:val=&quot;0C7B29E0&quot;/&gt;&lt;wsp:rsid wsp:val=&quot;0C7D22B4&quot;/&gt;&lt;wsp:rsid wsp:val=&quot;0C7E7DDA&quot;/&gt;&lt;wsp:rsid wsp:val=&quot;0C825B1D&quot;/&gt;&lt;wsp:rsid wsp:val=&quot;0C831895&quot;/&gt;&lt;wsp:rsid wsp:val=&quot;0C833643&quot;/&gt;&lt;wsp:rsid wsp:val=&quot;0C84135A&quot;/&gt;&lt;wsp:rsid wsp:val=&quot;0C8437E4&quot;/&gt;&lt;wsp:rsid wsp:val=&quot;0C873133&quot;/&gt;&lt;wsp:rsid wsp:val=&quot;0C874EE1&quot;/&gt;&lt;wsp:rsid wsp:val=&quot;0C877CDB&quot;/&gt;&lt;wsp:rsid wsp:val=&quot;0C882A07&quot;/&gt;&lt;wsp:rsid wsp:val=&quot;0C8A2C23&quot;/&gt;&lt;wsp:rsid wsp:val=&quot;0C8B64E7&quot;/&gt;&lt;wsp:rsid wsp:val=&quot;0C8C5158&quot;/&gt;&lt;wsp:rsid wsp:val=&quot;0C8D626F&quot;/&gt;&lt;wsp:rsid wsp:val=&quot;0C8E44C1&quot;/&gt;&lt;wsp:rsid wsp:val=&quot;0C8F023A&quot;/&gt;&lt;wsp:rsid wsp:val=&quot;0C8F1FE8&quot;/&gt;&lt;wsp:rsid wsp:val=&quot;0C8F3D96&quot;/&gt;&lt;wsp:rsid wsp:val=&quot;0C913FB2&quot;/&gt;&lt;wsp:rsid wsp:val=&quot;0C923886&quot;/&gt;&lt;wsp:rsid wsp:val=&quot;0C937D2A&quot;/&gt;&lt;wsp:rsid wsp:val=&quot;0C970E9C&quot;/&gt;&lt;wsp:rsid wsp:val=&quot;0C975D4D&quot;/&gt;&lt;wsp:rsid wsp:val=&quot;0C9801C7&quot;/&gt;&lt;wsp:rsid wsp:val=&quot;0C985AEC&quot;/&gt;&lt;wsp:rsid wsp:val=&quot;0C9870EE&quot;/&gt;&lt;wsp:rsid wsp:val=&quot;0C9910B8&quot;/&gt;&lt;wsp:rsid wsp:val=&quot;0C9B098C&quot;/&gt;&lt;wsp:rsid wsp:val=&quot;0C9B273A&quot;/&gt;&lt;wsp:rsid wsp:val=&quot;0C9B4A10&quot;/&gt;&lt;wsp:rsid wsp:val=&quot;0C9B6BDE&quot;/&gt;&lt;wsp:rsid wsp:val=&quot;0CA02408&quot;/&gt;&lt;wsp:rsid wsp:val=&quot;0CA02447&quot;/&gt;&lt;wsp:rsid wsp:val=&quot;0CA04363&quot;/&gt;&lt;wsp:rsid wsp:val=&quot;0CA5180B&quot;/&gt;&lt;wsp:rsid wsp:val=&quot;0CA6111A&quot;/&gt;&lt;wsp:rsid wsp:val=&quot;0CA737D5&quot;/&gt;&lt;wsp:rsid wsp:val=&quot;0CA75583&quot;/&gt;&lt;wsp:rsid wsp:val=&quot;0CA830A9&quot;/&gt;&lt;wsp:rsid wsp:val=&quot;0CA92DE9&quot;/&gt;&lt;wsp:rsid wsp:val=&quot;0CAB2DC4&quot;/&gt;&lt;wsp:rsid wsp:val=&quot;0CAB2EAE&quot;/&gt;&lt;wsp:rsid wsp:val=&quot;0CAC5995&quot;/&gt;&lt;wsp:rsid wsp:val=&quot;0CAE02B5&quot;/&gt;&lt;wsp:rsid wsp:val=&quot;0CAF4438&quot;/&gt;&lt;wsp:rsid wsp:val=&quot;0CAF61E6&quot;/&gt;&lt;wsp:rsid wsp:val=&quot;0CB16C35&quot;/&gt;&lt;wsp:rsid wsp:val=&quot;0CB3217A&quot;/&gt;&lt;wsp:rsid wsp:val=&quot;0CB34126&quot;/&gt;&lt;wsp:rsid wsp:val=&quot;0CB437FC&quot;/&gt;&lt;wsp:rsid wsp:val=&quot;0CB47CA0&quot;/&gt;&lt;wsp:rsid wsp:val=&quot;0CB87790&quot;/&gt;&lt;wsp:rsid wsp:val=&quot;0CBB2DDD&quot;/&gt;&lt;wsp:rsid wsp:val=&quot;0CBE467B&quot;/&gt;&lt;wsp:rsid wsp:val=&quot;0CC04897&quot;/&gt;&lt;wsp:rsid wsp:val=&quot;0CC1672A&quot;/&gt;&lt;wsp:rsid wsp:val=&quot;0CC228C9&quot;/&gt;&lt;wsp:rsid wsp:val=&quot;0CC2416B&quot;/&gt;&lt;wsp:rsid wsp:val=&quot;0CC42114&quot;/&gt;&lt;wsp:rsid wsp:val=&quot;0CC77D57&quot;/&gt;&lt;wsp:rsid wsp:val=&quot;0CC954FA&quot;/&gt;&lt;wsp:rsid wsp:val=&quot;0CCB0E5F&quot;/&gt;&lt;wsp:rsid wsp:val=&quot;0CCC4FEA&quot;/&gt;&lt;wsp:rsid wsp:val=&quot;0CCD3CE8&quot;/&gt;&lt;wsp:rsid wsp:val=&quot;0CCE2B10&quot;/&gt;&lt;wsp:rsid wsp:val=&quot;0CCF0636&quot;/&gt;&lt;wsp:rsid wsp:val=&quot;0CCF4ADA&quot;/&gt;&lt;wsp:rsid wsp:val=&quot;0CCF6888&quot;/&gt;&lt;wsp:rsid wsp:val=&quot;0CD12600&quot;/&gt;&lt;wsp:rsid wsp:val=&quot;0CD143AE&quot;/&gt;&lt;wsp:rsid wsp:val=&quot;0CD345CA&quot;/&gt;&lt;wsp:rsid wsp:val=&quot;0CD44BA0&quot;/&gt;&lt;wsp:rsid wsp:val=&quot;0CD50CAA&quot;/&gt;&lt;wsp:rsid wsp:val=&quot;0CD67C16&quot;/&gt;&lt;wsp:rsid wsp:val=&quot;0CDB2CD5&quot;/&gt;&lt;wsp:rsid wsp:val=&quot;0CDB7241&quot;/&gt;&lt;wsp:rsid wsp:val=&quot;0CDD2D53&quot;/&gt;&lt;wsp:rsid wsp:val=&quot;0CDE6ACB&quot;/&gt;&lt;wsp:rsid wsp:val=&quot;0CE045F1&quot;/&gt;&lt;wsp:rsid wsp:val=&quot;0CE340E1&quot;/&gt;&lt;wsp:rsid wsp:val=&quot;0CE42990&quot;/&gt;&lt;wsp:rsid wsp:val=&quot;0CE52F54&quot;/&gt;&lt;wsp:rsid wsp:val=&quot;0CE57E5A&quot;/&gt;&lt;wsp:rsid wsp:val=&quot;0CE71E24&quot;/&gt;&lt;wsp:rsid wsp:val=&quot;0CE73BD2&quot;/&gt;&lt;wsp:rsid wsp:val=&quot;0CE95B9C&quot;/&gt;&lt;wsp:rsid wsp:val=&quot;0CE9794A&quot;/&gt;&lt;wsp:rsid wsp:val=&quot;0CEA2936&quot;/&gt;&lt;wsp:rsid wsp:val=&quot;0CEB7EF6&quot;/&gt;&lt;wsp:rsid wsp:val=&quot;0CED040D&quot;/&gt;&lt;wsp:rsid wsp:val=&quot;0CEE4F60&quot;/&gt;&lt;wsp:rsid wsp:val=&quot;0CF06F2A&quot;/&gt;&lt;wsp:rsid wsp:val=&quot;0CF123C7&quot;/&gt;&lt;wsp:rsid wsp:val=&quot;0CF12CA2&quot;/&gt;&lt;wsp:rsid wsp:val=&quot;0CF307C8&quot;/&gt;&lt;wsp:rsid wsp:val=&quot;0CF415B9&quot;/&gt;&lt;wsp:rsid wsp:val=&quot;0CF42A49&quot;/&gt;&lt;wsp:rsid wsp:val=&quot;0CF462EF&quot;/&gt;&lt;wsp:rsid wsp:val=&quot;0CF61493&quot;/&gt;&lt;wsp:rsid wsp:val=&quot;0CF63E15&quot;/&gt;&lt;wsp:rsid wsp:val=&quot;0CF743E2&quot;/&gt;&lt;wsp:rsid wsp:val=&quot;0CF84031&quot;/&gt;&lt;wsp:rsid wsp:val=&quot;0CF85DDF&quot;/&gt;&lt;wsp:rsid wsp:val=&quot;0CFC11DB&quot;/&gt;&lt;wsp:rsid wsp:val=&quot;0CFD3DAC&quot;/&gt;&lt;wsp:rsid wsp:val=&quot;0CFE2CC9&quot;/&gt;&lt;wsp:rsid wsp:val=&quot;0CFE6607&quot;/&gt;&lt;wsp:rsid wsp:val=&quot;0CFF53BF&quot;/&gt;&lt;wsp:rsid wsp:val=&quot;0CFF716D&quot;/&gt;&lt;wsp:rsid wsp:val=&quot;0D002EE5&quot;/&gt;&lt;wsp:rsid wsp:val=&quot;0D004C93&quot;/&gt;&lt;wsp:rsid wsp:val=&quot;0D024B6A&quot;/&gt;&lt;wsp:rsid wsp:val=&quot;0D026C5D&quot;/&gt;&lt;wsp:rsid wsp:val=&quot;0D0463C4&quot;/&gt;&lt;wsp:rsid wsp:val=&quot;0D0546D5&quot;/&gt;&lt;wsp:rsid wsp:val=&quot;0D0728C9&quot;/&gt;&lt;wsp:rsid wsp:val=&quot;0D074274&quot;/&gt;&lt;wsp:rsid wsp:val=&quot;0D091D9A&quot;/&gt;&lt;wsp:rsid wsp:val=&quot;0D096AD2&quot;/&gt;&lt;wsp:rsid wsp:val=&quot;0D0A37DF&quot;/&gt;&lt;wsp:rsid wsp:val=&quot;0D0C3638&quot;/&gt;&lt;wsp:rsid wsp:val=&quot;0D0E73B0&quot;/&gt;&lt;wsp:rsid wsp:val=&quot;0D0F5086&quot;/&gt;&lt;wsp:rsid wsp:val=&quot;0D10137A&quot;/&gt;&lt;wsp:rsid wsp:val=&quot;0D103128&quot;/&gt;&lt;wsp:rsid wsp:val=&quot;0D116EA1&quot;/&gt;&lt;wsp:rsid wsp:val=&quot;0D136775&quot;/&gt;&lt;wsp:rsid wsp:val=&quot;0D15073F&quot;/&gt;&lt;wsp:rsid wsp:val=&quot;0D16463E&quot;/&gt;&lt;wsp:rsid wsp:val=&quot;0D181FDD&quot;/&gt;&lt;wsp:rsid wsp:val=&quot;0D186481&quot;/&gt;&lt;wsp:rsid wsp:val=&quot;0D187EE2&quot;/&gt;&lt;wsp:rsid wsp:val=&quot;0D1A5D55&quot;/&gt;&lt;wsp:rsid wsp:val=&quot;0D2070E4&quot;/&gt;&lt;wsp:rsid wsp:val=&quot;0D230698&quot;/&gt;&lt;wsp:rsid wsp:val=&quot;0D240982&quot;/&gt;&lt;wsp:rsid wsp:val=&quot;0D241E6A&quot;/&gt;&lt;wsp:rsid wsp:val=&quot;0D244E26&quot;/&gt;&lt;wsp:rsid wsp:val=&quot;0D29243C&quot;/&gt;&lt;wsp:rsid wsp:val=&quot;0D2A3ABE&quot;/&gt;&lt;wsp:rsid wsp:val=&quot;0D2C7836&quot;/&gt;&lt;wsp:rsid wsp:val=&quot;0D2E1801&quot;/&gt;&lt;wsp:rsid wsp:val=&quot;0D2E35AF&quot;/&gt;&lt;wsp:rsid wsp:val=&quot;0D307327&quot;/&gt;&lt;wsp:rsid wsp:val=&quot;0D3112F1&quot;/&gt;&lt;wsp:rsid wsp:val=&quot;0D31309F&quot;/&gt;&lt;wsp:rsid wsp:val=&quot;0D3155AA&quot;/&gt;&lt;wsp:rsid wsp:val=&quot;0D324C7F&quot;/&gt;&lt;wsp:rsid wsp:val=&quot;0D325B40&quot;/&gt;&lt;wsp:rsid wsp:val=&quot;0D335069&quot;/&gt;&lt;wsp:rsid wsp:val=&quot;0D34161D&quot;/&gt;&lt;wsp:rsid wsp:val=&quot;0D352AAD&quot;/&gt;&lt;wsp:rsid wsp:val=&quot;0D352B8F&quot;/&gt;&lt;wsp:rsid wsp:val=&quot;0D366907&quot;/&gt;&lt;wsp:rsid wsp:val=&quot;0D3861DB&quot;/&gt;&lt;wsp:rsid wsp:val=&quot;0D3A3D4E&quot;/&gt;&lt;wsp:rsid wsp:val=&quot;0D3A63F7&quot;/&gt;&lt;wsp:rsid wsp:val=&quot;0D3B3F1D&quot;/&gt;&lt;wsp:rsid wsp:val=&quot;0D3C1D73&quot;/&gt;&lt;wsp:rsid wsp:val=&quot;0D3C216F&quot;/&gt;&lt;wsp:rsid wsp:val=&quot;0D3D37F2&quot;/&gt;&lt;wsp:rsid wsp:val=&quot;0D3D5EE8&quot;/&gt;&lt;wsp:rsid wsp:val=&quot;0D3D7C96&quot;/&gt;&lt;wsp:rsid wsp:val=&quot;0D3F756A&quot;/&gt;&lt;wsp:rsid wsp:val=&quot;0D4032E2&quot;/&gt;&lt;wsp:rsid wsp:val=&quot;0D42705A&quot;/&gt;&lt;wsp:rsid wsp:val=&quot;0D433970&quot;/&gt;&lt;wsp:rsid wsp:val=&quot;0D436541&quot;/&gt;&lt;wsp:rsid wsp:val=&quot;0D441024&quot;/&gt;&lt;wsp:rsid wsp:val=&quot;0D447276&quot;/&gt;&lt;wsp:rsid wsp:val=&quot;0D4728C2&quot;/&gt;&lt;wsp:rsid wsp:val=&quot;0D4B4161&quot;/&gt;&lt;wsp:rsid wsp:val=&quot;0D4C7ED9&quot;/&gt;&lt;wsp:rsid wsp:val=&quot;0D4E59FF&quot;/&gt;&lt;wsp:rsid wsp:val=&quot;0D503504&quot;/&gt;&lt;wsp:rsid wsp:val=&quot;0D5154EF&quot;/&gt;&lt;wsp:rsid wsp:val=&quot;0D523741&quot;/&gt;&lt;wsp:rsid wsp:val=&quot;0D527254&quot;/&gt;&lt;wsp:rsid wsp:val=&quot;0D536036&quot;/&gt;&lt;wsp:rsid wsp:val=&quot;0D553231&quot;/&gt;&lt;wsp:rsid wsp:val=&quot;0D561DE6&quot;/&gt;&lt;wsp:rsid wsp:val=&quot;0D5648B3&quot;/&gt;&lt;wsp:rsid wsp:val=&quot;0D58422A&quot;/&gt;&lt;wsp:rsid wsp:val=&quot;0D586D8E&quot;/&gt;&lt;wsp:rsid wsp:val=&quot;0D591BDD&quot;/&gt;&lt;wsp:rsid wsp:val=&quot;0D5A09D3&quot;/&gt;&lt;wsp:rsid wsp:val=&quot;0D5B7EAB&quot;/&gt;&lt;wsp:rsid wsp:val=&quot;0D5D3E94&quot;/&gt;&lt;wsp:rsid wsp:val=&quot;0D5D5C42&quot;/&gt;&lt;wsp:rsid wsp:val=&quot;0D5F19BA&quot;/&gt;&lt;wsp:rsid wsp:val=&quot;0D5F5E5E&quot;/&gt;&lt;wsp:rsid wsp:val=&quot;0D605561&quot;/&gt;&lt;wsp:rsid wsp:val=&quot;0D6214AA&quot;/&gt;&lt;wsp:rsid wsp:val=&quot;0D621C7D&quot;/&gt;&lt;wsp:rsid wsp:val=&quot;0D65587A&quot;/&gt;&lt;wsp:rsid wsp:val=&quot;0D660F9A&quot;/&gt;&lt;wsp:rsid wsp:val=&quot;0D662D48&quot;/&gt;&lt;wsp:rsid wsp:val=&quot;0D682F64&quot;/&gt;&lt;wsp:rsid wsp:val=&quot;0D687F36&quot;/&gt;&lt;wsp:rsid wsp:val=&quot;0D69025C&quot;/&gt;&lt;wsp:rsid wsp:val=&quot;0D696CDD&quot;/&gt;&lt;wsp:rsid wsp:val=&quot;0D6C2329&quot;/&gt;&lt;wsp:rsid wsp:val=&quot;0D6C3183&quot;/&gt;&lt;wsp:rsid wsp:val=&quot;0D6F14FD&quot;/&gt;&lt;wsp:rsid wsp:val=&quot;0D6F35B4&quot;/&gt;&lt;wsp:rsid wsp:val=&quot;0D706E21&quot;/&gt;&lt;wsp:rsid wsp:val=&quot;0D7116ED&quot;/&gt;&lt;wsp:rsid wsp:val=&quot;0D71793F&quot;/&gt;&lt;wsp:rsid wsp:val=&quot;0D727E7E&quot;/&gt;&lt;wsp:rsid wsp:val=&quot;0D7511DD&quot;/&gt;&lt;wsp:rsid wsp:val=&quot;0D755681&quot;/&gt;&lt;wsp:rsid wsp:val=&quot;0D75742F&quot;/&gt;&lt;wsp:rsid wsp:val=&quot;0D77129A&quot;/&gt;&lt;wsp:rsid wsp:val=&quot;0D774F56&quot;/&gt;&lt;wsp:rsid wsp:val=&quot;0D780CCE&quot;/&gt;&lt;wsp:rsid wsp:val=&quot;0D7A2C98&quot;/&gt;&lt;wsp:rsid wsp:val=&quot;0D7B1AFD&quot;/&gt;&lt;wsp:rsid wsp:val=&quot;0D7C6A10&quot;/&gt;&lt;wsp:rsid wsp:val=&quot;0D814026&quot;/&gt;&lt;wsp:rsid wsp:val=&quot;0D815DD4&quot;/&gt;&lt;wsp:rsid wsp:val=&quot;0D817B82&quot;/&gt;&lt;wsp:rsid wsp:val=&quot;0D8256A8&quot;/&gt;&lt;wsp:rsid wsp:val=&quot;0D841515&quot;/&gt;&lt;wsp:rsid wsp:val=&quot;0D8566F9&quot;/&gt;&lt;wsp:rsid wsp:val=&quot;0D8853B5&quot;/&gt;&lt;wsp:rsid wsp:val=&quot;0D886A29&quot;/&gt;&lt;wsp:rsid wsp:val=&quot;0D8A622C&quot;/&gt;&lt;wsp:rsid wsp:val=&quot;0D8B6C53&quot;/&gt;&lt;wsp:rsid wsp:val=&quot;0D8C6527&quot;/&gt;&lt;wsp:rsid wsp:val=&quot;0D8D4779&quot;/&gt;&lt;wsp:rsid wsp:val=&quot;0D8E229F&quot;/&gt;&lt;wsp:rsid wsp:val=&quot;0D8E6743&quot;/&gt;&lt;wsp:rsid wsp:val=&quot;0D907DC5&quot;/&gt;&lt;wsp:rsid wsp:val=&quot;0D92024A&quot;/&gt;&lt;wsp:rsid wsp:val=&quot;0D927FE1&quot;/&gt;&lt;wsp:rsid wsp:val=&quot;0D935B07&quot;/&gt;&lt;wsp:rsid wsp:val=&quot;0D957AD2&quot;/&gt;&lt;wsp:rsid wsp:val=&quot;0D9755F8&quot;/&gt;&lt;wsp:rsid wsp:val=&quot;0D98311E&quot;/&gt;&lt;wsp:rsid wsp:val=&quot;0D984ECC&quot;/&gt;&lt;wsp:rsid wsp:val=&quot;0D991370&quot;/&gt;&lt;wsp:rsid wsp:val=&quot;0D9D24E2&quot;/&gt;&lt;wsp:rsid wsp:val=&quot;0D9F26FE&quot;/&gt;&lt;wsp:rsid wsp:val=&quot;0D9F31AB&quot;/&gt;&lt;wsp:rsid wsp:val=&quot;0D9F44AC&quot;/&gt;&lt;wsp:rsid wsp:val=&quot;0D9F625A&quot;/&gt;&lt;wsp:rsid wsp:val=&quot;0DA10592&quot;/&gt;&lt;wsp:rsid wsp:val=&quot;0DA26F5D&quot;/&gt;&lt;wsp:rsid wsp:val=&quot;0DA41D58&quot;/&gt;&lt;wsp:rsid wsp:val=&quot;0DA43871&quot;/&gt;&lt;wsp:rsid wsp:val=&quot;0DA4444E&quot;/&gt;&lt;wsp:rsid wsp:val=&quot;0DA970D9&quot;/&gt;&lt;wsp:rsid wsp:val=&quot;0DAB10A3&quot;/&gt;&lt;wsp:rsid wsp:val=&quot;0DAB4BFF&quot;/&gt;&lt;wsp:rsid wsp:val=&quot;0DAD6BC9&quot;/&gt;&lt;wsp:rsid wsp:val=&quot;0DAE46EF&quot;/&gt;&lt;wsp:rsid wsp:val=&quot;0DB00467&quot;/&gt;&lt;wsp:rsid wsp:val=&quot;0DB164B2&quot;/&gt;&lt;wsp:rsid wsp:val=&quot;0DB22432&quot;/&gt;&lt;wsp:rsid wsp:val=&quot;0DB241E0&quot;/&gt;&lt;wsp:rsid wsp:val=&quot;0DB31D06&quot;/&gt;&lt;wsp:rsid wsp:val=&quot;0DB735A4&quot;/&gt;&lt;wsp:rsid wsp:val=&quot;0DB77A48&quot;/&gt;&lt;wsp:rsid wsp:val=&quot;0DB8556E&quot;/&gt;&lt;wsp:rsid wsp:val=&quot;0DB93BD7&quot;/&gt;&lt;wsp:rsid wsp:val=&quot;0DBA7538&quot;/&gt;&lt;wsp:rsid wsp:val=&quot;0DBC0BBA&quot;/&gt;&lt;wsp:rsid wsp:val=&quot;0DBC505E&quot;/&gt;&lt;wsp:rsid wsp:val=&quot;0DBE0DD6&quot;/&gt;&lt;wsp:rsid wsp:val=&quot;0DBE2B84&quot;/&gt;&lt;wsp:rsid wsp:val=&quot;0DBF06AB&quot;/&gt;&lt;wsp:rsid wsp:val=&quot;0DBF4B4E&quot;/&gt;&lt;wsp:rsid wsp:val=&quot;0DBF7D8B&quot;/&gt;&lt;wsp:rsid wsp:val=&quot;0DC01E84&quot;/&gt;&lt;wsp:rsid wsp:val=&quot;0DC108C7&quot;/&gt;&lt;wsp:rsid wsp:val=&quot;0DC3019B&quot;/&gt;&lt;wsp:rsid wsp:val=&quot;0DC53787&quot;/&gt;&lt;wsp:rsid wsp:val=&quot;0DC61A39&quot;/&gt;&lt;wsp:rsid wsp:val=&quot;0DC65EDD&quot;/&gt;&lt;wsp:rsid wsp:val=&quot;0DC9777B&quot;/&gt;&lt;wsp:rsid wsp:val=&quot;0DCB704F&quot;/&gt;&lt;wsp:rsid wsp:val=&quot;0DCD726B&quot;/&gt;&lt;wsp:rsid wsp:val=&quot;0DCE6B40&quot;/&gt;&lt;wsp:rsid wsp:val=&quot;0DCF6B28&quot;/&gt;&lt;wsp:rsid wsp:val=&quot;0DD04666&quot;/&gt;&lt;wsp:rsid wsp:val=&quot;0DD56120&quot;/&gt;&lt;wsp:rsid wsp:val=&quot;0DD57ECE&quot;/&gt;&lt;wsp:rsid wsp:val=&quot;0DD66B39&quot;/&gt;&lt;wsp:rsid wsp:val=&quot;0DD7645F&quot;/&gt;&lt;wsp:rsid wsp:val=&quot;0DD979BE&quot;/&gt;&lt;wsp:rsid wsp:val=&quot;0DDA3736&quot;/&gt;&lt;wsp:rsid wsp:val=&quot;0DDC74AE&quot;/&gt;&lt;wsp:rsid wsp:val=&quot;0DDE4FD5&quot;/&gt;&lt;wsp:rsid wsp:val=&quot;0DE0109D&quot;/&gt;&lt;wsp:rsid wsp:val=&quot;0DE16873&quot;/&gt;&lt;wsp:rsid wsp:val=&quot;0DE27E25&quot;/&gt;&lt;wsp:rsid wsp:val=&quot;0DE40111&quot;/&gt;&lt;wsp:rsid wsp:val=&quot;0DE46363&quot;/&gt;&lt;wsp:rsid wsp:val=&quot;0DE63E89&quot;/&gt;&lt;wsp:rsid wsp:val=&quot;0DE85E53&quot;/&gt;&lt;wsp:rsid wsp:val=&quot;0DE86B21&quot;/&gt;&lt;wsp:rsid wsp:val=&quot;0DE87C01&quot;/&gt;&lt;wsp:rsid wsp:val=&quot;0DE93979&quot;/&gt;&lt;wsp:rsid wsp:val=&quot;0DEB14A0&quot;/&gt;&lt;wsp:rsid wsp:val=&quot;0DEB670A&quot;/&gt;&lt;wsp:rsid wsp:val=&quot;0DEB74D9&quot;/&gt;&lt;wsp:rsid wsp:val=&quot;0DED15C6&quot;/&gt;&lt;wsp:rsid wsp:val=&quot;0DED16BC&quot;/&gt;&lt;wsp:rsid wsp:val=&quot;0DED346A&quot;/&gt;&lt;wsp:rsid wsp:val=&quot;0DED5218&quot;/&gt;&lt;wsp:rsid wsp:val=&quot;0DF2282E&quot;/&gt;&lt;wsp:rsid wsp:val=&quot;0DF26CD2&quot;/&gt;&lt;wsp:rsid wsp:val=&quot;0DF46805&quot;/&gt;&lt;wsp:rsid wsp:val=&quot;0DF63C10&quot;/&gt;&lt;wsp:rsid wsp:val=&quot;0DF65076&quot;/&gt;&lt;wsp:rsid wsp:val=&quot;0DF6524C&quot;/&gt;&lt;wsp:rsid wsp:val=&quot;0DF75186&quot;/&gt;&lt;wsp:rsid wsp:val=&quot;0DF76096&quot;/&gt;&lt;wsp:rsid wsp:val=&quot;0DF90060&quot;/&gt;&lt;wsp:rsid wsp:val=&quot;0DF92677&quot;/&gt;&lt;wsp:rsid wsp:val=&quot;0DF93BBD&quot;/&gt;&lt;wsp:rsid wsp:val=&quot;0DFC1FFF&quot;/&gt;&lt;wsp:rsid wsp:val=&quot;0DFC36AD&quot;/&gt;&lt;wsp:rsid wsp:val=&quot;0DFE11D3&quot;/&gt;&lt;wsp:rsid wsp:val=&quot;0DFE5392&quot;/&gt;&lt;wsp:rsid wsp:val=&quot;0DFE5677&quot;/&gt;&lt;wsp:rsid wsp:val=&quot;0DFE7425&quot;/&gt;&lt;wsp:rsid wsp:val=&quot;0E001D83&quot;/&gt;&lt;wsp:rsid wsp:val=&quot;0E010CC3&quot;/&gt;&lt;wsp:rsid wsp:val=&quot;0E056D34&quot;/&gt;&lt;wsp:rsid wsp:val=&quot;0E06277D&quot;/&gt;&lt;wsp:rsid wsp:val=&quot;0E07353A&quot;/&gt;&lt;wsp:rsid wsp:val=&quot;0E083E00&quot;/&gt;&lt;wsp:rsid wsp:val=&quot;0E0A336E&quot;/&gt;&lt;wsp:rsid wsp:val=&quot;0E0A401C&quot;/&gt;&lt;wsp:rsid wsp:val=&quot;0E0B7916&quot;/&gt;&lt;wsp:rsid wsp:val=&quot;0E0B7D94&quot;/&gt;&lt;wsp:rsid wsp:val=&quot;0E0E518E&quot;/&gt;&lt;wsp:rsid wsp:val=&quot;0E1171BD&quot;/&gt;&lt;wsp:rsid wsp:val=&quot;0E146C48&quot;/&gt;&lt;wsp:rsid wsp:val=&quot;0E1529C0&quot;/&gt;&lt;wsp:rsid wsp:val=&quot;0E15476E&quot;/&gt;&lt;wsp:rsid wsp:val=&quot;0E172295&quot;/&gt;&lt;wsp:rsid wsp:val=&quot;0E17302F&quot;/&gt;&lt;wsp:rsid wsp:val=&quot;0E176739&quot;/&gt;&lt;wsp:rsid wsp:val=&quot;0E1A3B33&quot;/&gt;&lt;wsp:rsid wsp:val=&quot;0E1B7FD7&quot;/&gt;&lt;wsp:rsid wsp:val=&quot;0E1C3D4F&quot;/&gt;&lt;wsp:rsid wsp:val=&quot;0E1C78AB&quot;/&gt;&lt;wsp:rsid wsp:val=&quot;0E1E33F4&quot;/&gt;&lt;wsp:rsid wsp:val=&quot;0E1F1149&quot;/&gt;&lt;wsp:rsid wsp:val=&quot;0E205822&quot;/&gt;&lt;wsp:rsid wsp:val=&quot;0E214EC1&quot;/&gt;&lt;wsp:rsid wsp:val=&quot;0E2350DD&quot;/&gt;&lt;wsp:rsid wsp:val=&quot;0E2449B2&quot;/&gt;&lt;wsp:rsid wsp:val=&quot;0E247D60&quot;/&gt;&lt;wsp:rsid wsp:val=&quot;0E252C04&quot;/&gt;&lt;wsp:rsid wsp:val=&quot;0E255A34&quot;/&gt;&lt;wsp:rsid wsp:val=&quot;0E256D9A&quot;/&gt;&lt;wsp:rsid wsp:val=&quot;0E2624D8&quot;/&gt;&lt;wsp:rsid wsp:val=&quot;0E2826F4&quot;/&gt;&lt;wsp:rsid wsp:val=&quot;0E283FB3&quot;/&gt;&lt;wsp:rsid wsp:val=&quot;0E2A646C&quot;/&gt;&lt;wsp:rsid wsp:val=&quot;0E2B5D40&quot;/&gt;&lt;wsp:rsid wsp:val=&quot;0E2C21E4&quot;/&gt;&lt;wsp:rsid wsp:val=&quot;0E2D1AB8&quot;/&gt;&lt;wsp:rsid wsp:val=&quot;0E2D3866&quot;/&gt;&lt;wsp:rsid wsp:val=&quot;0E2F12B5&quot;/&gt;&lt;wsp:rsid wsp:val=&quot;0E2F3A82&quot;/&gt;&lt;wsp:rsid wsp:val=&quot;0E2F75DE&quot;/&gt;&lt;wsp:rsid wsp:val=&quot;0E323572&quot;/&gt;&lt;wsp:rsid wsp:val=&quot;0E342E47&quot;/&gt;&lt;wsp:rsid wsp:val=&quot;0E35096D&quot;/&gt;&lt;wsp:rsid wsp:val=&quot;0E355127&quot;/&gt;&lt;wsp:rsid wsp:val=&quot;0E356BBF&quot;/&gt;&lt;wsp:rsid wsp:val=&quot;0E36265D&quot;/&gt;&lt;wsp:rsid wsp:val=&quot;0E370C1E&quot;/&gt;&lt;wsp:rsid wsp:val=&quot;0E3746E5&quot;/&gt;&lt;wsp:rsid wsp:val=&quot;0E39220B&quot;/&gt;&lt;wsp:rsid wsp:val=&quot;0E3A5F83&quot;/&gt;&lt;wsp:rsid wsp:val=&quot;0E3B3F9E&quot;/&gt;&lt;wsp:rsid wsp:val=&quot;0E3E3CC5&quot;/&gt;&lt;wsp:rsid wsp:val=&quot;0E400A29&quot;/&gt;&lt;wsp:rsid wsp:val=&quot;0E407A3D&quot;/&gt;&lt;wsp:rsid wsp:val=&quot;0E4137B5&quot;/&gt;&lt;wsp:rsid wsp:val=&quot;0E455054&quot;/&gt;&lt;wsp:rsid wsp:val=&quot;0E456E02&quot;/&gt;&lt;wsp:rsid wsp:val=&quot;0E460DCC&quot;/&gt;&lt;wsp:rsid wsp:val=&quot;0E464928&quot;/&gt;&lt;wsp:rsid wsp:val=&quot;0E4709CC&quot;/&gt;&lt;wsp:rsid wsp:val=&quot;0E4868F2&quot;/&gt;&lt;wsp:rsid wsp:val=&quot;0E4A4418&quot;/&gt;&lt;wsp:rsid wsp:val=&quot;0E4A7F2A&quot;/&gt;&lt;wsp:rsid wsp:val=&quot;0E4B0190&quot;/&gt;&lt;wsp:rsid wsp:val=&quot;0E4B1F3E&quot;/&gt;&lt;wsp:rsid wsp:val=&quot;0E4D3F08&quot;/&gt;&lt;wsp:rsid wsp:val=&quot;0E4D48AC&quot;/&gt;&lt;wsp:rsid wsp:val=&quot;0E4F7062&quot;/&gt;&lt;wsp:rsid wsp:val=&quot;0E5232CD&quot;/&gt;&lt;wsp:rsid wsp:val=&quot;0E527771&quot;/&gt;&lt;wsp:rsid wsp:val=&quot;0E5434E9&quot;/&gt;&lt;wsp:rsid wsp:val=&quot;0E545297&quot;/&gt;&lt;wsp:rsid wsp:val=&quot;0E547045&quot;/&gt;&lt;wsp:rsid wsp:val=&quot;0E5758F0&quot;/&gt;&lt;wsp:rsid wsp:val=&quot;0E5B4877&quot;/&gt;&lt;wsp:rsid wsp:val=&quot;0E5D24C7&quot;/&gt;&lt;wsp:rsid wsp:val=&quot;0E5D6F32&quot;/&gt;&lt;wsp:rsid wsp:val=&quot;0E5E6115&quot;/&gt;&lt;wsp:rsid wsp:val=&quot;0E5E7EC3&quot;/&gt;&lt;wsp:rsid wsp:val=&quot;0E5F3F5A&quot;/&gt;&lt;wsp:rsid wsp:val=&quot;0E5F4EF3&quot;/&gt;&lt;wsp:rsid wsp:val=&quot;0E6258BE&quot;/&gt;&lt;wsp:rsid wsp:val=&quot;0E63197E&quot;/&gt;&lt;wsp:rsid wsp:val=&quot;0E651091&quot;/&gt;&lt;wsp:rsid wsp:val=&quot;0E653000&quot;/&gt;&lt;wsp:rsid wsp:val=&quot;0E67321C&quot;/&gt;&lt;wsp:rsid wsp:val=&quot;0E686F94&quot;/&gt;&lt;wsp:rsid wsp:val=&quot;0E6A4ABA&quot;/&gt;&lt;wsp:rsid wsp:val=&quot;0E6B438E&quot;/&gt;&lt;wsp:rsid wsp:val=&quot;0E6C0832&quot;/&gt;&lt;wsp:rsid wsp:val=&quot;0E6C4698&quot;/&gt;&lt;wsp:rsid wsp:val=&quot;0E6D45AA&quot;/&gt;&lt;wsp:rsid wsp:val=&quot;0E6F0323&quot;/&gt;&lt;wsp:rsid wsp:val=&quot;0E6F3E7F&quot;/&gt;&lt;wsp:rsid wsp:val=&quot;0E7019A5&quot;/&gt;&lt;wsp:rsid wsp:val=&quot;0E707BF7&quot;/&gt;&lt;wsp:rsid wsp:val=&quot;0E711068&quot;/&gt;&lt;wsp:rsid wsp:val=&quot;0E7143CA&quot;/&gt;&lt;wsp:rsid wsp:val=&quot;0E715E49&quot;/&gt;&lt;wsp:rsid wsp:val=&quot;0E72571D&quot;/&gt;&lt;wsp:rsid wsp:val=&quot;0E73034D&quot;/&gt;&lt;wsp:rsid wsp:val=&quot;0E741495&quot;/&gt;&lt;wsp:rsid wsp:val=&quot;0E7476E7&quot;/&gt;&lt;wsp:rsid wsp:val=&quot;0E750E79&quot;/&gt;&lt;wsp:rsid wsp:val=&quot;0E7525BA&quot;/&gt;&lt;wsp:rsid wsp:val=&quot;0E7616B1&quot;/&gt;&lt;wsp:rsid wsp:val=&quot;0E7771D7&quot;/&gt;&lt;wsp:rsid wsp:val=&quot;0E782394&quot;/&gt;&lt;wsp:rsid wsp:val=&quot;0E7B6233&quot;/&gt;&lt;wsp:rsid wsp:val=&quot;0E7C0454&quot;/&gt;&lt;wsp:rsid wsp:val=&quot;0E7D51EB&quot;/&gt;&lt;wsp:rsid wsp:val=&quot;0E8042DE&quot;/&gt;&lt;wsp:rsid wsp:val=&quot;0E80615A&quot;/&gt;&lt;wsp:rsid wsp:val=&quot;0E8106B8&quot;/&gt;&lt;wsp:rsid wsp:val=&quot;0E813BB2&quot;/&gt;&lt;wsp:rsid wsp:val=&quot;0E820056&quot;/&gt;&lt;wsp:rsid wsp:val=&quot;0E83792A&quot;/&gt;&lt;wsp:rsid wsp:val=&quot;0E855450&quot;/&gt;&lt;wsp:rsid wsp:val=&quot;0E8611C8&quot;/&gt;&lt;wsp:rsid wsp:val=&quot;0E861DFE&quot;/&gt;&lt;wsp:rsid wsp:val=&quot;0E87566C&quot;/&gt;&lt;wsp:rsid wsp:val=&quot;0E880A30&quot;/&gt;&lt;wsp:rsid wsp:val=&quot;0E894879&quot;/&gt;&lt;wsp:rsid wsp:val=&quot;0E8A0CB9&quot;/&gt;&lt;wsp:rsid wsp:val=&quot;0E8C4A31&quot;/&gt;&lt;wsp:rsid wsp:val=&quot;0E8D07A9&quot;/&gt;&lt;wsp:rsid wsp:val=&quot;0E8D69FB&quot;/&gt;&lt;wsp:rsid wsp:val=&quot;0E903DF5&quot;/&gt;&lt;wsp:rsid wsp:val=&quot;0E925DBF&quot;/&gt;&lt;wsp:rsid wsp:val=&quot;0E941B37&quot;/&gt;&lt;wsp:rsid wsp:val=&quot;0E9438E5&quot;/&gt;&lt;wsp:rsid wsp:val=&quot;0E96765D&quot;/&gt;&lt;wsp:rsid wsp:val=&quot;0E9733D5&quot;/&gt;&lt;wsp:rsid wsp:val=&quot;0E975183&quot;/&gt;&lt;wsp:rsid wsp:val=&quot;0E9919B5&quot;/&gt;&lt;wsp:rsid wsp:val=&quot;0E9C09EC&quot;/&gt;&lt;wsp:rsid wsp:val=&quot;0E9C279A&quot;/&gt;&lt;wsp:rsid wsp:val=&quot;0E9D4E90&quot;/&gt;&lt;wsp:rsid wsp:val=&quot;0EA0228A&quot;/&gt;&lt;wsp:rsid wsp:val=&quot;0EA10147&quot;/&gt;&lt;wsp:rsid wsp:val=&quot;0EA24254&quot;/&gt;&lt;wsp:rsid wsp:val=&quot;0EA31D7A&quot;/&gt;&lt;wsp:rsid wsp:val=&quot;0EA93835&quot;/&gt;&lt;wsp:rsid wsp:val=&quot;0EAA3109&quot;/&gt;&lt;wsp:rsid wsp:val=&quot;0EAC446D&quot;/&gt;&lt;wsp:rsid wsp:val=&quot;0EAD12BB&quot;/&gt;&lt;wsp:rsid wsp:val=&quot;0EAD49A7&quot;/&gt;&lt;wsp:rsid wsp:val=&quot;0EAE1581&quot;/&gt;&lt;wsp:rsid wsp:val=&quot;0EAF4BC3&quot;/&gt;&lt;wsp:rsid wsp:val=&quot;0EAF6971&quot;/&gt;&lt;wsp:rsid wsp:val=&quot;0EB030EA&quot;/&gt;&lt;wsp:rsid wsp:val=&quot;0EB16245&quot;/&gt;&lt;wsp:rsid wsp:val=&quot;0EB178EC&quot;/&gt;&lt;wsp:rsid wsp:val=&quot;0EB2020F&quot;/&gt;&lt;wsp:rsid wsp:val=&quot;0EB26482&quot;/&gt;&lt;wsp:rsid wsp:val=&quot;0EB43F87&quot;/&gt;&lt;wsp:rsid wsp:val=&quot;0EB67D00&quot;/&gt;&lt;wsp:rsid wsp:val=&quot;0EB7236D&quot;/&gt;&lt;wsp:rsid wsp:val=&quot;0EB75826&quot;/&gt;&lt;wsp:rsid wsp:val=&quot;0EB9334C&quot;/&gt;&lt;wsp:rsid wsp:val=&quot;0EBB5316&quot;/&gt;&lt;wsp:rsid wsp:val=&quot;0EBC360E&quot;/&gt;&lt;wsp:rsid wsp:val=&quot;0EBD108E&quot;/&gt;&lt;wsp:rsid wsp:val=&quot;0EBE2240&quot;/&gt;&lt;wsp:rsid wsp:val=&quot;0EBE4E06&quot;/&gt;&lt;wsp:rsid wsp:val=&quot;0EC00B7E&quot;/&gt;&lt;wsp:rsid wsp:val=&quot;0EC248F6&quot;/&gt;&lt;wsp:rsid wsp:val=&quot;0EC51CF1&quot;/&gt;&lt;wsp:rsid wsp:val=&quot;0EC87A33&quot;/&gt;&lt;wsp:rsid wsp:val=&quot;0EC95C85&quot;/&gt;&lt;wsp:rsid wsp:val=&quot;0ECA37AB&quot;/&gt;&lt;wsp:rsid wsp:val=&quot;0ECD0E2A&quot;/&gt;&lt;wsp:rsid wsp:val=&quot;0ECD6DF7&quot;/&gt;&lt;wsp:rsid wsp:val=&quot;0ECE5049&quot;/&gt;&lt;wsp:rsid wsp:val=&quot;0ECF491D&quot;/&gt;&lt;wsp:rsid wsp:val=&quot;0ED308B1&quot;/&gt;&lt;wsp:rsid wsp:val=&quot;0ED463D8&quot;/&gt;&lt;wsp:rsid wsp:val=&quot;0ED62150&quot;/&gt;&lt;wsp:rsid wsp:val=&quot;0ED74921&quot;/&gt;&lt;wsp:rsid wsp:val=&quot;0ED86425&quot;/&gt;&lt;wsp:rsid wsp:val=&quot;0ED87C76&quot;/&gt;&lt;wsp:rsid wsp:val=&quot;0ED9579C&quot;/&gt;&lt;wsp:rsid wsp:val=&quot;0EDB2AB0&quot;/&gt;&lt;wsp:rsid wsp:val=&quot;0EDB32C2&quot;/&gt;&lt;wsp:rsid wsp:val=&quot;0EDE1958&quot;/&gt;&lt;wsp:rsid wsp:val=&quot;0EE02FCE&quot;/&gt;&lt;wsp:rsid wsp:val=&quot;0EE04D7C&quot;/&gt;&lt;wsp:rsid wsp:val=&quot;0EE228A3&quot;/&gt;&lt;wsp:rsid wsp:val=&quot;0EE26069&quot;/&gt;&lt;wsp:rsid wsp:val=&quot;0EE303C9&quot;/&gt;&lt;wsp:rsid wsp:val=&quot;0EE37B25&quot;/&gt;&lt;wsp:rsid wsp:val=&quot;0EE4486D&quot;/&gt;&lt;wsp:rsid wsp:val=&quot;0EE7435D&quot;/&gt;&lt;wsp:rsid wsp:val=&quot;0EE859DF&quot;/&gt;&lt;wsp:rsid wsp:val=&quot;0EEA5BFB&quot;/&gt;&lt;wsp:rsid wsp:val=&quot;0EEC183C&quot;/&gt;&lt;wsp:rsid wsp:val=&quot;0EEC54CF&quot;/&gt;&lt;wsp:rsid wsp:val=&quot;0EEE56EB&quot;/&gt;&lt;wsp:rsid wsp:val=&quot;0EEF4FBF&quot;/&gt;&lt;wsp:rsid wsp:val=&quot;0EEF6D6E&quot;/&gt;&lt;wsp:rsid wsp:val=&quot;0EF024FE&quot;/&gt;&lt;wsp:rsid wsp:val=&quot;0EF02BFC&quot;/&gt;&lt;wsp:rsid wsp:val=&quot;0EF12AE6&quot;/&gt;&lt;wsp:rsid wsp:val=&quot;0EF32D02&quot;/&gt;&lt;wsp:rsid wsp:val=&quot;0EF425D6&quot;/&gt;&lt;wsp:rsid wsp:val=&quot;0EF600FC&quot;/&gt;&lt;wsp:rsid wsp:val=&quot;0EF6634E&quot;/&gt;&lt;wsp:rsid wsp:val=&quot;0EF820C6&quot;/&gt;&lt;wsp:rsid wsp:val=&quot;0EF92D65&quot;/&gt;&lt;wsp:rsid wsp:val=&quot;0EFB3964&quot;/&gt;&lt;wsp:rsid wsp:val=&quot;0EFB7611&quot;/&gt;&lt;wsp:rsid wsp:val=&quot;0EFC21E2&quot;/&gt;&lt;wsp:rsid wsp:val=&quot;0EFD592E&quot;/&gt;&lt;wsp:rsid wsp:val=&quot;0EFE195A&quot;/&gt;&lt;wsp:rsid wsp:val=&quot;0F00541F&quot;/&gt;&lt;wsp:rsid wsp:val=&quot;0F024CF3&quot;/&gt;&lt;wsp:rsid wsp:val=&quot;0F026AA1&quot;/&gt;&lt;wsp:rsid wsp:val=&quot;0F0274E4&quot;/&gt;&lt;wsp:rsid wsp:val=&quot;0F042CED&quot;/&gt;&lt;wsp:rsid wsp:val=&quot;0F046CBD&quot;/&gt;&lt;wsp:rsid wsp:val=&quot;0F052A35&quot;/&gt;&lt;wsp:rsid wsp:val=&quot;0F072309&quot;/&gt;&lt;wsp:rsid wsp:val=&quot;0F0767AD&quot;/&gt;&lt;wsp:rsid wsp:val=&quot;0F087E2F&quot;/&gt;&lt;wsp:rsid wsp:val=&quot;0F0A1DF9&quot;/&gt;&lt;wsp:rsid wsp:val=&quot;0F0B75D6&quot;/&gt;&lt;wsp:rsid wsp:val=&quot;0F0C2B61&quot;/&gt;&lt;wsp:rsid wsp:val=&quot;0F0E4B55&quot;/&gt;&lt;wsp:rsid wsp:val=&quot;0F0E7B3C&quot;/&gt;&lt;wsp:rsid wsp:val=&quot;0F0F11BE&quot;/&gt;&lt;wsp:rsid wsp:val=&quot;0F113188&quot;/&gt;&lt;wsp:rsid wsp:val=&quot;0F135152&quot;/&gt;&lt;wsp:rsid wsp:val=&quot;0F13775A&quot;/&gt;&lt;wsp:rsid wsp:val=&quot;0F144A26&quot;/&gt;&lt;wsp:rsid wsp:val=&quot;0F1455F1&quot;/&gt;&lt;wsp:rsid wsp:val=&quot;0F16254C&quot;/&gt;&lt;wsp:rsid wsp:val=&quot;0F163D3F&quot;/&gt;&lt;wsp:rsid wsp:val=&quot;0F1669F0&quot;/&gt;&lt;wsp:rsid wsp:val=&quot;0F1961E8&quot;/&gt;&lt;wsp:rsid wsp:val=&quot;0F1A64E0&quot;/&gt;&lt;wsp:rsid wsp:val=&quot;0F1B7B63&quot;/&gt;&lt;wsp:rsid wsp:val=&quot;0F1D1B2D&quot;/&gt;&lt;wsp:rsid wsp:val=&quot;0F1F3E3B&quot;/&gt;&lt;wsp:rsid wsp:val=&quot;0F2033CB&quot;/&gt;&lt;wsp:rsid wsp:val=&quot;0F205179&quot;/&gt;&lt;wsp:rsid wsp:val=&quot;0F210A79&quot;/&gt;&lt;wsp:rsid wsp:val=&quot;0F24110D&quot;/&gt;&lt;wsp:rsid wsp:val=&quot;0F256C33&quot;/&gt;&lt;wsp:rsid wsp:val=&quot;0F2729AB&quot;/&gt;&lt;wsp:rsid wsp:val=&quot;0F274759&quot;/&gt;&lt;wsp:rsid wsp:val=&quot;0F2761EA&quot;/&gt;&lt;wsp:rsid wsp:val=&quot;0F276507&quot;/&gt;&lt;wsp:rsid wsp:val=&quot;0F2904D1&quot;/&gt;&lt;wsp:rsid wsp:val=&quot;0F2C6214&quot;/&gt;&lt;wsp:rsid wsp:val=&quot;0F2D7925&quot;/&gt;&lt;wsp:rsid wsp:val=&quot;0F2E5AE8&quot;/&gt;&lt;wsp:rsid wsp:val=&quot;0F2F33AB&quot;/&gt;&lt;wsp:rsid wsp:val=&quot;0F3109A6&quot;/&gt;&lt;wsp:rsid wsp:val=&quot;0F343320&quot;/&gt;&lt;wsp:rsid wsp:val=&quot;0F360E40&quot;/&gt;&lt;wsp:rsid wsp:val=&quot;0F3744EB&quot;/&gt;&lt;wsp:rsid wsp:val=&quot;0F384BB8&quot;/&gt;&lt;wsp:rsid wsp:val=&quot;0F3A0931&quot;/&gt;&lt;wsp:rsid wsp:val=&quot;0F3B1FB3&quot;/&gt;&lt;wsp:rsid wsp:val=&quot;0F3B2FEA&quot;/&gt;&lt;wsp:rsid wsp:val=&quot;0F3F1AA3&quot;/&gt;&lt;wsp:rsid wsp:val=&quot;0F3F5F47&quot;/&gt;&lt;wsp:rsid wsp:val=&quot;0F3F7CF5&quot;/&gt;&lt;wsp:rsid wsp:val=&quot;0F4052B3&quot;/&gt;&lt;wsp:rsid wsp:val=&quot;0F410916&quot;/&gt;&lt;wsp:rsid wsp:val=&quot;0F421593&quot;/&gt;&lt;wsp:rsid wsp:val=&quot;0F423341&quot;/&gt;&lt;wsp:rsid wsp:val=&quot;0F4278E9&quot;/&gt;&lt;wsp:rsid wsp:val=&quot;0F450727&quot;/&gt;&lt;wsp:rsid wsp:val=&quot;0F451083&quot;/&gt;&lt;wsp:rsid wsp:val=&quot;0F4672D5&quot;/&gt;&lt;wsp:rsid wsp:val=&quot;0F476BAA&quot;/&gt;&lt;wsp:rsid wsp:val=&quot;0F4800B8&quot;/&gt;&lt;wsp:rsid wsp:val=&quot;0F490B74&quot;/&gt;&lt;wsp:rsid wsp:val=&quot;0F4948EC&quot;/&gt;&lt;wsp:rsid wsp:val=&quot;0F4A19C8&quot;/&gt;&lt;wsp:rsid wsp:val=&quot;0F4C0664&quot;/&gt;&lt;wsp:rsid wsp:val=&quot;0F4C2412&quot;/&gt;&lt;wsp:rsid wsp:val=&quot;0F4C41C0&quot;/&gt;&lt;wsp:rsid wsp:val=&quot;0F4E618A&quot;/&gt;&lt;wsp:rsid wsp:val=&quot;0F4E7F38&quot;/&gt;&lt;wsp:rsid wsp:val=&quot;0F503CB0&quot;/&gt;&lt;wsp:rsid wsp:val=&quot;0F515C7A&quot;/&gt;&lt;wsp:rsid wsp:val=&quot;0F53554E&quot;/&gt;&lt;wsp:rsid wsp:val=&quot;0F5512C6&quot;/&gt;&lt;wsp:rsid wsp:val=&quot;0F56503F&quot;/&gt;&lt;wsp:rsid wsp:val=&quot;0F582B65&quot;/&gt;&lt;wsp:rsid wsp:val=&quot;0F5C08A7&quot;/&gt;&lt;wsp:rsid wsp:val=&quot;0F5C3DDD&quot;/&gt;&lt;wsp:rsid wsp:val=&quot;0F5C6A3C&quot;/&gt;&lt;wsp:rsid wsp:val=&quot;0F5D69AE&quot;/&gt;&lt;wsp:rsid wsp:val=&quot;0F5E2A0F&quot;/&gt;&lt;wsp:rsid wsp:val=&quot;0F5F45FE&quot;/&gt;&lt;wsp:rsid wsp:val=&quot;0F601A19&quot;/&gt;&lt;wsp:rsid wsp:val=&quot;0F607DCE&quot;/&gt;&lt;wsp:rsid wsp:val=&quot;0F632BEB&quot;/&gt;&lt;wsp:rsid wsp:val=&quot;0F6459AD&quot;/&gt;&lt;wsp:rsid wsp:val=&quot;0F661726&quot;/&gt;&lt;wsp:rsid wsp:val=&quot;0F67724C&quot;/&gt;&lt;wsp:rsid wsp:val=&quot;0F694F51&quot;/&gt;&lt;wsp:rsid wsp:val=&quot;0F6A2898&quot;/&gt;&lt;wsp:rsid wsp:val=&quot;0F6C1977&quot;/&gt;&lt;wsp:rsid wsp:val=&quot;0F722315&quot;/&gt;&lt;wsp:rsid wsp:val=&quot;0F73174D&quot;/&gt;&lt;wsp:rsid wsp:val=&quot;0F745423&quot;/&gt;&lt;wsp:rsid wsp:val=&quot;0F7554C5&quot;/&gt;&lt;wsp:rsid wsp:val=&quot;0F76748F&quot;/&gt;&lt;wsp:rsid wsp:val=&quot;0F777E12&quot;/&gt;&lt;wsp:rsid wsp:val=&quot;0F7A0AA7&quot;/&gt;&lt;wsp:rsid wsp:val=&quot;0F7A0D2D&quot;/&gt;&lt;wsp:rsid wsp:val=&quot;0F7B0B9F&quot;/&gt;&lt;wsp:rsid wsp:val=&quot;0F7B4AA5&quot;/&gt;&lt;wsp:rsid wsp:val=&quot;0F7C1A16&quot;/&gt;&lt;wsp:rsid wsp:val=&quot;0F7C24AA&quot;/&gt;&lt;wsp:rsid wsp:val=&quot;0F7D25CB&quot;/&gt;&lt;wsp:rsid wsp:val=&quot;0F7D718B&quot;/&gt;&lt;wsp:rsid wsp:val=&quot;0F804919&quot;/&gt;&lt;wsp:rsid wsp:val=&quot;0F840147&quot;/&gt;&lt;wsp:rsid wsp:val=&quot;0F84395A&quot;/&gt;&lt;wsp:rsid wsp:val=&quot;0F844F29&quot;/&gt;&lt;wsp:rsid wsp:val=&quot;0F847DFE&quot;/&gt;&lt;wsp:rsid wsp:val=&quot;0F865924&quot;/&gt;&lt;wsp:rsid wsp:val=&quot;0F8676D2&quot;/&gt;&lt;wsp:rsid wsp:val=&quot;0F87169C&quot;/&gt;&lt;wsp:rsid wsp:val=&quot;0F880B6C&quot;/&gt;&lt;wsp:rsid wsp:val=&quot;0F8875D5&quot;/&gt;&lt;wsp:rsid wsp:val=&quot;0F895414&quot;/&gt;&lt;wsp:rsid wsp:val=&quot;0F8B1A2C&quot;/&gt;&lt;wsp:rsid wsp:val=&quot;0F8B4CE8&quot;/&gt;&lt;wsp:rsid wsp:val=&quot;0F8E2BD1&quot;/&gt;&lt;wsp:rsid wsp:val=&quot;0F8E47D8&quot;/&gt;&lt;wsp:rsid wsp:val=&quot;0F8E6586&quot;/&gt;&lt;wsp:rsid wsp:val=&quot;0F9022FF&quot;/&gt;&lt;wsp:rsid wsp:val=&quot;0F931DEF&quot;/&gt;&lt;wsp:rsid wsp:val=&quot;0F957915&quot;/&gt;&lt;wsp:rsid wsp:val=&quot;0F9718DF&quot;/&gt;&lt;wsp:rsid wsp:val=&quot;0F977FCF&quot;/&gt;&lt;wsp:rsid wsp:val=&quot;0F9954A7&quot;/&gt;&lt;wsp:rsid wsp:val=&quot;0F9A112B&quot;/&gt;&lt;wsp:rsid wsp:val=&quot;0F9A13CF&quot;/&gt;&lt;wsp:rsid wsp:val=&quot;0F9A6950&quot;/&gt;&lt;wsp:rsid wsp:val=&quot;0F9B386C&quot;/&gt;&lt;wsp:rsid wsp:val=&quot;0F9C1DFF&quot;/&gt;&lt;wsp:rsid wsp:val=&quot;0F9D2C6D&quot;/&gt;&lt;wsp:rsid wsp:val=&quot;0F9F0794&quot;/&gt;&lt;wsp:rsid wsp:val=&quot;0FA1275E&quot;/&gt;&lt;wsp:rsid wsp:val=&quot;0FA1450C&quot;/&gt;&lt;wsp:rsid wsp:val=&quot;0FA22032&quot;/&gt;&lt;wsp:rsid wsp:val=&quot;0FA364D6&quot;/&gt;&lt;wsp:rsid wsp:val=&quot;0FA43FFC&quot;/&gt;&lt;wsp:rsid wsp:val=&quot;0FA45DAA&quot;/&gt;&lt;wsp:rsid wsp:val=&quot;0FA638D0&quot;/&gt;&lt;wsp:rsid wsp:val=&quot;0FA80F53&quot;/&gt;&lt;wsp:rsid wsp:val=&quot;0FA91612&quot;/&gt;&lt;wsp:rsid wsp:val=&quot;0FA94FB4&quot;/&gt;&lt;wsp:rsid wsp:val=&quot;0FAB538A&quot;/&gt;&lt;wsp:rsid wsp:val=&quot;0FAC48E1&quot;/&gt;&lt;wsp:rsid wsp:val=&quot;0FAD1008&quot;/&gt;&lt;wsp:rsid wsp:val=&quot;0FAD21F4&quot;/&gt;&lt;wsp:rsid wsp:val=&quot;0FAE09D7&quot;/&gt;&lt;wsp:rsid wsp:val=&quot;0FAE6C29&quot;/&gt;&lt;wsp:rsid wsp:val=&quot;0FB00BF3&quot;/&gt;&lt;wsp:rsid wsp:val=&quot;0FB277A7&quot;/&gt;&lt;wsp:rsid wsp:val=&quot;0FB3423F&quot;/&gt;&lt;wsp:rsid wsp:val=&quot;0FB51D65&quot;/&gt;&lt;wsp:rsid wsp:val=&quot;0FB56209&quot;/&gt;&lt;wsp:rsid wsp:val=&quot;0FB57FB7&quot;/&gt;&lt;wsp:rsid wsp:val=&quot;0FB6788B&quot;/&gt;&lt;wsp:rsid wsp:val=&quot;0FB73D2F&quot;/&gt;&lt;wsp:rsid wsp:val=&quot;0FB775B8&quot;/&gt;&lt;wsp:rsid wsp:val=&quot;0FB8131F&quot;/&gt;&lt;wsp:rsid wsp:val=&quot;0FB83603&quot;/&gt;&lt;wsp:rsid wsp:val=&quot;0FBF2BE4&quot;/&gt;&lt;wsp:rsid wsp:val=&quot;0FC121A0&quot;/&gt;&lt;wsp:rsid wsp:val=&quot;0FC14BAE&quot;/&gt;&lt;wsp:rsid wsp:val=&quot;0FC319D1&quot;/&gt;&lt;wsp:rsid wsp:val=&quot;0FC36648&quot;/&gt;&lt;wsp:rsid wsp:val=&quot;0FC41FA8&quot;/&gt;&lt;wsp:rsid wsp:val=&quot;0FC50362&quot;/&gt;&lt;wsp:rsid wsp:val=&quot;0FC5047B&quot;/&gt;&lt;wsp:rsid wsp:val=&quot;0FC63F72&quot;/&gt;&lt;wsp:rsid wsp:val=&quot;0FC919CD&quot;/&gt;&lt;wsp:rsid wsp:val=&quot;0FC91CB4&quot;/&gt;&lt;wsp:rsid wsp:val=&quot;0FC9305D&quot;/&gt;&lt;wsp:rsid wsp:val=&quot;0FCB1589&quot;/&gt;&lt;wsp:rsid wsp:val=&quot;0FCD3553&quot;/&gt;&lt;wsp:rsid wsp:val=&quot;0FCE2E27&quot;/&gt;&lt;wsp:rsid wsp:val=&quot;0FD0094D&quot;/&gt;&lt;wsp:rsid wsp:val=&quot;0FD03043&quot;/&gt;&lt;wsp:rsid wsp:val=&quot;0FD0395D&quot;/&gt;&lt;wsp:rsid wsp:val=&quot;0FD04DF1&quot;/&gt;&lt;wsp:rsid wsp:val=&quot;0FD06E18&quot;/&gt;&lt;wsp:rsid wsp:val=&quot;0FD2073E&quot;/&gt;&lt;wsp:rsid wsp:val=&quot;0FD20B69&quot;/&gt;&lt;wsp:rsid wsp:val=&quot;0FD3043D&quot;/&gt;&lt;wsp:rsid wsp:val=&quot;0FD416B1&quot;/&gt;&lt;wsp:rsid wsp:val=&quot;0FD50659&quot;/&gt;&lt;wsp:rsid wsp:val=&quot;0FD61CDB&quot;/&gt;&lt;wsp:rsid wsp:val=&quot;0FD7617F&quot;/&gt;&lt;wsp:rsid wsp:val=&quot;0FD77F2D&quot;/&gt;&lt;wsp:rsid wsp:val=&quot;0FD83CA6&quot;/&gt;&lt;wsp:rsid wsp:val=&quot;0FD903EC&quot;/&gt;&lt;wsp:rsid wsp:val=&quot;0FDA3DE2&quot;/&gt;&lt;wsp:rsid wsp:val=&quot;0FDA42E8&quot;/&gt;&lt;wsp:rsid wsp:val=&quot;0FDB5272&quot;/&gt;&lt;wsp:rsid wsp:val=&quot;0FDD306A&quot;/&gt;&lt;wsp:rsid wsp:val=&quot;0FDE5334&quot;/&gt;&lt;wsp:rsid wsp:val=&quot;0FE32D76&quot;/&gt;&lt;wsp:rsid wsp:val=&quot;0FE37166&quot;/&gt;&lt;wsp:rsid wsp:val=&quot;0FE45294&quot;/&gt;&lt;wsp:rsid wsp:val=&quot;0FE47A65&quot;/&gt;&lt;wsp:rsid wsp:val=&quot;0FE52636&quot;/&gt;&lt;wsp:rsid wsp:val=&quot;0FE60171&quot;/&gt;&lt;wsp:rsid wsp:val=&quot;0FE640E9&quot;/&gt;&lt;wsp:rsid wsp:val=&quot;0FEB1C2B&quot;/&gt;&lt;wsp:rsid wsp:val=&quot;0FEB4D67&quot;/&gt;&lt;wsp:rsid wsp:val=&quot;0FEE34C9&quot;/&gt;&lt;wsp:rsid wsp:val=&quot;0FEE463C&quot;/&gt;&lt;wsp:rsid wsp:val=&quot;0FF22FB9&quot;/&gt;&lt;wsp:rsid wsp:val=&quot;0FF3288D&quot;/&gt;&lt;wsp:rsid wsp:val=&quot;0FF56606&quot;/&gt;&lt;wsp:rsid wsp:val=&quot;0FF7412C&quot;/&gt;&lt;wsp:rsid wsp:val=&quot;0FF74A4B&quot;/&gt;&lt;wsp:rsid wsp:val=&quot;0FF8033B&quot;/&gt;&lt;wsp:rsid wsp:val=&quot;0FF860F6&quot;/&gt;&lt;wsp:rsid wsp:val=&quot;0FFA00C0&quot;/&gt;&lt;wsp:rsid wsp:val=&quot;0FFA1E6E&quot;/&gt;&lt;wsp:rsid wsp:val=&quot;0FFB02D4&quot;/&gt;&lt;wsp:rsid wsp:val=&quot;0FFB2582&quot;/&gt;&lt;wsp:rsid wsp:val=&quot;0FFC1742&quot;/&gt;&lt;wsp:rsid wsp:val=&quot;0FFC5BE6&quot;/&gt;&lt;wsp:rsid wsp:val=&quot;0FFD0285&quot;/&gt;&lt;wsp:rsid wsp:val=&quot;0FFD3F89&quot;/&gt;&lt;wsp:rsid wsp:val=&quot;0FFF1232&quot;/&gt;&lt;wsp:rsid wsp:val=&quot;0FFF7484&quot;/&gt;&lt;wsp:rsid wsp:val=&quot;1001144E&quot;/&gt;&lt;wsp:rsid wsp:val=&quot;10024BF4&quot;/&gt;&lt;wsp:rsid wsp:val=&quot;10037AF5&quot;/&gt;&lt;wsp:rsid wsp:val=&quot;10066A65&quot;/&gt;&lt;wsp:rsid wsp:val=&quot;10086339&quot;/&gt;&lt;wsp:rsid wsp:val=&quot;100D0EE2&quot;/&gt;&lt;wsp:rsid wsp:val=&quot;100E0101&quot;/&gt;&lt;wsp:rsid wsp:val=&quot;100E1475&quot;/&gt;&lt;wsp:rsid wsp:val=&quot;10101691&quot;/&gt;&lt;wsp:rsid wsp:val=&quot;1010343F&quot;/&gt;&lt;wsp:rsid wsp:val=&quot;101051ED&quot;/&gt;&lt;wsp:rsid wsp:val=&quot;10120F66&quot;/&gt;&lt;wsp:rsid wsp:val=&quot;101364B1&quot;/&gt;&lt;wsp:rsid wsp:val=&quot;10140982&quot;/&gt;&lt;wsp:rsid wsp:val=&quot;10141182&quot;/&gt;&lt;wsp:rsid wsp:val=&quot;10153BF2&quot;/&gt;&lt;wsp:rsid wsp:val=&quot;10156CA8&quot;/&gt;&lt;wsp:rsid wsp:val=&quot;10167D23&quot;/&gt;&lt;wsp:rsid wsp:val=&quot;101728F4&quot;/&gt;&lt;wsp:rsid wsp:val=&quot;101822F4&quot;/&gt;&lt;wsp:rsid wsp:val=&quot;10196798&quot;/&gt;&lt;wsp:rsid wsp:val=&quot;101A4127&quot;/&gt;&lt;wsp:rsid wsp:val=&quot;101C044F&quot;/&gt;&lt;wsp:rsid wsp:val=&quot;101C1DE4&quot;/&gt;&lt;wsp:rsid wsp:val=&quot;1021389E&quot;/&gt;&lt;wsp:rsid wsp:val=&quot;10216577&quot;/&gt;&lt;wsp:rsid wsp:val=&quot;10226507&quot;/&gt;&lt;wsp:rsid wsp:val=&quot;10233173&quot;/&gt;&lt;wsp:rsid wsp:val=&quot;10234F21&quot;/&gt;&lt;wsp:rsid wsp:val=&quot;10246EEB&quot;/&gt;&lt;wsp:rsid wsp:val=&quot;10261B26&quot;/&gt;&lt;wsp:rsid wsp:val=&quot;1026326B&quot;/&gt;&lt;wsp:rsid wsp:val=&quot;10264A11&quot;/&gt;&lt;wsp:rsid wsp:val=&quot;10282537&quot;/&gt;&lt;wsp:rsid wsp:val=&quot;10294597&quot;/&gt;&lt;wsp:rsid wsp:val=&quot;102962AF&quot;/&gt;&lt;wsp:rsid wsp:val=&quot;102D1D5B&quot;/&gt;&lt;wsp:rsid wsp:val=&quot;102D3FF1&quot;/&gt;&lt;wsp:rsid wsp:val=&quot;102D5D9F&quot;/&gt;&lt;wsp:rsid wsp:val=&quot;102D7545&quot;/&gt;&lt;wsp:rsid wsp:val=&quot;102E38C6&quot;/&gt;&lt;wsp:rsid wsp:val=&quot;1030763E&quot;/&gt;&lt;wsp:rsid wsp:val=&quot;1031060E&quot;/&gt;&lt;wsp:rsid wsp:val=&quot;10321608&quot;/&gt;&lt;wsp:rsid wsp:val=&quot;103233B6&quot;/&gt;&lt;wsp:rsid wsp:val=&quot;10352EA6&quot;/&gt;&lt;wsp:rsid wsp:val=&quot;10376C1E&quot;/&gt;&lt;wsp:rsid wsp:val=&quot;10394744&quot;/&gt;&lt;wsp:rsid wsp:val=&quot;103A226A&quot;/&gt;&lt;wsp:rsid wsp:val=&quot;103C2486&quot;/&gt;&lt;wsp:rsid wsp:val=&quot;103E7FAD&quot;/&gt;&lt;wsp:rsid wsp:val=&quot;103F3D25&quot;/&gt;&lt;wsp:rsid wsp:val=&quot;10417A9D&quot;/&gt;&lt;wsp:rsid wsp:val=&quot;10433815&quot;/&gt;&lt;wsp:rsid wsp:val=&quot;104650B3&quot;/&gt;&lt;wsp:rsid wsp:val=&quot;1047263F&quot;/&gt;&lt;wsp:rsid wsp:val=&quot;10484987&quot;/&gt;&lt;wsp:rsid wsp:val=&quot;104906FF&quot;/&gt;&lt;wsp:rsid wsp:val=&quot;1049191B&quot;/&gt;&lt;wsp:rsid wsp:val=&quot;104A15C9&quot;/&gt;&lt;wsp:rsid wsp:val=&quot;104A4BA3&quot;/&gt;&lt;wsp:rsid wsp:val=&quot;104C22DA&quot;/&gt;&lt;wsp:rsid wsp:val=&quot;104C2C74&quot;/&gt;&lt;wsp:rsid wsp:val=&quot;10501E40&quot;/&gt;&lt;wsp:rsid wsp:val=&quot;10505F32&quot;/&gt;&lt;wsp:rsid wsp:val=&quot;10507CE0&quot;/&gt;&lt;wsp:rsid wsp:val=&quot;1053332C&quot;/&gt;&lt;wsp:rsid wsp:val=&quot;10537B58&quot;/&gt;&lt;wsp:rsid wsp:val=&quot;10537F76&quot;/&gt;&lt;wsp:rsid wsp:val=&quot;1054157E&quot;/&gt;&lt;wsp:rsid wsp:val=&quot;10552336&quot;/&gt;&lt;wsp:rsid wsp:val=&quot;10563548&quot;/&gt;&lt;wsp:rsid wsp:val=&quot;105843AF&quot;/&gt;&lt;wsp:rsid wsp:val=&quot;10593038&quot;/&gt;&lt;wsp:rsid wsp:val=&quot;105A0963&quot;/&gt;&lt;wsp:rsid wsp:val=&quot;105B4B5F&quot;/&gt;&lt;wsp:rsid wsp:val=&quot;105D79F9&quot;/&gt;&lt;wsp:rsid wsp:val=&quot;106043C7&quot;/&gt;&lt;wsp:rsid wsp:val=&quot;10606175&quot;/&gt;&lt;wsp:rsid wsp:val=&quot;10641201&quot;/&gt;&lt;wsp:rsid wsp:val=&quot;106477BA&quot;/&gt;&lt;wsp:rsid wsp:val=&quot;106519DD&quot;/&gt;&lt;wsp:rsid wsp:val=&quot;106612B1&quot;/&gt;&lt;wsp:rsid wsp:val=&quot;1068077F&quot;/&gt;&lt;wsp:rsid wsp:val=&quot;10686DD7&quot;/&gt;&lt;wsp:rsid wsp:val=&quot;106A0DA2&quot;/&gt;&lt;wsp:rsid wsp:val=&quot;106C5F4C&quot;/&gt;&lt;wsp:rsid wsp:val=&quot;106D0892&quot;/&gt;&lt;wsp:rsid wsp:val=&quot;106D2640&quot;/&gt;&lt;wsp:rsid wsp:val=&quot;106D2F64&quot;/&gt;&lt;wsp:rsid wsp:val=&quot;106E343D&quot;/&gt;&lt;wsp:rsid wsp:val=&quot;106F63B8&quot;/&gt;&lt;wsp:rsid wsp:val=&quot;10760072&quot;/&gt;&lt;wsp:rsid wsp:val=&quot;10797237&quot;/&gt;&lt;wsp:rsid wsp:val=&quot;107A6B0B&quot;/&gt;&lt;wsp:rsid wsp:val=&quot;107F6D0B&quot;/&gt;&lt;wsp:rsid wsp:val=&quot;108005C5&quot;/&gt;&lt;wsp:rsid wsp:val=&quot;10805852&quot;/&gt;&lt;wsp:rsid wsp:val=&quot;108160EB&quot;/&gt;&lt;wsp:rsid wsp:val=&quot;10833C11&quot;/&gt;&lt;wsp:rsid wsp:val=&quot;108445BC&quot;/&gt;&lt;wsp:rsid wsp:val=&quot;10861954&quot;/&gt;&lt;wsp:rsid wsp:val=&quot;108654B0&quot;/&gt;&lt;wsp:rsid wsp:val=&quot;1088747A&quot;/&gt;&lt;wsp:rsid wsp:val=&quot;108A0980&quot;/&gt;&lt;wsp:rsid wsp:val=&quot;108A1444&quot;/&gt;&lt;wsp:rsid wsp:val=&quot;108A2C16&quot;/&gt;&lt;wsp:rsid wsp:val=&quot;108C51BC&quot;/&gt;&lt;wsp:rsid wsp:val=&quot;108F6A5A&quot;/&gt;&lt;wsp:rsid wsp:val=&quot;10904FB2&quot;/&gt;&lt;wsp:rsid wsp:val=&quot;1090632E&quot;/&gt;&lt;wsp:rsid wsp:val=&quot;10914580&quot;/&gt;&lt;wsp:rsid wsp:val=&quot;109220A6&quot;/&gt;&lt;wsp:rsid wsp:val=&quot;1092654A&quot;/&gt;&lt;wsp:rsid wsp:val=&quot;109479C2&quot;/&gt;&lt;wsp:rsid wsp:val=&quot;10953945&quot;/&gt;&lt;wsp:rsid wsp:val=&quot;10967DE9&quot;/&gt;&lt;wsp:rsid wsp:val=&quot;10972E54&quot;/&gt;&lt;wsp:rsid wsp:val=&quot;10973B61&quot;/&gt;&lt;wsp:rsid wsp:val=&quot;109776BD&quot;/&gt;&lt;wsp:rsid wsp:val=&quot;109B53FF&quot;/&gt;&lt;wsp:rsid wsp:val=&quot;109C64BB&quot;/&gt;&lt;wsp:rsid wsp:val=&quot;109C6FBD&quot;/&gt;&lt;wsp:rsid wsp:val=&quot;10A02A15&quot;/&gt;&lt;wsp:rsid wsp:val=&quot;10A1053B&quot;/&gt;&lt;wsp:rsid wsp:val=&quot;10A36062&quot;/&gt;&lt;wsp:rsid wsp:val=&quot;10A50CAE&quot;/&gt;&lt;wsp:rsid wsp:val=&quot;10A51DDA&quot;/&gt;&lt;wsp:rsid wsp:val=&quot;10A5627E&quot;/&gt;&lt;wsp:rsid wsp:val=&quot;10A64101&quot;/&gt;&lt;wsp:rsid wsp:val=&quot;10A65B52&quot;/&gt;&lt;wsp:rsid wsp:val=&quot;10A73DA4&quot;/&gt;&lt;wsp:rsid wsp:val=&quot;10A87B1C&quot;/&gt;&lt;wsp:rsid wsp:val=&quot;10AA3894&quot;/&gt;&lt;wsp:rsid wsp:val=&quot;10AB3168&quot;/&gt;&lt;wsp:rsid wsp:val=&quot;10AD0C8E&quot;/&gt;&lt;wsp:rsid wsp:val=&quot;10AD6EE0&quot;/&gt;&lt;wsp:rsid wsp:val=&quot;10AE42B7&quot;/&gt;&lt;wsp:rsid wsp:val=&quot;10AF4A06&quot;/&gt;&lt;wsp:rsid wsp:val=&quot;10B1077E&quot;/&gt;&lt;wsp:rsid wsp:val=&quot;10B4201D&quot;/&gt;&lt;wsp:rsid wsp:val=&quot;10B62239&quot;/&gt;&lt;wsp:rsid wsp:val=&quot;10B63710&quot;/&gt;&lt;wsp:rsid wsp:val=&quot;10B95885&quot;/&gt;&lt;wsp:rsid wsp:val=&quot;10BB33AB&quot;/&gt;&lt;wsp:rsid wsp:val=&quot;10BC5375&quot;/&gt;&lt;wsp:rsid wsp:val=&quot;10BE733F&quot;/&gt;&lt;wsp:rsid wsp:val=&quot;10C009C2&quot;/&gt;&lt;wsp:rsid wsp:val=&quot;10C06C14&quot;/&gt;&lt;wsp:rsid wsp:val=&quot;10C1473A&quot;/&gt;&lt;wsp:rsid wsp:val=&quot;10C5422A&quot;/&gt;&lt;wsp:rsid wsp:val=&quot;10C55FD8&quot;/&gt;&lt;wsp:rsid wsp:val=&quot;10C77FA2&quot;/&gt;&lt;wsp:rsid wsp:val=&quot;10CA0C07&quot;/&gt;&lt;wsp:rsid wsp:val=&quot;10CA1840&quot;/&gt;&lt;wsp:rsid wsp:val=&quot;10CA7A92&quot;/&gt;&lt;wsp:rsid wsp:val=&quot;10CD4DEF&quot;/&gt;&lt;wsp:rsid wsp:val=&quot;10CE7EBA&quot;/&gt;&lt;wsp:rsid wsp:val=&quot;10CF50A9&quot;/&gt;&lt;wsp:rsid wsp:val=&quot;10D0497D&quot;/&gt;&lt;wsp:rsid wsp:val=&quot;10D27CCB&quot;/&gt;&lt;wsp:rsid wsp:val=&quot;10D601E5&quot;/&gt;&lt;wsp:rsid wsp:val=&quot;10D60472&quot;/&gt;&lt;wsp:rsid wsp:val=&quot;10D64689&quot;/&gt;&lt;wsp:rsid wsp:val=&quot;10D75D0B&quot;/&gt;&lt;wsp:rsid wsp:val=&quot;10D80401&quot;/&gt;&lt;wsp:rsid wsp:val=&quot;10D8660A&quot;/&gt;&lt;wsp:rsid wsp:val=&quot;10D97CD5&quot;/&gt;&lt;wsp:rsid wsp:val=&quot;10DA0EB1&quot;/&gt;&lt;wsp:rsid wsp:val=&quot;10DA645D&quot;/&gt;&lt;wsp:rsid wsp:val=&quot;10DB24BE&quot;/&gt;&lt;wsp:rsid wsp:val=&quot;10DC1574&quot;/&gt;&lt;wsp:rsid wsp:val=&quot;10DC2325&quot;/&gt;&lt;wsp:rsid wsp:val=&quot;10E01064&quot;/&gt;&lt;wsp:rsid wsp:val=&quot;10E2669D&quot;/&gt;&lt;wsp:rsid wsp:val=&quot;10E32902&quot;/&gt;&lt;wsp:rsid wsp:val=&quot;10E36DA6&quot;/&gt;&lt;wsp:rsid wsp:val=&quot;10E675D1&quot;/&gt;&lt;wsp:rsid wsp:val=&quot;10E723F2&quot;/&gt;&lt;wsp:rsid wsp:val=&quot;10E741A0&quot;/&gt;&lt;wsp:rsid wsp:val=&quot;10E8616A&quot;/&gt;&lt;wsp:rsid wsp:val=&quot;10EA6658&quot;/&gt;&lt;wsp:rsid wsp:val=&quot;10EB4340&quot;/&gt;&lt;wsp:rsid wsp:val=&quot;10EC7A09&quot;/&gt;&lt;wsp:rsid wsp:val=&quot;10ED552F&quot;/&gt;&lt;wsp:rsid wsp:val=&quot;10EF74F9&quot;/&gt;&lt;wsp:rsid wsp:val=&quot;10F10820&quot;/&gt;&lt;wsp:rsid wsp:val=&quot;10F16DCD&quot;/&gt;&lt;wsp:rsid wsp:val=&quot;10F20D97&quot;/&gt;&lt;wsp:rsid wsp:val=&quot;10F22B45&quot;/&gt;&lt;wsp:rsid wsp:val=&quot;10F26517&quot;/&gt;&lt;wsp:rsid wsp:val=&quot;10F42D61&quot;/&gt;&lt;wsp:rsid wsp:val=&quot;10F468BD&quot;/&gt;&lt;wsp:rsid wsp:val=&quot;10F84004&quot;/&gt;&lt;wsp:rsid wsp:val=&quot;10F945B7&quot;/&gt;&lt;wsp:rsid wsp:val=&quot;10FB40F0&quot;/&gt;&lt;wsp:rsid wsp:val=&quot;10FD1C16&quot;/&gt;&lt;wsp:rsid wsp:val=&quot;10FD2C30&quot;/&gt;&lt;wsp:rsid wsp:val=&quot;10FD39C4&quot;/&gt;&lt;wsp:rsid wsp:val=&quot;10FE14EA&quot;/&gt;&lt;wsp:rsid wsp:val=&quot;110151D4&quot;/&gt;&lt;wsp:rsid wsp:val=&quot;110223B7&quot;/&gt;&lt;wsp:rsid wsp:val=&quot;11024D92&quot;/&gt;&lt;wsp:rsid wsp:val=&quot;11025669&quot;/&gt;&lt;wsp:rsid wsp:val=&quot;1102722C&quot;/&gt;&lt;wsp:rsid wsp:val=&quot;11032FA4&quot;/&gt;&lt;wsp:rsid wsp:val=&quot;11052878&quot;/&gt;&lt;wsp:rsid wsp:val=&quot;11070191&quot;/&gt;&lt;wsp:rsid wsp:val=&quot;11070D24&quot;/&gt;&lt;wsp:rsid wsp:val=&quot;110805BA&quot;/&gt;&lt;wsp:rsid wsp:val=&quot;110D797F&quot;/&gt;&lt;wsp:rsid wsp:val=&quot;110E3E23&quot;/&gt;&lt;wsp:rsid wsp:val=&quot;110E5BD1&quot;/&gt;&lt;wsp:rsid wsp:val=&quot;1111746F&quot;/&gt;&lt;wsp:rsid wsp:val=&quot;111331E7&quot;/&gt;&lt;wsp:rsid wsp:val=&quot;11146F5F&quot;/&gt;&lt;wsp:rsid wsp:val=&quot;11186A50&quot;/&gt;&lt;wsp:rsid wsp:val=&quot;111910C7&quot;/&gt;&lt;wsp:rsid wsp:val=&quot;11191962&quot;/&gt;&lt;wsp:rsid wsp:val=&quot;111927C8&quot;/&gt;&lt;wsp:rsid wsp:val=&quot;11194576&quot;/&gt;&lt;wsp:rsid wsp:val=&quot;11196324&quot;/&gt;&lt;wsp:rsid wsp:val=&quot;111A4481&quot;/&gt;&lt;wsp:rsid wsp:val=&quot;111B6540&quot;/&gt;&lt;wsp:rsid wsp:val=&quot;111C2F7A&quot;/&gt;&lt;wsp:rsid wsp:val=&quot;111D4066&quot;/&gt;&lt;wsp:rsid wsp:val=&quot;111D5E14&quot;/&gt;&lt;wsp:rsid wsp:val=&quot;111D7BC2&quot;/&gt;&lt;wsp:rsid wsp:val=&quot;111E1B8C&quot;/&gt;&lt;wsp:rsid wsp:val=&quot;111E393A&quot;/&gt;&lt;wsp:rsid wsp:val=&quot;111F4B90&quot;/&gt;&lt;wsp:rsid wsp:val=&quot;11227E23&quot;/&gt;&lt;wsp:rsid wsp:val=&quot;1123010F&quot;/&gt;&lt;wsp:rsid wsp:val=&quot;1125116C&quot;/&gt;&lt;wsp:rsid wsp:val=&quot;11252F1A&quot;/&gt;&lt;wsp:rsid wsp:val=&quot;11270A41&quot;/&gt;&lt;wsp:rsid wsp:val=&quot;11274EE5&quot;/&gt;&lt;wsp:rsid wsp:val=&quot;11290C5D&quot;/&gt;&lt;wsp:rsid wsp:val=&quot;112A0531&quot;/&gt;&lt;wsp:rsid wsp:val=&quot;112B0A57&quot;/&gt;&lt;wsp:rsid wsp:val=&quot;112E0021&quot;/&gt;&lt;wsp:rsid wsp:val=&quot;112F78F5&quot;/&gt;&lt;wsp:rsid wsp:val=&quot;11311021&quot;/&gt;&lt;wsp:rsid wsp:val=&quot;113118BF&quot;/&gt;&lt;wsp:rsid wsp:val=&quot;11311EBB&quot;/&gt;&lt;wsp:rsid wsp:val=&quot;11333889&quot;/&gt;&lt;wsp:rsid wsp:val=&quot;113373E5&quot;/&gt;&lt;wsp:rsid wsp:val=&quot;11380EA0&quot;/&gt;&lt;wsp:rsid wsp:val=&quot;113849FC&quot;/&gt;&lt;wsp:rsid wsp:val=&quot;11386E78&quot;/&gt;&lt;wsp:rsid wsp:val=&quot;11391A49&quot;/&gt;&lt;wsp:rsid wsp:val=&quot;113A1798&quot;/&gt;&lt;wsp:rsid wsp:val=&quot;113B0990&quot;/&gt;&lt;wsp:rsid wsp:val=&quot;113C03CA&quot;/&gt;&lt;wsp:rsid wsp:val=&quot;113E3FDC&quot;/&gt;&lt;wsp:rsid wsp:val=&quot;113F37C6&quot;/&gt;&lt;wsp:rsid wsp:val=&quot;11401B02&quot;/&gt;&lt;wsp:rsid wsp:val=&quot;11417AEF&quot;/&gt;&lt;wsp:rsid wsp:val=&quot;114415F3&quot;/&gt;&lt;wsp:rsid wsp:val=&quot;11447845&quot;/&gt;&lt;wsp:rsid wsp:val=&quot;11447B82&quot;/&gt;&lt;wsp:rsid wsp:val=&quot;114710E3&quot;/&gt;&lt;wsp:rsid wsp:val=&quot;11472E91&quot;/&gt;&lt;wsp:rsid wsp:val=&quot;114754DD&quot;/&gt;&lt;wsp:rsid wsp:val=&quot;114809B7&quot;/&gt;&lt;wsp:rsid wsp:val=&quot;11494E5B&quot;/&gt;&lt;wsp:rsid wsp:val=&quot;11497DFD&quot;/&gt;&lt;wsp:rsid wsp:val=&quot;114A2981&quot;/&gt;&lt;wsp:rsid wsp:val=&quot;114A29CE&quot;/&gt;&lt;wsp:rsid wsp:val=&quot;114B3E5E&quot;/&gt;&lt;wsp:rsid wsp:val=&quot;114C04A7&quot;/&gt;&lt;wsp:rsid wsp:val=&quot;114C494B&quot;/&gt;&lt;wsp:rsid wsp:val=&quot;114C66F9&quot;/&gt;&lt;wsp:rsid wsp:val=&quot;114E421F&quot;/&gt;&lt;wsp:rsid wsp:val=&quot;114F61E9&quot;/&gt;&lt;wsp:rsid wsp:val=&quot;11511F61&quot;/&gt;&lt;wsp:rsid wsp:val=&quot;11513D10&quot;/&gt;&lt;wsp:rsid wsp:val=&quot;1151658F&quot;/&gt;&lt;wsp:rsid wsp:val=&quot;115215AF&quot;/&gt;&lt;wsp:rsid wsp:val=&quot;11535CDA&quot;/&gt;&lt;wsp:rsid wsp:val=&quot;115832F0&quot;/&gt;&lt;wsp:rsid wsp:val=&quot;1158509E&quot;/&gt;&lt;wsp:rsid wsp:val=&quot;11586E4C&quot;/&gt;&lt;wsp:rsid wsp:val=&quot;115A17CB&quot;/&gt;&lt;wsp:rsid wsp:val=&quot;115B2212&quot;/&gt;&lt;wsp:rsid wsp:val=&quot;115B4DE3&quot;/&gt;&lt;wsp:rsid wsp:val=&quot;115D4462&quot;/&gt;&lt;wsp:rsid wsp:val=&quot;115E3460&quot;/&gt;&lt;wsp:rsid wsp:val=&quot;115F467E&quot;/&gt;&lt;wsp:rsid wsp:val=&quot;115F59AD&quot;/&gt;&lt;wsp:rsid wsp:val=&quot;11641C95&quot;/&gt;&lt;wsp:rsid wsp:val=&quot;11643A43&quot;/&gt;&lt;wsp:rsid wsp:val=&quot;11665A0D&quot;/&gt;&lt;wsp:rsid wsp:val=&quot;11665CA1&quot;/&gt;&lt;wsp:rsid wsp:val=&quot;116752E1&quot;/&gt;&lt;wsp:rsid wsp:val=&quot;11691059&quot;/&gt;&lt;wsp:rsid wsp:val=&quot;116A6B7F&quot;/&gt;&lt;wsp:rsid wsp:val=&quot;116B3023&quot;/&gt;&lt;wsp:rsid wsp:val=&quot;116C0B49&quot;/&gt;&lt;wsp:rsid wsp:val=&quot;116D6053&quot;/&gt;&lt;wsp:rsid wsp:val=&quot;116E041E&quot;/&gt;&lt;wsp:rsid wsp:val=&quot;116E2B13&quot;/&gt;&lt;wsp:rsid wsp:val=&quot;116E48C1&quot;/&gt;&lt;wsp:rsid wsp:val=&quot;116F561C&quot;/&gt;&lt;wsp:rsid wsp:val=&quot;11715B79&quot;/&gt;&lt;wsp:rsid wsp:val=&quot;1173012A&quot;/&gt;&lt;wsp:rsid wsp:val=&quot;11740952&quot;/&gt;&lt;wsp:rsid wsp:val=&quot;117417AC&quot;/&gt;&lt;wsp:rsid wsp:val=&quot;11772E7B&quot;/&gt;&lt;wsp:rsid wsp:val=&quot;11782153&quot;/&gt;&lt;wsp:rsid wsp:val=&quot;11783499&quot;/&gt;&lt;wsp:rsid wsp:val=&quot;117C31CF&quot;/&gt;&lt;wsp:rsid wsp:val=&quot;117D68B3&quot;/&gt;&lt;wsp:rsid wsp:val=&quot;117F7D58&quot;/&gt;&lt;wsp:rsid wsp:val=&quot;11800151&quot;/&gt;&lt;wsp:rsid wsp:val=&quot;118045F5&quot;/&gt;&lt;wsp:rsid wsp:val=&quot;1182036D&quot;/&gt;&lt;wsp:rsid wsp:val=&quot;11823EC9&quot;/&gt;&lt;wsp:rsid wsp:val=&quot;11851C0B&quot;/&gt;&lt;wsp:rsid wsp:val=&quot;118539B9&quot;/&gt;&lt;wsp:rsid wsp:val=&quot;118714DF&quot;/&gt;&lt;wsp:rsid wsp:val=&quot;11877731&quot;/&gt;&lt;wsp:rsid wsp:val=&quot;1188040D&quot;/&gt;&lt;wsp:rsid wsp:val=&quot;118A4C64&quot;/&gt;&lt;wsp:rsid wsp:val=&quot;118B5F3C&quot;/&gt;&lt;wsp:rsid wsp:val=&quot;118C11EC&quot;/&gt;&lt;wsp:rsid wsp:val=&quot;118E2406&quot;/&gt;&lt;wsp:rsid wsp:val=&quot;118F65E6&quot;/&gt;&lt;wsp:rsid wsp:val=&quot;11902592&quot;/&gt;&lt;wsp:rsid wsp:val=&quot;1191013B&quot;/&gt;&lt;wsp:rsid wsp:val=&quot;1191235E&quot;/&gt;&lt;wsp:rsid wsp:val=&quot;11965906&quot;/&gt;&lt;wsp:rsid wsp:val=&quot;11965BC6&quot;/&gt;&lt;wsp:rsid wsp:val=&quot;11967974&quot;/&gt;&lt;wsp:rsid wsp:val=&quot;119753C5&quot;/&gt;&lt;wsp:rsid wsp:val=&quot;11991213&quot;/&gt;&lt;wsp:rsid wsp:val=&quot;119B31DD&quot;/&gt;&lt;wsp:rsid wsp:val=&quot;119C142F&quot;/&gt;&lt;wsp:rsid wsp:val=&quot;119D0D03&quot;/&gt;&lt;wsp:rsid wsp:val=&quot;119F2CCD&quot;/&gt;&lt;wsp:rsid wsp:val=&quot;119F4A7B&quot;/&gt;&lt;wsp:rsid wsp:val=&quot;11A227BD&quot;/&gt;&lt;wsp:rsid wsp:val=&quot;11A53328&quot;/&gt;&lt;wsp:rsid wsp:val=&quot;11A55700&quot;/&gt;&lt;wsp:rsid wsp:val=&quot;11A55E09&quot;/&gt;&lt;wsp:rsid wsp:val=&quot;11A56F50&quot;/&gt;&lt;wsp:rsid wsp:val=&quot;11A622AD&quot;/&gt;&lt;wsp:rsid wsp:val=&quot;11A7392F&quot;/&gt;&lt;wsp:rsid wsp:val=&quot;11AB1672&quot;/&gt;&lt;wsp:rsid wsp:val=&quot;11AB78C4&quot;/&gt;&lt;wsp:rsid wsp:val=&quot;11AC0F46&quot;/&gt;&lt;wsp:rsid wsp:val=&quot;11AC53EA&quot;/&gt;&lt;wsp:rsid wsp:val=&quot;11AC7198&quot;/&gt;&lt;wsp:rsid wsp:val=&quot;11AE2F10&quot;/&gt;&lt;wsp:rsid wsp:val=&quot;11B04EDA&quot;/&gt;&lt;wsp:rsid wsp:val=&quot;11B147AE&quot;/&gt;&lt;wsp:rsid wsp:val=&quot;11B36043&quot;/&gt;&lt;wsp:rsid wsp:val=&quot;11B5429E&quot;/&gt;&lt;wsp:rsid wsp:val=&quot;11B5604C&quot;/&gt;&lt;wsp:rsid wsp:val=&quot;11B81FE1&quot;/&gt;&lt;wsp:rsid wsp:val=&quot;11B83D8F&quot;/&gt;&lt;wsp:rsid wsp:val=&quot;11BA3663&quot;/&gt;&lt;wsp:rsid wsp:val=&quot;11BA7B07&quot;/&gt;&lt;wsp:rsid wsp:val=&quot;11BB554E&quot;/&gt;&lt;wsp:rsid wsp:val=&quot;11BC11C1&quot;/&gt;&lt;wsp:rsid wsp:val=&quot;11BC6E1B&quot;/&gt;&lt;wsp:rsid wsp:val=&quot;11BF336F&quot;/&gt;&lt;wsp:rsid wsp:val=&quot;11BF6ECB&quot;/&gt;&lt;wsp:rsid wsp:val=&quot;11C004B0&quot;/&gt;&lt;wsp:rsid wsp:val=&quot;11C07F30&quot;/&gt;&lt;wsp:rsid wsp:val=&quot;11C24C0D&quot;/&gt;&lt;wsp:rsid wsp:val=&quot;11C42733&quot;/&gt;&lt;wsp:rsid wsp:val=&quot;11C75232&quot;/&gt;&lt;wsp:rsid wsp:val=&quot;11C81293&quot;/&gt;&lt;wsp:rsid wsp:val=&quot;11C91AF8&quot;/&gt;&lt;wsp:rsid wsp:val=&quot;11CB5870&quot;/&gt;&lt;wsp:rsid wsp:val=&quot;11CB6784&quot;/&gt;&lt;wsp:rsid wsp:val=&quot;11CD40A6&quot;/&gt;&lt;wsp:rsid wsp:val=&quot;11CE35B2&quot;/&gt;&lt;wsp:rsid wsp:val=&quot;11CE5360&quot;/&gt;&lt;wsp:rsid wsp:val=&quot;11D0732A&quot;/&gt;&lt;wsp:rsid wsp:val=&quot;11D24F16&quot;/&gt;&lt;wsp:rsid wsp:val=&quot;11D30BC8&quot;/&gt;&lt;wsp:rsid wsp:val=&quot;11D324F2&quot;/&gt;&lt;wsp:rsid wsp:val=&quot;11D443BB&quot;/&gt;&lt;wsp:rsid wsp:val=&quot;11D54941&quot;/&gt;&lt;wsp:rsid wsp:val=&quot;11D81D3B&quot;/&gt;&lt;wsp:rsid wsp:val=&quot;11D861DF&quot;/&gt;&lt;wsp:rsid wsp:val=&quot;11DA1F57&quot;/&gt;&lt;wsp:rsid wsp:val=&quot;11DA3D05&quot;/&gt;&lt;wsp:rsid wsp:val=&quot;11DC365B&quot;/&gt;&lt;wsp:rsid wsp:val=&quot;11DC7709&quot;/&gt;&lt;wsp:rsid wsp:val=&quot;11DF131B&quot;/&gt;&lt;wsp:rsid wsp:val=&quot;11E15093&quot;/&gt;&lt;wsp:rsid wsp:val=&quot;11E42DD6&quot;/&gt;&lt;wsp:rsid wsp:val=&quot;11E44B84&quot;/&gt;&lt;wsp:rsid wsp:val=&quot;11E46932&quot;/&gt;&lt;wsp:rsid wsp:val=&quot;11E46AD9&quot;/&gt;&lt;wsp:rsid wsp:val=&quot;11E608FC&quot;/&gt;&lt;wsp:rsid wsp:val=&quot;11E61C4B&quot;/&gt;&lt;wsp:rsid wsp:val=&quot;11E626AA&quot;/&gt;&lt;wsp:rsid wsp:val=&quot;11E76422&quot;/&gt;&lt;wsp:rsid wsp:val=&quot;11E865D6&quot;/&gt;&lt;wsp:rsid wsp:val=&quot;11E86AC6&quot;/&gt;&lt;wsp:rsid wsp:val=&quot;11E9219A&quot;/&gt;&lt;wsp:rsid wsp:val=&quot;11E92AE7&quot;/&gt;&lt;wsp:rsid wsp:val=&quot;11E93F48&quot;/&gt;&lt;wsp:rsid wsp:val=&quot;11EE5A02&quot;/&gt;&lt;wsp:rsid wsp:val=&quot;11F052D6&quot;/&gt;&lt;wsp:rsid wsp:val=&quot;11F36B75&quot;/&gt;&lt;wsp:rsid wsp:val=&quot;11F50B3F&quot;/&gt;&lt;wsp:rsid wsp:val=&quot;11F63B39&quot;/&gt;&lt;wsp:rsid wsp:val=&quot;11F6684A&quot;/&gt;&lt;wsp:rsid wsp:val=&quot;11F748B7&quot;/&gt;&lt;wsp:rsid wsp:val=&quot;11F757A1&quot;/&gt;&lt;wsp:rsid wsp:val=&quot;11F8062F&quot;/&gt;&lt;wsp:rsid wsp:val=&quot;11FA7F03&quot;/&gt;&lt;wsp:rsid wsp:val=&quot;11FC1ECD&quot;/&gt;&lt;wsp:rsid wsp:val=&quot;11FC3C7B&quot;/&gt;&lt;wsp:rsid wsp:val=&quot;11FD6A42&quot;/&gt;&lt;wsp:rsid wsp:val=&quot;1202325C&quot;/&gt;&lt;wsp:rsid wsp:val=&quot;1202500A&quot;/&gt;&lt;wsp:rsid wsp:val=&quot;12042B30&quot;/&gt;&lt;wsp:rsid wsp:val=&quot;12050509&quot;/&gt;&lt;wsp:rsid wsp:val=&quot;12056664&quot;/&gt;&lt;wsp:rsid wsp:val=&quot;12062D4C&quot;/&gt;&lt;wsp:rsid wsp:val=&quot;12086AC4&quot;/&gt;&lt;wsp:rsid wsp:val=&quot;120B0362&quot;/&gt;&lt;wsp:rsid wsp:val=&quot;120B4C2C&quot;/&gt;&lt;wsp:rsid wsp:val=&quot;120D40DA&quot;/&gt;&lt;wsp:rsid wsp:val=&quot;120D4DF6&quot;/&gt;&lt;wsp:rsid wsp:val=&quot;120D5E88&quot;/&gt;&lt;wsp:rsid wsp:val=&quot;120E39AF&quot;/&gt;&lt;wsp:rsid wsp:val=&quot;12102604&quot;/&gt;&lt;wsp:rsid wsp:val=&quot;12104757&quot;/&gt;&lt;wsp:rsid wsp:val=&quot;12104CF4&quot;/&gt;&lt;wsp:rsid wsp:val=&quot;121060CD&quot;/&gt;&lt;wsp:rsid wsp:val=&quot;1212349F&quot;/&gt;&lt;wsp:rsid wsp:val=&quot;12135469&quot;/&gt;&lt;wsp:rsid wsp:val=&quot;12144FC0&quot;/&gt;&lt;wsp:rsid wsp:val=&quot;12154D3D&quot;/&gt;&lt;wsp:rsid wsp:val=&quot;12176D07&quot;/&gt;&lt;wsp:rsid wsp:val=&quot;121A73FA&quot;/&gt;&lt;wsp:rsid wsp:val=&quot;121C431D&quot;/&gt;&lt;wsp:rsid wsp:val=&quot;121C60CC&quot;/&gt;&lt;wsp:rsid wsp:val=&quot;121E0096&quot;/&gt;&lt;wsp:rsid wsp:val=&quot;121E2BB0&quot;/&gt;&lt;wsp:rsid wsp:val=&quot;121E5D7B&quot;/&gt;&lt;wsp:rsid wsp:val=&quot;121E62E8&quot;/&gt;&lt;wsp:rsid wsp:val=&quot;121F5BBC&quot;/&gt;&lt;wsp:rsid wsp:val=&quot;121F796A&quot;/&gt;&lt;wsp:rsid wsp:val=&quot;1222054A&quot;/&gt;&lt;wsp:rsid wsp:val=&quot;12221368&quot;/&gt;&lt;wsp:rsid wsp:val=&quot;1223075D&quot;/&gt;&lt;wsp:rsid wsp:val=&quot;12241424&quot;/&gt;&lt;wsp:rsid wsp:val=&quot;12260CF8&quot;/&gt;&lt;wsp:rsid wsp:val=&quot;12282CC2&quot;/&gt;&lt;wsp:rsid wsp:val=&quot;122B27B2&quot;/&gt;&lt;wsp:rsid wsp:val=&quot;122B4561&quot;/&gt;&lt;wsp:rsid wsp:val=&quot;122C2897&quot;/&gt;&lt;wsp:rsid wsp:val=&quot;122D652B&quot;/&gt;&lt;wsp:rsid wsp:val=&quot;12301B77&quot;/&gt;&lt;wsp:rsid wsp:val=&quot;12302D61&quot;/&gt;&lt;wsp:rsid wsp:val=&quot;12303925&quot;/&gt;&lt;wsp:rsid wsp:val=&quot;1230601B&quot;/&gt;&lt;wsp:rsid wsp:val=&quot;12307DC9&quot;/&gt;&lt;wsp:rsid wsp:val=&quot;12325900&quot;/&gt;&lt;wsp:rsid wsp:val=&quot;123553DF&quot;/&gt;&lt;wsp:rsid wsp:val=&quot;12371157&quot;/&gt;&lt;wsp:rsid wsp:val=&quot;123A0C48&quot;/&gt;&lt;wsp:rsid wsp:val=&quot;123C0392&quot;/&gt;&lt;wsp:rsid wsp:val=&quot;123C051C&quot;/&gt;&lt;wsp:rsid wsp:val=&quot;123D5564&quot;/&gt;&lt;wsp:rsid wsp:val=&quot;123E24E6&quot;/&gt;&lt;wsp:rsid wsp:val=&quot;123E4294&quot;/&gt;&lt;wsp:rsid wsp:val=&quot;123F1DBA&quot;/&gt;&lt;wsp:rsid wsp:val=&quot;12407C85&quot;/&gt;&lt;wsp:rsid wsp:val=&quot;12415B32&quot;/&gt;&lt;wsp:rsid wsp:val=&quot;124473D0&quot;/&gt;&lt;wsp:rsid wsp:val=&quot;12463148&quot;/&gt;&lt;wsp:rsid wsp:val=&quot;12474DCB&quot;/&gt;&lt;wsp:rsid wsp:val=&quot;12492478&quot;/&gt;&lt;wsp:rsid wsp:val=&quot;124A70DD&quot;/&gt;&lt;wsp:rsid wsp:val=&quot;124B4C03&quot;/&gt;&lt;wsp:rsid wsp:val=&quot;124B5F39&quot;/&gt;&lt;wsp:rsid wsp:val=&quot;124B69B1&quot;/&gt;&lt;wsp:rsid wsp:val=&quot;124D097B&quot;/&gt;&lt;wsp:rsid wsp:val=&quot;124E024F&quot;/&gt;&lt;wsp:rsid wsp:val=&quot;124E4E5A&quot;/&gt;&lt;wsp:rsid wsp:val=&quot;124F64A1&quot;/&gt;&lt;wsp:rsid wsp:val=&quot;12503FC7&quot;/&gt;&lt;wsp:rsid wsp:val=&quot;12505D75&quot;/&gt;&lt;wsp:rsid wsp:val=&quot;12541D09&quot;/&gt;&lt;wsp:rsid wsp:val=&quot;125515DD&quot;/&gt;&lt;wsp:rsid wsp:val=&quot;12575356&quot;/&gt;&lt;wsp:rsid wsp:val=&quot;12582E7C&quot;/&gt;&lt;wsp:rsid wsp:val=&quot;125910CE&quot;/&gt;&lt;wsp:rsid wsp:val=&quot;125A4496&quot;/&gt;&lt;wsp:rsid wsp:val=&quot;125A4E46&quot;/&gt;&lt;wsp:rsid wsp:val=&quot;125A6BF4&quot;/&gt;&lt;wsp:rsid wsp:val=&quot;125C0BBE&quot;/&gt;&lt;wsp:rsid wsp:val=&quot;125C296C&quot;/&gt;&lt;wsp:rsid wsp:val=&quot;125C471A&quot;/&gt;&lt;wsp:rsid wsp:val=&quot;125C7CA3&quot;/&gt;&lt;wsp:rsid wsp:val=&quot;125F420A&quot;/&gt;&lt;wsp:rsid wsp:val=&quot;12614426&quot;/&gt;&lt;wsp:rsid wsp:val=&quot;12617F82&quot;/&gt;&lt;wsp:rsid wsp:val=&quot;12631AF2&quot;/&gt;&lt;wsp:rsid wsp:val=&quot;12633CFA&quot;/&gt;&lt;wsp:rsid wsp:val=&quot;12635BF0&quot;/&gt;&lt;wsp:rsid wsp:val=&quot;12647A72&quot;/&gt;&lt;wsp:rsid wsp:val=&quot;126530E1&quot;/&gt;&lt;wsp:rsid wsp:val=&quot;12655CC4&quot;/&gt;&lt;wsp:rsid wsp:val=&quot;126621FC&quot;/&gt;&lt;wsp:rsid wsp:val=&quot;12662D98&quot;/&gt;&lt;wsp:rsid wsp:val=&quot;126637EB&quot;/&gt;&lt;wsp:rsid wsp:val=&quot;12665599&quot;/&gt;&lt;wsp:rsid wsp:val=&quot;12681311&quot;/&gt;&lt;wsp:rsid wsp:val=&quot;12695089&quot;/&gt;&lt;wsp:rsid wsp:val=&quot;12696E37&quot;/&gt;&lt;wsp:rsid wsp:val=&quot;126B0E01&quot;/&gt;&lt;wsp:rsid wsp:val=&quot;126C4404&quot;/&gt;&lt;wsp:rsid wsp:val=&quot;126D6927&quot;/&gt;&lt;wsp:rsid wsp:val=&quot;127001C5&quot;/&gt;&lt;wsp:rsid wsp:val=&quot;127001F4&quot;/&gt;&lt;wsp:rsid wsp:val=&quot;12712867&quot;/&gt;&lt;wsp:rsid wsp:val=&quot;12722B14&quot;/&gt;&lt;wsp:rsid wsp:val=&quot;12732A65&quot;/&gt;&lt;wsp:rsid wsp:val=&quot;12740CB0&quot;/&gt;&lt;wsp:rsid wsp:val=&quot;12744159&quot;/&gt;&lt;wsp:rsid wsp:val=&quot;12746B75&quot;/&gt;&lt;wsp:rsid wsp:val=&quot;12753A2E&quot;/&gt;&lt;wsp:rsid wsp:val=&quot;127557DC&quot;/&gt;&lt;wsp:rsid wsp:val=&quot;12764066&quot;/&gt;&lt;wsp:rsid wsp:val=&quot;12771554&quot;/&gt;&lt;wsp:rsid wsp:val=&quot;127A1044&quot;/&gt;&lt;wsp:rsid wsp:val=&quot;127B54E8&quot;/&gt;&lt;wsp:rsid wsp:val=&quot;127E6D86&quot;/&gt;&lt;wsp:rsid wsp:val=&quot;127F3C88&quot;/&gt;&lt;wsp:rsid wsp:val=&quot;127F48AC&quot;/&gt;&lt;wsp:rsid wsp:val=&quot;12810624&quot;/&gt;&lt;wsp:rsid wsp:val=&quot;12823D4A&quot;/&gt;&lt;wsp:rsid wsp:val=&quot;12832108&quot;/&gt;&lt;wsp:rsid wsp:val=&quot;12840CBF&quot;/&gt;&lt;wsp:rsid wsp:val=&quot;12850115&quot;/&gt;&lt;wsp:rsid wsp:val=&quot;12863E8D&quot;/&gt;&lt;wsp:rsid wsp:val=&quot;128819B3&quot;/&gt;&lt;wsp:rsid wsp:val=&quot;128A74D9&quot;/&gt;&lt;wsp:rsid wsp:val=&quot;128B14A3&quot;/&gt;&lt;wsp:rsid wsp:val=&quot;128D0D77&quot;/&gt;&lt;wsp:rsid wsp:val=&quot;128D521B&quot;/&gt;&lt;wsp:rsid wsp:val=&quot;128D6FC9&quot;/&gt;&lt;wsp:rsid wsp:val=&quot;128E4CD4&quot;/&gt;&lt;wsp:rsid wsp:val=&quot;128E689D&quot;/&gt;&lt;wsp:rsid wsp:val=&quot;12902616&quot;/&gt;&lt;wsp:rsid wsp:val=&quot;12906AB9&quot;/&gt;&lt;wsp:rsid wsp:val=&quot;1293358D&quot;/&gt;&lt;wsp:rsid wsp:val=&quot;12934CCE&quot;/&gt;&lt;wsp:rsid wsp:val=&quot;12971BF6&quot;/&gt;&lt;wsp:rsid wsp:val=&quot;12976FDC&quot;/&gt;&lt;wsp:rsid wsp:val=&quot;129A3460&quot;/&gt;&lt;wsp:rsid wsp:val=&quot;129D7963&quot;/&gt;&lt;wsp:rsid wsp:val=&quot;12A06CFD&quot;/&gt;&lt;wsp:rsid wsp:val=&quot;12A14823&quot;/&gt;&lt;wsp:rsid wsp:val=&quot;12A367ED&quot;/&gt;&lt;wsp:rsid wsp:val=&quot;12A52565&quot;/&gt;&lt;wsp:rsid wsp:val=&quot;12A61E39&quot;/&gt;&lt;wsp:rsid wsp:val=&quot;12A71528&quot;/&gt;&lt;wsp:rsid wsp:val=&quot;12A83E03&quot;/&gt;&lt;wsp:rsid wsp:val=&quot;12A85BB1&quot;/&gt;&lt;wsp:rsid wsp:val=&quot;12AA1929&quot;/&gt;&lt;wsp:rsid wsp:val=&quot;12AA7B7B&quot;/&gt;&lt;wsp:rsid wsp:val=&quot;12AB1C90&quot;/&gt;&lt;wsp:rsid wsp:val=&quot;12AB744F&quot;/&gt;&lt;wsp:rsid wsp:val=&quot;12AC38F3&quot;/&gt;&lt;wsp:rsid wsp:val=&quot;12AD31C8&quot;/&gt;&lt;wsp:rsid wsp:val=&quot;12AD766B&quot;/&gt;&lt;wsp:rsid wsp:val=&quot;12AF0CEE&quot;/&gt;&lt;wsp:rsid wsp:val=&quot;12AF345C&quot;/&gt;&lt;wsp:rsid wsp:val=&quot;12B02CB8&quot;/&gt;&lt;wsp:rsid wsp:val=&quot;12B10F0A&quot;/&gt;&lt;wsp:rsid wsp:val=&quot;12B21DF5&quot;/&gt;&lt;wsp:rsid wsp:val=&quot;12B44070&quot;/&gt;&lt;wsp:rsid wsp:val=&quot;12B502CE&quot;/&gt;&lt;wsp:rsid wsp:val=&quot;12B5207C&quot;/&gt;&lt;wsp:rsid wsp:val=&quot;12B97DBE&quot;/&gt;&lt;wsp:rsid wsp:val=&quot;12BB52B9&quot;/&gt;&lt;wsp:rsid wsp:val=&quot;12BB58E4&quot;/&gt;&lt;wsp:rsid wsp:val=&quot;12BC78AF&quot;/&gt;&lt;wsp:rsid wsp:val=&quot;12BE53D5&quot;/&gt;&lt;wsp:rsid wsp:val=&quot;12BE7183&quot;/&gt;&lt;wsp:rsid wsp:val=&quot;12C02EFB&quot;/&gt;&lt;wsp:rsid wsp:val=&quot;12C102BD&quot;/&gt;&lt;wsp:rsid wsp:val=&quot;12C329EB&quot;/&gt;&lt;wsp:rsid wsp:val=&quot;12C34799&quot;/&gt;&lt;wsp:rsid wsp:val=&quot;12C4776A&quot;/&gt;&lt;wsp:rsid wsp:val=&quot;12C50CAE&quot;/&gt;&lt;wsp:rsid wsp:val=&quot;12C624DB&quot;/&gt;&lt;wsp:rsid wsp:val=&quot;12C66037&quot;/&gt;&lt;wsp:rsid wsp:val=&quot;12C86253&quot;/&gt;&lt;wsp:rsid wsp:val=&quot;12C86D36&quot;/&gt;&lt;wsp:rsid wsp:val=&quot;12C94D9D&quot;/&gt;&lt;wsp:rsid wsp:val=&quot;12CA3D79&quot;/&gt;&lt;wsp:rsid wsp:val=&quot;12CB18A0&quot;/&gt;&lt;wsp:rsid wsp:val=&quot;12CC5D44&quot;/&gt;&lt;wsp:rsid wsp:val=&quot;12CC7AF2&quot;/&gt;&lt;wsp:rsid wsp:val=&quot;12CD4BAE&quot;/&gt;&lt;wsp:rsid wsp:val=&quot;12CD62EF&quot;/&gt;&lt;wsp:rsid wsp:val=&quot;12CF507A&quot;/&gt;&lt;wsp:rsid wsp:val=&quot;12D20E80&quot;/&gt;&lt;wsp:rsid wsp:val=&quot;12D270D2&quot;/&gt;&lt;wsp:rsid wsp:val=&quot;12D27590&quot;/&gt;&lt;wsp:rsid wsp:val=&quot;12D3308B&quot;/&gt;&lt;wsp:rsid wsp:val=&quot;12D53340&quot;/&gt;&lt;wsp:rsid wsp:val=&quot;12D544CC&quot;/&gt;&lt;wsp:rsid wsp:val=&quot;12D553E2&quot;/&gt;&lt;wsp:rsid wsp:val=&quot;12D60970&quot;/&gt;&lt;wsp:rsid wsp:val=&quot;12D746E8&quot;/&gt;&lt;wsp:rsid wsp:val=&quot;12D93FBD&quot;/&gt;&lt;wsp:rsid wsp:val=&quot;12DA1AE3&quot;/&gt;&lt;wsp:rsid wsp:val=&quot;12DB5F87&quot;/&gt;&lt;wsp:rsid wsp:val=&quot;12DB7D35&quot;/&gt;&lt;wsp:rsid wsp:val=&quot;12DD7CF9&quot;/&gt;&lt;wsp:rsid wsp:val=&quot;12E110C3&quot;/&gt;&lt;wsp:rsid wsp:val=&quot;12E12E71&quot;/&gt;&lt;wsp:rsid wsp:val=&quot;12E15BF5&quot;/&gt;&lt;wsp:rsid wsp:val=&quot;12E21A9C&quot;/&gt;&lt;wsp:rsid wsp:val=&quot;12E2361D&quot;/&gt;&lt;wsp:rsid wsp:val=&quot;12E27315&quot;/&gt;&lt;wsp:rsid wsp:val=&quot;12E3308D&quot;/&gt;&lt;wsp:rsid wsp:val=&quot;12E41216&quot;/&gt;&lt;wsp:rsid wsp:val=&quot;12E52961&quot;/&gt;&lt;wsp:rsid wsp:val=&quot;12E60488&quot;/&gt;&lt;wsp:rsid wsp:val=&quot;12E666D9&quot;/&gt;&lt;wsp:rsid wsp:val=&quot;12E67D42&quot;/&gt;&lt;wsp:rsid wsp:val=&quot;12E806A4&quot;/&gt;&lt;wsp:rsid wsp:val=&quot;12E82452&quot;/&gt;&lt;wsp:rsid wsp:val=&quot;12E84200&quot;/&gt;&lt;wsp:rsid wsp:val=&quot;12EA1D66&quot;/&gt;&lt;wsp:rsid wsp:val=&quot;12EA61CA&quot;/&gt;&lt;wsp:rsid wsp:val=&quot;12EC0194&quot;/&gt;&lt;wsp:rsid wsp:val=&quot;12EC15C7&quot;/&gt;&lt;wsp:rsid wsp:val=&quot;12EC1F42&quot;/&gt;&lt;wsp:rsid wsp:val=&quot;12ED7A68&quot;/&gt;&lt;wsp:rsid wsp:val=&quot;12EF1A32&quot;/&gt;&lt;wsp:rsid wsp:val=&quot;12EF37E0&quot;/&gt;&lt;wsp:rsid wsp:val=&quot;12EF558E&quot;/&gt;&lt;wsp:rsid wsp:val=&quot;12F42BA4&quot;/&gt;&lt;wsp:rsid wsp:val=&quot;12F86B39&quot;/&gt;&lt;wsp:rsid wsp:val=&quot;12F901BB&quot;/&gt;&lt;wsp:rsid wsp:val=&quot;12F9241F&quot;/&gt;&lt;wsp:rsid wsp:val=&quot;12F928B1&quot;/&gt;&lt;wsp:rsid wsp:val=&quot;12FE1C75&quot;/&gt;&lt;wsp:rsid wsp:val=&quot;12FE3FC7&quot;/&gt;&lt;wsp:rsid wsp:val=&quot;130059ED&quot;/&gt;&lt;wsp:rsid wsp:val=&quot;130152C1&quot;/&gt;&lt;wsp:rsid wsp:val=&quot;13023513&quot;/&gt;&lt;wsp:rsid wsp:val=&quot;13035B40&quot;/&gt;&lt;wsp:rsid wsp:val=&quot;1303728B&quot;/&gt;&lt;wsp:rsid wsp:val=&quot;13042B2E&quot;/&gt;&lt;wsp:rsid wsp:val=&quot;13054DB2&quot;/&gt;&lt;wsp:rsid wsp:val=&quot;13076D7C&quot;/&gt;&lt;wsp:rsid wsp:val=&quot;130829CB&quot;/&gt;&lt;wsp:rsid wsp:val=&quot;13082AF4&quot;/&gt;&lt;wsp:rsid wsp:val=&quot;130848A2&quot;/&gt;&lt;wsp:rsid wsp:val=&quot;130A36C0&quot;/&gt;&lt;wsp:rsid wsp:val=&quot;130A686C&quot;/&gt;&lt;wsp:rsid wsp:val=&quot;130C25E4&quot;/&gt;&lt;wsp:rsid wsp:val=&quot;130D1EB8&quot;/&gt;&lt;wsp:rsid wsp:val=&quot;130E5F3B&quot;/&gt;&lt;wsp:rsid wsp:val=&quot;130F60A2&quot;/&gt;&lt;wsp:rsid wsp:val=&quot;1311095B&quot;/&gt;&lt;wsp:rsid wsp:val=&quot;131119A8&quot;/&gt;&lt;wsp:rsid wsp:val=&quot;13111E52&quot;/&gt;&lt;wsp:rsid wsp:val=&quot;1312127D&quot;/&gt;&lt;wsp:rsid wsp:val=&quot;13141499&quot;/&gt;&lt;wsp:rsid wsp:val=&quot;13144FF5&quot;/&gt;&lt;wsp:rsid wsp:val=&quot;13164834&quot;/&gt;&lt;wsp:rsid wsp:val=&quot;13166FBF&quot;/&gt;&lt;wsp:rsid wsp:val=&quot;1319260B&quot;/&gt;&lt;wsp:rsid wsp:val=&quot;131B7848&quot;/&gt;&lt;wsp:rsid wsp:val=&quot;131C6F65&quot;/&gt;&lt;wsp:rsid wsp:val=&quot;131D2DE9&quot;/&gt;&lt;wsp:rsid wsp:val=&quot;131D659F&quot;/&gt;&lt;wsp:rsid wsp:val=&quot;131E2317&quot;/&gt;&lt;wsp:rsid wsp:val=&quot;131E4A44&quot;/&gt;&lt;wsp:rsid wsp:val=&quot;131F6CD8&quot;/&gt;&lt;wsp:rsid wsp:val=&quot;13201BEB&quot;/&gt;&lt;wsp:rsid wsp:val=&quot;13203999&quot;/&gt;&lt;wsp:rsid wsp:val=&quot;13207E3D&quot;/&gt;&lt;wsp:rsid wsp:val=&quot;13217712&quot;/&gt;&lt;wsp:rsid wsp:val=&quot;13225964&quot;/&gt;&lt;wsp:rsid wsp:val=&quot;1324792E&quot;/&gt;&lt;wsp:rsid wsp:val=&quot;13250FB0&quot;/&gt;&lt;wsp:rsid wsp:val=&quot;132536A6&quot;/&gt;&lt;wsp:rsid wsp:val=&quot;13255454&quot;/&gt;&lt;wsp:rsid wsp:val=&quot;132720B5&quot;/&gt;&lt;wsp:rsid wsp:val=&quot;13274D28&quot;/&gt;&lt;wsp:rsid wsp:val=&quot;13280AA0&quot;/&gt;&lt;wsp:rsid wsp:val=&quot;132A4818&quot;/&gt;&lt;wsp:rsid wsp:val=&quot;132B413A&quot;/&gt;&lt;wsp:rsid wsp:val=&quot;132F1E2E&quot;/&gt;&lt;wsp:rsid wsp:val=&quot;132F3F4B&quot;/&gt;&lt;wsp:rsid wsp:val=&quot;13312722&quot;/&gt;&lt;wsp:rsid wsp:val=&quot;13324823&quot;/&gt;&lt;wsp:rsid wsp:val=&quot;13333D5C&quot;/&gt;&lt;wsp:rsid wsp:val=&quot;13390EFF&quot;/&gt;&lt;wsp:rsid wsp:val=&quot;13394A5B&quot;/&gt;&lt;wsp:rsid wsp:val=&quot;133B07D3&quot;/&gt;&lt;wsp:rsid wsp:val=&quot;133B3026&quot;/&gt;&lt;wsp:rsid wsp:val=&quot;133B6A25&quot;/&gt;&lt;wsp:rsid wsp:val=&quot;133D454B&quot;/&gt;&lt;wsp:rsid wsp:val=&quot;133F1504&quot;/&gt;&lt;wsp:rsid wsp:val=&quot;133F3C5E&quot;/&gt;&lt;wsp:rsid wsp:val=&quot;133F73E1&quot;/&gt;&lt;wsp:rsid wsp:val=&quot;13421B62&quot;/&gt;&lt;wsp:rsid wsp:val=&quot;134277F0&quot;/&gt;&lt;wsp:rsid wsp:val=&quot;13427DB4&quot;/&gt;&lt;wsp:rsid wsp:val=&quot;13433B00&quot;/&gt;&lt;wsp:rsid wsp:val=&quot;13441D7E&quot;/&gt;&lt;wsp:rsid wsp:val=&quot;13453164&quot;/&gt;&lt;wsp:rsid wsp:val=&quot;13455F77&quot;/&gt;&lt;wsp:rsid wsp:val=&quot;134578A4&quot;/&gt;&lt;wsp:rsid wsp:val=&quot;13482EF0&quot;/&gt;&lt;wsp:rsid wsp:val=&quot;1349372A&quot;/&gt;&lt;wsp:rsid wsp:val=&quot;13494F1B&quot;/&gt;&lt;wsp:rsid wsp:val=&quot;134A7D3F&quot;/&gt;&lt;wsp:rsid wsp:val=&quot;134C478E&quot;/&gt;&lt;wsp:rsid wsp:val=&quot;134E49AB&quot;/&gt;&lt;wsp:rsid wsp:val=&quot;134E6759&quot;/&gt;&lt;wsp:rsid wsp:val=&quot;134F0723&quot;/&gt;&lt;wsp:rsid wsp:val=&quot;134F58A4&quot;/&gt;&lt;wsp:rsid wsp:val=&quot;13510A26&quot;/&gt;&lt;wsp:rsid wsp:val=&quot;13515E55&quot;/&gt;&lt;wsp:rsid wsp:val=&quot;13525B1D&quot;/&gt;&lt;wsp:rsid wsp:val=&quot;13531FC1&quot;/&gt;&lt;wsp:rsid wsp:val=&quot;13541402&quot;/&gt;&lt;wsp:rsid wsp:val=&quot;13541895&quot;/&gt;&lt;wsp:rsid wsp:val=&quot;13542DC7&quot;/&gt;&lt;wsp:rsid wsp:val=&quot;13545D39&quot;/&gt;&lt;wsp:rsid wsp:val=&quot;135573A7&quot;/&gt;&lt;wsp:rsid wsp:val=&quot;13573133&quot;/&gt;&lt;wsp:rsid wsp:val=&quot;13581385&quot;/&gt;&lt;wsp:rsid wsp:val=&quot;13593FE0&quot;/&gt;&lt;wsp:rsid wsp:val=&quot;135D4BEE&quot;/&gt;&lt;wsp:rsid wsp:val=&quot;135E44C2&quot;/&gt;&lt;wsp:rsid wsp:val=&quot;13617BEA&quot;/&gt;&lt;wsp:rsid wsp:val=&quot;13620456&quot;/&gt;&lt;wsp:rsid wsp:val=&quot;13622204&quot;/&gt;&lt;wsp:rsid wsp:val=&quot;136441CE&quot;/&gt;&lt;wsp:rsid wsp:val=&quot;136617BC&quot;/&gt;&lt;wsp:rsid wsp:val=&quot;1366491A&quot;/&gt;&lt;wsp:rsid wsp:val=&quot;136733E5&quot;/&gt;&lt;wsp:rsid wsp:val=&quot;136917E4&quot;/&gt;&lt;wsp:rsid wsp:val=&quot;136A10B9&quot;/&gt;&lt;wsp:rsid wsp:val=&quot;136C6BDF&quot;/&gt;&lt;wsp:rsid wsp:val=&quot;136E19CD&quot;/&gt;&lt;wsp:rsid wsp:val=&quot;13702B73&quot;/&gt;&lt;wsp:rsid wsp:val=&quot;13712D00&quot;/&gt;&lt;wsp:rsid wsp:val=&quot;137361BF&quot;/&gt;&lt;wsp:rsid wsp:val=&quot;13782889&quot;/&gt;&lt;wsp:rsid wsp:val=&quot;137B190B&quot;/&gt;&lt;wsp:rsid wsp:val=&quot;137D0DEC&quot;/&gt;&lt;wsp:rsid wsp:val=&quot;137D4216&quot;/&gt;&lt;wsp:rsid wsp:val=&quot;137E28CC&quot;/&gt;&lt;wsp:rsid wsp:val=&quot;137F2DB6&quot;/&gt;&lt;wsp:rsid wsp:val=&quot;137F4B64&quot;/&gt;&lt;wsp:rsid wsp:val=&quot;137F5677&quot;/&gt;&lt;wsp:rsid wsp:val=&quot;137F64CE&quot;/&gt;&lt;wsp:rsid wsp:val=&quot;138008DC&quot;/&gt;&lt;wsp:rsid wsp:val=&quot;13804F34&quot;/&gt;&lt;wsp:rsid wsp:val=&quot;138137F3&quot;/&gt;&lt;wsp:rsid wsp:val=&quot;138228A6&quot;/&gt;&lt;wsp:rsid wsp:val=&quot;13826402&quot;/&gt;&lt;wsp:rsid wsp:val=&quot;138275B2&quot;/&gt;&lt;wsp:rsid wsp:val=&quot;13855EF2&quot;/&gt;&lt;wsp:rsid wsp:val=&quot;13871D70&quot;/&gt;&lt;wsp:rsid wsp:val=&quot;13897791&quot;/&gt;&lt;wsp:rsid wsp:val=&quot;138A3509&quot;/&gt;&lt;wsp:rsid wsp:val=&quot;138B2047&quot;/&gt;&lt;wsp:rsid wsp:val=&quot;138E124B&quot;/&gt;&lt;wsp:rsid wsp:val=&quot;138F28CD&quot;/&gt;&lt;wsp:rsid wsp:val=&quot;13904FC3&quot;/&gt;&lt;wsp:rsid wsp:val=&quot;13912AE9&quot;/&gt;&lt;wsp:rsid wsp:val=&quot;13914897&quot;/&gt;&lt;wsp:rsid wsp:val=&quot;13951726&quot;/&gt;&lt;wsp:rsid wsp:val=&quot;139530F9&quot;/&gt;&lt;wsp:rsid wsp:val=&quot;1395483A&quot;/&gt;&lt;wsp:rsid wsp:val=&quot;13985C26&quot;/&gt;&lt;wsp:rsid wsp:val=&quot;139A0200&quot;/&gt;&lt;wsp:rsid wsp:val=&quot;139E0753&quot;/&gt;&lt;wsp:rsid wsp:val=&quot;139F5206&quot;/&gt;&lt;wsp:rsid wsp:val=&quot;139F6FB4&quot;/&gt;&lt;wsp:rsid wsp:val=&quot;13A20852&quot;/&gt;&lt;wsp:rsid wsp:val=&quot;13A4281C&quot;/&gt;&lt;wsp:rsid wsp:val=&quot;13A46379&quot;/&gt;&lt;wsp:rsid wsp:val=&quot;13A50343&quot;/&gt;&lt;wsp:rsid wsp:val=&quot;13A66595&quot;/&gt;&lt;wsp:rsid wsp:val=&quot;13A77A4F&quot;/&gt;&lt;wsp:rsid wsp:val=&quot;13A8699E&quot;/&gt;&lt;wsp:rsid wsp:val=&quot;13AA5959&quot;/&gt;&lt;wsp:rsid wsp:val=&quot;13AB3BAB&quot;/&gt;&lt;wsp:rsid wsp:val=&quot;13AB5044&quot;/&gt;&lt;wsp:rsid wsp:val=&quot;13AC347F&quot;/&gt;&lt;wsp:rsid wsp:val=&quot;13AC7923&quot;/&gt;&lt;wsp:rsid wsp:val=&quot;13AE5449&quot;/&gt;&lt;wsp:rsid wsp:val=&quot;13AE71F7&quot;/&gt;&lt;wsp:rsid wsp:val=&quot;13AF2F6F&quot;/&gt;&lt;wsp:rsid wsp:val=&quot;13B011C1&quot;/&gt;&lt;wsp:rsid wsp:val=&quot;13B04D27&quot;/&gt;&lt;wsp:rsid wsp:val=&quot;13B16CE7&quot;/&gt;&lt;wsp:rsid wsp:val=&quot;13B23A34&quot;/&gt;&lt;wsp:rsid wsp:val=&quot;13B32A60&quot;/&gt;&lt;wsp:rsid wsp:val=&quot;13B50FA2&quot;/&gt;&lt;wsp:rsid wsp:val=&quot;13B62550&quot;/&gt;&lt;wsp:rsid wsp:val=&quot;13B660AC&quot;/&gt;&lt;wsp:rsid wsp:val=&quot;13B81064&quot;/&gt;&lt;wsp:rsid wsp:val=&quot;13B81E24&quot;/&gt;&lt;wsp:rsid wsp:val=&quot;13BA3984&quot;/&gt;&lt;wsp:rsid wsp:val=&quot;13BA5B9C&quot;/&gt;&lt;wsp:rsid wsp:val=&quot;13BB36C2&quot;/&gt;&lt;wsp:rsid wsp:val=&quot;13BB4E14&quot;/&gt;&lt;wsp:rsid wsp:val=&quot;13BD5EC7&quot;/&gt;&lt;wsp:rsid wsp:val=&quot;13BF1404&quot;/&gt;&lt;wsp:rsid wsp:val=&quot;13BF31B2&quot;/&gt;&lt;wsp:rsid wsp:val=&quot;13C0517C&quot;/&gt;&lt;wsp:rsid wsp:val=&quot;13C20EF5&quot;/&gt;&lt;wsp:rsid wsp:val=&quot;13C44C6D&quot;/&gt;&lt;wsp:rsid wsp:val=&quot;13C46A1B&quot;/&gt;&lt;wsp:rsid wsp:val=&quot;13C50729&quot;/&gt;&lt;wsp:rsid wsp:val=&quot;13C62745&quot;/&gt;&lt;wsp:rsid wsp:val=&quot;13C702B9&quot;/&gt;&lt;wsp:rsid wsp:val=&quot;13C73778&quot;/&gt;&lt;wsp:rsid wsp:val=&quot;13C7650B&quot;/&gt;&lt;wsp:rsid wsp:val=&quot;13C92283&quot;/&gt;&lt;wsp:rsid wsp:val=&quot;13C94031&quot;/&gt;&lt;wsp:rsid wsp:val=&quot;13C95DDF&quot;/&gt;&lt;wsp:rsid wsp:val=&quot;13CA1B57&quot;/&gt;&lt;wsp:rsid wsp:val=&quot;13CB5BCC&quot;/&gt;&lt;wsp:rsid wsp:val=&quot;13CB74DA&quot;/&gt;&lt;wsp:rsid wsp:val=&quot;13CC3B21&quot;/&gt;&lt;wsp:rsid wsp:val=&quot;13CE522D&quot;/&gt;&lt;wsp:rsid wsp:val=&quot;13CE5AEB&quot;/&gt;&lt;wsp:rsid wsp:val=&quot;13D053C0&quot;/&gt;&lt;wsp:rsid wsp:val=&quot;13D21051&quot;/&gt;&lt;wsp:rsid wsp:val=&quot;13D50C28&quot;/&gt;&lt;wsp:rsid wsp:val=&quot;13D6674E&quot;/&gt;&lt;wsp:rsid wsp:val=&quot;13D67852&quot;/&gt;&lt;wsp:rsid wsp:val=&quot;13D80718&quot;/&gt;&lt;wsp:rsid wsp:val=&quot;13D824C6&quot;/&gt;&lt;wsp:rsid wsp:val=&quot;13D84274&quot;/&gt;&lt;wsp:rsid wsp:val=&quot;13D97F0D&quot;/&gt;&lt;wsp:rsid wsp:val=&quot;13DA2F6E&quot;/&gt;&lt;wsp:rsid wsp:val=&quot;13DA7FEC&quot;/&gt;&lt;wsp:rsid wsp:val=&quot;13DB3D64&quot;/&gt;&lt;wsp:rsid wsp:val=&quot;13DB48C9&quot;/&gt;&lt;wsp:rsid wsp:val=&quot;13DB5B12&quot;/&gt;&lt;wsp:rsid wsp:val=&quot;13DD188A&quot;/&gt;&lt;wsp:rsid wsp:val=&quot;13DD4AE0&quot;/&gt;&lt;wsp:rsid wsp:val=&quot;13DD7ADC&quot;/&gt;&lt;wsp:rsid wsp:val=&quot;13E40E6B&quot;/&gt;&lt;wsp:rsid wsp:val=&quot;13E54139&quot;/&gt;&lt;wsp:rsid wsp:val=&quot;13E70C89&quot;/&gt;&lt;wsp:rsid wsp:val=&quot;13E7436A&quot;/&gt;&lt;wsp:rsid wsp:val=&quot;13E75572&quot;/&gt;&lt;wsp:rsid wsp:val=&quot;13E908A4&quot;/&gt;&lt;wsp:rsid wsp:val=&quot;13EB044B&quot;/&gt;&lt;wsp:rsid wsp:val=&quot;13EB21F9&quot;/&gt;&lt;wsp:rsid wsp:val=&quot;13EB331F&quot;/&gt;&lt;wsp:rsid wsp:val=&quot;13EC47F1&quot;/&gt;&lt;wsp:rsid wsp:val=&quot;13EE3A98&quot;/&gt;&lt;wsp:rsid wsp:val=&quot;13EE5846&quot;/&gt;&lt;wsp:rsid wsp:val=&quot;13F05A62&quot;/&gt;&lt;wsp:rsid wsp:val=&quot;13F13588&quot;/&gt;&lt;wsp:rsid wsp:val=&quot;13F217DA&quot;/&gt;&lt;wsp:rsid wsp:val=&quot;13F310AE&quot;/&gt;&lt;wsp:rsid wsp:val=&quot;13F56BD4&quot;/&gt;&lt;wsp:rsid wsp:val=&quot;13F56CD2&quot;/&gt;&lt;wsp:rsid wsp:val=&quot;13FA68E0&quot;/&gt;&lt;wsp:rsid wsp:val=&quot;13FB22A7&quot;/&gt;&lt;wsp:rsid wsp:val=&quot;13FC4AB2&quot;/&gt;&lt;wsp:rsid wsp:val=&quot;13FD017F&quot;/&gt;&lt;wsp:rsid wsp:val=&quot;13FF3EF7&quot;/&gt;&lt;wsp:rsid wsp:val=&quot;13FF7A53&quot;/&gt;&lt;wsp:rsid wsp:val=&quot;1400284C&quot;/&gt;&lt;wsp:rsid wsp:val=&quot;14005579&quot;/&gt;&lt;wsp:rsid wsp:val=&quot;14011A1D&quot;/&gt;&lt;wsp:rsid wsp:val=&quot;140137CB&quot;/&gt;&lt;wsp:rsid wsp:val=&quot;14027543&quot;/&gt;&lt;wsp:rsid wsp:val=&quot;140275A9&quot;/&gt;&lt;wsp:rsid wsp:val=&quot;140654BE&quot;/&gt;&lt;wsp:rsid wsp:val=&quot;140673BA&quot;/&gt;&lt;wsp:rsid wsp:val=&quot;140809BA&quot;/&gt;&lt;wsp:rsid wsp:val=&quot;140908D1&quot;/&gt;&lt;wsp:rsid wsp:val=&quot;14092680&quot;/&gt;&lt;wsp:rsid wsp:val=&quot;140B289C&quot;/&gt;&lt;wsp:rsid wsp:val=&quot;140C03C2&quot;/&gt;&lt;wsp:rsid wsp:val=&quot;140E413A&quot;/&gt;&lt;wsp:rsid wsp:val=&quot;140F7135&quot;/&gt;&lt;wsp:rsid wsp:val=&quot;14103A0E&quot;/&gt;&lt;wsp:rsid wsp:val=&quot;141330FE&quot;/&gt;&lt;wsp:rsid wsp:val=&quot;14157276&quot;/&gt;&lt;wsp:rsid wsp:val=&quot;141573DC&quot;/&gt;&lt;wsp:rsid wsp:val=&quot;141605EF&quot;/&gt;&lt;wsp:rsid wsp:val=&quot;141A6CBF&quot;/&gt;&lt;wsp:rsid wsp:val=&quot;141B23B3&quot;/&gt;&lt;wsp:rsid wsp:val=&quot;141B4416&quot;/&gt;&lt;wsp:rsid wsp:val=&quot;141F00F5&quot;/&gt;&lt;wsp:rsid wsp:val=&quot;141F1EA3&quot;/&gt;&lt;wsp:rsid wsp:val=&quot;1421125A&quot;/&gt;&lt;wsp:rsid wsp:val=&quot;142179C9&quot;/&gt;&lt;wsp:rsid wsp:val=&quot;14236796&quot;/&gt;&lt;wsp:rsid wsp:val=&quot;14237BE5&quot;/&gt;&lt;wsp:rsid wsp:val=&quot;142474B9&quot;/&gt;&lt;wsp:rsid wsp:val=&quot;14263231&quot;/&gt;&lt;wsp:rsid wsp:val=&quot;14264FE0&quot;/&gt;&lt;wsp:rsid wsp:val=&quot;142676D5&quot;/&gt;&lt;wsp:rsid wsp:val=&quot;14290F74&quot;/&gt;&lt;wsp:rsid wsp:val=&quot;142B0848&quot;/&gt;&lt;wsp:rsid wsp:val=&quot;142B6A9A&quot;/&gt;&lt;wsp:rsid wsp:val=&quot;142E20E6&quot;/&gt;&lt;wsp:rsid wsp:val=&quot;14302626&quot;/&gt;&lt;wsp:rsid wsp:val=&quot;143040B0&quot;/&gt;&lt;wsp:rsid wsp:val=&quot;14305E5E&quot;/&gt;&lt;wsp:rsid wsp:val=&quot;14321BD6&quot;/&gt;&lt;wsp:rsid wsp:val=&quot;14325A97&quot;/&gt;&lt;wsp:rsid wsp:val=&quot;1432607A&quot;/&gt;&lt;wsp:rsid wsp:val=&quot;14327E28&quot;/&gt;&lt;wsp:rsid wsp:val=&quot;14353475&quot;/&gt;&lt;wsp:rsid wsp:val=&quot;143538C7&quot;/&gt;&lt;wsp:rsid wsp:val=&quot;14356BA6&quot;/&gt;&lt;wsp:rsid wsp:val=&quot;14373691&quot;/&gt;&lt;wsp:rsid wsp:val=&quot;14376734&quot;/&gt;&lt;wsp:rsid wsp:val=&quot;14396509&quot;/&gt;&lt;wsp:rsid wsp:val=&quot;143A0A8B&quot;/&gt;&lt;wsp:rsid wsp:val=&quot;143A4F2F&quot;/&gt;&lt;wsp:rsid wsp:val=&quot;143A6CDD&quot;/&gt;&lt;wsp:rsid wsp:val=&quot;143D057B&quot;/&gt;&lt;wsp:rsid wsp:val=&quot;14411E19&quot;/&gt;&lt;wsp:rsid wsp:val=&quot;14412BB5&quot;/&gt;&lt;wsp:rsid wsp:val=&quot;144162BD&quot;/&gt;&lt;wsp:rsid wsp:val=&quot;14430A9C&quot;/&gt;&lt;wsp:rsid wsp:val=&quot;1444190A&quot;/&gt;&lt;wsp:rsid wsp:val=&quot;14445DAD&quot;/&gt;&lt;wsp:rsid wsp:val=&quot;144638D4&quot;/&gt;&lt;wsp:rsid wsp:val=&quot;144731A8&quot;/&gt;&lt;wsp:rsid wsp:val=&quot;14483410&quot;/&gt;&lt;wsp:rsid wsp:val=&quot;1448764C&quot;/&gt;&lt;wsp:rsid wsp:val=&quot;14495172&quot;/&gt;&lt;wsp:rsid wsp:val=&quot;144B0EEA&quot;/&gt;&lt;wsp:rsid wsp:val=&quot;144C4685&quot;/&gt;&lt;wsp:rsid wsp:val=&quot;144D6A10&quot;/&gt;&lt;wsp:rsid wsp:val=&quot;144E2788&quot;/&gt;&lt;wsp:rsid wsp:val=&quot;14504752&quot;/&gt;&lt;wsp:rsid wsp:val=&quot;14506500&quot;/&gt;&lt;wsp:rsid wsp:val=&quot;14515DD5&quot;/&gt;&lt;wsp:rsid wsp:val=&quot;14517689&quot;/&gt;&lt;wsp:rsid wsp:val=&quot;14531B4D&quot;/&gt;&lt;wsp:rsid wsp:val=&quot;145417A7&quot;/&gt;&lt;wsp:rsid wsp:val=&quot;145558C5&quot;/&gt;&lt;wsp:rsid wsp:val=&quot;14555D8E&quot;/&gt;&lt;wsp:rsid wsp:val=&quot;145675CB&quot;/&gt;&lt;wsp:rsid wsp:val=&quot;1457163D&quot;/&gt;&lt;wsp:rsid wsp:val=&quot;14586859&quot;/&gt;&lt;wsp:rsid wsp:val=&quot;14593607&quot;/&gt;&lt;wsp:rsid wsp:val=&quot;145B6D23&quot;/&gt;&lt;wsp:rsid wsp:val=&quot;145C30F7&quot;/&gt;&lt;wsp:rsid wsp:val=&quot;145F4995&quot;/&gt;&lt;wsp:rsid wsp:val=&quot;145F6743&quot;/&gt;&lt;wsp:rsid wsp:val=&quot;145F6B34&quot;/&gt;&lt;wsp:rsid wsp:val=&quot;14634486&quot;/&gt;&lt;wsp:rsid wsp:val=&quot;14681A9C&quot;/&gt;&lt;wsp:rsid wsp:val=&quot;1468384A&quot;/&gt;&lt;wsp:rsid wsp:val=&quot;14691370&quot;/&gt;&lt;wsp:rsid wsp:val=&quot;146975C2&quot;/&gt;&lt;wsp:rsid wsp:val=&quot;146B6E96&quot;/&gt;&lt;wsp:rsid wsp:val=&quot;146D3A96&quot;/&gt;&lt;wsp:rsid wsp:val=&quot;146D70B2&quot;/&gt;&lt;wsp:rsid wsp:val=&quot;146E3A58&quot;/&gt;&lt;wsp:rsid wsp:val=&quot;14706BA3&quot;/&gt;&lt;wsp:rsid wsp:val=&quot;14733869&quot;/&gt;&lt;wsp:rsid wsp:val=&quot;14733F9D&quot;/&gt;&lt;wsp:rsid wsp:val=&quot;14777F31&quot;/&gt;&lt;wsp:rsid wsp:val=&quot;14784EEC&quot;/&gt;&lt;wsp:rsid wsp:val=&quot;1478581C&quot;/&gt;&lt;wsp:rsid wsp:val=&quot;147C5547&quot;/&gt;&lt;wsp:rsid wsp:val=&quot;147C72F5&quot;/&gt;&lt;wsp:rsid wsp:val=&quot;147D20BD&quot;/&gt;&lt;wsp:rsid wsp:val=&quot;147E12BF&quot;/&gt;&lt;wsp:rsid wsp:val=&quot;147E4E1C&quot;/&gt;&lt;wsp:rsid wsp:val=&quot;147F2942&quot;/&gt;&lt;wsp:rsid wsp:val=&quot;148271F9&quot;/&gt;&lt;wsp:rsid wsp:val=&quot;148368D6&quot;/&gt;&lt;wsp:rsid wsp:val=&quot;14843EA4&quot;/&gt;&lt;wsp:rsid wsp:val=&quot;148461AA&quot;/&gt;&lt;wsp:rsid wsp:val=&quot;1485084F&quot;/&gt;&lt;wsp:rsid wsp:val=&quot;148615D9&quot;/&gt;&lt;wsp:rsid wsp:val=&quot;14885C9A&quot;/&gt;&lt;wsp:rsid wsp:val=&quot;14890660&quot;/&gt;&lt;wsp:rsid wsp:val=&quot;14891574&quot;/&gt;&lt;wsp:rsid wsp:val=&quot;148937C0&quot;/&gt;&lt;wsp:rsid wsp:val=&quot;148B62DC&quot;/&gt;&lt;wsp:rsid wsp:val=&quot;148C5044&quot;/&gt;&lt;wsp:rsid wsp:val=&quot;148D505F&quot;/&gt;&lt;wsp:rsid wsp:val=&quot;148E0DD7&quot;/&gt;&lt;wsp:rsid wsp:val=&quot;148F7029&quot;/&gt;&lt;wsp:rsid wsp:val=&quot;14904B4F&quot;/&gt;&lt;wsp:rsid wsp:val=&quot;149208C7&quot;/&gt;&lt;wsp:rsid wsp:val=&quot;14926B19&quot;/&gt;&lt;wsp:rsid wsp:val=&quot;14942B30&quot;/&gt;&lt;wsp:rsid wsp:val=&quot;149438EE&quot;/&gt;&lt;wsp:rsid wsp:val=&quot;14990155&quot;/&gt;&lt;wsp:rsid wsp:val=&quot;14991C55&quot;/&gt;&lt;wsp:rsid wsp:val=&quot;149A2D26&quot;/&gt;&lt;wsp:rsid wsp:val=&quot;149C34F4&quot;/&gt;&lt;wsp:rsid wsp:val=&quot;149D101A&quot;/&gt;&lt;wsp:rsid wsp:val=&quot;149D7EE0&quot;/&gt;&lt;wsp:rsid wsp:val=&quot;149E3A0A&quot;/&gt;&lt;wsp:rsid wsp:val=&quot;149F22DB&quot;/&gt;&lt;wsp:rsid wsp:val=&quot;149F4D92&quot;/&gt;&lt;wsp:rsid wsp:val=&quot;14A04FCC&quot;/&gt;&lt;wsp:rsid wsp:val=&quot;14A16D5C&quot;/&gt;&lt;wsp:rsid wsp:val=&quot;14A27D77&quot;/&gt;&lt;wsp:rsid wsp:val=&quot;14A405FA&quot;/&gt;&lt;wsp:rsid wsp:val=&quot;14A46636&quot;/&gt;&lt;wsp:rsid wsp:val=&quot;14A800EA&quot;/&gt;&lt;wsp:rsid wsp:val=&quot;14A95C11&quot;/&gt;&lt;wsp:rsid wsp:val=&quot;14AA20B4&quot;/&gt;&lt;wsp:rsid wsp:val=&quot;14AA6509&quot;/&gt;&lt;wsp:rsid wsp:val=&quot;14AB1989&quot;/&gt;&lt;wsp:rsid wsp:val=&quot;14AD5701&quot;/&gt;&lt;wsp:rsid wsp:val=&quot;14AE3227&quot;/&gt;&lt;wsp:rsid wsp:val=&quot;14B00D4D&quot;/&gt;&lt;wsp:rsid wsp:val=&quot;14B0461A&quot;/&gt;&lt;wsp:rsid wsp:val=&quot;14B051F1&quot;/&gt;&lt;wsp:rsid wsp:val=&quot;14B233E2&quot;/&gt;&lt;wsp:rsid wsp:val=&quot;14B36F50&quot;/&gt;&lt;wsp:rsid wsp:val=&quot;14B545B5&quot;/&gt;&lt;wsp:rsid wsp:val=&quot;14B720DC&quot;/&gt;&lt;wsp:rsid wsp:val=&quot;14B95E54&quot;/&gt;&lt;wsp:rsid wsp:val=&quot;14BC1DE8&quot;/&gt;&lt;wsp:rsid wsp:val=&quot;14BC3B96&quot;/&gt;&lt;wsp:rsid wsp:val=&quot;14BC5944&quot;/&gt;&lt;wsp:rsid wsp:val=&quot;14BE16BC&quot;/&gt;&lt;wsp:rsid wsp:val=&quot;14C12F5A&quot;/&gt;&lt;wsp:rsid wsp:val=&quot;14C30A80&quot;/&gt;&lt;wsp:rsid wsp:val=&quot;14C34F24&quot;/&gt;&lt;wsp:rsid wsp:val=&quot;14C36CD2&quot;/&gt;&lt;wsp:rsid wsp:val=&quot;14C468A8&quot;/&gt;&lt;wsp:rsid wsp:val=&quot;14C52A4A&quot;/&gt;&lt;wsp:rsid wsp:val=&quot;14C60571&quot;/&gt;&lt;wsp:rsid wsp:val=&quot;14C835C4&quot;/&gt;&lt;wsp:rsid wsp:val=&quot;14CA3957&quot;/&gt;&lt;wsp:rsid wsp:val=&quot;14CA62B3&quot;/&gt;&lt;wsp:rsid wsp:val=&quot;14CC1098&quot;/&gt;&lt;wsp:rsid wsp:val=&quot;14CC26C2&quot;/&gt;&lt;wsp:rsid wsp:val=&quot;14CD5DA3&quot;/&gt;&lt;wsp:rsid wsp:val=&quot;14CF6D94&quot;/&gt;&lt;wsp:rsid wsp:val=&quot;14D01061&quot;/&gt;&lt;wsp:rsid wsp:val=&quot;14D07641&quot;/&gt;&lt;wsp:rsid wsp:val=&quot;14D507B4&quot;/&gt;&lt;wsp:rsid wsp:val=&quot;14D54096&quot;/&gt;&lt;wsp:rsid wsp:val=&quot;14D709D0&quot;/&gt;&lt;wsp:rsid wsp:val=&quot;14D7277E&quot;/&gt;&lt;wsp:rsid wsp:val=&quot;14D829B4&quot;/&gt;&lt;wsp:rsid wsp:val=&quot;14D902A4&quot;/&gt;&lt;wsp:rsid wsp:val=&quot;14DC5FE6&quot;/&gt;&lt;wsp:rsid wsp:val=&quot;14DD2C3C&quot;/&gt;&lt;wsp:rsid wsp:val=&quot;14DE58BA&quot;/&gt;&lt;wsp:rsid wsp:val=&quot;14DF145A&quot;/&gt;&lt;wsp:rsid wsp:val=&quot;14DF1632&quot;/&gt;&lt;wsp:rsid wsp:val=&quot;14DF6889&quot;/&gt;&lt;wsp:rsid wsp:val=&quot;14E05AD6&quot;/&gt;&lt;wsp:rsid wsp:val=&quot;14E135FC&quot;/&gt;&lt;wsp:rsid wsp:val=&quot;14E224D0&quot;/&gt;&lt;wsp:rsid wsp:val=&quot;14E2520A&quot;/&gt;&lt;wsp:rsid wsp:val=&quot;14E31122&quot;/&gt;&lt;wsp:rsid wsp:val=&quot;14E32ED1&quot;/&gt;&lt;wsp:rsid wsp:val=&quot;14E37374&quot;/&gt;&lt;wsp:rsid wsp:val=&quot;14E629C1&quot;/&gt;&lt;wsp:rsid wsp:val=&quot;14E66169&quot;/&gt;&lt;wsp:rsid wsp:val=&quot;14E82BDD&quot;/&gt;&lt;wsp:rsid wsp:val=&quot;14E86739&quot;/&gt;&lt;wsp:rsid wsp:val=&quot;14E95FDD&quot;/&gt;&lt;wsp:rsid wsp:val=&quot;14EA0703&quot;/&gt;&lt;wsp:rsid wsp:val=&quot;14EA24B1&quot;/&gt;&lt;wsp:rsid wsp:val=&quot;14EC447B&quot;/&gt;&lt;wsp:rsid wsp:val=&quot;14EF3F6B&quot;/&gt;&lt;wsp:rsid wsp:val=&quot;14EF5D19&quot;/&gt;&lt;wsp:rsid wsp:val=&quot;14EF7AC7&quot;/&gt;&lt;wsp:rsid wsp:val=&quot;14F11A91&quot;/&gt;&lt;wsp:rsid wsp:val=&quot;14F21366&quot;/&gt;&lt;wsp:rsid wsp:val=&quot;14F237D5&quot;/&gt;&lt;wsp:rsid wsp:val=&quot;14F275B8&quot;/&gt;&lt;wsp:rsid wsp:val=&quot;14F450DE&quot;/&gt;&lt;wsp:rsid wsp:val=&quot;14F74BCE&quot;/&gt;&lt;wsp:rsid wsp:val=&quot;14F852D9&quot;/&gt;&lt;wsp:rsid wsp:val=&quot;14F90946&quot;/&gt;&lt;wsp:rsid wsp:val=&quot;14F926F4&quot;/&gt;&lt;wsp:rsid wsp:val=&quot;14FB46BE&quot;/&gt;&lt;wsp:rsid wsp:val=&quot;14FB646C&quot;/&gt;&lt;wsp:rsid wsp:val=&quot;14FC21E4&quot;/&gt;&lt;wsp:rsid wsp:val=&quot;15007F26&quot;/&gt;&lt;wsp:rsid wsp:val=&quot;15030855&quot;/&gt;&lt;wsp:rsid wsp:val=&quot;15051099&quot;/&gt;&lt;wsp:rsid wsp:val=&quot;15067B9F&quot;/&gt;&lt;wsp:rsid wsp:val=&quot;1508123C&quot;/&gt;&lt;wsp:rsid wsp:val=&quot;15082937&quot;/&gt;&lt;wsp:rsid wsp:val=&quot;15091831&quot;/&gt;&lt;wsp:rsid wsp:val=&quot;150920A6&quot;/&gt;&lt;wsp:rsid wsp:val=&quot;150B2427&quot;/&gt;&lt;wsp:rsid wsp:val=&quot;150C0679&quot;/&gt;&lt;wsp:rsid wsp:val=&quot;150C68CB&quot;/&gt;&lt;wsp:rsid wsp:val=&quot;15112E59&quot;/&gt;&lt;wsp:rsid wsp:val=&quot;151414FB&quot;/&gt;&lt;wsp:rsid wsp:val=&quot;15155054&quot;/&gt;&lt;wsp:rsid wsp:val=&quot;151658B5&quot;/&gt;&lt;wsp:rsid wsp:val=&quot;1517558A&quot;/&gt;&lt;wsp:rsid wsp:val=&quot;15184133&quot;/&gt;&lt;wsp:rsid wsp:val=&quot;15186A1A&quot;/&gt;&lt;wsp:rsid wsp:val=&quot;15193270&quot;/&gt;&lt;wsp:rsid wsp:val=&quot;15194B44&quot;/&gt;&lt;wsp:rsid wsp:val=&quot;151C4634&quot;/&gt;&lt;wsp:rsid wsp:val=&quot;151C63E2&quot;/&gt;&lt;wsp:rsid wsp:val=&quot;151D2886&quot;/&gt;&lt;wsp:rsid wsp:val=&quot;151E03AD&quot;/&gt;&lt;wsp:rsid wsp:val=&quot;151E65FF&quot;/&gt;&lt;wsp:rsid wsp:val=&quot;151F213F&quot;/&gt;&lt;wsp:rsid wsp:val=&quot;151F49C4&quot;/&gt;&lt;wsp:rsid wsp:val=&quot;152139F9&quot;/&gt;&lt;wsp:rsid wsp:val=&quot;1522269D&quot;/&gt;&lt;wsp:rsid wsp:val=&quot;15233C15&quot;/&gt;&lt;wsp:rsid wsp:val=&quot;15237771&quot;/&gt;&lt;wsp:rsid wsp:val=&quot;152534E9&quot;/&gt;&lt;wsp:rsid wsp:val=&quot;1525798D&quot;/&gt;&lt;wsp:rsid wsp:val=&quot;1526699F&quot;/&gt;&lt;wsp:rsid wsp:val=&quot;15273705&quot;/&gt;&lt;wsp:rsid wsp:val=&quot;152A6D51&quot;/&gt;&lt;wsp:rsid wsp:val=&quot;152B2882&quot;/&gt;&lt;wsp:rsid wsp:val=&quot;152D7CF3&quot;/&gt;&lt;wsp:rsid wsp:val=&quot;152E2381&quot;/&gt;&lt;wsp:rsid wsp:val=&quot;152E4A94&quot;/&gt;&lt;wsp:rsid wsp:val=&quot;152F25BA&quot;/&gt;&lt;wsp:rsid wsp:val=&quot;152F3F76&quot;/&gt;&lt;wsp:rsid wsp:val=&quot;152F6116&quot;/&gt;&lt;wsp:rsid wsp:val=&quot;15325EAF&quot;/&gt;&lt;wsp:rsid wsp:val=&quot;1534372C&quot;/&gt;&lt;wsp:rsid wsp:val=&quot;153656F6&quot;/&gt;&lt;wsp:rsid wsp:val=&quot;1537321C&quot;/&gt;&lt;wsp:rsid wsp:val=&quot;15386004&quot;/&gt;&lt;wsp:rsid wsp:val=&quot;153876C0&quot;/&gt;&lt;wsp:rsid wsp:val=&quot;15393438&quot;/&gt;&lt;wsp:rsid wsp:val=&quot;15396F94&quot;/&gt;&lt;wsp:rsid wsp:val=&quot;153B5B31&quot;/&gt;&lt;wsp:rsid wsp:val=&quot;153C0833&quot;/&gt;&lt;wsp:rsid wsp:val=&quot;153C5E15&quot;/&gt;&lt;wsp:rsid wsp:val=&quot;154126C8&quot;/&gt;&lt;wsp:rsid wsp:val=&quot;15431BC1&quot;/&gt;&lt;wsp:rsid wsp:val=&quot;15450CF1&quot;/&gt;&lt;wsp:rsid wsp:val=&quot;15453B8B&quot;/&gt;&lt;wsp:rsid wsp:val=&quot;1548367B&quot;/&gt;&lt;wsp:rsid wsp:val=&quot;15485429&quot;/&gt;&lt;wsp:rsid wsp:val=&quot;154C41C9&quot;/&gt;&lt;wsp:rsid wsp:val=&quot;154D0B52&quot;/&gt;&lt;wsp:rsid wsp:val=&quot;154D2A40&quot;/&gt;&lt;wsp:rsid wsp:val=&quot;154D47EE&quot;/&gt;&lt;wsp:rsid wsp:val=&quot;154F0566&quot;/&gt;&lt;wsp:rsid wsp:val=&quot;154F67B8&quot;/&gt;&lt;wsp:rsid wsp:val=&quot;15500501&quot;/&gt;&lt;wsp:rsid wsp:val=&quot;155142DE&quot;/&gt;&lt;wsp:rsid wsp:val=&quot;15520056&quot;/&gt;&lt;wsp:rsid wsp:val=&quot;15521099&quot;/&gt;&lt;wsp:rsid wsp:val=&quot;155314CB&quot;/&gt;&lt;wsp:rsid wsp:val=&quot;15543DCE&quot;/&gt;&lt;wsp:rsid wsp:val=&quot;15553547&quot;/&gt;&lt;wsp:rsid wsp:val=&quot;155618F4&quot;/&gt;&lt;wsp:rsid wsp:val=&quot;15565D98&quot;/&gt;&lt;wsp:rsid wsp:val=&quot;155838BF&quot;/&gt;&lt;wsp:rsid wsp:val=&quot;155913E5&quot;/&gt;&lt;wsp:rsid wsp:val=&quot;155B2BCB&quot;/&gt;&lt;wsp:rsid wsp:val=&quot;155B6EEB&quot;/&gt;&lt;wsp:rsid wsp:val=&quot;155C30D0&quot;/&gt;&lt;wsp:rsid wsp:val=&quot;155D0ED5&quot;/&gt;&lt;wsp:rsid wsp:val=&quot;155E69FB&quot;/&gt;&lt;wsp:rsid wsp:val=&quot;15604521&quot;/&gt;&lt;wsp:rsid wsp:val=&quot;15610299&quot;/&gt;&lt;wsp:rsid wsp:val=&quot;1565422D&quot;/&gt;&lt;wsp:rsid wsp:val=&quot;15655FDB&quot;/&gt;&lt;wsp:rsid wsp:val=&quot;15660793&quot;/&gt;&lt;wsp:rsid wsp:val=&quot;15670DD1&quot;/&gt;&lt;wsp:rsid wsp:val=&quot;15671D54&quot;/&gt;&lt;wsp:rsid wsp:val=&quot;156A1844&quot;/&gt;&lt;wsp:rsid wsp:val=&quot;156A1C40&quot;/&gt;&lt;wsp:rsid wsp:val=&quot;156A53A0&quot;/&gt;&lt;wsp:rsid wsp:val=&quot;156B18BA&quot;/&gt;&lt;wsp:rsid wsp:val=&quot;156D6C3E&quot;/&gt;&lt;wsp:rsid wsp:val=&quot;156F09AD&quot;/&gt;&lt;wsp:rsid wsp:val=&quot;157224A6&quot;/&gt;&lt;wsp:rsid wsp:val=&quot;157306F8&quot;/&gt;&lt;wsp:rsid wsp:val=&quot;15732BFE&quot;/&gt;&lt;wsp:rsid wsp:val=&quot;1573694A&quot;/&gt;&lt;wsp:rsid wsp:val=&quot;15741C3B&quot;/&gt;&lt;wsp:rsid wsp:val=&quot;15751F61&quot;/&gt;&lt;wsp:rsid wsp:val=&quot;15752EC5&quot;/&gt;&lt;wsp:rsid wsp:val=&quot;157601E9&quot;/&gt;&lt;wsp:rsid wsp:val=&quot;1576751D&quot;/&gt;&lt;wsp:rsid wsp:val=&quot;15783497&quot;/&gt;&lt;wsp:rsid wsp:val=&quot;15785D0F&quot;/&gt;&lt;wsp:rsid wsp:val=&quot;15793835&quot;/&gt;&lt;wsp:rsid wsp:val=&quot;157B135B&quot;/&gt;&lt;wsp:rsid wsp:val=&quot;157B423F&quot;/&gt;&lt;wsp:rsid wsp:val=&quot;157D1577&quot;/&gt;&lt;wsp:rsid wsp:val=&quot;157D3116&quot;/&gt;&lt;wsp:rsid wsp:val=&quot;157E709D&quot;/&gt;&lt;wsp:rsid wsp:val=&quot;157F7058&quot;/&gt;&lt;wsp:rsid wsp:val=&quot;15826B8D&quot;/&gt;&lt;wsp:rsid wsp:val=&quot;158337AE&quot;/&gt;&lt;wsp:rsid wsp:val=&quot;15842905&quot;/&gt;&lt;wsp:rsid wsp:val=&quot;1585042C&quot;/&gt;&lt;wsp:rsid wsp:val=&quot;15853F88&quot;/&gt;&lt;wsp:rsid wsp:val=&quot;15875F52&quot;/&gt;&lt;wsp:rsid wsp:val=&quot;15891CCA&quot;/&gt;&lt;wsp:rsid wsp:val=&quot;158973A5&quot;/&gt;&lt;wsp:rsid wsp:val=&quot;158A3C94&quot;/&gt;&lt;wsp:rsid wsp:val=&quot;158A5A42&quot;/&gt;&lt;wsp:rsid wsp:val=&quot;158C5316&quot;/&gt;&lt;wsp:rsid wsp:val=&quot;158E5532&quot;/&gt;&lt;wsp:rsid wsp:val=&quot;158E72E0&quot;/&gt;&lt;wsp:rsid wsp:val=&quot;158F12AA&quot;/&gt;&lt;wsp:rsid wsp:val=&quot;158F3058&quot;/&gt;&lt;wsp:rsid wsp:val=&quot;15910B7E&quot;/&gt;&lt;wsp:rsid wsp:val=&quot;15916DD0&quot;/&gt;&lt;wsp:rsid wsp:val=&quot;159170B4&quot;/&gt;&lt;wsp:rsid wsp:val=&quot;159266A5&quot;/&gt;&lt;wsp:rsid wsp:val=&quot;15932B49&quot;/&gt;&lt;wsp:rsid wsp:val=&quot;1594066F&quot;/&gt;&lt;wsp:rsid wsp:val=&quot;15966195&quot;/&gt;&lt;wsp:rsid wsp:val=&quot;15977EAF&quot;/&gt;&lt;wsp:rsid wsp:val=&quot;15995BBE&quot;/&gt;&lt;wsp:rsid wsp:val=&quot;15995C85&quot;/&gt;&lt;wsp:rsid wsp:val=&quot;15997A33&quot;/&gt;&lt;wsp:rsid wsp:val=&quot;159C44A3&quot;/&gt;&lt;wsp:rsid wsp:val=&quot;159D7523&quot;/&gt;&lt;wsp:rsid wsp:val=&quot;159E5049&quot;/&gt;&lt;wsp:rsid wsp:val=&quot;159F5DA8&quot;/&gt;&lt;wsp:rsid wsp:val=&quot;15A00DC2&quot;/&gt;&lt;wsp:rsid wsp:val=&quot;15A20FDE&quot;/&gt;&lt;wsp:rsid wsp:val=&quot;15A24B3A&quot;/&gt;&lt;wsp:rsid wsp:val=&quot;15A449C5&quot;/&gt;&lt;wsp:rsid wsp:val=&quot;15A44D56&quot;/&gt;&lt;wsp:rsid wsp:val=&quot;15A478E2&quot;/&gt;&lt;wsp:rsid wsp:val=&quot;15A537A7&quot;/&gt;&lt;wsp:rsid wsp:val=&quot;15A64DD3&quot;/&gt;&lt;wsp:rsid wsp:val=&quot;15A8096A&quot;/&gt;&lt;wsp:rsid wsp:val=&quot;15A85EC8&quot;/&gt;&lt;wsp:rsid wsp:val=&quot;15AA7E92&quot;/&gt;&lt;wsp:rsid wsp:val=&quot;15AC1DEC&quot;/&gt;&lt;wsp:rsid wsp:val=&quot;15AC3C0A&quot;/&gt;&lt;wsp:rsid wsp:val=&quot;15AE1730&quot;/&gt;&lt;wsp:rsid wsp:val=&quot;15B14D7D&quot;/&gt;&lt;wsp:rsid wsp:val=&quot;15B17473&quot;/&gt;&lt;wsp:rsid wsp:val=&quot;15B30AF5&quot;/&gt;&lt;wsp:rsid wsp:val=&quot;15B41FA8&quot;/&gt;&lt;wsp:rsid wsp:val=&quot;15B42ABF&quot;/&gt;&lt;wsp:rsid wsp:val=&quot;15B63148&quot;/&gt;&lt;wsp:rsid wsp:val=&quot;15B825AF&quot;/&gt;&lt;wsp:rsid wsp:val=&quot;15B8610B&quot;/&gt;&lt;wsp:rsid wsp:val=&quot;15B91E83&quot;/&gt;&lt;wsp:rsid wsp:val=&quot;15BA6327&quot;/&gt;&lt;wsp:rsid wsp:val=&quot;15BA714B&quot;/&gt;&lt;wsp:rsid wsp:val=&quot;15BB3E4D&quot;/&gt;&lt;wsp:rsid wsp:val=&quot;15BB5BFB&quot;/&gt;&lt;wsp:rsid wsp:val=&quot;15BE479B&quot;/&gt;&lt;wsp:rsid wsp:val=&quot;15BE6E7A&quot;/&gt;&lt;wsp:rsid wsp:val=&quot;15BE749A&quot;/&gt;&lt;wsp:rsid wsp:val=&quot;15BF56EC&quot;/&gt;&lt;wsp:rsid wsp:val=&quot;15C03212&quot;/&gt;&lt;wsp:rsid wsp:val=&quot;15C471A6&quot;/&gt;&lt;wsp:rsid wsp:val=&quot;15C73FDB&quot;/&gt;&lt;wsp:rsid wsp:val=&quot;15C90318&quot;/&gt;&lt;wsp:rsid wsp:val=&quot;15CC1BB7&quot;/&gt;&lt;wsp:rsid wsp:val=&quot;15CF1144&quot;/&gt;&lt;wsp:rsid wsp:val=&quot;15CF16A7&quot;/&gt;&lt;wsp:rsid wsp:val=&quot;15D13671&quot;/&gt;&lt;wsp:rsid wsp:val=&quot;15D45280&quot;/&gt;&lt;wsp:rsid wsp:val=&quot;15D477DE&quot;/&gt;&lt;wsp:rsid wsp:val=&quot;15D57B4A&quot;/&gt;&lt;wsp:rsid wsp:val=&quot;15D62A35&quot;/&gt;&lt;wsp:rsid wsp:val=&quot;15D70496&quot;/&gt;&lt;wsp:rsid wsp:val=&quot;15DA0777&quot;/&gt;&lt;wsp:rsid wsp:val=&quot;15DA407A&quot;/&gt;&lt;wsp:rsid wsp:val=&quot;15DB004C&quot;/&gt;&lt;wsp:rsid wsp:val=&quot;15DB54D6&quot;/&gt;&lt;wsp:rsid wsp:val=&quot;15DD5B72&quot;/&gt;&lt;wsp:rsid wsp:val=&quot;15DF5D8E&quot;/&gt;&lt;wsp:rsid wsp:val=&quot;15DF7B3C&quot;/&gt;&lt;wsp:rsid wsp:val=&quot;15E163F4&quot;/&gt;&lt;wsp:rsid wsp:val=&quot;15E2762C&quot;/&gt;&lt;wsp:rsid wsp:val=&quot;15E300E0&quot;/&gt;&lt;wsp:rsid wsp:val=&quot;15E43AB8&quot;/&gt;&lt;wsp:rsid wsp:val=&quot;15E45152&quot;/&gt;&lt;wsp:rsid wsp:val=&quot;15E50ECA&quot;/&gt;&lt;wsp:rsid wsp:val=&quot;15E52C78&quot;/&gt;&lt;wsp:rsid wsp:val=&quot;15E6711C&quot;/&gt;&lt;wsp:rsid wsp:val=&quot;15E76CEE&quot;/&gt;&lt;wsp:rsid wsp:val=&quot;15E92769&quot;/&gt;&lt;wsp:rsid wsp:val=&quot;15EA64E1&quot;/&gt;&lt;wsp:rsid wsp:val=&quot;15EF3AF7&quot;/&gt;&lt;wsp:rsid wsp:val=&quot;15F01D49&quot;/&gt;&lt;wsp:rsid wsp:val=&quot;15F24C8A&quot;/&gt;&lt;wsp:rsid wsp:val=&quot;15F30929&quot;/&gt;&lt;wsp:rsid wsp:val=&quot;15F31FF9&quot;/&gt;&lt;wsp:rsid wsp:val=&quot;15F35395&quot;/&gt;&lt;wsp:rsid wsp:val=&quot;15F468C1&quot;/&gt;&lt;wsp:rsid wsp:val=&quot;15F506F5&quot;/&gt;&lt;wsp:rsid wsp:val=&quot;15F51747&quot;/&gt;&lt;wsp:rsid wsp:val=&quot;15F630D7&quot;/&gt;&lt;wsp:rsid wsp:val=&quot;15F64E85&quot;/&gt;&lt;wsp:rsid wsp:val=&quot;15F66C34&quot;/&gt;&lt;wsp:rsid wsp:val=&quot;15F9724C&quot;/&gt;&lt;wsp:rsid wsp:val=&quot;15FA6724&quot;/&gt;&lt;wsp:rsid wsp:val=&quot;15FB06EE&quot;/&gt;&lt;wsp:rsid wsp:val=&quot;15FD6214&quot;/&gt;&lt;wsp:rsid wsp:val=&quot;15FF197D&quot;/&gt;&lt;wsp:rsid wsp:val=&quot;15FF3D3A&quot;/&gt;&lt;wsp:rsid wsp:val=&quot;16017613&quot;/&gt;&lt;wsp:rsid wsp:val=&quot;16020D50&quot;/&gt;&lt;wsp:rsid wsp:val=&quot;160475A2&quot;/&gt;&lt;wsp:rsid wsp:val=&quot;1606156C&quot;/&gt;&lt;wsp:rsid wsp:val=&quot;16061850&quot;/&gt;&lt;wsp:rsid wsp:val=&quot;16084693&quot;/&gt;&lt;wsp:rsid wsp:val=&quot;160862F7&quot;/&gt;&lt;wsp:rsid wsp:val=&quot;16087E1D&quot;/&gt;&lt;wsp:rsid wsp:val=&quot;16095600&quot;/&gt;&lt;wsp:rsid wsp:val=&quot;16096967&quot;/&gt;&lt;wsp:rsid wsp:val=&quot;160B0931&quot;/&gt;&lt;wsp:rsid wsp:val=&quot;160C46A9&quot;/&gt;&lt;wsp:rsid wsp:val=&quot;16105F47&quot;/&gt;&lt;wsp:rsid wsp:val=&quot;161128D2&quot;/&gt;&lt;wsp:rsid wsp:val=&quot;16133C89&quot;/&gt;&lt;wsp:rsid wsp:val=&quot;161517B0&quot;/&gt;&lt;wsp:rsid wsp:val=&quot;1615355E&quot;/&gt;&lt;wsp:rsid wsp:val=&quot;16163BFD&quot;/&gt;&lt;wsp:rsid wsp:val=&quot;161672D6&quot;/&gt;&lt;wsp:rsid wsp:val=&quot;16176607&quot;/&gt;&lt;wsp:rsid wsp:val=&quot;1618304E&quot;/&gt;&lt;wsp:rsid wsp:val=&quot;161B1156&quot;/&gt;&lt;wsp:rsid wsp:val=&quot;161B48EC&quot;/&gt;&lt;wsp:rsid wsp:val=&quot;161B69E3&quot;/&gt;&lt;wsp:rsid wsp:val=&quot;161D2412&quot;/&gt;&lt;wsp:rsid wsp:val=&quot;161D40F7&quot;/&gt;&lt;wsp:rsid wsp:val=&quot;16221DCB&quot;/&gt;&lt;wsp:rsid wsp:val=&quot;16223ECC&quot;/&gt;&lt;wsp:rsid wsp:val=&quot;16225C7A&quot;/&gt;&lt;wsp:rsid wsp:val=&quot;162615CB&quot;/&gt;&lt;wsp:rsid wsp:val=&quot;162639BD&quot;/&gt;&lt;wsp:rsid wsp:val=&quot;16272E7D&quot;/&gt;&lt;wsp:rsid wsp:val=&quot;16290DB7&quot;/&gt;&lt;wsp:rsid wsp:val=&quot;1629525B&quot;/&gt;&lt;wsp:rsid wsp:val=&quot;162A68EF&quot;/&gt;&lt;wsp:rsid wsp:val=&quot;162B0FD3&quot;/&gt;&lt;wsp:rsid wsp:val=&quot;162D5332&quot;/&gt;&lt;wsp:rsid wsp:val=&quot;162E461F&quot;/&gt;&lt;wsp:rsid wsp:val=&quot;16300397&quot;/&gt;&lt;wsp:rsid wsp:val=&quot;163065E9&quot;/&gt;&lt;wsp:rsid wsp:val=&quot;16314110&quot;/&gt;&lt;wsp:rsid wsp:val=&quot;16316C71&quot;/&gt;&lt;wsp:rsid wsp:val=&quot;16322361&quot;/&gt;&lt;wsp:rsid wsp:val=&quot;163360DA&quot;/&gt;&lt;wsp:rsid wsp:val=&quot;16337E88&quot;/&gt;&lt;wsp:rsid wsp:val=&quot;16375AAD&quot;/&gt;&lt;wsp:rsid wsp:val=&quot;16377978&quot;/&gt;&lt;wsp:rsid wsp:val=&quot;163A1216&quot;/&gt;&lt;wsp:rsid wsp:val=&quot;163D4862&quot;/&gt;&lt;wsp:rsid wsp:val=&quot;163D633F&quot;/&gt;&lt;wsp:rsid wsp:val=&quot;163F682C&quot;/&gt;&lt;wsp:rsid wsp:val=&quot;16405589&quot;/&gt;&lt;wsp:rsid wsp:val=&quot;164125A5&quot;/&gt;&lt;wsp:rsid wsp:val=&quot;16455955&quot;/&gt;&lt;wsp:rsid wsp:val=&quot;16467BBB&quot;/&gt;&lt;wsp:rsid wsp:val=&quot;16481B85&quot;/&gt;&lt;wsp:rsid wsp:val=&quot;164B51D1&quot;/&gt;&lt;wsp:rsid wsp:val=&quot;164E081E&quot;/&gt;&lt;wsp:rsid wsp:val=&quot;1651410A&quot;/&gt;&lt;wsp:rsid wsp:val=&quot;165247B2&quot;/&gt;&lt;wsp:rsid wsp:val=&quot;16551036&quot;/&gt;&lt;wsp:rsid wsp:val=&quot;165637A0&quot;/&gt;&lt;wsp:rsid wsp:val=&quot;16565924&quot;/&gt;&lt;wsp:rsid wsp:val=&quot;1656750B&quot;/&gt;&lt;wsp:rsid wsp:val=&quot;16573B76&quot;/&gt;&lt;wsp:rsid wsp:val=&quot;1658169C&quot;/&gt;&lt;wsp:rsid wsp:val=&quot;165C6338&quot;/&gt;&lt;wsp:rsid wsp:val=&quot;165D4F05&quot;/&gt;&lt;wsp:rsid wsp:val=&quot;165E3157&quot;/&gt;&lt;wsp:rsid wsp:val=&quot;165F003B&quot;/&gt;&lt;wsp:rsid wsp:val=&quot;165F2A2B&quot;/&gt;&lt;wsp:rsid wsp:val=&quot;16610551&quot;/&gt;&lt;wsp:rsid wsp:val=&quot;16612C47&quot;/&gt;&lt;wsp:rsid wsp:val=&quot;1662251B&quot;/&gt;&lt;wsp:rsid wsp:val=&quot;1663620B&quot;/&gt;&lt;wsp:rsid wsp:val=&quot;16640041&quot;/&gt;&lt;wsp:rsid wsp:val=&quot;1664555F&quot;/&gt;&lt;wsp:rsid wsp:val=&quot;1664769B&quot;/&gt;&lt;wsp:rsid wsp:val=&quot;1665226C&quot;/&gt;&lt;wsp:rsid wsp:val=&quot;16695657&quot;/&gt;&lt;wsp:rsid wsp:val=&quot;166C5148&quot;/&gt;&lt;wsp:rsid wsp:val=&quot;166D7266&quot;/&gt;&lt;wsp:rsid wsp:val=&quot;166E2C6E&quot;/&gt;&lt;wsp:rsid wsp:val=&quot;167069E6&quot;/&gt;&lt;wsp:rsid wsp:val=&quot;167209B0&quot;/&gt;&lt;wsp:rsid wsp:val=&quot;167320FE&quot;/&gt;&lt;wsp:rsid wsp:val=&quot;16740910&quot;/&gt;&lt;wsp:rsid wsp:val=&quot;16753FFC&quot;/&gt;&lt;wsp:rsid wsp:val=&quot;16754698&quot;/&gt;&lt;wsp:rsid wsp:val=&quot;16770114&quot;/&gt;&lt;wsp:rsid wsp:val=&quot;16775FC6&quot;/&gt;&lt;wsp:rsid wsp:val=&quot;16781D3E&quot;/&gt;&lt;wsp:rsid wsp:val=&quot;167A1613&quot;/&gt;&lt;wsp:rsid wsp:val=&quot;167A5AB7&quot;/&gt;&lt;wsp:rsid wsp:val=&quot;167A7865&quot;/&gt;&lt;wsp:rsid wsp:val=&quot;167C182F&quot;/&gt;&lt;wsp:rsid wsp:val=&quot;167D1103&quot;/&gt;&lt;wsp:rsid wsp:val=&quot;167F131F&quot;/&gt;&lt;wsp:rsid wsp:val=&quot;16805733&quot;/&gt;&lt;wsp:rsid wsp:val=&quot;16810BF3&quot;/&gt;&lt;wsp:rsid wsp:val=&quot;16816227&quot;/&gt;&lt;wsp:rsid wsp:val=&quot;16816E45&quot;/&gt;&lt;wsp:rsid wsp:val=&quot;168310E2&quot;/&gt;&lt;wsp:rsid wsp:val=&quot;16831C06&quot;/&gt;&lt;wsp:rsid wsp:val=&quot;168357F5&quot;/&gt;&lt;wsp:rsid wsp:val=&quot;16851FA8&quot;/&gt;&lt;wsp:rsid wsp:val=&quot;16856CC7&quot;/&gt;&lt;wsp:rsid wsp:val=&quot;168615A5&quot;/&gt;&lt;wsp:rsid wsp:val=&quot;168626AD&quot;/&gt;&lt;wsp:rsid wsp:val=&quot;16866209&quot;/&gt;&lt;wsp:rsid wsp:val=&quot;16867DD4&quot;/&gt;&lt;wsp:rsid wsp:val=&quot;16870C40&quot;/&gt;&lt;wsp:rsid wsp:val=&quot;16873D30&quot;/&gt;&lt;wsp:rsid wsp:val=&quot;168767C3&quot;/&gt;&lt;wsp:rsid wsp:val=&quot;168B1A72&quot;/&gt;&lt;wsp:rsid wsp:val=&quot;168C5417&quot;/&gt;&lt;wsp:rsid wsp:val=&quot;168D57EA&quot;/&gt;&lt;wsp:rsid wsp:val=&quot;168E1562&quot;/&gt;&lt;wsp:rsid wsp:val=&quot;168E50BE&quot;/&gt;&lt;wsp:rsid wsp:val=&quot;16900E36&quot;/&gt;&lt;wsp:rsid wsp:val=&quot;16907088&quot;/&gt;&lt;wsp:rsid wsp:val=&quot;16937BEA&quot;/&gt;&lt;wsp:rsid wsp:val=&quot;169528F0&quot;/&gt;&lt;wsp:rsid wsp:val=&quot;1695469E&quot;/&gt;&lt;wsp:rsid wsp:val=&quot;169721C5&quot;/&gt;&lt;wsp:rsid wsp:val=&quot;169831BA&quot;/&gt;&lt;wsp:rsid wsp:val=&quot;169923E1&quot;/&gt;&lt;wsp:rsid wsp:val=&quot;169A3A63&quot;/&gt;&lt;wsp:rsid wsp:val=&quot;169B33E5&quot;/&gt;&lt;wsp:rsid wsp:val=&quot;169C2C8F&quot;/&gt;&lt;wsp:rsid wsp:val=&quot;169C3C7F&quot;/&gt;&lt;wsp:rsid wsp:val=&quot;169C5A2D&quot;/&gt;&lt;wsp:rsid wsp:val=&quot;169C6A84&quot;/&gt;&lt;wsp:rsid wsp:val=&quot;169C77DB&quot;/&gt;&lt;wsp:rsid wsp:val=&quot;169D3553&quot;/&gt;&lt;wsp:rsid wsp:val=&quot;169E0CBC&quot;/&gt;&lt;wsp:rsid wsp:val=&quot;169E79F7&quot;/&gt;&lt;wsp:rsid wsp:val=&quot;169F376F&quot;/&gt;&lt;wsp:rsid wsp:val=&quot;169F551D&quot;/&gt;&lt;wsp:rsid wsp:val=&quot;16A10D7E&quot;/&gt;&lt;wsp:rsid wsp:val=&quot;16A13043&quot;/&gt;&lt;wsp:rsid wsp:val=&quot;16A23360&quot;/&gt;&lt;wsp:rsid wsp:val=&quot;16A6065A&quot;/&gt;&lt;wsp:rsid wsp:val=&quot;16A843D2&quot;/&gt;&lt;wsp:rsid wsp:val=&quot;16AA5E76&quot;/&gt;&lt;wsp:rsid wsp:val=&quot;16AA639C&quot;/&gt;&lt;wsp:rsid wsp:val=&quot;16AD19E8&quot;/&gt;&lt;wsp:rsid wsp:val=&quot;16AD2D27&quot;/&gt;&lt;wsp:rsid wsp:val=&quot;16AD7C3A&quot;/&gt;&lt;wsp:rsid wsp:val=&quot;16B234A2&quot;/&gt;&lt;wsp:rsid wsp:val=&quot;16B26FFE&quot;/&gt;&lt;wsp:rsid wsp:val=&quot;16B5089D&quot;/&gt;&lt;wsp:rsid wsp:val=&quot;16B55461&quot;/&gt;&lt;wsp:rsid wsp:val=&quot;16B56AEF&quot;/&gt;&lt;wsp:rsid wsp:val=&quot;16B72867&quot;/&gt;&lt;wsp:rsid wsp:val=&quot;16B75DCA&quot;/&gt;&lt;wsp:rsid wsp:val=&quot;16B8213B&quot;/&gt;&lt;wsp:rsid wsp:val=&quot;16B965DF&quot;/&gt;&lt;wsp:rsid wsp:val=&quot;16BA2357&quot;/&gt;&lt;wsp:rsid wsp:val=&quot;16BA5EB3&quot;/&gt;&lt;wsp:rsid wsp:val=&quot;16BC1C2B&quot;/&gt;&lt;wsp:rsid wsp:val=&quot;16BC7E7D&quot;/&gt;&lt;wsp:rsid wsp:val=&quot;16BE1E47&quot;/&gt;&lt;wsp:rsid wsp:val=&quot;16BF171B&quot;/&gt;&lt;wsp:rsid wsp:val=&quot;16BF2289&quot;/&gt;&lt;wsp:rsid wsp:val=&quot;16C02A68&quot;/&gt;&lt;wsp:rsid wsp:val=&quot;16C16AEE&quot;/&gt;&lt;wsp:rsid wsp:val=&quot;16C17241&quot;/&gt;&lt;wsp:rsid wsp:val=&quot;16C3120C&quot;/&gt;&lt;wsp:rsid wsp:val=&quot;16C32FBA&quot;/&gt;&lt;wsp:rsid wsp:val=&quot;16CA07EC&quot;/&gt;&lt;wsp:rsid wsp:val=&quot;16CB00C0&quot;/&gt;&lt;wsp:rsid wsp:val=&quot;16CB66C2&quot;/&gt;&lt;wsp:rsid wsp:val=&quot;16CF5E02&quot;/&gt;&lt;wsp:rsid wsp:val=&quot;16D03928&quot;/&gt;&lt;wsp:rsid wsp:val=&quot;16D0459E&quot;/&gt;&lt;wsp:rsid wsp:val=&quot;16D231FD&quot;/&gt;&lt;wsp:rsid wsp:val=&quot;16D3646B&quot;/&gt;&lt;wsp:rsid wsp:val=&quot;16D36F75&quot;/&gt;&lt;wsp:rsid wsp:val=&quot;16D43419&quot;/&gt;&lt;wsp:rsid wsp:val=&quot;16D52CED&quot;/&gt;&lt;wsp:rsid wsp:val=&quot;16D55464&quot;/&gt;&lt;wsp:rsid wsp:val=&quot;16D72F09&quot;/&gt;&lt;wsp:rsid wsp:val=&quot;16D84CC1&quot;/&gt;&lt;wsp:rsid wsp:val=&quot;16D927DD&quot;/&gt;&lt;wsp:rsid wsp:val=&quot;16DA0303&quot;/&gt;&lt;wsp:rsid wsp:val=&quot;16DB47A7&quot;/&gt;&lt;wsp:rsid wsp:val=&quot;16DC407B&quot;/&gt;&lt;wsp:rsid wsp:val=&quot;16DE1BA1&quot;/&gt;&lt;wsp:rsid wsp:val=&quot;16E15D3E&quot;/&gt;&lt;wsp:rsid wsp:val=&quot;16E3365C&quot;/&gt;&lt;wsp:rsid wsp:val=&quot;16E3540A&quot;/&gt;&lt;wsp:rsid wsp:val=&quot;16E41FC1&quot;/&gt;&lt;wsp:rsid wsp:val=&quot;16E42F30&quot;/&gt;&lt;wsp:rsid wsp:val=&quot;16E66CA8&quot;/&gt;&lt;wsp:rsid wsp:val=&quot;16E86EC4&quot;/&gt;&lt;wsp:rsid wsp:val=&quot;16ED44DA&quot;/&gt;&lt;wsp:rsid wsp:val=&quot;16EE0D4D&quot;/&gt;&lt;wsp:rsid wsp:val=&quot;16EF2001&quot;/&gt;&lt;wsp:rsid wsp:val=&quot;16EF70D4&quot;/&gt;&lt;wsp:rsid wsp:val=&quot;16F13FCB&quot;/&gt;&lt;wsp:rsid wsp:val=&quot;16F21AF1&quot;/&gt;&lt;wsp:rsid wsp:val=&quot;16F2389F&quot;/&gt;&lt;wsp:rsid wsp:val=&quot;16F2564D&quot;/&gt;&lt;wsp:rsid wsp:val=&quot;16F413C5&quot;/&gt;&lt;wsp:rsid wsp:val=&quot;16F615E1&quot;/&gt;&lt;wsp:rsid wsp:val=&quot;16FC296F&quot;/&gt;&lt;wsp:rsid wsp:val=&quot;16FC64CC&quot;/&gt;&lt;wsp:rsid wsp:val=&quot;16FC7806&quot;/&gt;&lt;wsp:rsid wsp:val=&quot;16FE2B67&quot;/&gt;&lt;wsp:rsid wsp:val=&quot;17016FE1&quot;/&gt;&lt;wsp:rsid wsp:val=&quot;17017F86&quot;/&gt;&lt;wsp:rsid wsp:val=&quot;1702620D&quot;/&gt;&lt;wsp:rsid wsp:val=&quot;17033CFE&quot;/&gt;&lt;wsp:rsid wsp:val=&quot;170610F8&quot;/&gt;&lt;wsp:rsid wsp:val=&quot;17061A54&quot;/&gt;&lt;wsp:rsid wsp:val=&quot;1706734A&quot;/&gt;&lt;wsp:rsid wsp:val=&quot;170717A3&quot;/&gt;&lt;wsp:rsid wsp:val=&quot;17081314&quot;/&gt;&lt;wsp:rsid wsp:val=&quot;170A4011&quot;/&gt;&lt;wsp:rsid wsp:val=&quot;170A6E3A&quot;/&gt;&lt;wsp:rsid wsp:val=&quot;170B03AB&quot;/&gt;&lt;wsp:rsid wsp:val=&quot;170F26A3&quot;/&gt;&lt;wsp:rsid wsp:val=&quot;171001C9&quot;/&gt;&lt;wsp:rsid wsp:val=&quot;1712246D&quot;/&gt;&lt;wsp:rsid wsp:val=&quot;17122B75&quot;/&gt;&lt;wsp:rsid wsp:val=&quot;17127A9D&quot;/&gt;&lt;wsp:rsid wsp:val=&quot;17134774&quot;/&gt;&lt;wsp:rsid wsp:val=&quot;17141A67&quot;/&gt;&lt;wsp:rsid wsp:val=&quot;17147CB9&quot;/&gt;&lt;wsp:rsid wsp:val=&quot;17163A31&quot;/&gt;&lt;wsp:rsid wsp:val=&quot;171750B3&quot;/&gt;&lt;wsp:rsid wsp:val=&quot;17190E2C&quot;/&gt;&lt;wsp:rsid wsp:val=&quot;171B1048&quot;/&gt;&lt;wsp:rsid wsp:val=&quot;171B30EB&quot;/&gt;&lt;wsp:rsid wsp:val=&quot;171C091C&quot;/&gt;&lt;wsp:rsid wsp:val=&quot;171D4444&quot;/&gt;&lt;wsp:rsid wsp:val=&quot;17204276&quot;/&gt;&lt;wsp:rsid wsp:val=&quot;17205F01&quot;/&gt;&lt;wsp:rsid wsp:val=&quot;172123D6&quot;/&gt;&lt;wsp:rsid wsp:val=&quot;17215F32&quot;/&gt;&lt;wsp:rsid wsp:val=&quot;17231CAA&quot;/&gt;&lt;wsp:rsid wsp:val=&quot;17234384&quot;/&gt;&lt;wsp:rsid wsp:val=&quot;1723614E&quot;/&gt;&lt;wsp:rsid wsp:val=&quot;17245FBE&quot;/&gt;&lt;wsp:rsid wsp:val=&quot;17253C74&quot;/&gt;&lt;wsp:rsid wsp:val=&quot;172577D0&quot;/&gt;&lt;wsp:rsid wsp:val=&quot;172634B4&quot;/&gt;&lt;wsp:rsid wsp:val=&quot;17263548&quot;/&gt;&lt;wsp:rsid wsp:val=&quot;17283764&quot;/&gt;&lt;wsp:rsid wsp:val=&quot;172872C1&quot;/&gt;&lt;wsp:rsid wsp:val=&quot;17292EA9&quot;/&gt;&lt;wsp:rsid wsp:val=&quot;17297BD5&quot;/&gt;&lt;wsp:rsid wsp:val=&quot;172A4DE7&quot;/&gt;&lt;wsp:rsid wsp:val=&quot;172B0B5F&quot;/&gt;&lt;wsp:rsid wsp:val=&quot;172B6DB1&quot;/&gt;&lt;wsp:rsid wsp:val=&quot;172C5003&quot;/&gt;&lt;wsp:rsid wsp:val=&quot;172C5BE5&quot;/&gt;&lt;wsp:rsid wsp:val=&quot;17312619&quot;/&gt;&lt;wsp:rsid wsp:val=&quot;17316E86&quot;/&gt;&lt;wsp:rsid wsp:val=&quot;17340790&quot;/&gt;&lt;wsp:rsid wsp:val=&quot;17343EB7&quot;/&gt;&lt;wsp:rsid wsp:val=&quot;17345C65&quot;/&gt;&lt;wsp:rsid wsp:val=&quot;173619DD&quot;/&gt;&lt;wsp:rsid wsp:val=&quot;17367C2F&quot;/&gt;&lt;wsp:rsid wsp:val=&quot;173739A8&quot;/&gt;&lt;wsp:rsid wsp:val=&quot;173B3498&quot;/&gt;&lt;wsp:rsid wsp:val=&quot;173C0FBE&quot;/&gt;&lt;wsp:rsid wsp:val=&quot;173C2D6C&quot;/&gt;&lt;wsp:rsid wsp:val=&quot;173E4D36&quot;/&gt;&lt;wsp:rsid wsp:val=&quot;17400AAE&quot;/&gt;&lt;wsp:rsid wsp:val=&quot;1740460A&quot;/&gt;&lt;wsp:rsid wsp:val=&quot;17424826&quot;/&gt;&lt;wsp:rsid wsp:val=&quot;1743234C&quot;/&gt;&lt;wsp:rsid wsp:val=&quot;17446A3D&quot;/&gt;&lt;wsp:rsid wsp:val=&quot;174546C0&quot;/&gt;&lt;wsp:rsid wsp:val=&quot;1746135D&quot;/&gt;&lt;wsp:rsid wsp:val=&quot;17463BEB&quot;/&gt;&lt;wsp:rsid wsp:val=&quot;17487963&quot;/&gt;&lt;wsp:rsid wsp:val=&quot;174C1201&quot;/&gt;&lt;wsp:rsid wsp:val=&quot;174C4868&quot;/&gt;&lt;wsp:rsid wsp:val=&quot;174D4F79&quot;/&gt;&lt;wsp:rsid wsp:val=&quot;174D6D27&quot;/&gt;&lt;wsp:rsid wsp:val=&quot;174F14AB&quot;/&gt;&lt;wsp:rsid wsp:val=&quot;174F484D&quot;/&gt;&lt;wsp:rsid wsp:val=&quot;175005C5&quot;/&gt;&lt;wsp:rsid wsp:val=&quot;17516817&quot;/&gt;&lt;wsp:rsid wsp:val=&quot;175252F4&quot;/&gt;&lt;wsp:rsid wsp:val=&quot;17544559&quot;/&gt;&lt;wsp:rsid wsp:val=&quot;17546308&quot;/&gt;&lt;wsp:rsid wsp:val=&quot;17577BA6&quot;/&gt;&lt;wsp:rsid wsp:val=&quot;17583772&quot;/&gt;&lt;wsp:rsid wsp:val=&quot;175956CC&quot;/&gt;&lt;wsp:rsid wsp:val=&quot;175C51BC&quot;/&gt;&lt;wsp:rsid wsp:val=&quot;175D2B53&quot;/&gt;&lt;wsp:rsid wsp:val=&quot;175F1F04&quot;/&gt;&lt;wsp:rsid wsp:val=&quot;176302F9&quot;/&gt;&lt;wsp:rsid wsp:val=&quot;1763654B&quot;/&gt;&lt;wsp:rsid wsp:val=&quot;17654071&quot;/&gt;&lt;wsp:rsid wsp:val=&quot;17675B53&quot;/&gt;&lt;wsp:rsid wsp:val=&quot;1767603B&quot;/&gt;&lt;wsp:rsid wsp:val=&quot;17680005&quot;/&gt;&lt;wsp:rsid wsp:val=&quot;17681DB3&quot;/&gt;&lt;wsp:rsid wsp:val=&quot;17683B61&quot;/&gt;&lt;wsp:rsid wsp:val=&quot;17694647&quot;/&gt;&lt;wsp:rsid wsp:val=&quot;176C18A3&quot;/&gt;&lt;wsp:rsid wsp:val=&quot;176D1177&quot;/&gt;&lt;wsp:rsid wsp:val=&quot;176D70D9&quot;/&gt;&lt;wsp:rsid wsp:val=&quot;176F4EEF&quot;/&gt;&lt;wsp:rsid wsp:val=&quot;17701D14&quot;/&gt;&lt;wsp:rsid wsp:val=&quot;17712A16&quot;/&gt;&lt;wsp:rsid wsp:val=&quot;177249E0&quot;/&gt;&lt;wsp:rsid wsp:val=&quot;17735226&quot;/&gt;&lt;wsp:rsid wsp:val=&quot;177469AA&quot;/&gt;&lt;wsp:rsid wsp:val=&quot;177644D0&quot;/&gt;&lt;wsp:rsid wsp:val=&quot;1776627E&quot;/&gt;&lt;wsp:rsid wsp:val=&quot;17771FF6&quot;/&gt;&lt;wsp:rsid wsp:val=&quot;17780248&quot;/&gt;&lt;wsp:rsid wsp:val=&quot;17782D5C&quot;/&gt;&lt;wsp:rsid wsp:val=&quot;177B1AE6&quot;/&gt;&lt;wsp:rsid wsp:val=&quot;177C760C&quot;/&gt;&lt;wsp:rsid wsp:val=&quot;177D585E&quot;/&gt;&lt;wsp:rsid wsp:val=&quot;177E15D6&quot;/&gt;&lt;wsp:rsid wsp:val=&quot;177F79E2&quot;/&gt;&lt;wsp:rsid wsp:val=&quot;17800EAB&quot;/&gt;&lt;wsp:rsid wsp:val=&quot;1783099B&quot;/&gt;&lt;wsp:rsid wsp:val=&quot;17832749&quot;/&gt;&lt;wsp:rsid wsp:val=&quot;17834B0C&quot;/&gt;&lt;wsp:rsid wsp:val=&quot;17834F29&quot;/&gt;&lt;wsp:rsid wsp:val=&quot;17836008&quot;/&gt;&lt;wsp:rsid wsp:val=&quot;17852965&quot;/&gt;&lt;wsp:rsid wsp:val=&quot;17854713&quot;/&gt;&lt;wsp:rsid wsp:val=&quot;17872239&quot;/&gt;&lt;wsp:rsid wsp:val=&quot;17886BE6&quot;/&gt;&lt;wsp:rsid wsp:val=&quot;178A3AD7&quot;/&gt;&lt;wsp:rsid wsp:val=&quot;178D1819&quot;/&gt;&lt;wsp:rsid wsp:val=&quot;178D3B28&quot;/&gt;&lt;wsp:rsid wsp:val=&quot;178F5592&quot;/&gt;&lt;wsp:rsid wsp:val=&quot;17935082&quot;/&gt;&lt;wsp:rsid wsp:val=&quot;17937964&quot;/&gt;&lt;wsp:rsid wsp:val=&quot;17942BA8&quot;/&gt;&lt;wsp:rsid wsp:val=&quot;1796247C&quot;/&gt;&lt;wsp:rsid wsp:val=&quot;17964BA4&quot;/&gt;&lt;wsp:rsid wsp:val=&quot;17965B8D&quot;/&gt;&lt;wsp:rsid wsp:val=&quot;17966920&quot;/&gt;&lt;wsp:rsid wsp:val=&quot;17980C05&quot;/&gt;&lt;wsp:rsid wsp:val=&quot;17984446&quot;/&gt;&lt;wsp:rsid wsp:val=&quot;17996410&quot;/&gt;&lt;wsp:rsid wsp:val=&quot;179A7CC5&quot;/&gt;&lt;wsp:rsid wsp:val=&quot;179B3F36&quot;/&gt;&lt;wsp:rsid wsp:val=&quot;179D1A5D&quot;/&gt;&lt;wsp:rsid wsp:val=&quot;179D1EA6&quot;/&gt;&lt;wsp:rsid wsp:val=&quot;179E3A27&quot;/&gt;&lt;wsp:rsid wsp:val=&quot;17A0779F&quot;/&gt;&lt;wsp:rsid wsp:val=&quot;17A34B99&quot;/&gt;&lt;wsp:rsid wsp:val=&quot;17A4103D&quot;/&gt;&lt;wsp:rsid wsp:val=&quot;17A54DB5&quot;/&gt;&lt;wsp:rsid wsp:val=&quot;17A56B63&quot;/&gt;&lt;wsp:rsid wsp:val=&quot;17A64699&quot;/&gt;&lt;wsp:rsid wsp:val=&quot;17AA4179&quot;/&gt;&lt;wsp:rsid wsp:val=&quot;17AC7EF2&quot;/&gt;&lt;wsp:rsid wsp:val=&quot;17AE2306&quot;/&gt;&lt;wsp:rsid wsp:val=&quot;17AF79E2&quot;/&gt;&lt;wsp:rsid wsp:val=&quot;17B15508&quot;/&gt;&lt;wsp:rsid wsp:val=&quot;17B374D2&quot;/&gt;&lt;wsp:rsid wsp:val=&quot;17B40B54&quot;/&gt;&lt;wsp:rsid wsp:val=&quot;17B44FF8&quot;/&gt;&lt;wsp:rsid wsp:val=&quot;17B60D70&quot;/&gt;&lt;wsp:rsid wsp:val=&quot;17B943BD&quot;/&gt;&lt;wsp:rsid wsp:val=&quot;17BB1EE3&quot;/&gt;&lt;wsp:rsid wsp:val=&quot;17BE19D3&quot;/&gt;&lt;wsp:rsid wsp:val=&quot;17BE7C25&quot;/&gt;&lt;wsp:rsid wsp:val=&quot;17C0574B&quot;/&gt;&lt;wsp:rsid wsp:val=&quot;17C36FE9&quot;/&gt;&lt;wsp:rsid wsp:val=&quot;17C92852&quot;/&gt;&lt;wsp:rsid wsp:val=&quot;17C97A33&quot;/&gt;&lt;wsp:rsid wsp:val=&quot;17CA0378&quot;/&gt;&lt;wsp:rsid wsp:val=&quot;17CA65CA&quot;/&gt;&lt;wsp:rsid wsp:val=&quot;17CB070E&quot;/&gt;&lt;wsp:rsid wsp:val=&quot;17CC02B3&quot;/&gt;&lt;wsp:rsid wsp:val=&quot;17CE60BA&quot;/&gt;&lt;wsp:rsid wsp:val=&quot;17CF33BC&quot;/&gt;&lt;wsp:rsid wsp:val=&quot;17CF3BE0&quot;/&gt;&lt;wsp:rsid wsp:val=&quot;17CF598E&quot;/&gt;&lt;wsp:rsid wsp:val=&quot;17D10471&quot;/&gt;&lt;wsp:rsid wsp:val=&quot;17D11706&quot;/&gt;&lt;wsp:rsid wsp:val=&quot;17D17655&quot;/&gt;&lt;wsp:rsid wsp:val=&quot;17D17958&quot;/&gt;&lt;wsp:rsid wsp:val=&quot;17D2722C&quot;/&gt;&lt;wsp:rsid wsp:val=&quot;17D336D0&quot;/&gt;&lt;wsp:rsid wsp:val=&quot;17D47448&quot;/&gt;&lt;wsp:rsid wsp:val=&quot;17D66D1D&quot;/&gt;&lt;wsp:rsid wsp:val=&quot;17D73D39&quot;/&gt;&lt;wsp:rsid wsp:val=&quot;17D75109&quot;/&gt;&lt;wsp:rsid wsp:val=&quot;17DA3CAD&quot;/&gt;&lt;wsp:rsid wsp:val=&quot;17DA4A5F&quot;/&gt;&lt;wsp:rsid wsp:val=&quot;17DA6EDC&quot;/&gt;&lt;wsp:rsid wsp:val=&quot;17DB07D7&quot;/&gt;&lt;wsp:rsid wsp:val=&quot;17DB2585&quot;/&gt;&lt;wsp:rsid wsp:val=&quot;17DB3C50&quot;/&gt;&lt;wsp:rsid wsp:val=&quot;17DD454F&quot;/&gt;&lt;wsp:rsid wsp:val=&quot;17DD62FD&quot;/&gt;&lt;wsp:rsid wsp:val=&quot;17DF02C7&quot;/&gt;&lt;wsp:rsid wsp:val=&quot;17E07B9B&quot;/&gt;&lt;wsp:rsid wsp:val=&quot;17E33010&quot;/&gt;&lt;wsp:rsid wsp:val=&quot;17E67F73&quot;/&gt;&lt;wsp:rsid wsp:val=&quot;17E97897&quot;/&gt;&lt;wsp:rsid wsp:val=&quot;17EA18FC&quot;/&gt;&lt;wsp:rsid wsp:val=&quot;17EC4792&quot;/&gt;&lt;wsp:rsid wsp:val=&quot;17ED6B70&quot;/&gt;&lt;wsp:rsid wsp:val=&quot;17EE4066&quot;/&gt;&lt;wsp:rsid wsp:val=&quot;17EF6030&quot;/&gt;&lt;wsp:rsid wsp:val=&quot;17F04282&quot;/&gt;&lt;wsp:rsid wsp:val=&quot;17F05C36&quot;/&gt;&lt;wsp:rsid wsp:val=&quot;17F11DA8&quot;/&gt;&lt;wsp:rsid wsp:val=&quot;17F42A87&quot;/&gt;&lt;wsp:rsid wsp:val=&quot;17F51340&quot;/&gt;&lt;wsp:rsid wsp:val=&quot;17F76854&quot;/&gt;&lt;wsp:rsid wsp:val=&quot;17F81389&quot;/&gt;&lt;wsp:rsid wsp:val=&quot;17F83137&quot;/&gt;&lt;wsp:rsid wsp:val=&quot;17F90C5D&quot;/&gt;&lt;wsp:rsid wsp:val=&quot;17FC59E3&quot;/&gt;&lt;wsp:rsid wsp:val=&quot;17FC72FC&quot;/&gt;&lt;wsp:rsid wsp:val=&quot;17FD51E2&quot;/&gt;&lt;wsp:rsid wsp:val=&quot;17FE0021&quot;/&gt;&lt;wsp:rsid wsp:val=&quot;17FE4521&quot;/&gt;&lt;wsp:rsid wsp:val=&quot;17FF2717&quot;/&gt;&lt;wsp:rsid wsp:val=&quot;17FF6273&quot;/&gt;&lt;wsp:rsid wsp:val=&quot;17FF6452&quot;/&gt;&lt;wsp:rsid wsp:val=&quot;18003D99&quot;/&gt;&lt;wsp:rsid wsp:val=&quot;1801037E&quot;/&gt;&lt;wsp:rsid wsp:val=&quot;18025D64&quot;/&gt;&lt;wsp:rsid wsp:val=&quot;18027B12&quot;/&gt;&lt;wsp:rsid wsp:val=&quot;18041ADC&quot;/&gt;&lt;wsp:rsid wsp:val=&quot;180513B0&quot;/&gt;&lt;wsp:rsid wsp:val=&quot;180520BE&quot;/&gt;&lt;wsp:rsid wsp:val=&quot;1807337A&quot;/&gt;&lt;wsp:rsid wsp:val=&quot;18090EA0&quot;/&gt;&lt;wsp:rsid wsp:val=&quot;180A0F27&quot;/&gt;&lt;wsp:rsid wsp:val=&quot;180A2E6A&quot;/&gt;&lt;wsp:rsid wsp:val=&quot;180B23B7&quot;/&gt;&lt;wsp:rsid wsp:val=&quot;180C3251&quot;/&gt;&lt;wsp:rsid wsp:val=&quot;180C6BE2&quot;/&gt;&lt;wsp:rsid wsp:val=&quot;180E4708&quot;/&gt;&lt;wsp:rsid wsp:val=&quot;180E6167&quot;/&gt;&lt;wsp:rsid wsp:val=&quot;180F33B4&quot;/&gt;&lt;wsp:rsid wsp:val=&quot;18100480&quot;/&gt;&lt;wsp:rsid wsp:val=&quot;18115FA7&quot;/&gt;&lt;wsp:rsid wsp:val=&quot;18130B49&quot;/&gt;&lt;wsp:rsid wsp:val=&quot;1813138E&quot;/&gt;&lt;wsp:rsid wsp:val=&quot;1816180F&quot;/&gt;&lt;wsp:rsid wsp:val=&quot;18187335&quot;/&gt;&lt;wsp:rsid wsp:val=&quot;18194E5B&quot;/&gt;&lt;wsp:rsid wsp:val=&quot;181A12FF&quot;/&gt;&lt;wsp:rsid wsp:val=&quot;181B0BD3&quot;/&gt;&lt;wsp:rsid wsp:val=&quot;181B1EAC&quot;/&gt;&lt;wsp:rsid wsp:val=&quot;181F06C4&quot;/&gt;&lt;wsp:rsid wsp:val=&quot;181F6915&quot;/&gt;&lt;wsp:rsid wsp:val=&quot;1820443C&quot;/&gt;&lt;wsp:rsid wsp:val=&quot;182201B4&quot;/&gt;&lt;wsp:rsid wsp:val=&quot;1824217E&quot;/&gt;&lt;wsp:rsid wsp:val=&quot;18267CA4&quot;/&gt;&lt;wsp:rsid wsp:val=&quot;18291542&quot;/&gt;&lt;wsp:rsid wsp:val=&quot;18295740&quot;/&gt;&lt;wsp:rsid wsp:val=&quot;18297794&quot;/&gt;&lt;wsp:rsid wsp:val=&quot;182C4B8E&quot;/&gt;&lt;wsp:rsid wsp:val=&quot;182F17B2&quot;/&gt;&lt;wsp:rsid wsp:val=&quot;182F467F&quot;/&gt;&lt;wsp:rsid wsp:val=&quot;18316649&quot;/&gt;&lt;wsp:rsid wsp:val=&quot;18351C95&quot;/&gt;&lt;wsp:rsid wsp:val=&quot;18356139&quot;/&gt;&lt;wsp:rsid wsp:val=&quot;1835636A&quot;/&gt;&lt;wsp:rsid wsp:val=&quot;18360DD0&quot;/&gt;&lt;wsp:rsid wsp:val=&quot;18371EB1&quot;/&gt;&lt;wsp:rsid wsp:val=&quot;1837463A&quot;/&gt;&lt;wsp:rsid wsp:val=&quot;18383533&quot;/&gt;&lt;wsp:rsid wsp:val=&quot;183B1275&quot;/&gt;&lt;wsp:rsid wsp:val=&quot;183C74C7&quot;/&gt;&lt;wsp:rsid wsp:val=&quot;183D0B4A&quot;/&gt;&lt;wsp:rsid wsp:val=&quot;183F2B14&quot;/&gt;&lt;wsp:rsid wsp:val=&quot;18401FD4&quot;/&gt;&lt;wsp:rsid wsp:val=&quot;18414ADE&quot;/&gt;&lt;wsp:rsid wsp:val=&quot;18430E63&quot;/&gt;&lt;wsp:rsid wsp:val=&quot;1844012A&quot;/&gt;&lt;wsp:rsid wsp:val=&quot;18441ED8&quot;/&gt;&lt;wsp:rsid wsp:val=&quot;18452548&quot;/&gt;&lt;wsp:rsid wsp:val=&quot;18463EA2&quot;/&gt;&lt;wsp:rsid wsp:val=&quot;18464E68&quot;/&gt;&lt;wsp:rsid wsp:val=&quot;18475E6C&quot;/&gt;&lt;wsp:rsid wsp:val=&quot;18477C1A&quot;/&gt;&lt;wsp:rsid wsp:val=&quot;18493992&quot;/&gt;&lt;wsp:rsid wsp:val=&quot;184B14B9&quot;/&gt;&lt;wsp:rsid wsp:val=&quot;184B4C79&quot;/&gt;&lt;wsp:rsid wsp:val=&quot;184B770B&quot;/&gt;&lt;wsp:rsid wsp:val=&quot;184C6FDF&quot;/&gt;&lt;wsp:rsid wsp:val=&quot;18506ACF&quot;/&gt;&lt;wsp:rsid wsp:val=&quot;185145F5&quot;/&gt;&lt;wsp:rsid wsp:val=&quot;185442B7&quot;/&gt;&lt;wsp:rsid wsp:val=&quot;185540E5&quot;/&gt;&lt;wsp:rsid wsp:val=&quot;18561C0B&quot;/&gt;&lt;wsp:rsid wsp:val=&quot;18562723&quot;/&gt;&lt;wsp:rsid wsp:val=&quot;1856495D&quot;/&gt;&lt;wsp:rsid wsp:val=&quot;18567E5D&quot;/&gt;&lt;wsp:rsid wsp:val=&quot;185760AF&quot;/&gt;&lt;wsp:rsid wsp:val=&quot;18597E8B&quot;/&gt;&lt;wsp:rsid wsp:val=&quot;185A794E&quot;/&gt;&lt;wsp:rsid wsp:val=&quot;185B326A&quot;/&gt;&lt;wsp:rsid wsp:val=&quot;185B5474&quot;/&gt;&lt;wsp:rsid wsp:val=&quot;185C0256&quot;/&gt;&lt;wsp:rsid wsp:val=&quot;185D11EC&quot;/&gt;&lt;wsp:rsid wsp:val=&quot;185D2F9A&quot;/&gt;&lt;wsp:rsid wsp:val=&quot;185F31B6&quot;/&gt;&lt;wsp:rsid wsp:val=&quot;185F4F64&quot;/&gt;&lt;wsp:rsid wsp:val=&quot;185F56CA&quot;/&gt;&lt;wsp:rsid wsp:val=&quot;185F6D12&quot;/&gt;&lt;wsp:rsid wsp:val=&quot;185F713E&quot;/&gt;&lt;wsp:rsid wsp:val=&quot;18602A8A&quot;/&gt;&lt;wsp:rsid wsp:val=&quot;18611A70&quot;/&gt;&lt;wsp:rsid wsp:val=&quot;18626802&quot;/&gt;&lt;wsp:rsid wsp:val=&quot;18635AD1&quot;/&gt;&lt;wsp:rsid wsp:val=&quot;1864257A&quot;/&gt;&lt;wsp:rsid wsp:val=&quot;18646F61&quot;/&gt;&lt;wsp:rsid wsp:val=&quot;18694035&quot;/&gt;&lt;wsp:rsid wsp:val=&quot;18696DB0&quot;/&gt;&lt;wsp:rsid wsp:val=&quot;186D58D3&quot;/&gt;&lt;wsp:rsid wsp:val=&quot;186E164B&quot;/&gt;&lt;wsp:rsid wsp:val=&quot;186E33F9&quot;/&gt;&lt;wsp:rsid wsp:val=&quot;18700F1F&quot;/&gt;&lt;wsp:rsid wsp:val=&quot;18714C97&quot;/&gt;&lt;wsp:rsid wsp:val=&quot;18714EF8&quot;/&gt;&lt;wsp:rsid wsp:val=&quot;18722EE9&quot;/&gt;&lt;wsp:rsid wsp:val=&quot;187327BD&quot;/&gt;&lt;wsp:rsid wsp:val=&quot;187529D9&quot;/&gt;&lt;wsp:rsid wsp:val=&quot;18754787&quot;/&gt;&lt;wsp:rsid wsp:val=&quot;1876448A&quot;/&gt;&lt;wsp:rsid wsp:val=&quot;18770500&quot;/&gt;&lt;wsp:rsid wsp:val=&quot;1877409C&quot;/&gt;&lt;wsp:rsid wsp:val=&quot;18784278&quot;/&gt;&lt;wsp:rsid wsp:val=&quot;18786026&quot;/&gt;&lt;wsp:rsid wsp:val=&quot;18787DD4&quot;/&gt;&lt;wsp:rsid wsp:val=&quot;18797CF6&quot;/&gt;&lt;wsp:rsid wsp:val=&quot;187B27C4&quot;/&gt;&lt;wsp:rsid wsp:val=&quot;187D1931&quot;/&gt;&lt;wsp:rsid wsp:val=&quot;1881137E&quot;/&gt;&lt;wsp:rsid wsp:val=&quot;1881312C&quot;/&gt;&lt;wsp:rsid wsp:val=&quot;18826EA4&quot;/&gt;&lt;wsp:rsid wsp:val=&quot;18842891&quot;/&gt;&lt;wsp:rsid wsp:val=&quot;18846779&quot;/&gt;&lt;wsp:rsid wsp:val=&quot;18860743&quot;/&gt;&lt;wsp:rsid wsp:val=&quot;18876269&quot;/&gt;&lt;wsp:rsid wsp:val=&quot;18890233&quot;/&gt;&lt;wsp:rsid wsp:val=&quot;188B720A&quot;/&gt;&lt;wsp:rsid wsp:val=&quot;188C7801&quot;/&gt;&lt;wsp:rsid wsp:val=&quot;188D4859&quot;/&gt;&lt;wsp:rsid wsp:val=&quot;188D7D23&quot;/&gt;&lt;wsp:rsid wsp:val=&quot;18904044&quot;/&gt;&lt;wsp:rsid wsp:val=&quot;1893346E&quot;/&gt;&lt;wsp:rsid wsp:val=&quot;18934C0E&quot;/&gt;&lt;wsp:rsid wsp:val=&quot;18955D8E&quot;/&gt;&lt;wsp:rsid wsp:val=&quot;189577B1&quot;/&gt;&lt;wsp:rsid wsp:val=&quot;189664AC&quot;/&gt;&lt;wsp:rsid wsp:val=&quot;18972950&quot;/&gt;&lt;wsp:rsid wsp:val=&quot;189B3AC2&quot;/&gt;&lt;wsp:rsid wsp:val=&quot;189D21E0&quot;/&gt;&lt;wsp:rsid wsp:val=&quot;189D7862&quot;/&gt;&lt;wsp:rsid wsp:val=&quot;189F1804&quot;/&gt;&lt;wsp:rsid wsp:val=&quot;189F624C&quot;/&gt;&lt;wsp:rsid wsp:val=&quot;189F7A56&quot;/&gt;&lt;wsp:rsid wsp:val=&quot;18A1038B&quot;/&gt;&lt;wsp:rsid wsp:val=&quot;18A137CE&quot;/&gt;&lt;wsp:rsid wsp:val=&quot;18A1732B&quot;/&gt;&lt;wsp:rsid wsp:val=&quot;18A230A3&quot;/&gt;&lt;wsp:rsid wsp:val=&quot;18A43556&quot;/&gt;&lt;wsp:rsid wsp:val=&quot;18A46E1B&quot;/&gt;&lt;wsp:rsid wsp:val=&quot;18A72D74&quot;/&gt;&lt;wsp:rsid wsp:val=&quot;18A8690B&quot;/&gt;&lt;wsp:rsid wsp:val=&quot;18A961DF&quot;/&gt;&lt;wsp:rsid wsp:val=&quot;18AA0AF5&quot;/&gt;&lt;wsp:rsid wsp:val=&quot;18AB01A9&quot;/&gt;&lt;wsp:rsid wsp:val=&quot;18AE37F5&quot;/&gt;&lt;wsp:rsid wsp:val=&quot;18AE7C99&quot;/&gt;&lt;wsp:rsid wsp:val=&quot;18AF5EEB&quot;/&gt;&lt;wsp:rsid wsp:val=&quot;18B040D7&quot;/&gt;&lt;wsp:rsid wsp:val=&quot;18B11625&quot;/&gt;&lt;wsp:rsid wsp:val=&quot;18B21538&quot;/&gt;&lt;wsp:rsid wsp:val=&quot;18B232E6&quot;/&gt;&lt;wsp:rsid wsp:val=&quot;18B2778A&quot;/&gt;&lt;wsp:rsid wsp:val=&quot;18B27E87&quot;/&gt;&lt;wsp:rsid wsp:val=&quot;18B32A92&quot;/&gt;&lt;wsp:rsid wsp:val=&quot;18B3705E&quot;/&gt;&lt;wsp:rsid wsp:val=&quot;18B43502&quot;/&gt;&lt;wsp:rsid wsp:val=&quot;18B55378&quot;/&gt;&lt;wsp:rsid wsp:val=&quot;18B56FCC&quot;/&gt;&lt;wsp:rsid wsp:val=&quot;18B72869&quot;/&gt;&lt;wsp:rsid wsp:val=&quot;18B77C98&quot;/&gt;&lt;wsp:rsid wsp:val=&quot;18B83CF9&quot;/&gt;&lt;wsp:rsid wsp:val=&quot;18B90B18&quot;/&gt;&lt;wsp:rsid wsp:val=&quot;18BA03EC&quot;/&gt;&lt;wsp:rsid wsp:val=&quot;18BA663E&quot;/&gt;&lt;wsp:rsid wsp:val=&quot;18BB3521&quot;/&gt;&lt;wsp:rsid wsp:val=&quot;18BB7D97&quot;/&gt;&lt;wsp:rsid wsp:val=&quot;18BC23B6&quot;/&gt;&lt;wsp:rsid wsp:val=&quot;18BC4164&quot;/&gt;&lt;wsp:rsid wsp:val=&quot;18BF3C55&quot;/&gt;&lt;wsp:rsid wsp:val=&quot;18BF5A03&quot;/&gt;&lt;wsp:rsid wsp:val=&quot;18C179CD&quot;/&gt;&lt;wsp:rsid wsp:val=&quot;18C2336D&quot;/&gt;&lt;wsp:rsid wsp:val=&quot;18C354F3&quot;/&gt;&lt;wsp:rsid wsp:val=&quot;18C40550&quot;/&gt;&lt;wsp:rsid wsp:val=&quot;18C4126B&quot;/&gt;&lt;wsp:rsid wsp:val=&quot;18C64FE3&quot;/&gt;&lt;wsp:rsid wsp:val=&quot;18C80D5B&quot;/&gt;&lt;wsp:rsid wsp:val=&quot;18C9062F&quot;/&gt;&lt;wsp:rsid wsp:val=&quot;18CA044B&quot;/&gt;&lt;wsp:rsid wsp:val=&quot;18CA610E&quot;/&gt;&lt;wsp:rsid wsp:val=&quot;18CB216F&quot;/&gt;&lt;wsp:rsid wsp:val=&quot;18CB25F9&quot;/&gt;&lt;wsp:rsid wsp:val=&quot;18CD0120&quot;/&gt;&lt;wsp:rsid wsp:val=&quot;18CE3E98&quot;/&gt;&lt;wsp:rsid wsp:val=&quot;18CE5C46&quot;/&gt;&lt;wsp:rsid wsp:val=&quot;18D23988&quot;/&gt;&lt;wsp:rsid wsp:val=&quot;18D3112F&quot;/&gt;&lt;wsp:rsid wsp:val=&quot;18D37686&quot;/&gt;&lt;wsp:rsid wsp:val=&quot;18D45952&quot;/&gt;&lt;wsp:rsid wsp:val=&quot;18D522F3&quot;/&gt;&lt;wsp:rsid wsp:val=&quot;18D53221&quot;/&gt;&lt;wsp:rsid wsp:val=&quot;18D53478&quot;/&gt;&lt;wsp:rsid wsp:val=&quot;18D61623&quot;/&gt;&lt;wsp:rsid wsp:val=&quot;18D86AC4&quot;/&gt;&lt;wsp:rsid wsp:val=&quot;18DA0A8E&quot;/&gt;&lt;wsp:rsid wsp:val=&quot;18DC4807&quot;/&gt;&lt;wsp:rsid wsp:val=&quot;18DD2A01&quot;/&gt;&lt;wsp:rsid wsp:val=&quot;18DE232D&quot;/&gt;&lt;wsp:rsid wsp:val=&quot;18DE48B4&quot;/&gt;&lt;wsp:rsid wsp:val=&quot;18DF42F7&quot;/&gt;&lt;wsp:rsid wsp:val=&quot;18DF7E53&quot;/&gt;&lt;wsp:rsid wsp:val=&quot;18E04FBB&quot;/&gt;&lt;wsp:rsid wsp:val=&quot;18E16C1B&quot;/&gt;&lt;wsp:rsid wsp:val=&quot;18E5190D&quot;/&gt;&lt;wsp:rsid wsp:val=&quot;18E65685&quot;/&gt;&lt;wsp:rsid wsp:val=&quot;18E663F3&quot;/&gt;&lt;wsp:rsid wsp:val=&quot;18E75636&quot;/&gt;&lt;wsp:rsid wsp:val=&quot;18E779FE&quot;/&gt;&lt;wsp:rsid wsp:val=&quot;18E80207&quot;/&gt;&lt;wsp:rsid wsp:val=&quot;18EA1985&quot;/&gt;&lt;wsp:rsid wsp:val=&quot;18EA6F23&quot;/&gt;&lt;wsp:rsid wsp:val=&quot;18EB5994&quot;/&gt;&lt;wsp:rsid wsp:val=&quot;18ED07C2&quot;/&gt;&lt;wsp:rsid wsp:val=&quot;18EE5509&quot;/&gt;&lt;wsp:rsid wsp:val=&quot;18F002B2&quot;/&gt;&lt;wsp:rsid wsp:val=&quot;18F07ABB&quot;/&gt;&lt;wsp:rsid wsp:val=&quot;18F27B86&quot;/&gt;&lt;wsp:rsid wsp:val=&quot;18F356AC&quot;/&gt;&lt;wsp:rsid wsp:val=&quot;18F45B2D&quot;/&gt;&lt;wsp:rsid wsp:val=&quot;18F510CA&quot;/&gt;&lt;wsp:rsid wsp:val=&quot;18F71640&quot;/&gt;&lt;wsp:rsid wsp:val=&quot;18F72176&quot;/&gt;&lt;wsp:rsid wsp:val=&quot;18F733EE&quot;/&gt;&lt;wsp:rsid wsp:val=&quot;18F7519C&quot;/&gt;&lt;wsp:rsid wsp:val=&quot;18F90F15&quot;/&gt;&lt;wsp:rsid wsp:val=&quot;18F953B8&quot;/&gt;&lt;wsp:rsid wsp:val=&quot;18FB4F3C&quot;/&gt;&lt;wsp:rsid wsp:val=&quot;18FF4051&quot;/&gt;&lt;wsp:rsid wsp:val=&quot;19002E2E&quot;/&gt;&lt;wsp:rsid wsp:val=&quot;1901601B&quot;/&gt;&lt;wsp:rsid wsp:val=&quot;19033B41&quot;/&gt;&lt;wsp:rsid wsp:val=&quot;19063631&quot;/&gt;&lt;wsp:rsid wsp:val=&quot;19067AD5&quot;/&gt;&lt;wsp:rsid wsp:val=&quot;19085523&quot;/&gt;&lt;wsp:rsid wsp:val=&quot;190855FC&quot;/&gt;&lt;wsp:rsid wsp:val=&quot;190873AA&quot;/&gt;&lt;wsp:rsid wsp:val=&quot;190B0C48&quot;/&gt;&lt;wsp:rsid wsp:val=&quot;190B50EC&quot;/&gt;&lt;wsp:rsid wsp:val=&quot;190B53C1&quot;/&gt;&lt;wsp:rsid wsp:val=&quot;190D49C0&quot;/&gt;&lt;wsp:rsid wsp:val=&quot;190D7B12&quot;/&gt;&lt;wsp:rsid wsp:val=&quot;190F004F&quot;/&gt;&lt;wsp:rsid wsp:val=&quot;1910625E&quot;/&gt;&lt;wsp:rsid wsp:val=&quot;19124904&quot;/&gt;&lt;wsp:rsid wsp:val=&quot;1912647A&quot;/&gt;&lt;wsp:rsid wsp:val=&quot;19137AFC&quot;/&gt;&lt;wsp:rsid wsp:val=&quot;191436B8&quot;/&gt;&lt;wsp:rsid wsp:val=&quot;19157D18&quot;/&gt;&lt;wsp:rsid wsp:val=&quot;191656D8&quot;/&gt;&lt;wsp:rsid wsp:val=&quot;19172FD4&quot;/&gt;&lt;wsp:rsid wsp:val=&quot;191775ED&quot;/&gt;&lt;wsp:rsid wsp:val=&quot;19184F94&quot;/&gt;&lt;wsp:rsid wsp:val=&quot;19191C06&quot;/&gt;&lt;wsp:rsid wsp:val=&quot;191B532F&quot;/&gt;&lt;wsp:rsid wsp:val=&quot;191C4C03&quot;/&gt;&lt;wsp:rsid wsp:val=&quot;191D6340&quot;/&gt;&lt;wsp:rsid wsp:val=&quot;191E097B&quot;/&gt;&lt;wsp:rsid wsp:val=&quot;191E6BCD&quot;/&gt;&lt;wsp:rsid wsp:val=&quot;191F46F3&quot;/&gt;&lt;wsp:rsid wsp:val=&quot;191F64A1&quot;/&gt;&lt;wsp:rsid wsp:val=&quot;19202945&quot;/&gt;&lt;wsp:rsid wsp:val=&quot;19235F91&quot;/&gt;&lt;wsp:rsid wsp:val=&quot;1926685E&quot;/&gt;&lt;wsp:rsid wsp:val=&quot;19267830&quot;/&gt;&lt;wsp:rsid wsp:val=&quot;192817FA&quot;/&gt;&lt;wsp:rsid wsp:val=&quot;192868B6&quot;/&gt;&lt;wsp:rsid wsp:val=&quot;192936DC&quot;/&gt;&lt;wsp:rsid wsp:val=&quot;192A5572&quot;/&gt;&lt;wsp:rsid wsp:val=&quot;192C753C&quot;/&gt;&lt;wsp:rsid wsp:val=&quot;192C7B6B&quot;/&gt;&lt;wsp:rsid wsp:val=&quot;192D6E10&quot;/&gt;&lt;wsp:rsid wsp:val=&quot;192E7DCB&quot;/&gt;&lt;wsp:rsid wsp:val=&quot;192F2B88&quot;/&gt;&lt;wsp:rsid wsp:val=&quot;193059E0&quot;/&gt;&lt;wsp:rsid wsp:val=&quot;19306900&quot;/&gt;&lt;wsp:rsid wsp:val=&quot;19324FE3&quot;/&gt;&lt;wsp:rsid wsp:val=&quot;19341F4D&quot;/&gt;&lt;wsp:rsid wsp:val=&quot;193472F5&quot;/&gt;&lt;wsp:rsid wsp:val=&quot;19393A07&quot;/&gt;&lt;wsp:rsid wsp:val=&quot;193957B5&quot;/&gt;&lt;wsp:rsid wsp:val=&quot;19397563&quot;/&gt;&lt;wsp:rsid wsp:val=&quot;193A32DB&quot;/&gt;&lt;wsp:rsid wsp:val=&quot;193B3B10&quot;/&gt;&lt;wsp:rsid wsp:val=&quot;193B4AC7&quot;/&gt;&lt;wsp:rsid wsp:val=&quot;193C385F&quot;/&gt;&lt;wsp:rsid wsp:val=&quot;193C52A5&quot;/&gt;&lt;wsp:rsid wsp:val=&quot;193D3D09&quot;/&gt;&lt;wsp:rsid wsp:val=&quot;193E101D&quot;/&gt;&lt;wsp:rsid wsp:val=&quot;193E726F&quot;/&gt;&lt;wsp:rsid wsp:val=&quot;193F21E0&quot;/&gt;&lt;wsp:rsid wsp:val=&quot;194128BC&quot;/&gt;&lt;wsp:rsid wsp:val=&quot;19416F3B&quot;/&gt;&lt;wsp:rsid wsp:val=&quot;1945415A&quot;/&gt;&lt;wsp:rsid wsp:val=&quot;19495E63&quot;/&gt;&lt;wsp:rsid wsp:val=&quot;194A5C14&quot;/&gt;&lt;wsp:rsid wsp:val=&quot;194C3363&quot;/&gt;&lt;wsp:rsid wsp:val=&quot;194E7066&quot;/&gt;&lt;wsp:rsid wsp:val=&quot;194F27F2&quot;/&gt;&lt;wsp:rsid wsp:val=&quot;19510C02&quot;/&gt;&lt;wsp:rsid wsp:val=&quot;19517EAB&quot;/&gt;&lt;wsp:rsid wsp:val=&quot;19520625&quot;/&gt;&lt;wsp:rsid wsp:val=&quot;19550115&quot;/&gt;&lt;wsp:rsid wsp:val=&quot;19575C3B&quot;/&gt;&lt;wsp:rsid wsp:val=&quot;195959D3&quot;/&gt;&lt;wsp:rsid wsp:val=&quot;195B1BCF&quot;/&gt;&lt;wsp:rsid wsp:val=&quot;19616ABA&quot;/&gt;&lt;wsp:rsid wsp:val=&quot;19632832&quot;/&gt;&lt;wsp:rsid wsp:val=&quot;196565AA&quot;/&gt;&lt;wsp:rsid wsp:val=&quot;19662322&quot;/&gt;&lt;wsp:rsid wsp:val=&quot;196662D8&quot;/&gt;&lt;wsp:rsid wsp:val=&quot;1968609A&quot;/&gt;&lt;wsp:rsid wsp:val=&quot;19687456&quot;/&gt;&lt;wsp:rsid wsp:val=&quot;196A3BC0&quot;/&gt;&lt;wsp:rsid wsp:val=&quot;196B7D6D&quot;/&gt;&lt;wsp:rsid wsp:val=&quot;196D40F1&quot;/&gt;&lt;wsp:rsid wsp:val=&quot;196D545F&quot;/&gt;&lt;wsp:rsid wsp:val=&quot;196F567B&quot;/&gt;&lt;wsp:rsid wsp:val=&quot;1970274F&quot;/&gt;&lt;wsp:rsid wsp:val=&quot;19706CFD&quot;/&gt;&lt;wsp:rsid wsp:val=&quot;19715320&quot;/&gt;&lt;wsp:rsid wsp:val=&quot;19727C40&quot;/&gt;&lt;wsp:rsid wsp:val=&quot;19731ACA&quot;/&gt;&lt;wsp:rsid wsp:val=&quot;19744A3F&quot;/&gt;&lt;wsp:rsid wsp:val=&quot;19770022&quot;/&gt;&lt;wsp:rsid wsp:val=&quot;19783D45&quot;/&gt;&lt;wsp:rsid wsp:val=&quot;19785DEC&quot;/&gt;&lt;wsp:rsid wsp:val=&quot;197902A7&quot;/&gt;&lt;wsp:rsid wsp:val=&quot;19793E03&quot;/&gt;&lt;wsp:rsid wsp:val=&quot;197C38F4&quot;/&gt;&lt;wsp:rsid wsp:val=&quot;197D2182&quot;/&gt;&lt;wsp:rsid wsp:val=&quot;197D7D98&quot;/&gt;&lt;wsp:rsid wsp:val=&quot;197E141A&quot;/&gt;&lt;wsp:rsid wsp:val=&quot;198033E4&quot;/&gt;&lt;wsp:rsid wsp:val=&quot;19805192&quot;/&gt;&lt;wsp:rsid wsp:val=&quot;19813C3F&quot;/&gt;&lt;wsp:rsid wsp:val=&quot;19817847&quot;/&gt;&lt;wsp:rsid wsp:val=&quot;198253AE&quot;/&gt;&lt;wsp:rsid wsp:val=&quot;19831126&quot;/&gt;&lt;wsp:rsid wsp:val=&quot;19836A30&quot;/&gt;&lt;wsp:rsid wsp:val=&quot;19851C18&quot;/&gt;&lt;wsp:rsid wsp:val=&quot;198729C4&quot;/&gt;&lt;wsp:rsid wsp:val=&quot;19874772&quot;/&gt;&lt;wsp:rsid wsp:val=&quot;198804EA&quot;/&gt;&lt;wsp:rsid wsp:val=&quot;19883697&quot;/&gt;&lt;wsp:rsid wsp:val=&quot;198C7FDB&quot;/&gt;&lt;wsp:rsid wsp:val=&quot;1990114D&quot;/&gt;&lt;wsp:rsid wsp:val=&quot;19912269&quot;/&gt;&lt;wsp:rsid wsp:val=&quot;1991739F&quot;/&gt;&lt;wsp:rsid wsp:val=&quot;19921369&quot;/&gt;&lt;wsp:rsid wsp:val=&quot;199221EE&quot;/&gt;&lt;wsp:rsid wsp:val=&quot;19924EC5&quot;/&gt;&lt;wsp:rsid wsp:val=&quot;19940C3D&quot;/&gt;&lt;wsp:rsid wsp:val=&quot;19946E8F&quot;/&gt;&lt;wsp:rsid wsp:val=&quot;199470D8&quot;/&gt;&lt;wsp:rsid wsp:val=&quot;19960E59&quot;/&gt;&lt;wsp:rsid wsp:val=&quot;19977B91&quot;/&gt;&lt;wsp:rsid wsp:val=&quot;19984B48&quot;/&gt;&lt;wsp:rsid wsp:val=&quot;19996254&quot;/&gt;&lt;wsp:rsid wsp:val=&quot;199B042E&quot;/&gt;&lt;wsp:rsid wsp:val=&quot;199B1FCC&quot;/&gt;&lt;wsp:rsid wsp:val=&quot;199E386A&quot;/&gt;&lt;wsp:rsid wsp:val=&quot;199E7D0E&quot;/&gt;&lt;wsp:rsid wsp:val=&quot;19A075E2&quot;/&gt;&lt;wsp:rsid wsp:val=&quot;19A370D2&quot;/&gt;&lt;wsp:rsid wsp:val=&quot;19A40DEF&quot;/&gt;&lt;wsp:rsid wsp:val=&quot;19A5109C&quot;/&gt;&lt;wsp:rsid wsp:val=&quot;19A76BC3&quot;/&gt;&lt;wsp:rsid wsp:val=&quot;19A81450&quot;/&gt;&lt;wsp:rsid wsp:val=&quot;19AA006B&quot;/&gt;&lt;wsp:rsid wsp:val=&quot;19AA220F&quot;/&gt;&lt;wsp:rsid wsp:val=&quot;19AC5F87&quot;/&gt;&lt;wsp:rsid wsp:val=&quot;19AF1F1B&quot;/&gt;&lt;wsp:rsid wsp:val=&quot;19AF3CC9&quot;/&gt;&lt;wsp:rsid wsp:val=&quot;19AF5A77&quot;/&gt;&lt;wsp:rsid wsp:val=&quot;19AF7825&quot;/&gt;&lt;wsp:rsid wsp:val=&quot;19B047FA&quot;/&gt;&lt;wsp:rsid wsp:val=&quot;19B1359D&quot;/&gt;&lt;wsp:rsid wsp:val=&quot;19B250D3&quot;/&gt;&lt;wsp:rsid wsp:val=&quot;19B27315&quot;/&gt;&lt;wsp:rsid wsp:val=&quot;19B412DF&quot;/&gt;&lt;wsp:rsid wsp:val=&quot;19B50E83&quot;/&gt;&lt;wsp:rsid wsp:val=&quot;19B60BB4&quot;/&gt;&lt;wsp:rsid wsp:val=&quot;19BB08C0&quot;/&gt;&lt;wsp:rsid wsp:val=&quot;19BB2369&quot;/&gt;&lt;wsp:rsid wsp:val=&quot;19BB266E&quot;/&gt;&lt;wsp:rsid wsp:val=&quot;19BC1F42&quot;/&gt;&lt;wsp:rsid wsp:val=&quot;19BD0194&quot;/&gt;&lt;wsp:rsid wsp:val=&quot;19BD5AF3&quot;/&gt;&lt;wsp:rsid wsp:val=&quot;19BE3676&quot;/&gt;&lt;wsp:rsid wsp:val=&quot;19BE3F0C&quot;/&gt;&lt;wsp:rsid wsp:val=&quot;19C257AA&quot;/&gt;&lt;wsp:rsid wsp:val=&quot;19C57A9E&quot;/&gt;&lt;wsp:rsid wsp:val=&quot;19C71013&quot;/&gt;&lt;wsp:rsid wsp:val=&quot;19CA28B1&quot;/&gt;&lt;wsp:rsid wsp:val=&quot;19CB6F5A&quot;/&gt;&lt;wsp:rsid wsp:val=&quot;19CC6629&quot;/&gt;&lt;wsp:rsid wsp:val=&quot;19CF1C75&quot;/&gt;&lt;wsp:rsid wsp:val=&quot;19CF6119&quot;/&gt;&lt;wsp:rsid wsp:val=&quot;19CF7EC7&quot;/&gt;&lt;wsp:rsid wsp:val=&quot;19D13C3F&quot;/&gt;&lt;wsp:rsid wsp:val=&quot;19D41982&quot;/&gt;&lt;wsp:rsid wsp:val=&quot;19D56800&quot;/&gt;&lt;wsp:rsid wsp:val=&quot;19D63004&quot;/&gt;&lt;wsp:rsid wsp:val=&quot;19D674A8&quot;/&gt;&lt;wsp:rsid wsp:val=&quot;19D871A5&quot;/&gt;&lt;wsp:rsid wsp:val=&quot;19D90D46&quot;/&gt;&lt;wsp:rsid wsp:val=&quot;19D92AF4&quot;/&gt;&lt;wsp:rsid wsp:val=&quot;19D96F98&quot;/&gt;&lt;wsp:rsid wsp:val=&quot;19DB686C&quot;/&gt;&lt;wsp:rsid wsp:val=&quot;19DC39FE&quot;/&gt;&lt;wsp:rsid wsp:val=&quot;19DD0836&quot;/&gt;&lt;wsp:rsid wsp:val=&quot;19DE635C&quot;/&gt;&lt;wsp:rsid wsp:val=&quot;19DF45AE&quot;/&gt;&lt;wsp:rsid wsp:val=&quot;19E13325&quot;/&gt;&lt;wsp:rsid wsp:val=&quot;19E25344&quot;/&gt;&lt;wsp:rsid wsp:val=&quot;19E25E4D&quot;/&gt;&lt;wsp:rsid wsp:val=&quot;19E27BFB&quot;/&gt;&lt;wsp:rsid wsp:val=&quot;19E32A71&quot;/&gt;&lt;wsp:rsid wsp:val=&quot;19E41021&quot;/&gt;&lt;wsp:rsid wsp:val=&quot;19E41BC5&quot;/&gt;&lt;wsp:rsid wsp:val=&quot;19E44DBE&quot;/&gt;&lt;wsp:rsid wsp:val=&quot;19E46AD2&quot;/&gt;&lt;wsp:rsid wsp:val=&quot;19E716B5&quot;/&gt;&lt;wsp:rsid wsp:val=&quot;19E82D37&quot;/&gt;&lt;wsp:rsid wsp:val=&quot;19E86730&quot;/&gt;&lt;wsp:rsid wsp:val=&quot;19EC0A79&quot;/&gt;&lt;wsp:rsid wsp:val=&quot;19EC2827&quot;/&gt;&lt;wsp:rsid wsp:val=&quot;19ED66F3&quot;/&gt;&lt;wsp:rsid wsp:val=&quot;19F16090&quot;/&gt;&lt;wsp:rsid wsp:val=&quot;19F27994&quot;/&gt;&lt;wsp:rsid wsp:val=&quot;19F33BB6&quot;/&gt;&lt;wsp:rsid wsp:val=&quot;19F45B80&quot;/&gt;&lt;wsp:rsid wsp:val=&quot;19F4792E&quot;/&gt;&lt;wsp:rsid wsp:val=&quot;19F636A6&quot;/&gt;&lt;wsp:rsid wsp:val=&quot;19F960D3&quot;/&gt;&lt;wsp:rsid wsp:val=&quot;19FB2A6A&quot;/&gt;&lt;wsp:rsid wsp:val=&quot;19FC1ACA&quot;/&gt;&lt;wsp:rsid wsp:val=&quot;19FE07AD&quot;/&gt;&lt;wsp:rsid wsp:val=&quot;19FE255B&quot;/&gt;&lt;wsp:rsid wsp:val=&quot;19FF69FF&quot;/&gt;&lt;wsp:rsid wsp:val=&quot;1A02029D&quot;/&gt;&lt;wsp:rsid wsp:val=&quot;1A037B71&quot;/&gt;&lt;wsp:rsid wsp:val=&quot;1A051B3B&quot;/&gt;&lt;wsp:rsid wsp:val=&quot;1A073B05&quot;/&gt;&lt;wsp:rsid wsp:val=&quot;1A085187&quot;/&gt;&lt;wsp:rsid wsp:val=&quot;1A085C57&quot;/&gt;&lt;wsp:rsid wsp:val=&quot;1A09162B&quot;/&gt;&lt;wsp:rsid wsp:val=&quot;1A0A0EFF&quot;/&gt;&lt;wsp:rsid wsp:val=&quot;1A0C2EC9&quot;/&gt;&lt;wsp:rsid wsp:val=&quot;1A0D1571&quot;/&gt;&lt;wsp:rsid wsp:val=&quot;1A0E09F0&quot;/&gt;&lt;wsp:rsid wsp:val=&quot;1A125838&quot;/&gt;&lt;wsp:rsid wsp:val=&quot;1A165AF6&quot;/&gt;&lt;wsp:rsid wsp:val=&quot;1A17021F&quot;/&gt;&lt;wsp:rsid wsp:val=&quot;1A18186E&quot;/&gt;&lt;wsp:rsid wsp:val=&quot;1A1B135F&quot;/&gt;&lt;wsp:rsid wsp:val=&quot;1A1B1771&quot;/&gt;&lt;wsp:rsid wsp:val=&quot;1A1C516C&quot;/&gt;&lt;wsp:rsid wsp:val=&quot;1A1C66C0&quot;/&gt;&lt;wsp:rsid wsp:val=&quot;1A1E6914&quot;/&gt;&lt;wsp:rsid wsp:val=&quot;1A1F2BFD&quot;/&gt;&lt;wsp:rsid wsp:val=&quot;1A202A12&quot;/&gt;&lt;wsp:rsid wsp:val=&quot;1A217544&quot;/&gt;&lt;wsp:rsid wsp:val=&quot;1A246465&quot;/&gt;&lt;wsp:rsid wsp:val=&quot;1A266DE2&quot;/&gt;&lt;wsp:rsid wsp:val=&quot;1A271AB1&quot;/&gt;&lt;wsp:rsid wsp:val=&quot;1A293A7B&quot;/&gt;&lt;wsp:rsid wsp:val=&quot;1A295205&quot;/&gt;&lt;wsp:rsid wsp:val=&quot;1A2975D8&quot;/&gt;&lt;wsp:rsid wsp:val=&quot;1A2A3350&quot;/&gt;&lt;wsp:rsid wsp:val=&quot;1A2A6695&quot;/&gt;&lt;wsp:rsid wsp:val=&quot;1A2E2E40&quot;/&gt;&lt;wsp:rsid wsp:val=&quot;1A304E0A&quot;/&gt;&lt;wsp:rsid wsp:val=&quot;1A32422F&quot;/&gt;&lt;wsp:rsid wsp:val=&quot;1A3466FB&quot;/&gt;&lt;wsp:rsid wsp:val=&quot;1A362486&quot;/&gt;&lt;wsp:rsid wsp:val=&quot;1A380C99&quot;/&gt;&lt;wsp:rsid wsp:val=&quot;1A38596D&quot;/&gt;&lt;wsp:rsid wsp:val=&quot;1A3A17E5&quot;/&gt;&lt;wsp:rsid wsp:val=&quot;1A3A7A37&quot;/&gt;&lt;wsp:rsid wsp:val=&quot;1A3B37AF&quot;/&gt;&lt;wsp:rsid wsp:val=&quot;1A3D12D5&quot;/&gt;&lt;wsp:rsid wsp:val=&quot;1A3F329F&quot;/&gt;&lt;wsp:rsid wsp:val=&quot;1A401FFC&quot;/&gt;&lt;wsp:rsid wsp:val=&quot;1A41004A&quot;/&gt;&lt;wsp:rsid wsp:val=&quot;1A42393B&quot;/&gt;&lt;wsp:rsid wsp:val=&quot;1A424B3D&quot;/&gt;&lt;wsp:rsid wsp:val=&quot;1A444411&quot;/&gt;&lt;wsp:rsid wsp:val=&quot;1A481CA9&quot;/&gt;&lt;wsp:rsid wsp:val=&quot;1A4A57A0&quot;/&gt;&lt;wsp:rsid wsp:val=&quot;1A4C776A&quot;/&gt;&lt;wsp:rsid wsp:val=&quot;1A4D3FBF&quot;/&gt;&lt;wsp:rsid wsp:val=&quot;1A4E703E&quot;/&gt;&lt;wsp:rsid wsp:val=&quot;1A4F6E35&quot;/&gt;&lt;wsp:rsid wsp:val=&quot;1A501008&quot;/&gt;&lt;wsp:rsid wsp:val=&quot;1A501B1F&quot;/&gt;&lt;wsp:rsid wsp:val=&quot;1A50725A&quot;/&gt;&lt;wsp:rsid wsp:val=&quot;1A512F81&quot;/&gt;&lt;wsp:rsid wsp:val=&quot;1A516454&quot;/&gt;&lt;wsp:rsid wsp:val=&quot;1A516B2E&quot;/&gt;&lt;wsp:rsid wsp:val=&quot;1A5403CD&quot;/&gt;&lt;wsp:rsid wsp:val=&quot;1A553D7A&quot;/&gt;&lt;wsp:rsid wsp:val=&quot;1A554870&quot;/&gt;&lt;wsp:rsid wsp:val=&quot;1A55661F&quot;/&gt;&lt;wsp:rsid wsp:val=&quot;1A58610F&quot;/&gt;&lt;wsp:rsid wsp:val=&quot;1A5959E3&quot;/&gt;&lt;wsp:rsid wsp:val=&quot;1A5A3C35&quot;/&gt;&lt;wsp:rsid wsp:val=&quot;1A5B12B0&quot;/&gt;&lt;wsp:rsid wsp:val=&quot;1A5B79AD&quot;/&gt;&lt;wsp:rsid wsp:val=&quot;1A5E7759&quot;/&gt;&lt;wsp:rsid wsp:val=&quot;1A5F749D&quot;/&gt;&lt;wsp:rsid wsp:val=&quot;1A613215&quot;/&gt;&lt;wsp:rsid wsp:val=&quot;1A6152AE&quot;/&gt;&lt;wsp:rsid wsp:val=&quot;1A623519&quot;/&gt;&lt;wsp:rsid wsp:val=&quot;1A624B15&quot;/&gt;&lt;wsp:rsid wsp:val=&quot;1A626F8D&quot;/&gt;&lt;wsp:rsid wsp:val=&quot;1A642D06&quot;/&gt;&lt;wsp:rsid wsp:val=&quot;1A646862&quot;/&gt;&lt;wsp:rsid wsp:val=&quot;1A6525DA&quot;/&gt;&lt;wsp:rsid wsp:val=&quot;1A657CB6&quot;/&gt;&lt;wsp:rsid wsp:val=&quot;1A660A35&quot;/&gt;&lt;wsp:rsid wsp:val=&quot;1A664C6F&quot;/&gt;&lt;wsp:rsid wsp:val=&quot;1A670100&quot;/&gt;&lt;wsp:rsid wsp:val=&quot;1A697AC7&quot;/&gt;&lt;wsp:rsid wsp:val=&quot;1A6A7630&quot;/&gt;&lt;wsp:rsid wsp:val=&quot;1A6B4094&quot;/&gt;&lt;wsp:rsid wsp:val=&quot;1A6B5E42&quot;/&gt;&lt;wsp:rsid wsp:val=&quot;1A6C1BBA&quot;/&gt;&lt;wsp:rsid wsp:val=&quot;1A6C3968&quot;/&gt;&lt;wsp:rsid wsp:val=&quot;1A6E76E0&quot;/&gt;&lt;wsp:rsid wsp:val=&quot;1A705206&quot;/&gt;&lt;wsp:rsid wsp:val=&quot;1A7171D0&quot;/&gt;&lt;wsp:rsid wsp:val=&quot;1A732F49&quot;/&gt;&lt;wsp:rsid wsp:val=&quot;1A736AA5&quot;/&gt;&lt;wsp:rsid wsp:val=&quot;1A745FB8&quot;/&gt;&lt;wsp:rsid wsp:val=&quot;1A75281D&quot;/&gt;&lt;wsp:rsid wsp:val=&quot;1A771E18&quot;/&gt;&lt;wsp:rsid wsp:val=&quot;1A7840BB&quot;/&gt;&lt;wsp:rsid wsp:val=&quot;1A79701D&quot;/&gt;&lt;wsp:rsid wsp:val=&quot;1A7A42D7&quot;/&gt;&lt;wsp:rsid wsp:val=&quot;1A7A7E33&quot;/&gt;&lt;wsp:rsid wsp:val=&quot;1A7D4740&quot;/&gt;&lt;wsp:rsid wsp:val=&quot;1A7F0899&quot;/&gt;&lt;wsp:rsid wsp:val=&quot;1A7F18ED&quot;/&gt;&lt;wsp:rsid wsp:val=&quot;1A7F48BE&quot;/&gt;&lt;wsp:rsid wsp:val=&quot;1A7F5449&quot;/&gt;&lt;wsp:rsid wsp:val=&quot;1A7F7F26&quot;/&gt;&lt;wsp:rsid wsp:val=&quot;1A80748F&quot;/&gt;&lt;wsp:rsid wsp:val=&quot;1A8251FE&quot;/&gt;&lt;wsp:rsid wsp:val=&quot;1A831A43&quot;/&gt;&lt;wsp:rsid wsp:val=&quot;1A845156&quot;/&gt;&lt;wsp:rsid wsp:val=&quot;1A846F04&quot;/&gt;&lt;wsp:rsid wsp:val=&quot;1A8567D8&quot;/&gt;&lt;wsp:rsid wsp:val=&quot;1A862C7C&quot;/&gt;&lt;wsp:rsid wsp:val=&quot;1A872550&quot;/&gt;&lt;wsp:rsid wsp:val=&quot;1A8769F4&quot;/&gt;&lt;wsp:rsid wsp:val=&quot;1A89276C&quot;/&gt;&lt;wsp:rsid wsp:val=&quot;1A8962C8&quot;/&gt;&lt;wsp:rsid wsp:val=&quot;1A8B0838&quot;/&gt;&lt;wsp:rsid wsp:val=&quot;1A8C7B66&quot;/&gt;&lt;wsp:rsid wsp:val=&quot;1A8E7425&quot;/&gt;&lt;wsp:rsid wsp:val=&quot;1A8F5595&quot;/&gt;&lt;wsp:rsid wsp:val=&quot;1A9133CF&quot;/&gt;&lt;wsp:rsid wsp:val=&quot;1A927991&quot;/&gt;&lt;wsp:rsid wsp:val=&quot;1A930EF5&quot;/&gt;&lt;wsp:rsid wsp:val=&quot;1A937147&quot;/&gt;&lt;wsp:rsid wsp:val=&quot;1A945E79&quot;/&gt;&lt;wsp:rsid wsp:val=&quot;1A955654&quot;/&gt;&lt;wsp:rsid wsp:val=&quot;1A9616B5&quot;/&gt;&lt;wsp:rsid wsp:val=&quot;1A974E89&quot;/&gt;&lt;wsp:rsid wsp:val=&quot;1A976C37&quot;/&gt;&lt;wsp:rsid wsp:val=&quot;1A9829AF&quot;/&gt;&lt;wsp:rsid wsp:val=&quot;1A98650B&quot;/&gt;&lt;wsp:rsid wsp:val=&quot;1A99596C&quot;/&gt;&lt;wsp:rsid wsp:val=&quot;1A996BA6&quot;/&gt;&lt;wsp:rsid wsp:val=&quot;1A9A04D5&quot;/&gt;&lt;wsp:rsid wsp:val=&quot;1A9A2283&quot;/&gt;&lt;wsp:rsid wsp:val=&quot;1A9B5DC1&quot;/&gt;&lt;wsp:rsid wsp:val=&quot;1A9B5FFB&quot;/&gt;&lt;wsp:rsid wsp:val=&quot;1A9C424D&quot;/&gt;&lt;wsp:rsid wsp:val=&quot;1A9D6217&quot;/&gt;&lt;wsp:rsid wsp:val=&quot;1A9D7FC6&quot;/&gt;&lt;wsp:rsid wsp:val=&quot;1A9F3D91&quot;/&gt;&lt;wsp:rsid wsp:val=&quot;1AA44EB0&quot;/&gt;&lt;wsp:rsid wsp:val=&quot;1AA650CC&quot;/&gt;&lt;wsp:rsid wsp:val=&quot;1AA83ACA&quot;/&gt;&lt;wsp:rsid wsp:val=&quot;1AA85116&quot;/&gt;&lt;wsp:rsid wsp:val=&quot;1AA904B4&quot;/&gt;&lt;wsp:rsid wsp:val=&quot;1AA94F5A&quot;/&gt;&lt;wsp:rsid wsp:val=&quot;1AAD45DE&quot;/&gt;&lt;wsp:rsid wsp:val=&quot;1AB23A71&quot;/&gt;&lt;wsp:rsid wsp:val=&quot;1AB31597&quot;/&gt;&lt;wsp:rsid wsp:val=&quot;1AB377E9&quot;/&gt;&lt;wsp:rsid wsp:val=&quot;1AB50B4C&quot;/&gt;&lt;wsp:rsid wsp:val=&quot;1AB53561&quot;/&gt;&lt;wsp:rsid wsp:val=&quot;1AB5530F&quot;/&gt;&lt;wsp:rsid wsp:val=&quot;1AB62E35&quot;/&gt;&lt;wsp:rsid wsp:val=&quot;1AB64BE3&quot;/&gt;&lt;wsp:rsid wsp:val=&quot;1AB772D9&quot;/&gt;&lt;wsp:rsid wsp:val=&quot;1AB8095B&quot;/&gt;&lt;wsp:rsid wsp:val=&quot;1AB86BAD&quot;/&gt;&lt;wsp:rsid wsp:val=&quot;1ABA0AB0&quot;/&gt;&lt;wsp:rsid wsp:val=&quot;1ABA2925&quot;/&gt;&lt;wsp:rsid wsp:val=&quot;1ABA46D4&quot;/&gt;&lt;wsp:rsid wsp:val=&quot;1ABB36ED&quot;/&gt;&lt;wsp:rsid wsp:val=&quot;1ABC044C&quot;/&gt;&lt;wsp:rsid wsp:val=&quot;1ABC3300&quot;/&gt;&lt;wsp:rsid wsp:val=&quot;1ABC669E&quot;/&gt;&lt;wsp:rsid wsp:val=&quot;1ABE2B6C&quot;/&gt;&lt;wsp:rsid wsp:val=&quot;1ABF1CEA&quot;/&gt;&lt;wsp:rsid wsp:val=&quot;1ABF618E&quot;/&gt;&lt;wsp:rsid wsp:val=&quot;1AC1548A&quot;/&gt;&lt;wsp:rsid wsp:val=&quot;1AC15DB2&quot;/&gt;&lt;wsp:rsid wsp:val=&quot;1AC25D02&quot;/&gt;&lt;wsp:rsid wsp:val=&quot;1AC44733&quot;/&gt;&lt;wsp:rsid wsp:val=&quot;1ACB0E78&quot;/&gt;&lt;wsp:rsid wsp:val=&quot;1ACB68E1&quot;/&gt;&lt;wsp:rsid wsp:val=&quot;1ACD08AB&quot;/&gt;&lt;wsp:rsid wsp:val=&quot;1ACE63D1&quot;/&gt;&lt;wsp:rsid wsp:val=&quot;1ACF0052&quot;/&gt;&lt;wsp:rsid wsp:val=&quot;1ACF28C7&quot;/&gt;&lt;wsp:rsid wsp:val=&quot;1AD0039B&quot;/&gt;&lt;wsp:rsid wsp:val=&quot;1AD25EC1&quot;/&gt;&lt;wsp:rsid wsp:val=&quot;1AD27C6F&quot;/&gt;&lt;wsp:rsid wsp:val=&quot;1AD5775F&quot;/&gt;&lt;wsp:rsid wsp:val=&quot;1AD82DAC&quot;/&gt;&lt;wsp:rsid wsp:val=&quot;1AD82DBB&quot;/&gt;&lt;wsp:rsid wsp:val=&quot;1AD87250&quot;/&gt;&lt;wsp:rsid wsp:val=&quot;1ADA0851&quot;/&gt;&lt;wsp:rsid wsp:val=&quot;1ADB7DE9&quot;/&gt;&lt;wsp:rsid wsp:val=&quot;1ADD03C2&quot;/&gt;&lt;wsp:rsid wsp:val=&quot;1ADD6614&quot;/&gt;&lt;wsp:rsid wsp:val=&quot;1ADF0DA0&quot;/&gt;&lt;wsp:rsid wsp:val=&quot;1AE027CB&quot;/&gt;&lt;wsp:rsid wsp:val=&quot;1AE134A6&quot;/&gt;&lt;wsp:rsid wsp:val=&quot;1AE41750&quot;/&gt;&lt;wsp:rsid wsp:val=&quot;1AE42047&quot;/&gt;&lt;wsp:rsid wsp:val=&quot;1AE668CA&quot;/&gt;&lt;wsp:rsid wsp:val=&quot;1AE8445E&quot;/&gt;&lt;wsp:rsid wsp:val=&quot;1AEA223A&quot;/&gt;&lt;wsp:rsid wsp:val=&quot;1AED4AA9&quot;/&gt;&lt;wsp:rsid wsp:val=&quot;1AF000F5&quot;/&gt;&lt;wsp:rsid wsp:val=&quot;1AF04599&quot;/&gt;&lt;wsp:rsid wsp:val=&quot;1AF13E3A&quot;/&gt;&lt;wsp:rsid wsp:val=&quot;1AF220BF&quot;/&gt;&lt;wsp:rsid wsp:val=&quot;1AF23E6D&quot;/&gt;&lt;wsp:rsid wsp:val=&quot;1AF249A6&quot;/&gt;&lt;wsp:rsid wsp:val=&quot;1AF44089&quot;/&gt;&lt;wsp:rsid wsp:val=&quot;1AF53561&quot;/&gt;&lt;wsp:rsid wsp:val=&quot;1AF5395E&quot;/&gt;&lt;wsp:rsid wsp:val=&quot;1AF5570C&quot;/&gt;&lt;wsp:rsid wsp:val=&quot;1AF71484&quot;/&gt;&lt;wsp:rsid wsp:val=&quot;1AF80A52&quot;/&gt;&lt;wsp:rsid wsp:val=&quot;1AF93B85&quot;/&gt;&lt;wsp:rsid wsp:val=&quot;1AF948E2&quot;/&gt;&lt;wsp:rsid wsp:val=&quot;1AFA6E09&quot;/&gt;&lt;wsp:rsid wsp:val=&quot;1AFB691B&quot;/&gt;&lt;wsp:rsid wsp:val=&quot;1AFC1190&quot;/&gt;&lt;wsp:rsid wsp:val=&quot;1AFC4CEC&quot;/&gt;&lt;wsp:rsid wsp:val=&quot;1AFC77B4&quot;/&gt;&lt;wsp:rsid wsp:val=&quot;1AFD0A64&quot;/&gt;&lt;wsp:rsid wsp:val=&quot;1AFD2812&quot;/&gt;&lt;wsp:rsid wsp:val=&quot;1AFD7122&quot;/&gt;&lt;wsp:rsid wsp:val=&quot;1B0167A6&quot;/&gt;&lt;wsp:rsid wsp:val=&quot;1B046F80&quot;/&gt;&lt;wsp:rsid wsp:val=&quot;1B062C5C&quot;/&gt;&lt;wsp:rsid wsp:val=&quot;1B065B6B&quot;/&gt;&lt;wsp:rsid wsp:val=&quot;1B0818E3&quot;/&gt;&lt;wsp:rsid wsp:val=&quot;1B083691&quot;/&gt;&lt;wsp:rsid wsp:val=&quot;1B09565B&quot;/&gt;&lt;wsp:rsid wsp:val=&quot;1B097409&quot;/&gt;&lt;wsp:rsid wsp:val=&quot;1B0D0CA7&quot;/&gt;&lt;wsp:rsid wsp:val=&quot;1B0D6EF9&quot;/&gt;&lt;wsp:rsid wsp:val=&quot;1B0E67CD&quot;/&gt;&lt;wsp:rsid wsp:val=&quot;1B100797&quot;/&gt;&lt;wsp:rsid wsp:val=&quot;1B102545&quot;/&gt;&lt;wsp:rsid wsp:val=&quot;1B122762&quot;/&gt;&lt;wsp:rsid wsp:val=&quot;1B124510&quot;/&gt;&lt;wsp:rsid wsp:val=&quot;1B132036&quot;/&gt;&lt;wsp:rsid wsp:val=&quot;1B13463A&quot;/&gt;&lt;wsp:rsid wsp:val=&quot;1B140288&quot;/&gt;&lt;wsp:rsid wsp:val=&quot;1B1464DA&quot;/&gt;&lt;wsp:rsid wsp:val=&quot;1B164CDF&quot;/&gt;&lt;wsp:rsid wsp:val=&quot;1B171B26&quot;/&gt;&lt;wsp:rsid wsp:val=&quot;1B1738D4&quot;/&gt;&lt;wsp:rsid wsp:val=&quot;1B183A21&quot;/&gt;&lt;wsp:rsid wsp:val=&quot;1B1868FB&quot;/&gt;&lt;wsp:rsid wsp:val=&quot;1B1878E3&quot;/&gt;&lt;wsp:rsid wsp:val=&quot;1B193AF0&quot;/&gt;&lt;wsp:rsid wsp:val=&quot;1B19589E&quot;/&gt;&lt;wsp:rsid wsp:val=&quot;1B1C0EEA&quot;/&gt;&lt;wsp:rsid wsp:val=&quot;1B1C713C&quot;/&gt;&lt;wsp:rsid wsp:val=&quot;1B1D4C62&quot;/&gt;&lt;wsp:rsid wsp:val=&quot;1B1F09DB&quot;/&gt;&lt;wsp:rsid wsp:val=&quot;1B210BF7&quot;/&gt;&lt;wsp:rsid wsp:val=&quot;1B2279AD&quot;/&gt;&lt;wsp:rsid wsp:val=&quot;1B231886&quot;/&gt;&lt;wsp:rsid wsp:val=&quot;1B23671D&quot;/&gt;&lt;wsp:rsid wsp:val=&quot;1B245FF1&quot;/&gt;&lt;wsp:rsid wsp:val=&quot;1B261D69&quot;/&gt;&lt;wsp:rsid wsp:val=&quot;1B283D33&quot;/&gt;&lt;wsp:rsid wsp:val=&quot;1B291859&quot;/&gt;&lt;wsp:rsid wsp:val=&quot;1B2B55D1&quot;/&gt;&lt;wsp:rsid wsp:val=&quot;1B2B737F&quot;/&gt;&lt;wsp:rsid wsp:val=&quot;1B2D1349&quot;/&gt;&lt;wsp:rsid wsp:val=&quot;1B2E0C1E&quot;/&gt;&lt;wsp:rsid wsp:val=&quot;1B2E6E70&quot;/&gt;&lt;wsp:rsid wsp:val=&quot;1B304B82&quot;/&gt;&lt;wsp:rsid wsp:val=&quot;1B3267B5&quot;/&gt;&lt;wsp:rsid wsp:val=&quot;1B3274A2&quot;/&gt;&lt;wsp:rsid wsp:val=&quot;1B34092A&quot;/&gt;&lt;wsp:rsid wsp:val=&quot;1B3426D8&quot;/&gt;&lt;wsp:rsid wsp:val=&quot;1B356450&quot;/&gt;&lt;wsp:rsid wsp:val=&quot;1B3721C8&quot;/&gt;&lt;wsp:rsid wsp:val=&quot;1B3A6618&quot;/&gt;&lt;wsp:rsid wsp:val=&quot;1B3A75C2&quot;/&gt;&lt;wsp:rsid wsp:val=&quot;1B3B1CB8&quot;/&gt;&lt;wsp:rsid wsp:val=&quot;1B3C333B&quot;/&gt;&lt;wsp:rsid wsp:val=&quot;1B3F2E2B&quot;/&gt;&lt;wsp:rsid wsp:val=&quot;1B40161D&quot;/&gt;&lt;wsp:rsid wsp:val=&quot;1B4072CF&quot;/&gt;&lt;wsp:rsid wsp:val=&quot;1B416BA3&quot;/&gt;&lt;wsp:rsid wsp:val=&quot;1B420B0D&quot;/&gt;&lt;wsp:rsid wsp:val=&quot;1B425808&quot;/&gt;&lt;wsp:rsid wsp:val=&quot;1B441859&quot;/&gt;&lt;wsp:rsid wsp:val=&quot;1B446693&quot;/&gt;&lt;wsp:rsid wsp:val=&quot;1B4548E5&quot;/&gt;&lt;wsp:rsid wsp:val=&quot;1B46065D&quot;/&gt;&lt;wsp:rsid wsp:val=&quot;1B460869&quot;/&gt;&lt;wsp:rsid wsp:val=&quot;1B4641B9&quot;/&gt;&lt;wsp:rsid wsp:val=&quot;1B47113D&quot;/&gt;&lt;wsp:rsid wsp:val=&quot;1B486183&quot;/&gt;&lt;wsp:rsid wsp:val=&quot;1B487F31&quot;/&gt;&lt;wsp:rsid wsp:val=&quot;1B4D553A&quot;/&gt;&lt;wsp:rsid wsp:val=&quot;1B4E6A14&quot;/&gt;&lt;wsp:rsid wsp:val=&quot;1B4F12C0&quot;/&gt;&lt;wsp:rsid wsp:val=&quot;1B50328A&quot;/&gt;&lt;wsp:rsid wsp:val=&quot;1B5055FC&quot;/&gt;&lt;wsp:rsid wsp:val=&quot;1B513B85&quot;/&gt;&lt;wsp:rsid wsp:val=&quot;1B5205F1&quot;/&gt;&lt;wsp:rsid wsp:val=&quot;1B527002&quot;/&gt;&lt;wsp:rsid wsp:val=&quot;1B536E34&quot;/&gt;&lt;wsp:rsid wsp:val=&quot;1B54283C&quot;/&gt;&lt;wsp:rsid wsp:val=&quot;1B5508A0&quot;/&gt;&lt;wsp:rsid wsp:val=&quot;1B5763C6&quot;/&gt;&lt;wsp:rsid wsp:val=&quot;1B590390&quot;/&gt;&lt;wsp:rsid wsp:val=&quot;1B5A3299&quot;/&gt;&lt;wsp:rsid wsp:val=&quot;1B5A7C65&quot;/&gt;&lt;wsp:rsid wsp:val=&quot;1B5C270F&quot;/&gt;&lt;wsp:rsid wsp:val=&quot;1B5C578B&quot;/&gt;&lt;wsp:rsid wsp:val=&quot;1B5E7755&quot;/&gt;&lt;wsp:rsid wsp:val=&quot;1B6034CD&quot;/&gt;&lt;wsp:rsid wsp:val=&quot;1B617245&quot;/&gt;&lt;wsp:rsid wsp:val=&quot;1B632FBD&quot;/&gt;&lt;wsp:rsid wsp:val=&quot;1B634D6B&quot;/&gt;&lt;wsp:rsid wsp:val=&quot;1B642891&quot;/&gt;&lt;wsp:rsid wsp:val=&quot;1B656D35&quot;/&gt;&lt;wsp:rsid wsp:val=&quot;1B6606B1&quot;/&gt;&lt;wsp:rsid wsp:val=&quot;1B662AAD&quot;/&gt;&lt;wsp:rsid wsp:val=&quot;1B6B2203&quot;/&gt;&lt;wsp:rsid wsp:val=&quot;1B6B3C20&quot;/&gt;&lt;wsp:rsid wsp:val=&quot;1B6C00C4&quot;/&gt;&lt;wsp:rsid wsp:val=&quot;1B6D06BB&quot;/&gt;&lt;wsp:rsid wsp:val=&quot;1B6D1746&quot;/&gt;&lt;wsp:rsid wsp:val=&quot;1B6D5BEA&quot;/&gt;&lt;wsp:rsid wsp:val=&quot;1B6E63C8&quot;/&gt;&lt;wsp:rsid wsp:val=&quot;1B7150E0&quot;/&gt;&lt;wsp:rsid wsp:val=&quot;1B740D26&quot;/&gt;&lt;wsp:rsid wsp:val=&quot;1B745043&quot;/&gt;&lt;wsp:rsid wsp:val=&quot;1B75684C&quot;/&gt;&lt;wsp:rsid wsp:val=&quot;1B7A20B5&quot;/&gt;&lt;wsp:rsid wsp:val=&quot;1B7B0307&quot;/&gt;&lt;wsp:rsid wsp:val=&quot;1B7E3953&quot;/&gt;&lt;wsp:rsid wsp:val=&quot;1B7E7DF7&quot;/&gt;&lt;wsp:rsid wsp:val=&quot;1B803B6F&quot;/&gt;&lt;wsp:rsid wsp:val=&quot;1B80591D&quot;/&gt;&lt;wsp:rsid wsp:val=&quot;1B811695&quot;/&gt;&lt;wsp:rsid wsp:val=&quot;1B821746&quot;/&gt;&lt;wsp:rsid wsp:val=&quot;1B830F69&quot;/&gt;&lt;wsp:rsid wsp:val=&quot;1B8314EE&quot;/&gt;&lt;wsp:rsid wsp:val=&quot;1B83540D&quot;/&gt;&lt;wsp:rsid wsp:val=&quot;1B851185&quot;/&gt;&lt;wsp:rsid wsp:val=&quot;1B886580&quot;/&gt;&lt;wsp:rsid wsp:val=&quot;1B8A679C&quot;/&gt;&lt;wsp:rsid wsp:val=&quot;1B8B6070&quot;/&gt;&lt;wsp:rsid wsp:val=&quot;1B8D003A&quot;/&gt;&lt;wsp:rsid wsp:val=&quot;1B8D1DE8&quot;/&gt;&lt;wsp:rsid wsp:val=&quot;1B903686&quot;/&gt;&lt;wsp:rsid wsp:val=&quot;1B9211AC&quot;/&gt;&lt;wsp:rsid wsp:val=&quot;1B93683E&quot;/&gt;&lt;wsp:rsid wsp:val=&quot;1B940383&quot;/&gt;&lt;wsp:rsid wsp:val=&quot;1B9413C8&quot;/&gt;&lt;wsp:rsid wsp:val=&quot;1B943177&quot;/&gt;&lt;wsp:rsid wsp:val=&quot;1B966EEF&quot;/&gt;&lt;wsp:rsid wsp:val=&quot;1B971F0C&quot;/&gt;&lt;wsp:rsid wsp:val=&quot;1B972C67&quot;/&gt;&lt;wsp:rsid wsp:val=&quot;1B974235&quot;/&gt;&lt;wsp:rsid wsp:val=&quot;1B974A15&quot;/&gt;&lt;wsp:rsid wsp:val=&quot;1B99253B&quot;/&gt;&lt;wsp:rsid wsp:val=&quot;1B9969DF&quot;/&gt;&lt;wsp:rsid wsp:val=&quot;1B997ADF&quot;/&gt;&lt;wsp:rsid wsp:val=&quot;1B9A62B3&quot;/&gt;&lt;wsp:rsid wsp:val=&quot;1B9B2757&quot;/&gt;&lt;wsp:rsid wsp:val=&quot;1B9B4FD0&quot;/&gt;&lt;wsp:rsid wsp:val=&quot;1B9C202B&quot;/&gt;&lt;wsp:rsid wsp:val=&quot;1B9C64CF&quot;/&gt;&lt;wsp:rsid wsp:val=&quot;1B9E2247&quot;/&gt;&lt;wsp:rsid wsp:val=&quot;1B9E5DA3&quot;/&gt;&lt;wsp:rsid wsp:val=&quot;1B9F4DE1&quot;/&gt;&lt;wsp:rsid wsp:val=&quot;1BA07D6D&quot;/&gt;&lt;wsp:rsid wsp:val=&quot;1BA15893&quot;/&gt;&lt;wsp:rsid wsp:val=&quot;1BA16335&quot;/&gt;&lt;wsp:rsid wsp:val=&quot;1BA333BA&quot;/&gt;&lt;wsp:rsid wsp:val=&quot;1BA336A4&quot;/&gt;&lt;wsp:rsid wsp:val=&quot;1BA3785E&quot;/&gt;&lt;wsp:rsid wsp:val=&quot;1BA52394&quot;/&gt;&lt;wsp:rsid wsp:val=&quot;1BA54BF7&quot;/&gt;&lt;wsp:rsid wsp:val=&quot;1BA8306E&quot;/&gt;&lt;wsp:rsid wsp:val=&quot;1BA84E74&quot;/&gt;&lt;wsp:rsid wsp:val=&quot;1BAA4748&quot;/&gt;&lt;wsp:rsid wsp:val=&quot;1BAA7012&quot;/&gt;&lt;wsp:rsid wsp:val=&quot;1BAF7FB0&quot;/&gt;&lt;wsp:rsid wsp:val=&quot;1BB00743&quot;/&gt;&lt;wsp:rsid wsp:val=&quot;1BB05AD7&quot;/&gt;&lt;wsp:rsid wsp:val=&quot;1BB235FD&quot;/&gt;&lt;wsp:rsid wsp:val=&quot;1BB33257&quot;/&gt;&lt;wsp:rsid wsp:val=&quot;1BB43819&quot;/&gt;&lt;wsp:rsid wsp:val=&quot;1BB446E7&quot;/&gt;&lt;wsp:rsid wsp:val=&quot;1BB455C7&quot;/&gt;&lt;wsp:rsid wsp:val=&quot;1BB47375&quot;/&gt;&lt;wsp:rsid wsp:val=&quot;1BB6133F&quot;/&gt;&lt;wsp:rsid wsp:val=&quot;1BB630ED&quot;/&gt;&lt;wsp:rsid wsp:val=&quot;1BB83309&quot;/&gt;&lt;wsp:rsid wsp:val=&quot;1BB83D63&quot;/&gt;&lt;wsp:rsid wsp:val=&quot;1BB9498B&quot;/&gt;&lt;wsp:rsid wsp:val=&quot;1BBB0703&quot;/&gt;&lt;wsp:rsid wsp:val=&quot;1BBC26CD&quot;/&gt;&lt;wsp:rsid wsp:val=&quot;1BC00C8C&quot;/&gt;&lt;wsp:rsid wsp:val=&quot;1BC22CF3&quot;/&gt;&lt;wsp:rsid wsp:val=&quot;1BC33A5C&quot;/&gt;&lt;wsp:rsid wsp:val=&quot;1BC54939&quot;/&gt;&lt;wsp:rsid wsp:val=&quot;1BC6429E&quot;/&gt;&lt;wsp:rsid wsp:val=&quot;1BC7354C&quot;/&gt;&lt;wsp:rsid wsp:val=&quot;1BC81072&quot;/&gt;&lt;wsp:rsid wsp:val=&quot;1BCA4DEA&quot;/&gt;&lt;wsp:rsid wsp:val=&quot;1BCD6688&quot;/&gt;&lt;wsp:rsid wsp:val=&quot;1BCF2401&quot;/&gt;&lt;wsp:rsid wsp:val=&quot;1BCF616F&quot;/&gt;&lt;wsp:rsid wsp:val=&quot;1BD113B1&quot;/&gt;&lt;wsp:rsid wsp:val=&quot;1BD143CB&quot;/&gt;&lt;wsp:rsid wsp:val=&quot;1BD16179&quot;/&gt;&lt;wsp:rsid wsp:val=&quot;1BD51108&quot;/&gt;&lt;wsp:rsid wsp:val=&quot;1BD6378F&quot;/&gt;&lt;wsp:rsid wsp:val=&quot;1BD6553D&quot;/&gt;&lt;wsp:rsid wsp:val=&quot;1BD712B5&quot;/&gt;&lt;wsp:rsid wsp:val=&quot;1BD73063&quot;/&gt;&lt;wsp:rsid wsp:val=&quot;1BD83AE2&quot;/&gt;&lt;wsp:rsid wsp:val=&quot;1BD87507&quot;/&gt;&lt;wsp:rsid wsp:val=&quot;1BDB0DA5&quot;/&gt;&lt;wsp:rsid wsp:val=&quot;1BDB6FF7&quot;/&gt;&lt;wsp:rsid wsp:val=&quot;1BDD2D6F&quot;/&gt;&lt;wsp:rsid wsp:val=&quot;1BDD4B1E&quot;/&gt;&lt;wsp:rsid wsp:val=&quot;1BDE0896&quot;/&gt;&lt;wsp:rsid wsp:val=&quot;1BE0016A&quot;/&gt;&lt;wsp:rsid wsp:val=&quot;1BE0460E&quot;/&gt;&lt;wsp:rsid wsp:val=&quot;1BE063BC&quot;/&gt;&lt;wsp:rsid wsp:val=&quot;1BE27765&quot;/&gt;&lt;wsp:rsid wsp:val=&quot;1BE337C6&quot;/&gt;&lt;wsp:rsid wsp:val=&quot;1BE340FE&quot;/&gt;&lt;wsp:rsid wsp:val=&quot;1BE37C5A&quot;/&gt;&lt;wsp:rsid wsp:val=&quot;1BE50852&quot;/&gt;&lt;wsp:rsid wsp:val=&quot;1BE51C24&quot;/&gt;&lt;wsp:rsid wsp:val=&quot;1BE72645&quot;/&gt;&lt;wsp:rsid wsp:val=&quot;1BE834C2&quot;/&gt;&lt;wsp:rsid wsp:val=&quot;1BEA2D97&quot;/&gt;&lt;wsp:rsid wsp:val=&quot;1BEC4D61&quot;/&gt;&lt;wsp:rsid wsp:val=&quot;1BED0AD9&quot;/&gt;&lt;wsp:rsid wsp:val=&quot;1BED1C9A&quot;/&gt;&lt;wsp:rsid wsp:val=&quot;1BEE6D2B&quot;/&gt;&lt;wsp:rsid wsp:val=&quot;1BEF1D69&quot;/&gt;&lt;wsp:rsid wsp:val=&quot;1BEF65FF&quot;/&gt;&lt;wsp:rsid wsp:val=&quot;1BF12377&quot;/&gt;&lt;wsp:rsid wsp:val=&quot;1BF14125&quot;/&gt;&lt;wsp:rsid wsp:val=&quot;1BF15DCA&quot;/&gt;&lt;wsp:rsid wsp:val=&quot;1BF52663&quot;/&gt;&lt;wsp:rsid wsp:val=&quot;1BF53B0B&quot;/&gt;&lt;wsp:rsid wsp:val=&quot;1BF9122C&quot;/&gt;&lt;wsp:rsid wsp:val=&quot;1BF956CF&quot;/&gt;&lt;wsp:rsid wsp:val=&quot;1BFC644E&quot;/&gt;&lt;wsp:rsid wsp:val=&quot;1BFD51C0&quot;/&gt;&lt;wsp:rsid wsp:val=&quot;1C00442F&quot;/&gt;&lt;wsp:rsid wsp:val=&quot;1C006A5E&quot;/&gt;&lt;wsp:rsid wsp:val=&quot;1C060C5F&quot;/&gt;&lt;wsp:rsid wsp:val=&quot;1C07212D&quot;/&gt;&lt;wsp:rsid wsp:val=&quot;1C07681D&quot;/&gt;&lt;wsp:rsid wsp:val=&quot;1C094526&quot;/&gt;&lt;wsp:rsid wsp:val=&quot;1C0C5403&quot;/&gt;&lt;wsp:rsid wsp:val=&quot;1C0D44A1&quot;/&gt;&lt;wsp:rsid wsp:val=&quot;1C0D4CD7&quot;/&gt;&lt;wsp:rsid wsp:val=&quot;1C0E2F29&quot;/&gt;&lt;wsp:rsid wsp:val=&quot;1C0E52F2&quot;/&gt;&lt;wsp:rsid wsp:val=&quot;1C0F4EF3&quot;/&gt;&lt;wsp:rsid wsp:val=&quot;1C0F6623&quot;/&gt;&lt;wsp:rsid wsp:val=&quot;1C0F7C12&quot;/&gt;&lt;wsp:rsid wsp:val=&quot;1C11391D&quot;/&gt;&lt;wsp:rsid wsp:val=&quot;1C136593&quot;/&gt;&lt;wsp:rsid wsp:val=&quot;1C137840&quot;/&gt;&lt;wsp:rsid wsp:val=&quot;1C142509&quot;/&gt;&lt;wsp:rsid wsp:val=&quot;1C146065&quot;/&gt;&lt;wsp:rsid wsp:val=&quot;1C161DDD&quot;/&gt;&lt;wsp:rsid wsp:val=&quot;1C166281&quot;/&gt;&lt;wsp:rsid wsp:val=&quot;1C1918CE&quot;/&gt;&lt;wsp:rsid wsp:val=&quot;1C19367C&quot;/&gt;&lt;wsp:rsid wsp:val=&quot;1C1979F2&quot;/&gt;&lt;wsp:rsid wsp:val=&quot;1C197B20&quot;/&gt;&lt;wsp:rsid wsp:val=&quot;1C1A5BB7&quot;/&gt;&lt;wsp:rsid wsp:val=&quot;1C1B73F4&quot;/&gt;&lt;wsp:rsid wsp:val=&quot;1C1C4F1A&quot;/&gt;&lt;wsp:rsid wsp:val=&quot;1C1E6EE4&quot;/&gt;&lt;wsp:rsid wsp:val=&quot;1C204A0A&quot;/&gt;&lt;wsp:rsid wsp:val=&quot;1C220782&quot;/&gt;&lt;wsp:rsid wsp:val=&quot;1C255EC7&quot;/&gt;&lt;wsp:rsid wsp:val=&quot;1C27113C&quot;/&gt;&lt;wsp:rsid wsp:val=&quot;1C27223D&quot;/&gt;&lt;wsp:rsid wsp:val=&quot;1C273FEB&quot;/&gt;&lt;wsp:rsid wsp:val=&quot;1C275D99&quot;/&gt;&lt;wsp:rsid wsp:val=&quot;1C275E99&quot;/&gt;&lt;wsp:rsid wsp:val=&quot;1C283220&quot;/&gt;&lt;wsp:rsid wsp:val=&quot;1C2A2BB9&quot;/&gt;&lt;wsp:rsid wsp:val=&quot;1C2B39D2&quot;/&gt;&lt;wsp:rsid wsp:val=&quot;1C2C1F7B&quot;/&gt;&lt;wsp:rsid wsp:val=&quot;1C2D7127&quot;/&gt;&lt;wsp:rsid wsp:val=&quot;1C2F10F1&quot;/&gt;&lt;wsp:rsid wsp:val=&quot;1C2F4C4D&quot;/&gt;&lt;wsp:rsid wsp:val=&quot;1C3109C5&quot;/&gt;&lt;wsp:rsid wsp:val=&quot;1C316C17&quot;/&gt;&lt;wsp:rsid wsp:val=&quot;1C323C9A&quot;/&gt;&lt;wsp:rsid wsp:val=&quot;1C33298F&quot;/&gt;&lt;wsp:rsid wsp:val=&quot;1C3644FE&quot;/&gt;&lt;wsp:rsid wsp:val=&quot;1C365FDC&quot;/&gt;&lt;wsp:rsid wsp:val=&quot;1C381D54&quot;/&gt;&lt;wsp:rsid wsp:val=&quot;1C384DEE&quot;/&gt;&lt;wsp:rsid wsp:val=&quot;1C386E1E&quot;/&gt;&lt;wsp:rsid wsp:val=&quot;1C3B1844&quot;/&gt;&lt;wsp:rsid wsp:val=&quot;1C3B5CE8&quot;/&gt;&lt;wsp:rsid wsp:val=&quot;1C3B7A96&quot;/&gt;&lt;wsp:rsid wsp:val=&quot;1C3E1334&quot;/&gt;&lt;wsp:rsid wsp:val=&quot;1C3F7586&quot;/&gt;&lt;wsp:rsid wsp:val=&quot;1C427076&quot;/&gt;&lt;wsp:rsid wsp:val=&quot;1C44694B&quot;/&gt;&lt;wsp:rsid wsp:val=&quot;1C450915&quot;/&gt;&lt;wsp:rsid wsp:val=&quot;1C452B63&quot;/&gt;&lt;wsp:rsid wsp:val=&quot;1C454471&quot;/&gt;&lt;wsp:rsid wsp:val=&quot;1C493F61&quot;/&gt;&lt;wsp:rsid wsp:val=&quot;1C4A7CD9&quot;/&gt;&lt;wsp:rsid wsp:val=&quot;1C4E1577&quot;/&gt;&lt;wsp:rsid wsp:val=&quot;1C4E77C9&quot;/&gt;&lt;wsp:rsid wsp:val=&quot;1C4F3541&quot;/&gt;&lt;wsp:rsid wsp:val=&quot;1C4F709D&quot;/&gt;&lt;wsp:rsid wsp:val=&quot;1C534DE0&quot;/&gt;&lt;wsp:rsid wsp:val=&quot;1C5365F7&quot;/&gt;&lt;wsp:rsid wsp:val=&quot;1C542906&quot;/&gt;&lt;wsp:rsid wsp:val=&quot;1C550B58&quot;/&gt;&lt;wsp:rsid wsp:val=&quot;1C556925&quot;/&gt;&lt;wsp:rsid wsp:val=&quot;1C5648D0&quot;/&gt;&lt;wsp:rsid wsp:val=&quot;1C56667E&quot;/&gt;&lt;wsp:rsid wsp:val=&quot;1C5841A4&quot;/&gt;&lt;wsp:rsid wsp:val=&quot;1C597898&quot;/&gt;&lt;wsp:rsid wsp:val=&quot;1C597F1C&quot;/&gt;&lt;wsp:rsid wsp:val=&quot;1C5A43C0&quot;/&gt;&lt;wsp:rsid wsp:val=&quot;1C5A616E&quot;/&gt;&lt;wsp:rsid wsp:val=&quot;1C5B1EE6&quot;/&gt;&lt;wsp:rsid wsp:val=&quot;1C5B1F44&quot;/&gt;&lt;wsp:rsid wsp:val=&quot;1C5D5C5E&quot;/&gt;&lt;wsp:rsid wsp:val=&quot;1C5D76A9&quot;/&gt;&lt;wsp:rsid wsp:val=&quot;1C5E7925&quot;/&gt;&lt;wsp:rsid wsp:val=&quot;1C5F3784&quot;/&gt;&lt;wsp:rsid wsp:val=&quot;1C6012AB&quot;/&gt;&lt;wsp:rsid wsp:val=&quot;1C6074FD&quot;/&gt;&lt;wsp:rsid wsp:val=&quot;1C647269&quot;/&gt;&lt;wsp:rsid wsp:val=&quot;1C670E28&quot;/&gt;&lt;wsp:rsid wsp:val=&quot;1C676ADD&quot;/&gt;&lt;wsp:rsid wsp:val=&quot;1C6A081D&quot;/&gt;&lt;wsp:rsid wsp:val=&quot;1C6B037B&quot;/&gt;&lt;wsp:rsid wsp:val=&quot;1C6C40F3&quot;/&gt;&lt;wsp:rsid wsp:val=&quot;1C6C5D0E&quot;/&gt;&lt;wsp:rsid wsp:val=&quot;1C6C5EA1&quot;/&gt;&lt;wsp:rsid wsp:val=&quot;1C6D0A22&quot;/&gt;&lt;wsp:rsid wsp:val=&quot;1C6D36AD&quot;/&gt;&lt;wsp:rsid wsp:val=&quot;1C6D4832&quot;/&gt;&lt;wsp:rsid wsp:val=&quot;1C6E39C8&quot;/&gt;&lt;wsp:rsid wsp:val=&quot;1C71170A&quot;/&gt;&lt;wsp:rsid wsp:val=&quot;1C730FDE&quot;/&gt;&lt;wsp:rsid wsp:val=&quot;1C752FA8&quot;/&gt;&lt;wsp:rsid wsp:val=&quot;1C774686&quot;/&gt;&lt;wsp:rsid wsp:val=&quot;1C7A05BE&quot;/&gt;&lt;wsp:rsid wsp:val=&quot;1C7A37FF&quot;/&gt;&lt;wsp:rsid wsp:val=&quot;1C7B7E93&quot;/&gt;&lt;wsp:rsid wsp:val=&quot;1C7C3B8D&quot;/&gt;&lt;wsp:rsid wsp:val=&quot;1C7D00AF&quot;/&gt;&lt;wsp:rsid wsp:val=&quot;1C7D72F4&quot;/&gt;&lt;wsp:rsid wsp:val=&quot;1C7F3E27&quot;/&gt;&lt;wsp:rsid wsp:val=&quot;1C7F7983&quot;/&gt;&lt;wsp:rsid wsp:val=&quot;1C80194D&quot;/&gt;&lt;wsp:rsid wsp:val=&quot;1C8054A9&quot;/&gt;&lt;wsp:rsid wsp:val=&quot;1C816AA4&quot;/&gt;&lt;wsp:rsid wsp:val=&quot;1C821221&quot;/&gt;&lt;wsp:rsid wsp:val=&quot;1C827473&quot;/&gt;&lt;wsp:rsid wsp:val=&quot;1C844F99&quot;/&gt;&lt;wsp:rsid wsp:val=&quot;1C850D11&quot;/&gt;&lt;wsp:rsid wsp:val=&quot;1C857FF6&quot;/&gt;&lt;wsp:rsid wsp:val=&quot;1C8618D9&quot;/&gt;&lt;wsp:rsid wsp:val=&quot;1C872CDB&quot;/&gt;&lt;wsp:rsid wsp:val=&quot;1C874A89&quot;/&gt;&lt;wsp:rsid wsp:val=&quot;1C876837&quot;/&gt;&lt;wsp:rsid wsp:val=&quot;1C8C3E47&quot;/&gt;&lt;wsp:rsid wsp:val=&quot;1C8E097B&quot;/&gt;&lt;wsp:rsid wsp:val=&quot;1C8E7BC6&quot;/&gt;&lt;wsp:rsid wsp:val=&quot;1C8F060E&quot;/&gt;&lt;wsp:rsid wsp:val=&quot;1C9176B6&quot;/&gt;&lt;wsp:rsid wsp:val=&quot;1C93342E&quot;/&gt;&lt;wsp:rsid wsp:val=&quot;1C9378D2&quot;/&gt;&lt;wsp:rsid wsp:val=&quot;1C9571A6&quot;/&gt;&lt;wsp:rsid wsp:val=&quot;1C964CCC&quot;/&gt;&lt;wsp:rsid wsp:val=&quot;1C980A44&quot;/&gt;&lt;wsp:rsid wsp:val=&quot;1C984EE8&quot;/&gt;&lt;wsp:rsid wsp:val=&quot;1C994D2B&quot;/&gt;&lt;wsp:rsid wsp:val=&quot;1C9A0C60&quot;/&gt;&lt;wsp:rsid wsp:val=&quot;1C9A2A0F&quot;/&gt;&lt;wsp:rsid wsp:val=&quot;1C9A47BD&quot;/&gt;&lt;wsp:rsid wsp:val=&quot;1C9B22E3&quot;/&gt;&lt;wsp:rsid wsp:val=&quot;1C9D24FF&quot;/&gt;&lt;wsp:rsid wsp:val=&quot;1C9D427E&quot;/&gt;&lt;wsp:rsid wsp:val=&quot;1C9F6277&quot;/&gt;&lt;wsp:rsid wsp:val=&quot;1CA078F9&quot;/&gt;&lt;wsp:rsid wsp:val=&quot;1CA1517C&quot;/&gt;&lt;wsp:rsid wsp:val=&quot;1CA27B15&quot;/&gt;&lt;wsp:rsid wsp:val=&quot;1CA4563B&quot;/&gt;&lt;wsp:rsid wsp:val=&quot;1CA53161&quot;/&gt;&lt;wsp:rsid wsp:val=&quot;1CA53783&quot;/&gt;&lt;wsp:rsid wsp:val=&quot;1CA76EDA&quot;/&gt;&lt;wsp:rsid wsp:val=&quot;1CA81C4F&quot;/&gt;&lt;wsp:rsid wsp:val=&quot;1CA90EA4&quot;/&gt;&lt;wsp:rsid wsp:val=&quot;1CAB69CA&quot;/&gt;&lt;wsp:rsid wsp:val=&quot;1CAC44F0&quot;/&gt;&lt;wsp:rsid wsp:val=&quot;1CAD4631&quot;/&gt;&lt;wsp:rsid wsp:val=&quot;1CB02232&quot;/&gt;&lt;wsp:rsid wsp:val=&quot;1CB03FE0&quot;/&gt;&lt;wsp:rsid wsp:val=&quot;1CB05D8E&quot;/&gt;&lt;wsp:rsid wsp:val=&quot;1CB1183E&quot;/&gt;&lt;wsp:rsid wsp:val=&quot;1CB11B06&quot;/&gt;&lt;wsp:rsid wsp:val=&quot;1CB2453F&quot;/&gt;&lt;wsp:rsid wsp:val=&quot;1CB2523B&quot;/&gt;&lt;wsp:rsid wsp:val=&quot;1CB33AD0&quot;/&gt;&lt;wsp:rsid wsp:val=&quot;1CB515F6&quot;/&gt;&lt;wsp:rsid wsp:val=&quot;1CB51673&quot;/&gt;&lt;wsp:rsid wsp:val=&quot;1CB57848&quot;/&gt;&lt;wsp:rsid wsp:val=&quot;1CB80FCF&quot;/&gt;&lt;wsp:rsid wsp:val=&quot;1CB957A5&quot;/&gt;&lt;wsp:rsid wsp:val=&quot;1CBA4413&quot;/&gt;&lt;wsp:rsid wsp:val=&quot;1CBF2475&quot;/&gt;&lt;wsp:rsid wsp:val=&quot;1CBF4223&quot;/&gt;&lt;wsp:rsid wsp:val=&quot;1CC07ED6&quot;/&gt;&lt;wsp:rsid wsp:val=&quot;1CC17F9B&quot;/&gt;&lt;wsp:rsid wsp:val=&quot;1CC253C7&quot;/&gt;&lt;wsp:rsid wsp:val=&quot;1CC41428&quot;/&gt;&lt;wsp:rsid wsp:val=&quot;1CC41839&quot;/&gt;&lt;wsp:rsid wsp:val=&quot;1CC61A56&quot;/&gt;&lt;wsp:rsid wsp:val=&quot;1CC654CE&quot;/&gt;&lt;wsp:rsid wsp:val=&quot;1CC83E0A&quot;/&gt;&lt;wsp:rsid wsp:val=&quot;1CC950A2&quot;/&gt;&lt;wsp:rsid wsp:val=&quot;1CC96E50&quot;/&gt;&lt;wsp:rsid wsp:val=&quot;1CCC1DF1&quot;/&gt;&lt;wsp:rsid wsp:val=&quot;1CCD2C0F&quot;/&gt;&lt;wsp:rsid wsp:val=&quot;1CCE090A&quot;/&gt;&lt;wsp:rsid wsp:val=&quot;1CCE26B8&quot;/&gt;&lt;wsp:rsid wsp:val=&quot;1CCE4466&quot;/&gt;&lt;wsp:rsid wsp:val=&quot;1CD001DE&quot;/&gt;&lt;wsp:rsid wsp:val=&quot;1CD04682&quot;/&gt;&lt;wsp:rsid wsp:val=&quot;1CD16D69&quot;/&gt;&lt;wsp:rsid wsp:val=&quot;1CD221A8&quot;/&gt;&lt;wsp:rsid wsp:val=&quot;1CD35F20&quot;/&gt;&lt;wsp:rsid wsp:val=&quot;1CD37A8D&quot;/&gt;&lt;wsp:rsid wsp:val=&quot;1CD37CCF&quot;/&gt;&lt;wsp:rsid wsp:val=&quot;1CD51C99&quot;/&gt;&lt;wsp:rsid wsp:val=&quot;1CD557F5&quot;/&gt;&lt;wsp:rsid wsp:val=&quot;1CD55AB9&quot;/&gt;&lt;wsp:rsid wsp:val=&quot;1CD72B28&quot;/&gt;&lt;wsp:rsid wsp:val=&quot;1CD75C0A&quot;/&gt;&lt;wsp:rsid wsp:val=&quot;1CD83537&quot;/&gt;&lt;wsp:rsid wsp:val=&quot;1CD852E5&quot;/&gt;&lt;wsp:rsid wsp:val=&quot;1CD87093&quot;/&gt;&lt;wsp:rsid wsp:val=&quot;1CD93B05&quot;/&gt;&lt;wsp:rsid wsp:val=&quot;1CDA105D&quot;/&gt;&lt;wsp:rsid wsp:val=&quot;1CDA621F&quot;/&gt;&lt;wsp:rsid wsp:val=&quot;1CDB6B83&quot;/&gt;&lt;wsp:rsid wsp:val=&quot;1CDD0B4D&quot;/&gt;&lt;wsp:rsid wsp:val=&quot;1CDF48C5&quot;/&gt;&lt;wsp:rsid wsp:val=&quot;1CE04199&quot;/&gt;&lt;wsp:rsid wsp:val=&quot;1CE115DE&quot;/&gt;&lt;wsp:rsid wsp:val=&quot;1CE27F12&quot;/&gt;&lt;wsp:rsid wsp:val=&quot;1CE42ACB&quot;/&gt;&lt;wsp:rsid wsp:val=&quot;1CE43C8A&quot;/&gt;&lt;wsp:rsid wsp:val=&quot;1CE65C54&quot;/&gt;&lt;wsp:rsid wsp:val=&quot;1CE67A02&quot;/&gt;&lt;wsp:rsid wsp:val=&quot;1CE819CC&quot;/&gt;&lt;wsp:rsid wsp:val=&quot;1CEA4227&quot;/&gt;&lt;wsp:rsid wsp:val=&quot;1CEB326A&quot;/&gt;&lt;wsp:rsid wsp:val=&quot;1CEC0D90&quot;/&gt;&lt;wsp:rsid wsp:val=&quot;1CEE2D5A&quot;/&gt;&lt;wsp:rsid wsp:val=&quot;1CEE5B24&quot;/&gt;&lt;wsp:rsid wsp:val=&quot;1CEF181C&quot;/&gt;&lt;wsp:rsid wsp:val=&quot;1CF00880&quot;/&gt;&lt;wsp:rsid wsp:val=&quot;1CF0262F&quot;/&gt;&lt;wsp:rsid wsp:val=&quot;1CF06D28&quot;/&gt;&lt;wsp:rsid wsp:val=&quot;1CF245F9&quot;/&gt;&lt;wsp:rsid wsp:val=&quot;1CF3211F&quot;/&gt;&lt;wsp:rsid wsp:val=&quot;1CF5282B&quot;/&gt;&lt;wsp:rsid wsp:val=&quot;1CF55E97&quot;/&gt;&lt;wsp:rsid wsp:val=&quot;1CF71C0F&quot;/&gt;&lt;wsp:rsid wsp:val=&quot;1CF86BD6&quot;/&gt;&lt;wsp:rsid wsp:val=&quot;1CFA2C37&quot;/&gt;&lt;wsp:rsid wsp:val=&quot;1CFA525B&quot;/&gt;&lt;wsp:rsid wsp:val=&quot;1CFC5AFB&quot;/&gt;&lt;wsp:rsid wsp:val=&quot;1CFD070F&quot;/&gt;&lt;wsp:rsid wsp:val=&quot;1CFD15B8&quot;/&gt;&lt;wsp:rsid wsp:val=&quot;1CFD2F9D&quot;/&gt;&lt;wsp:rsid wsp:val=&quot;1CFD68ED&quot;/&gt;&lt;wsp:rsid wsp:val=&quot;1CFE11EF&quot;/&gt;&lt;wsp:rsid wsp:val=&quot;1CFE2A48&quot;/&gt;&lt;wsp:rsid wsp:val=&quot;1D012A8E&quot;/&gt;&lt;wsp:rsid wsp:val=&quot;1D0205B4&quot;/&gt;&lt;wsp:rsid wsp:val=&quot;1D036806&quot;/&gt;&lt;wsp:rsid wsp:val=&quot;1D061E52&quot;/&gt;&lt;wsp:rsid wsp:val=&quot;1D077978&quot;/&gt;&lt;wsp:rsid wsp:val=&quot;1D08193A&quot;/&gt;&lt;wsp:rsid wsp:val=&quot;1D097B94&quot;/&gt;&lt;wsp:rsid wsp:val=&quot;1D0B1216&quot;/&gt;&lt;wsp:rsid wsp:val=&quot;1D0E6F59&quot;/&gt;&lt;wsp:rsid wsp:val=&quot;1D104A7F&quot;/&gt;&lt;wsp:rsid wsp:val=&quot;1D114FDB&quot;/&gt;&lt;wsp:rsid wsp:val=&quot;1D117987&quot;/&gt;&lt;wsp:rsid wsp:val=&quot;1D120D12&quot;/&gt;&lt;wsp:rsid wsp:val=&quot;1D13456F&quot;/&gt;&lt;wsp:rsid wsp:val=&quot;1D13631D&quot;/&gt;&lt;wsp:rsid wsp:val=&quot;1D1502E7&quot;/&gt;&lt;wsp:rsid wsp:val=&quot;1D1830F8&quot;/&gt;&lt;wsp:rsid wsp:val=&quot;1D18357F&quot;/&gt;&lt;wsp:rsid wsp:val=&quot;1D187DD7&quot;/&gt;&lt;wsp:rsid wsp:val=&quot;1D192221&quot;/&gt;&lt;wsp:rsid wsp:val=&quot;1D1A0B73&quot;/&gt;&lt;wsp:rsid wsp:val=&quot;1D1A58FD&quot;/&gt;&lt;wsp:rsid wsp:val=&quot;1D1C3424&quot;/&gt;&lt;wsp:rsid wsp:val=&quot;1D2106EA&quot;/&gt;&lt;wsp:rsid wsp:val=&quot;1D217272&quot;/&gt;&lt;wsp:rsid wsp:val=&quot;1D24052A&quot;/&gt;&lt;wsp:rsid wsp:val=&quot;1D24677C&quot;/&gt;&lt;wsp:rsid wsp:val=&quot;1D2624F4&quot;/&gt;&lt;wsp:rsid wsp:val=&quot;1D263C41&quot;/&gt;&lt;wsp:rsid wsp:val=&quot;1D271DC8&quot;/&gt;&lt;wsp:rsid wsp:val=&quot;1D274825&quot;/&gt;&lt;wsp:rsid wsp:val=&quot;1D28626C&quot;/&gt;&lt;wsp:rsid wsp:val=&quot;1D295B40&quot;/&gt;&lt;wsp:rsid wsp:val=&quot;1D2B18B9&quot;/&gt;&lt;wsp:rsid wsp:val=&quot;1D2C2E7B&quot;/&gt;&lt;wsp:rsid wsp:val=&quot;1D2D5631&quot;/&gt;&lt;wsp:rsid wsp:val=&quot;1D2E13A9&quot;/&gt;&lt;wsp:rsid wsp:val=&quot;1D2E3157&quot;/&gt;&lt;wsp:rsid wsp:val=&quot;1D2F75FB&quot;/&gt;&lt;wsp:rsid wsp:val=&quot;1D300C7D&quot;/&gt;&lt;wsp:rsid wsp:val=&quot;1D3249F5&quot;/&gt;&lt;wsp:rsid wsp:val=&quot;1D3544E5&quot;/&gt;&lt;wsp:rsid wsp:val=&quot;1D392227&quot;/&gt;&lt;wsp:rsid wsp:val=&quot;1D396BA2&quot;/&gt;&lt;wsp:rsid wsp:val=&quot;1D3A5FA0&quot;/&gt;&lt;wsp:rsid wsp:val=&quot;1D3A7D4E&quot;/&gt;&lt;wsp:rsid wsp:val=&quot;1D3B3B30&quot;/&gt;&lt;wsp:rsid wsp:val=&quot;1D3C5874&quot;/&gt;&lt;wsp:rsid wsp:val=&quot;1D3E15EC&quot;/&gt;&lt;wsp:rsid wsp:val=&quot;1D3F136B&quot;/&gt;&lt;wsp:rsid wsp:val=&quot;1D4104C0&quot;/&gt;&lt;wsp:rsid wsp:val=&quot;1D4110DC&quot;/&gt;&lt;wsp:rsid wsp:val=&quot;1D416EFC&quot;/&gt;&lt;wsp:rsid wsp:val=&quot;1D4330A6&quot;/&gt;&lt;wsp:rsid wsp:val=&quot;1D434E54&quot;/&gt;&lt;wsp:rsid wsp:val=&quot;1D436C02&quot;/&gt;&lt;wsp:rsid wsp:val=&quot;1D44297A&quot;/&gt;&lt;wsp:rsid wsp:val=&quot;1D4604A0&quot;/&gt;&lt;wsp:rsid wsp:val=&quot;1D461FCB&quot;/&gt;&lt;wsp:rsid wsp:val=&quot;1D480B0F&quot;/&gt;&lt;wsp:rsid wsp:val=&quot;1D480D08&quot;/&gt;&lt;wsp:rsid wsp:val=&quot;1D48246B&quot;/&gt;&lt;wsp:rsid wsp:val=&quot;1D484219&quot;/&gt;&lt;wsp:rsid wsp:val=&quot;1D485019&quot;/&gt;&lt;wsp:rsid wsp:val=&quot;1D491D3F&quot;/&gt;&lt;wsp:rsid wsp:val=&quot;1D497BBF&quot;/&gt;&lt;wsp:rsid wsp:val=&quot;1D497F91&quot;/&gt;&lt;wsp:rsid wsp:val=&quot;1D4A0D98&quot;/&gt;&lt;wsp:rsid wsp:val=&quot;1D4D7A81&quot;/&gt;&lt;wsp:rsid wsp:val=&quot;1D4E6DE5&quot;/&gt;&lt;wsp:rsid wsp:val=&quot;1D4F1980&quot;/&gt;&lt;wsp:rsid wsp:val=&quot;1D5021FA&quot;/&gt;&lt;wsp:rsid wsp:val=&quot;1D5030CD&quot;/&gt;&lt;wsp:rsid wsp:val=&quot;1D507571&quot;/&gt;&lt;wsp:rsid wsp:val=&quot;1D5232E9&quot;/&gt;&lt;wsp:rsid wsp:val=&quot;1D525097&quot;/&gt;&lt;wsp:rsid wsp:val=&quot;1D561FAD&quot;/&gt;&lt;wsp:rsid wsp:val=&quot;1D570900&quot;/&gt;&lt;wsp:rsid wsp:val=&quot;1D5726AE&quot;/&gt;&lt;wsp:rsid wsp:val=&quot;1D57445C&quot;/&gt;&lt;wsp:rsid wsp:val=&quot;1D576DEB&quot;/&gt;&lt;wsp:rsid wsp:val=&quot;1D5801D4&quot;/&gt;&lt;wsp:rsid wsp:val=&quot;1D596426&quot;/&gt;&lt;wsp:rsid wsp:val=&quot;1D5A3F4C&quot;/&gt;&lt;wsp:rsid wsp:val=&quot;1D5C7CC4&quot;/&gt;&lt;wsp:rsid wsp:val=&quot;1D5E1C8E&quot;/&gt;&lt;wsp:rsid wsp:val=&quot;1D5E2B76&quot;/&gt;&lt;wsp:rsid wsp:val=&quot;1D5E5D84&quot;/&gt;&lt;wsp:rsid wsp:val=&quot;1D5F4368&quot;/&gt;&lt;wsp:rsid wsp:val=&quot;1D5F5A06&quot;/&gt;&lt;wsp:rsid wsp:val=&quot;1D5F6196&quot;/&gt;&lt;wsp:rsid wsp:val=&quot;1D61177E&quot;/&gt;&lt;wsp:rsid wsp:val=&quot;1D6132A5&quot;/&gt;&lt;wsp:rsid wsp:val=&quot;1D6372A4&quot;/&gt;&lt;wsp:rsid wsp:val=&quot;1D660B43&quot;/&gt;&lt;wsp:rsid wsp:val=&quot;1D664516&quot;/&gt;&lt;wsp:rsid wsp:val=&quot;1D6807F6&quot;/&gt;&lt;wsp:rsid wsp:val=&quot;1D683148&quot;/&gt;&lt;wsp:rsid wsp:val=&quot;1D6923E1&quot;/&gt;&lt;wsp:rsid wsp:val=&quot;1D6E17A5&quot;/&gt;&lt;wsp:rsid wsp:val=&quot;1D6F3E9B&quot;/&gt;&lt;wsp:rsid wsp:val=&quot;1D6F5C49&quot;/&gt;&lt;wsp:rsid wsp:val=&quot;1D725739&quot;/&gt;&lt;wsp:rsid wsp:val=&quot;1D736B1A&quot;/&gt;&lt;wsp:rsid wsp:val=&quot;1D74500E&quot;/&gt;&lt;wsp:rsid wsp:val=&quot;1D766BDC&quot;/&gt;&lt;wsp:rsid wsp:val=&quot;1D772D50&quot;/&gt;&lt;wsp:rsid wsp:val=&quot;1D774AFE&quot;/&gt;&lt;wsp:rsid wsp:val=&quot;1D7814FC&quot;/&gt;&lt;wsp:rsid wsp:val=&quot;1D781D53&quot;/&gt;&lt;wsp:rsid wsp:val=&quot;1D792624&quot;/&gt;&lt;wsp:rsid wsp:val=&quot;1D796AC8&quot;/&gt;&lt;wsp:rsid wsp:val=&quot;1D7E536E&quot;/&gt;&lt;wsp:rsid wsp:val=&quot;1D7E5E8C&quot;/&gt;&lt;wsp:rsid wsp:val=&quot;1D7E7C3A&quot;/&gt;&lt;wsp:rsid wsp:val=&quot;1D7F39B2&quot;/&gt;&lt;wsp:rsid wsp:val=&quot;1D803F2F&quot;/&gt;&lt;wsp:rsid wsp:val=&quot;1D813BCE&quot;/&gt;&lt;wsp:rsid wsp:val=&quot;1D821D5D&quot;/&gt;&lt;wsp:rsid wsp:val=&quot;1D863B00&quot;/&gt;&lt;wsp:rsid wsp:val=&quot;1D866AFD&quot;/&gt;&lt;wsp:rsid wsp:val=&quot;1D882867&quot;/&gt;&lt;wsp:rsid wsp:val=&quot;1D886D0B&quot;/&gt;&lt;wsp:rsid wsp:val=&quot;1D8A2A83&quot;/&gt;&lt;wsp:rsid wsp:val=&quot;1D8B67FB&quot;/&gt;&lt;wsp:rsid wsp:val=&quot;1D8C0E02&quot;/&gt;&lt;wsp:rsid wsp:val=&quot;1D8E3BF5&quot;/&gt;&lt;wsp:rsid wsp:val=&quot;1D8E56D5&quot;/&gt;&lt;wsp:rsid wsp:val=&quot;1D8F62F3&quot;/&gt;&lt;wsp:rsid wsp:val=&quot;1D90619F&quot;/&gt;&lt;wsp:rsid wsp:val=&quot;1D921938&quot;/&gt;&lt;wsp:rsid wsp:val=&quot;1D9236E6&quot;/&gt;&lt;wsp:rsid wsp:val=&quot;1D927B8A&quot;/&gt;&lt;wsp:rsid wsp:val=&quot;1D936104&quot;/&gt;&lt;wsp:rsid wsp:val=&quot;1D94745E&quot;/&gt;&lt;wsp:rsid wsp:val=&quot;1D950C10&quot;/&gt;&lt;wsp:rsid wsp:val=&quot;1D951428&quot;/&gt;&lt;wsp:rsid wsp:val=&quot;1D9531D6&quot;/&gt;&lt;wsp:rsid wsp:val=&quot;1D9838A2&quot;/&gt;&lt;wsp:rsid wsp:val=&quot;1D990F18&quot;/&gt;&lt;wsp:rsid wsp:val=&quot;1D992CC6&quot;/&gt;&lt;wsp:rsid wsp:val=&quot;1D9A259A&quot;/&gt;&lt;wsp:rsid wsp:val=&quot;1D9B4C90&quot;/&gt;&lt;wsp:rsid wsp:val=&quot;1D9B6A3E&quot;/&gt;&lt;wsp:rsid wsp:val=&quot;1D9C4564&quot;/&gt;&lt;wsp:rsid wsp:val=&quot;1D9C6312&quot;/&gt;&lt;wsp:rsid wsp:val=&quot;1D9D14E3&quot;/&gt;&lt;wsp:rsid wsp:val=&quot;1DA04055&quot;/&gt;&lt;wsp:rsid wsp:val=&quot;1DA43419&quot;/&gt;&lt;wsp:rsid wsp:val=&quot;1DA47933&quot;/&gt;&lt;wsp:rsid wsp:val=&quot;1DA533FC&quot;/&gt;&lt;wsp:rsid wsp:val=&quot;1DA653E3&quot;/&gt;&lt;wsp:rsid wsp:val=&quot;1DA76F7C&quot;/&gt;&lt;wsp:rsid wsp:val=&quot;1DA805DB&quot;/&gt;&lt;wsp:rsid wsp:val=&quot;1DAA2EFB&quot;/&gt;&lt;wsp:rsid wsp:val=&quot;1DAD0C58&quot;/&gt;&lt;wsp:rsid wsp:val=&quot;1DAD49C3&quot;/&gt;&lt;wsp:rsid wsp:val=&quot;1DAD6772&quot;/&gt;&lt;wsp:rsid wsp:val=&quot;1DAE5592&quot;/&gt;&lt;wsp:rsid wsp:val=&quot;1DAF6046&quot;/&gt;&lt;wsp:rsid wsp:val=&quot;1DB11ECA&quot;/&gt;&lt;wsp:rsid wsp:val=&quot;1DB33ED5&quot;/&gt;&lt;wsp:rsid wsp:val=&quot;1DB418AE&quot;/&gt;&lt;wsp:rsid wsp:val=&quot;1DB4365C&quot;/&gt;&lt;wsp:rsid wsp:val=&quot;1DB47B00&quot;/&gt;&lt;wsp:rsid wsp:val=&quot;1DB919B0&quot;/&gt;&lt;wsp:rsid wsp:val=&quot;1DB93368&quot;/&gt;&lt;wsp:rsid wsp:val=&quot;1DB96EC4&quot;/&gt;&lt;wsp:rsid wsp:val=&quot;1DBA2C3C&quot;/&gt;&lt;wsp:rsid wsp:val=&quot;1DBB70D0&quot;/&gt;&lt;wsp:rsid wsp:val=&quot;1DBC0763&quot;/&gt;&lt;wsp:rsid wsp:val=&quot;1DBD7BFB&quot;/&gt;&lt;wsp:rsid wsp:val=&quot;1DBE44DB&quot;/&gt;&lt;wsp:rsid wsp:val=&quot;1DC00253&quot;/&gt;&lt;wsp:rsid wsp:val=&quot;1DC05121&quot;/&gt;&lt;wsp:rsid wsp:val=&quot;1DC51D0D&quot;/&gt;&lt;wsp:rsid wsp:val=&quot;1DC615E1&quot;/&gt;&lt;wsp:rsid wsp:val=&quot;1DC6338F&quot;/&gt;&lt;wsp:rsid wsp:val=&quot;1DC75A85&quot;/&gt;&lt;wsp:rsid wsp:val=&quot;1DC85359&quot;/&gt;&lt;wsp:rsid wsp:val=&quot;1DC87107&quot;/&gt;&lt;wsp:rsid wsp:val=&quot;1DC90261&quot;/&gt;&lt;wsp:rsid wsp:val=&quot;1DCB6BF8&quot;/&gt;&lt;wsp:rsid wsp:val=&quot;1DCF493A&quot;/&gt;&lt;wsp:rsid wsp:val=&quot;1DCF66E8&quot;/&gt;&lt;wsp:rsid wsp:val=&quot;1DD12460&quot;/&gt;&lt;wsp:rsid wsp:val=&quot;1DD160A6&quot;/&gt;&lt;wsp:rsid wsp:val=&quot;1DD27F86&quot;/&gt;&lt;wsp:rsid wsp:val=&quot;1DD37047&quot;/&gt;&lt;wsp:rsid wsp:val=&quot;1DD41F50&quot;/&gt;&lt;wsp:rsid wsp:val=&quot;1DD43CFE&quot;/&gt;&lt;wsp:rsid wsp:val=&quot;1DD54528&quot;/&gt;&lt;wsp:rsid wsp:val=&quot;1DD737EE&quot;/&gt;&lt;wsp:rsid wsp:val=&quot;1DD7559C&quot;/&gt;&lt;wsp:rsid wsp:val=&quot;1DD827FE&quot;/&gt;&lt;wsp:rsid wsp:val=&quot;1DD957B9&quot;/&gt;&lt;wsp:rsid wsp:val=&quot;1DDA2343&quot;/&gt;&lt;wsp:rsid wsp:val=&quot;1DDB32DF&quot;/&gt;&lt;wsp:rsid wsp:val=&quot;1DDC0837&quot;/&gt;&lt;wsp:rsid wsp:val=&quot;1DDD0DFF&quot;/&gt;&lt;wsp:rsid wsp:val=&quot;1DDE2DCF&quot;/&gt;&lt;wsp:rsid wsp:val=&quot;1DDE692B&quot;/&gt;&lt;wsp:rsid wsp:val=&quot;1DE06B47&quot;/&gt;&lt;wsp:rsid wsp:val=&quot;1DE101C9&quot;/&gt;&lt;wsp:rsid wsp:val=&quot;1DE1194E&quot;/&gt;&lt;wsp:rsid wsp:val=&quot;1DE1641B&quot;/&gt;&lt;wsp:rsid wsp:val=&quot;1DE426A8&quot;/&gt;&lt;wsp:rsid wsp:val=&quot;1DE5415D&quot;/&gt;&lt;wsp:rsid wsp:val=&quot;1DE57CB9&quot;/&gt;&lt;wsp:rsid wsp:val=&quot;1DE657E0&quot;/&gt;&lt;wsp:rsid wsp:val=&quot;1DE67E68&quot;/&gt;&lt;wsp:rsid wsp:val=&quot;1DE81558&quot;/&gt;&lt;wsp:rsid wsp:val=&quot;1DEA1774&quot;/&gt;&lt;wsp:rsid wsp:val=&quot;1DEA6C4D&quot;/&gt;&lt;wsp:rsid wsp:val=&quot;1DEC54EC&quot;/&gt;&lt;wsp:rsid wsp:val=&quot;1DED3012&quot;/&gt;&lt;wsp:rsid wsp:val=&quot;1DED6B6E&quot;/&gt;&lt;wsp:rsid wsp:val=&quot;1DED6D0F&quot;/&gt;&lt;wsp:rsid wsp:val=&quot;1DF12B02&quot;/&gt;&lt;wsp:rsid wsp:val=&quot;1DF3059A&quot;/&gt;&lt;wsp:rsid wsp:val=&quot;1DF3687A&quot;/&gt;&lt;wsp:rsid wsp:val=&quot;1DF60E56&quot;/&gt;&lt;wsp:rsid wsp:val=&quot;1DF61EC7&quot;/&gt;&lt;wsp:rsid wsp:val=&quot;1DF919B7&quot;/&gt;&lt;wsp:rsid wsp:val=&quot;1DF93765&quot;/&gt;&lt;wsp:rsid wsp:val=&quot;1DF95513&quot;/&gt;&lt;wsp:rsid wsp:val=&quot;1DFB6BCB&quot;/&gt;&lt;wsp:rsid wsp:val=&quot;1DFC5003&quot;/&gt;&lt;wsp:rsid wsp:val=&quot;1DFD2D71&quot;/&gt;&lt;wsp:rsid wsp:val=&quot;1DFE0D7B&quot;/&gt;&lt;wsp:rsid wsp:val=&quot;1DFE6FCD&quot;/&gt;&lt;wsp:rsid wsp:val=&quot;1E002D45&quot;/&gt;&lt;wsp:rsid wsp:val=&quot;1E005185&quot;/&gt;&lt;wsp:rsid wsp:val=&quot;1E013A44&quot;/&gt;&lt;wsp:rsid wsp:val=&quot;1E075E82&quot;/&gt;&lt;wsp:rsid wsp:val=&quot;1E0A3BC4&quot;/&gt;&lt;wsp:rsid wsp:val=&quot;1E0A5972&quot;/&gt;&lt;wsp:rsid wsp:val=&quot;1E0C793C&quot;/&gt;&lt;wsp:rsid wsp:val=&quot;1E0D7210&quot;/&gt;&lt;wsp:rsid wsp:val=&quot;1E0F11DA&quot;/&gt;&lt;wsp:rsid wsp:val=&quot;1E0F160C&quot;/&gt;&lt;wsp:rsid wsp:val=&quot;1E0F4D36&quot;/&gt;&lt;wsp:rsid wsp:val=&quot;1E0F7527&quot;/&gt;&lt;wsp:rsid wsp:val=&quot;1E104D37&quot;/&gt;&lt;wsp:rsid wsp:val=&quot;1E10619E&quot;/&gt;&lt;wsp:rsid wsp:val=&quot;1E114F52&quot;/&gt;&lt;wsp:rsid wsp:val=&quot;1E116D00&quot;/&gt;&lt;wsp:rsid wsp:val=&quot;1E1341FB&quot;/&gt;&lt;wsp:rsid wsp:val=&quot;1E134B83&quot;/&gt;&lt;wsp:rsid wsp:val=&quot;1E14234D&quot;/&gt;&lt;wsp:rsid wsp:val=&quot;1E1467F1&quot;/&gt;&lt;wsp:rsid wsp:val=&quot;1E1627CB&quot;/&gt;&lt;wsp:rsid wsp:val=&quot;1E171E3D&quot;/&gt;&lt;wsp:rsid wsp:val=&quot;1E18008F&quot;/&gt;&lt;wsp:rsid wsp:val=&quot;1E1862E1&quot;/&gt;&lt;wsp:rsid wsp:val=&quot;1E1D56A5&quot;/&gt;&lt;wsp:rsid wsp:val=&quot;1E1E31CB&quot;/&gt;&lt;wsp:rsid wsp:val=&quot;1E1E563D&quot;/&gt;&lt;wsp:rsid wsp:val=&quot;1E1E766F&quot;/&gt;&lt;wsp:rsid wsp:val=&quot;1E205195&quot;/&gt;&lt;wsp:rsid wsp:val=&quot;1E222CBC&quot;/&gt;&lt;wsp:rsid wsp:val=&quot;1E2527AC&quot;/&gt;&lt;wsp:rsid wsp:val=&quot;1E25455A&quot;/&gt;&lt;wsp:rsid wsp:val=&quot;1E27575F&quot;/&gt;&lt;wsp:rsid wsp:val=&quot;1E285DF8&quot;/&gt;&lt;wsp:rsid wsp:val=&quot;1E29229C&quot;/&gt;&lt;wsp:rsid wsp:val=&quot;1E2A1AD4&quot;/&gt;&lt;wsp:rsid wsp:val=&quot;1E2A7DC2&quot;/&gt;&lt;wsp:rsid wsp:val=&quot;1E2C3B3A&quot;/&gt;&lt;wsp:rsid wsp:val=&quot;1E2C7696&quot;/&gt;&lt;wsp:rsid wsp:val=&quot;1E2D1660&quot;/&gt;&lt;wsp:rsid wsp:val=&quot;1E2D41A2&quot;/&gt;&lt;wsp:rsid wsp:val=&quot;1E2D66F3&quot;/&gt;&lt;wsp:rsid wsp:val=&quot;1E2E37DA&quot;/&gt;&lt;wsp:rsid wsp:val=&quot;1E2F7187&quot;/&gt;&lt;wsp:rsid wsp:val=&quot;1E326C77&quot;/&gt;&lt;wsp:rsid wsp:val=&quot;1E334EC9&quot;/&gt;&lt;wsp:rsid wsp:val=&quot;1E340C41&quot;/&gt;&lt;wsp:rsid wsp:val=&quot;1E360515&quot;/&gt;&lt;wsp:rsid wsp:val=&quot;1E365DE2&quot;/&gt;&lt;wsp:rsid wsp:val=&quot;1E390005&quot;/&gt;&lt;wsp:rsid wsp:val=&quot;1E3B1FCF&quot;/&gt;&lt;wsp:rsid wsp:val=&quot;1E3B3D7D&quot;/&gt;&lt;wsp:rsid wsp:val=&quot;1E3E561C&quot;/&gt;&lt;wsp:rsid wsp:val=&quot;1E401394&quot;/&gt;&lt;wsp:rsid wsp:val=&quot;1E42510C&quot;/&gt;&lt;wsp:rsid wsp:val=&quot;1E426EBA&quot;/&gt;&lt;wsp:rsid wsp:val=&quot;1E432C32&quot;/&gt;&lt;wsp:rsid wsp:val=&quot;1E446F12&quot;/&gt;&lt;wsp:rsid wsp:val=&quot;1E4569AA&quot;/&gt;&lt;wsp:rsid wsp:val=&quot;1E474D49&quot;/&gt;&lt;wsp:rsid wsp:val=&quot;1E477A2B&quot;/&gt;&lt;wsp:rsid wsp:val=&quot;1E480375&quot;/&gt;&lt;wsp:rsid wsp:val=&quot;1E496DB9&quot;/&gt;&lt;wsp:rsid wsp:val=&quot;1E4B3A5F&quot;/&gt;&lt;wsp:rsid wsp:val=&quot;1E4C1AE7&quot;/&gt;&lt;wsp:rsid wsp:val=&quot;1E5019FF&quot;/&gt;&lt;wsp:rsid wsp:val=&quot;1E51534F&quot;/&gt;&lt;wsp:rsid wsp:val=&quot;1E522E75&quot;/&gt;&lt;wsp:rsid wsp:val=&quot;1E54477C&quot;/&gt;&lt;wsp:rsid wsp:val=&quot;1E5507DD&quot;/&gt;&lt;wsp:rsid wsp:val=&quot;1E552B5D&quot;/&gt;&lt;wsp:rsid wsp:val=&quot;1E562965&quot;/&gt;&lt;wsp:rsid wsp:val=&quot;1E566E09&quot;/&gt;&lt;wsp:rsid wsp:val=&quot;1E5752B6&quot;/&gt;&lt;wsp:rsid wsp:val=&quot;1E580E02&quot;/&gt;&lt;wsp:rsid wsp:val=&quot;1E592455&quot;/&gt;&lt;wsp:rsid wsp:val=&quot;1E5974FD&quot;/&gt;&lt;wsp:rsid wsp:val=&quot;1E5B441F&quot;/&gt;&lt;wsp:rsid wsp:val=&quot;1E5B61CE&quot;/&gt;&lt;wsp:rsid wsp:val=&quot;1E5D0198&quot;/&gt;&lt;wsp:rsid wsp:val=&quot;1E5D3CF4&quot;/&gt;&lt;wsp:rsid wsp:val=&quot;1E5E7A6C&quot;/&gt;&lt;wsp:rsid wsp:val=&quot;1E601A36&quot;/&gt;&lt;wsp:rsid wsp:val=&quot;1E603227&quot;/&gt;&lt;wsp:rsid wsp:val=&quot;1E605592&quot;/&gt;&lt;wsp:rsid wsp:val=&quot;1E62130A&quot;/&gt;&lt;wsp:rsid wsp:val=&quot;1E636E30&quot;/&gt;&lt;wsp:rsid wsp:val=&quot;1E676920&quot;/&gt;&lt;wsp:rsid wsp:val=&quot;1E682698&quot;/&gt;&lt;wsp:rsid wsp:val=&quot;1E6908EA&quot;/&gt;&lt;wsp:rsid wsp:val=&quot;1E6A4663&quot;/&gt;&lt;wsp:rsid wsp:val=&quot;1E6C2189&quot;/&gt;&lt;wsp:rsid wsp:val=&quot;1E6C3E2E&quot;/&gt;&lt;wsp:rsid wsp:val=&quot;1E6D79E9&quot;/&gt;&lt;wsp:rsid wsp:val=&quot;1E6E4153&quot;/&gt;&lt;wsp:rsid wsp:val=&quot;1E6F3A27&quot;/&gt;&lt;wsp:rsid wsp:val=&quot;1E71779F&quot;/&gt;&lt;wsp:rsid wsp:val=&quot;1E731769&quot;/&gt;&lt;wsp:rsid wsp:val=&quot;1E733517&quot;/&gt;&lt;wsp:rsid wsp:val=&quot;1E7352C5&quot;/&gt;&lt;wsp:rsid wsp:val=&quot;1E74728F&quot;/&gt;&lt;wsp:rsid wsp:val=&quot;1E757DC6&quot;/&gt;&lt;wsp:rsid wsp:val=&quot;1E763007&quot;/&gt;&lt;wsp:rsid wsp:val=&quot;1E766B63&quot;/&gt;&lt;wsp:rsid wsp:val=&quot;1E7828DC&quot;/&gt;&lt;wsp:rsid wsp:val=&quot;1E7960C6&quot;/&gt;&lt;wsp:rsid wsp:val=&quot;1E796654&quot;/&gt;&lt;wsp:rsid wsp:val=&quot;1E797880&quot;/&gt;&lt;wsp:rsid wsp:val=&quot;1E7A43DA&quot;/&gt;&lt;wsp:rsid wsp:val=&quot;1E7B061E&quot;/&gt;&lt;wsp:rsid wsp:val=&quot;1E7B23CC&quot;/&gt;&lt;wsp:rsid wsp:val=&quot;1E7D4396&quot;/&gt;&lt;wsp:rsid wsp:val=&quot;1E7D7EF2&quot;/&gt;&lt;wsp:rsid wsp:val=&quot;1E7E1EBC&quot;/&gt;&lt;wsp:rsid wsp:val=&quot;1E7E3C6A&quot;/&gt;&lt;wsp:rsid wsp:val=&quot;1E804ED9&quot;/&gt;&lt;wsp:rsid wsp:val=&quot;1E82375A&quot;/&gt;&lt;wsp:rsid wsp:val=&quot;1E827BFE&quot;/&gt;&lt;wsp:rsid wsp:val=&quot;1E845724&quot;/&gt;&lt;wsp:rsid wsp:val=&quot;1E85324A&quot;/&gt;&lt;wsp:rsid wsp:val=&quot;1E860D4B&quot;/&gt;&lt;wsp:rsid wsp:val=&quot;1E870D71&quot;/&gt;&lt;wsp:rsid wsp:val=&quot;1E8A6AB3&quot;/&gt;&lt;wsp:rsid wsp:val=&quot;1E8C282B&quot;/&gt;&lt;wsp:rsid wsp:val=&quot;1E8C347C&quot;/&gt;&lt;wsp:rsid wsp:val=&quot;1E8C45D9&quot;/&gt;&lt;wsp:rsid wsp:val=&quot;1E8C6387&quot;/&gt;&lt;wsp:rsid wsp:val=&quot;1E90231B&quot;/&gt;&lt;wsp:rsid wsp:val=&quot;1E903A10&quot;/&gt;&lt;wsp:rsid wsp:val=&quot;1E9049CE&quot;/&gt;&lt;wsp:rsid wsp:val=&quot;1E911BEF&quot;/&gt;&lt;wsp:rsid wsp:val=&quot;1E915031&quot;/&gt;&lt;wsp:rsid wsp:val=&quot;1E921EBF&quot;/&gt;&lt;wsp:rsid wsp:val=&quot;1E92764B&quot;/&gt;&lt;wsp:rsid wsp:val=&quot;1E933B20&quot;/&gt;&lt;wsp:rsid wsp:val=&quot;1E937715&quot;/&gt;&lt;wsp:rsid wsp:val=&quot;1E9516DF&quot;/&gt;&lt;wsp:rsid wsp:val=&quot;1E957931&quot;/&gt;&lt;wsp:rsid wsp:val=&quot;1E97058F&quot;/&gt;&lt;wsp:rsid wsp:val=&quot;1E972D06&quot;/&gt;&lt;wsp:rsid wsp:val=&quot;1E984D2C&quot;/&gt;&lt;wsp:rsid wsp:val=&quot;1E9D4401&quot;/&gt;&lt;wsp:rsid wsp:val=&quot;1E9F255E&quot;/&gt;&lt;wsp:rsid wsp:val=&quot;1E9F430C&quot;/&gt;&lt;wsp:rsid wsp:val=&quot;1EA01E32&quot;/&gt;&lt;wsp:rsid wsp:val=&quot;1EA23DFC&quot;/&gt;&lt;wsp:rsid wsp:val=&quot;1EA27958&quot;/&gt;&lt;wsp:rsid wsp:val=&quot;1EA30273&quot;/&gt;&lt;wsp:rsid wsp:val=&quot;1EA336D1&quot;/&gt;&lt;wsp:rsid wsp:val=&quot;1EA50C8D&quot;/&gt;&lt;wsp:rsid wsp:val=&quot;1EA5569B&quot;/&gt;&lt;wsp:rsid wsp:val=&quot;1EA71413&quot;/&gt;&lt;wsp:rsid wsp:val=&quot;1EA731C1&quot;/&gt;&lt;wsp:rsid wsp:val=&quot;1EA96F39&quot;/&gt;&lt;wsp:rsid wsp:val=&quot;1EAA1A19&quot;/&gt;&lt;wsp:rsid wsp:val=&quot;1EAA2CB1&quot;/&gt;&lt;wsp:rsid wsp:val=&quot;1EAB0F03&quot;/&gt;&lt;wsp:rsid wsp:val=&quot;1EAC6902&quot;/&gt;&lt;wsp:rsid wsp:val=&quot;1EAD7B17&quot;/&gt;&lt;wsp:rsid wsp:val=&quot;1EAE09F3&quot;/&gt;&lt;wsp:rsid wsp:val=&quot;1EB12291&quot;/&gt;&lt;wsp:rsid wsp:val=&quot;1EB2020D&quot;/&gt;&lt;wsp:rsid wsp:val=&quot;1EB31B66&quot;/&gt;&lt;wsp:rsid wsp:val=&quot;1EB3600A&quot;/&gt;&lt;wsp:rsid wsp:val=&quot;1EB4768C&quot;/&gt;&lt;wsp:rsid wsp:val=&quot;1EB63404&quot;/&gt;&lt;wsp:rsid wsp:val=&quot;1EB83620&quot;/&gt;&lt;wsp:rsid wsp:val=&quot;1EB87F15&quot;/&gt;&lt;wsp:rsid wsp:val=&quot;1EBA7398&quot;/&gt;&lt;wsp:rsid wsp:val=&quot;1EBD0C36&quot;/&gt;&lt;wsp:rsid wsp:val=&quot;1EBD4792&quot;/&gt;&lt;wsp:rsid wsp:val=&quot;1EC00911&quot;/&gt;&lt;wsp:rsid wsp:val=&quot;1EC04283&quot;/&gt;&lt;wsp:rsid wsp:val=&quot;1EC10726&quot;/&gt;&lt;wsp:rsid wsp:val=&quot;1EC41FC5&quot;/&gt;&lt;wsp:rsid wsp:val=&quot;1EC4217D&quot;/&gt;&lt;wsp:rsid wsp:val=&quot;1EC65D3D&quot;/&gt;&lt;wsp:rsid wsp:val=&quot;1EC661DE&quot;/&gt;&lt;wsp:rsid wsp:val=&quot;1EC71AB5&quot;/&gt;&lt;wsp:rsid wsp:val=&quot;1EC75611&quot;/&gt;&lt;wsp:rsid wsp:val=&quot;1EC93137&quot;/&gt;&lt;wsp:rsid wsp:val=&quot;1EC9341E&quot;/&gt;&lt;wsp:rsid wsp:val=&quot;1ECB3353&quot;/&gt;&lt;wsp:rsid wsp:val=&quot;1ECC2C27&quot;/&gt;&lt;wsp:rsid wsp:val=&quot;1ECC70CB&quot;/&gt;&lt;wsp:rsid wsp:val=&quot;1ECE2E43&quot;/&gt;&lt;wsp:rsid wsp:val=&quot;1ECF44C6&quot;/&gt;&lt;wsp:rsid wsp:val=&quot;1ED0096A&quot;/&gt;&lt;wsp:rsid wsp:val=&quot;1ED3045A&quot;/&gt;&lt;wsp:rsid wsp:val=&quot;1ED33FB6&quot;/&gt;&lt;wsp:rsid wsp:val=&quot;1ED41ADC&quot;/&gt;&lt;wsp:rsid wsp:val=&quot;1ED61EF3&quot;/&gt;&lt;wsp:rsid wsp:val=&quot;1ED74A21&quot;/&gt;&lt;wsp:rsid wsp:val=&quot;1ED77C74&quot;/&gt;&lt;wsp:rsid wsp:val=&quot;1EDA01AA&quot;/&gt;&lt;wsp:rsid wsp:val=&quot;1EDA3596&quot;/&gt;&lt;wsp:rsid wsp:val=&quot;1EDD3086&quot;/&gt;&lt;wsp:rsid wsp:val=&quot;1EDD6BE3&quot;/&gt;&lt;wsp:rsid wsp:val=&quot;1EDD7E56&quot;/&gt;&lt;wsp:rsid wsp:val=&quot;1EE066D3&quot;/&gt;&lt;wsp:rsid wsp:val=&quot;1EE2069D&quot;/&gt;&lt;wsp:rsid wsp:val=&quot;1EE272D7&quot;/&gt;&lt;wsp:rsid wsp:val=&quot;1EE44415&quot;/&gt;&lt;wsp:rsid wsp:val=&quot;1EE47F71&quot;/&gt;&lt;wsp:rsid wsp:val=&quot;1EE61F3B&quot;/&gt;&lt;wsp:rsid wsp:val=&quot;1EE73F06&quot;/&gt;&lt;wsp:rsid wsp:val=&quot;1EE91A2B&quot;/&gt;&lt;wsp:rsid wsp:val=&quot;1EEE2B9E&quot;/&gt;&lt;wsp:rsid wsp:val=&quot;1EF04B68&quot;/&gt;&lt;wsp:rsid wsp:val=&quot;1EF328AA&quot;/&gt;&lt;wsp:rsid wsp:val=&quot;1EF33ABA&quot;/&gt;&lt;wsp:rsid wsp:val=&quot;1EF36406&quot;/&gt;&lt;wsp:rsid wsp:val=&quot;1EF65EF6&quot;/&gt;&lt;wsp:rsid wsp:val=&quot;1EF81C6E&quot;/&gt;&lt;wsp:rsid wsp:val=&quot;1EF83A1C&quot;/&gt;&lt;wsp:rsid wsp:val=&quot;1EFA3C38&quot;/&gt;&lt;wsp:rsid wsp:val=&quot;1EFA5547&quot;/&gt;&lt;wsp:rsid wsp:val=&quot;1EFD1033&quot;/&gt;&lt;wsp:rsid wsp:val=&quot;1EFF4DAB&quot;/&gt;&lt;wsp:rsid wsp:val=&quot;1F061F30&quot;/&gt;&lt;wsp:rsid wsp:val=&quot;1F0625DD&quot;/&gt;&lt;wsp:rsid wsp:val=&quot;1F066139&quot;/&gt;&lt;wsp:rsid wsp:val=&quot;1F0711B4&quot;/&gt;&lt;wsp:rsid wsp:val=&quot;1F093E7B&quot;/&gt;&lt;wsp:rsid wsp:val=&quot;1F095C2A&quot;/&gt;&lt;wsp:rsid wsp:val=&quot;1F0B7BF4&quot;/&gt;&lt;wsp:rsid wsp:val=&quot;1F0C1276&quot;/&gt;&lt;wsp:rsid wsp:val=&quot;1F0C2B01&quot;/&gt;&lt;wsp:rsid wsp:val=&quot;1F0E1492&quot;/&gt;&lt;wsp:rsid wsp:val=&quot;1F0E3293&quot;/&gt;&lt;wsp:rsid wsp:val=&quot;1F0E4FEE&quot;/&gt;&lt;wsp:rsid wsp:val=&quot;1F0F399E&quot;/&gt;&lt;wsp:rsid wsp:val=&quot;1F100D66&quot;/&gt;&lt;wsp:rsid wsp:val=&quot;1F120F82&quot;/&gt;&lt;wsp:rsid wsp:val=&quot;1F122D30&quot;/&gt;&lt;wsp:rsid wsp:val=&quot;1F134CFA&quot;/&gt;&lt;wsp:rsid wsp:val=&quot;1F136AA8&quot;/&gt;&lt;wsp:rsid wsp:val=&quot;1F140503&quot;/&gt;&lt;wsp:rsid wsp:val=&quot;1F145347&quot;/&gt;&lt;wsp:rsid wsp:val=&quot;1F153A2A&quot;/&gt;&lt;wsp:rsid wsp:val=&quot;1F170346&quot;/&gt;&lt;wsp:rsid wsp:val=&quot;1F176598&quot;/&gt;&lt;wsp:rsid wsp:val=&quot;1F182311&quot;/&gt;&lt;wsp:rsid wsp:val=&quot;1F1840BF&quot;/&gt;&lt;wsp:rsid wsp:val=&quot;1F1A3993&quot;/&gt;&lt;wsp:rsid wsp:val=&quot;1F204D21&quot;/&gt;&lt;wsp:rsid wsp:val=&quot;1F212F73&quot;/&gt;&lt;wsp:rsid wsp:val=&quot;1F240CB5&quot;/&gt;&lt;wsp:rsid wsp:val=&quot;1F242A63&quot;/&gt;&lt;wsp:rsid wsp:val=&quot;1F247119&quot;/&gt;&lt;wsp:rsid wsp:val=&quot;1F264A2D&quot;/&gt;&lt;wsp:rsid wsp:val=&quot;1F2667DB&quot;/&gt;&lt;wsp:rsid wsp:val=&quot;1F2820C8&quot;/&gt;&lt;wsp:rsid wsp:val=&quot;1F282554&quot;/&gt;&lt;wsp:rsid wsp:val=&quot;1F2A6B51&quot;/&gt;&lt;wsp:rsid wsp:val=&quot;1F2C36C6&quot;/&gt;&lt;wsp:rsid wsp:val=&quot;1F2E5690&quot;/&gt;&lt;wsp:rsid wsp:val=&quot;1F304E58&quot;/&gt;&lt;wsp:rsid wsp:val=&quot;1F330EF8&quot;/&gt;&lt;wsp:rsid wsp:val=&quot;1F376A06&quot;/&gt;&lt;wsp:rsid wsp:val=&quot;1F38392F&quot;/&gt;&lt;wsp:rsid wsp:val=&quot;1F3A2287&quot;/&gt;&lt;wsp:rsid wsp:val=&quot;1F3A5DE3&quot;/&gt;&lt;wsp:rsid wsp:val=&quot;1F3C1B5B&quot;/&gt;&lt;wsp:rsid wsp:val=&quot;1F3C5FFF&quot;/&gt;&lt;wsp:rsid wsp:val=&quot;1F3D3B25&quot;/&gt;&lt;wsp:rsid wsp:val=&quot;1F3E297F&quot;/&gt;&lt;wsp:rsid wsp:val=&quot;1F3F20C1&quot;/&gt;&lt;wsp:rsid wsp:val=&quot;1F3F33F9&quot;/&gt;&lt;wsp:rsid wsp:val=&quot;1F4149E1&quot;/&gt;&lt;wsp:rsid wsp:val=&quot;1F4153C3&quot;/&gt;&lt;wsp:rsid wsp:val=&quot;1F417171&quot;/&gt;&lt;wsp:rsid wsp:val=&quot;1F43738D&quot;/&gt;&lt;wsp:rsid wsp:val=&quot;1F446268&quot;/&gt;&lt;wsp:rsid wsp:val=&quot;1F446C62&quot;/&gt;&lt;wsp:rsid wsp:val=&quot;1F460C2C&quot;/&gt;&lt;wsp:rsid wsp:val=&quot;1F4629DA&quot;/&gt;&lt;wsp:rsid wsp:val=&quot;1F470500&quot;/&gt;&lt;wsp:rsid wsp:val=&quot;1F4849A4&quot;/&gt;&lt;wsp:rsid wsp:val=&quot;1F486752&quot;/&gt;&lt;wsp:rsid wsp:val=&quot;1F49071C&quot;/&gt;&lt;wsp:rsid wsp:val=&quot;1F49312F&quot;/&gt;&lt;wsp:rsid wsp:val=&quot;1F4973AD&quot;/&gt;&lt;wsp:rsid wsp:val=&quot;1F4B4494&quot;/&gt;&lt;wsp:rsid wsp:val=&quot;1F4D1FBA&quot;/&gt;&lt;wsp:rsid wsp:val=&quot;1F4D3D68&quot;/&gt;&lt;wsp:rsid wsp:val=&quot;1F4E7AE0&quot;/&gt;&lt;wsp:rsid wsp:val=&quot;1F501AAA&quot;/&gt;&lt;wsp:rsid wsp:val=&quot;1F503858&quot;/&gt;&lt;wsp:rsid wsp:val=&quot;1F52137F&quot;/&gt;&lt;wsp:rsid wsp:val=&quot;1F525822&quot;/&gt;&lt;wsp:rsid wsp:val=&quot;1F542CAF&quot;/&gt;&lt;wsp:rsid wsp:val=&quot;1F547F21&quot;/&gt;&lt;wsp:rsid wsp:val=&quot;1F550E6F&quot;/&gt;&lt;wsp:rsid wsp:val=&quot;1F572E39&quot;/&gt;&lt;wsp:rsid wsp:val=&quot;1F5823ED&quot;/&gt;&lt;wsp:rsid wsp:val=&quot;1F5B37A4&quot;/&gt;&lt;wsp:rsid wsp:val=&quot;1F5C3FAB&quot;/&gt;&lt;wsp:rsid wsp:val=&quot;1F5D41BA&quot;/&gt;&lt;wsp:rsid wsp:val=&quot;1F5D7D23&quot;/&gt;&lt;wsp:rsid wsp:val=&quot;1F5E5F75&quot;/&gt;&lt;wsp:rsid wsp:val=&quot;1F5F3A9B&quot;/&gt;&lt;wsp:rsid wsp:val=&quot;1F617814&quot;/&gt;&lt;wsp:rsid wsp:val=&quot;1F6414BC&quot;/&gt;&lt;wsp:rsid wsp:val=&quot;1F645556&quot;/&gt;&lt;wsp:rsid wsp:val=&quot;1F646875&quot;/&gt;&lt;wsp:rsid wsp:val=&quot;1F666BD8&quot;/&gt;&lt;wsp:rsid wsp:val=&quot;1F672950&quot;/&gt;&lt;wsp:rsid wsp:val=&quot;1F69491A&quot;/&gt;&lt;wsp:rsid wsp:val=&quot;1F6A69FC&quot;/&gt;&lt;wsp:rsid wsp:val=&quot;1F6C10DE&quot;/&gt;&lt;wsp:rsid wsp:val=&quot;1F6D4E7A&quot;/&gt;&lt;wsp:rsid wsp:val=&quot;1F6D7F66&quot;/&gt;&lt;wsp:rsid wsp:val=&quot;1F6F11A0&quot;/&gt;&lt;wsp:rsid wsp:val=&quot;1F705CA9&quot;/&gt;&lt;wsp:rsid wsp:val=&quot;1F737B21&quot;/&gt;&lt;wsp:rsid wsp:val=&quot;1F75506D&quot;/&gt;&lt;wsp:rsid wsp:val=&quot;1F784B5D&quot;/&gt;&lt;wsp:rsid wsp:val=&quot;1F78690B&quot;/&gt;&lt;wsp:rsid wsp:val=&quot;1F792DAF&quot;/&gt;&lt;wsp:rsid wsp:val=&quot;1F7A08D5&quot;/&gt;&lt;wsp:rsid wsp:val=&quot;1F7A2683&quot;/&gt;&lt;wsp:rsid wsp:val=&quot;1F7A27D4&quot;/&gt;&lt;wsp:rsid wsp:val=&quot;1F7A32FD&quot;/&gt;&lt;wsp:rsid wsp:val=&quot;1F7A36E2&quot;/&gt;&lt;wsp:rsid wsp:val=&quot;1F7C0BD3&quot;/&gt;&lt;wsp:rsid wsp:val=&quot;1F7C1DAA&quot;/&gt;&lt;wsp:rsid wsp:val=&quot;1F7C464D&quot;/&gt;&lt;wsp:rsid wsp:val=&quot;1F7E2174&quot;/&gt;&lt;wsp:rsid wsp:val=&quot;1F7E2E95&quot;/&gt;&lt;wsp:rsid wsp:val=&quot;1F7E6617&quot;/&gt;&lt;wsp:rsid wsp:val=&quot;1F7F2A96&quot;/&gt;&lt;wsp:rsid wsp:val=&quot;1F7F5EEC&quot;/&gt;&lt;wsp:rsid wsp:val=&quot;1F800F8E&quot;/&gt;&lt;wsp:rsid wsp:val=&quot;1F811C64&quot;/&gt;&lt;wsp:rsid wsp:val=&quot;1F8328FD&quot;/&gt;&lt;wsp:rsid wsp:val=&quot;1F833C2E&quot;/&gt;&lt;wsp:rsid wsp:val=&quot;1F83778A&quot;/&gt;&lt;wsp:rsid wsp:val=&quot;1F841754&quot;/&gt;&lt;wsp:rsid wsp:val=&quot;1F8452B0&quot;/&gt;&lt;wsp:rsid wsp:val=&quot;1F86727A&quot;/&gt;&lt;wsp:rsid wsp:val=&quot;1F8B1D63&quot;/&gt;&lt;wsp:rsid wsp:val=&quot;1F8B2AE2&quot;/&gt;&lt;wsp:rsid wsp:val=&quot;1F8B4667&quot;/&gt;&lt;wsp:rsid wsp:val=&quot;1F8B663F&quot;/&gt;&lt;wsp:rsid wsp:val=&quot;1F8D0609&quot;/&gt;&lt;wsp:rsid wsp:val=&quot;1F8F430C&quot;/&gt;&lt;wsp:rsid wsp:val=&quot;1F8F4381&quot;/&gt;&lt;wsp:rsid wsp:val=&quot;1F90634B&quot;/&gt;&lt;wsp:rsid wsp:val=&quot;1F925C1F&quot;/&gt;&lt;wsp:rsid wsp:val=&quot;1F9279CD&quot;/&gt;&lt;wsp:rsid wsp:val=&quot;1F946E5A&quot;/&gt;&lt;wsp:rsid wsp:val=&quot;1F953961&quot;/&gt;&lt;wsp:rsid wsp:val=&quot;1F9574BD&quot;/&gt;&lt;wsp:rsid wsp:val=&quot;1F971487&quot;/&gt;&lt;wsp:rsid wsp:val=&quot;1F9C084C&quot;/&gt;&lt;wsp:rsid wsp:val=&quot;1F9E2816&quot;/&gt;&lt;wsp:rsid wsp:val=&quot;1F9F20EA&quot;/&gt;&lt;wsp:rsid wsp:val=&quot;1FA140B4&quot;/&gt;&lt;wsp:rsid wsp:val=&quot;1FA3607E&quot;/&gt;&lt;wsp:rsid wsp:val=&quot;1FA53BA4&quot;/&gt;&lt;wsp:rsid wsp:val=&quot;1FA828F8&quot;/&gt;&lt;wsp:rsid wsp:val=&quot;1FAA11BB&quot;/&gt;&lt;wsp:rsid wsp:val=&quot;1FAD0CAB&quot;/&gt;&lt;wsp:rsid wsp:val=&quot;1FAF4A23&quot;/&gt;&lt;wsp:rsid wsp:val=&quot;1FB21655&quot;/&gt;&lt;wsp:rsid wsp:val=&quot;1FB21E1D&quot;/&gt;&lt;wsp:rsid wsp:val=&quot;1FB448F7&quot;/&gt;&lt;wsp:rsid wsp:val=&quot;1FB65DB1&quot;/&gt;&lt;wsp:rsid wsp:val=&quot;1FB77434&quot;/&gt;&lt;wsp:rsid wsp:val=&quot;1FB77875&quot;/&gt;&lt;wsp:rsid wsp:val=&quot;1FB976E5&quot;/&gt;&lt;wsp:rsid wsp:val=&quot;1FBB33C8&quot;/&gt;&lt;wsp:rsid wsp:val=&quot;1FBC4DE6&quot;/&gt;&lt;wsp:rsid wsp:val=&quot;1FBE0986&quot;/&gt;&lt;wsp:rsid wsp:val=&quot;1FBE4C66&quot;/&gt;&lt;wsp:rsid wsp:val=&quot;1FBE6A14&quot;/&gt;&lt;wsp:rsid wsp:val=&quot;1FC14756&quot;/&gt;&lt;wsp:rsid wsp:val=&quot;1FC31414&quot;/&gt;&lt;wsp:rsid wsp:val=&quot;1FC3227C&quot;/&gt;&lt;wsp:rsid wsp:val=&quot;1FC55FF4&quot;/&gt;&lt;wsp:rsid wsp:val=&quot;1FC57DA2&quot;/&gt;&lt;wsp:rsid wsp:val=&quot;1FC61D6D&quot;/&gt;&lt;wsp:rsid wsp:val=&quot;1FC81641&quot;/&gt;&lt;wsp:rsid wsp:val=&quot;1FCA53B9&quot;/&gt;&lt;wsp:rsid wsp:val=&quot;1FCF0C21&quot;/&gt;&lt;wsp:rsid wsp:val=&quot;1FCF190A&quot;/&gt;&lt;wsp:rsid wsp:val=&quot;1FCF6E73&quot;/&gt;&lt;wsp:rsid wsp:val=&quot;1FD06747&quot;/&gt;&lt;wsp:rsid wsp:val=&quot;1FD1431F&quot;/&gt;&lt;wsp:rsid wsp:val=&quot;1FD174F6&quot;/&gt;&lt;wsp:rsid wsp:val=&quot;1FD3171B&quot;/&gt;&lt;wsp:rsid wsp:val=&quot;1FD46237&quot;/&gt;&lt;wsp:rsid wsp:val=&quot;1FD5000E&quot;/&gt;&lt;wsp:rsid wsp:val=&quot;1FD5034D&quot;/&gt;&lt;wsp:rsid wsp:val=&quot;1FD53D5E&quot;/&gt;&lt;wsp:rsid wsp:val=&quot;1FD60202&quot;/&gt;&lt;wsp:rsid wsp:val=&quot;1FD87954&quot;/&gt;&lt;wsp:rsid wsp:val=&quot;1FD9384E&quot;/&gt;&lt;wsp:rsid wsp:val=&quot;1FDB383D&quot;/&gt;&lt;wsp:rsid wsp:val=&quot;1FDB75C6&quot;/&gt;&lt;wsp:rsid wsp:val=&quot;1FDC333E&quot;/&gt;&lt;wsp:rsid wsp:val=&quot;1FDC6E9A&quot;/&gt;&lt;wsp:rsid wsp:val=&quot;1FDE0E64&quot;/&gt;&lt;wsp:rsid wsp:val=&quot;1FDE70B6&quot;/&gt;&lt;wsp:rsid wsp:val=&quot;1FDF698A&quot;/&gt;&lt;wsp:rsid wsp:val=&quot;1FE3647B&quot;/&gt;&lt;wsp:rsid wsp:val=&quot;1FE521F3&quot;/&gt;&lt;wsp:rsid wsp:val=&quot;1FE6508C&quot;/&gt;&lt;wsp:rsid wsp:val=&quot;1FE741BD&quot;/&gt;&lt;wsp:rsid wsp:val=&quot;1FE7539E&quot;/&gt;&lt;wsp:rsid wsp:val=&quot;1FE8583F&quot;/&gt;&lt;wsp:rsid wsp:val=&quot;1FED72F9&quot;/&gt;&lt;wsp:rsid wsp:val=&quot;1FEE5E46&quot;/&gt;&lt;wsp:rsid wsp:val=&quot;1FEF4E1F&quot;/&gt;&lt;wsp:rsid wsp:val=&quot;1FF00B97&quot;/&gt;&lt;wsp:rsid wsp:val=&quot;1FF21896&quot;/&gt;&lt;wsp:rsid wsp:val=&quot;1FF40688&quot;/&gt;&lt;wsp:rsid wsp:val=&quot;1FF67686&quot;/&gt;&lt;wsp:rsid wsp:val=&quot;1FF7057B&quot;/&gt;&lt;wsp:rsid wsp:val=&quot;1FF82189&quot;/&gt;&lt;wsp:rsid wsp:val=&quot;1FF93490&quot;/&gt;&lt;wsp:rsid wsp:val=&quot;1FFD25F1&quot;/&gt;&lt;wsp:rsid wsp:val=&quot;1FFE5062&quot;/&gt;&lt;wsp:rsid wsp:val=&quot;1FFF72A8&quot;/&gt;&lt;wsp:rsid wsp:val=&quot;20000DDB&quot;/&gt;&lt;wsp:rsid wsp:val=&quot;2000527E&quot;/&gt;&lt;wsp:rsid wsp:val=&quot;20016901&quot;/&gt;&lt;wsp:rsid wsp:val=&quot;20032679&quot;/&gt;&lt;wsp:rsid wsp:val=&quot;20036B1D&quot;/&gt;&lt;wsp:rsid wsp:val=&quot;20037379&quot;/&gt;&lt;wsp:rsid wsp:val=&quot;20085EE1&quot;/&gt;&lt;wsp:rsid wsp:val=&quot;200A18C7&quot;/&gt;&lt;wsp:rsid wsp:val=&quot;200A1C59&quot;/&gt;&lt;wsp:rsid wsp:val=&quot;200B777F&quot;/&gt;&lt;wsp:rsid wsp:val=&quot;200C041C&quot;/&gt;&lt;wsp:rsid wsp:val=&quot;200C18AC&quot;/&gt;&lt;wsp:rsid wsp:val=&quot;200F0B71&quot;/&gt;&lt;wsp:rsid wsp:val=&quot;200F101E&quot;/&gt;&lt;wsp:rsid wsp:val=&quot;200F70B2&quot;/&gt;&lt;wsp:rsid wsp:val=&quot;201223C3&quot;/&gt;&lt;wsp:rsid wsp:val=&quot;20144886&quot;/&gt;&lt;wsp:rsid wsp:val=&quot;201523AC&quot;/&gt;&lt;wsp:rsid wsp:val=&quot;20156253&quot;/&gt;&lt;wsp:rsid wsp:val=&quot;20166850&quot;/&gt;&lt;wsp:rsid wsp:val=&quot;2017552F&quot;/&gt;&lt;wsp:rsid wsp:val=&quot;201900EE&quot;/&gt;&lt;wsp:rsid wsp:val=&quot;20192A20&quot;/&gt;&lt;wsp:rsid wsp:val=&quot;201A1264&quot;/&gt;&lt;wsp:rsid wsp:val=&quot;201B7F11&quot;/&gt;&lt;wsp:rsid wsp:val=&quot;201C198C&quot;/&gt;&lt;wsp:rsid wsp:val=&quot;201C373B&quot;/&gt;&lt;wsp:rsid wsp:val=&quot;20210D51&quot;/&gt;&lt;wsp:rsid wsp:val=&quot;2022758D&quot;/&gt;&lt;wsp:rsid wsp:val=&quot;20234AC9&quot;/&gt;&lt;wsp:rsid wsp:val=&quot;2024673D&quot;/&gt;&lt;wsp:rsid wsp:val=&quot;20256A93&quot;/&gt;&lt;wsp:rsid wsp:val=&quot;20270A5D&quot;/&gt;&lt;wsp:rsid wsp:val=&quot;20286583&quot;/&gt;&lt;wsp:rsid wsp:val=&quot;20291B63&quot;/&gt;&lt;wsp:rsid wsp:val=&quot;202B5CA9&quot;/&gt;&lt;wsp:rsid wsp:val=&quot;202C7E22&quot;/&gt;&lt;wsp:rsid wsp:val=&quot;202E07CC&quot;/&gt;&lt;wsp:rsid wsp:val=&quot;202F09E9&quot;/&gt;&lt;wsp:rsid wsp:val=&quot;202F16C0&quot;/&gt;&lt;wsp:rsid wsp:val=&quot;202F346E&quot;/&gt;&lt;wsp:rsid wsp:val=&quot;203171E6&quot;/&gt;&lt;wsp:rsid wsp:val=&quot;20344F28&quot;/&gt;&lt;wsp:rsid wsp:val=&quot;203458FD&quot;/&gt;&lt;wsp:rsid wsp:val=&quot;20356FAB&quot;/&gt;&lt;wsp:rsid wsp:val=&quot;20362A4E&quot;/&gt;&lt;wsp:rsid wsp:val=&quot;20363689&quot;/&gt;&lt;wsp:rsid wsp:val=&quot;203768AC&quot;/&gt;&lt;wsp:rsid wsp:val=&quot;2038066E&quot;/&gt;&lt;wsp:rsid wsp:val=&quot;20384A18&quot;/&gt;&lt;wsp:rsid wsp:val=&quot;203A2555&quot;/&gt;&lt;wsp:rsid wsp:val=&quot;203B0065&quot;/&gt;&lt;wsp:rsid wsp:val=&quot;203C3DDD&quot;/&gt;&lt;wsp:rsid wsp:val=&quot;203C5B8B&quot;/&gt;&lt;wsp:rsid wsp:val=&quot;203C5DBA&quot;/&gt;&lt;wsp:rsid wsp:val=&quot;203F473B&quot;/&gt;&lt;wsp:rsid wsp:val=&quot;203F550C&quot;/&gt;&lt;wsp:rsid wsp:val=&quot;204038CD&quot;/&gt;&lt;wsp:rsid wsp:val=&quot;204131A1&quot;/&gt;&lt;wsp:rsid wsp:val=&quot;20474C5B&quot;/&gt;&lt;wsp:rsid wsp:val=&quot;204A2F8F&quot;/&gt;&lt;wsp:rsid wsp:val=&quot;204C04C4&quot;/&gt;&lt;wsp:rsid wsp:val=&quot;20511636&quot;/&gt;&lt;wsp:rsid wsp:val=&quot;20517888&quot;/&gt;&lt;wsp:rsid wsp:val=&quot;20524514&quot;/&gt;&lt;wsp:rsid wsp:val=&quot;20531852&quot;/&gt;&lt;wsp:rsid wsp:val=&quot;20532B88&quot;/&gt;&lt;wsp:rsid wsp:val=&quot;20536A69&quot;/&gt;&lt;wsp:rsid wsp:val=&quot;205454D1&quot;/&gt;&lt;wsp:rsid wsp:val=&quot;20564103&quot;/&gt;&lt;wsp:rsid wsp:val=&quot;205729C5&quot;/&gt;&lt;wsp:rsid wsp:val=&quot;205904EB&quot;/&gt;&lt;wsp:rsid wsp:val=&quot;205B0707&quot;/&gt;&lt;wsp:rsid wsp:val=&quot;205B24B5&quot;/&gt;&lt;wsp:rsid wsp:val=&quot;205B3F14&quot;/&gt;&lt;wsp:rsid wsp:val=&quot;205D447F&quot;/&gt;&lt;wsp:rsid wsp:val=&quot;205F0ADF&quot;/&gt;&lt;wsp:rsid wsp:val=&quot;20605E29&quot;/&gt;&lt;wsp:rsid wsp:val=&quot;20614072&quot;/&gt;&lt;wsp:rsid wsp:val=&quot;20621A95&quot;/&gt;&lt;wsp:rsid wsp:val=&quot;20623843&quot;/&gt;&lt;wsp:rsid wsp:val=&quot;206334A0&quot;/&gt;&lt;wsp:rsid wsp:val=&quot;2063580D&quot;/&gt;&lt;wsp:rsid wsp:val=&quot;20650234&quot;/&gt;&lt;wsp:rsid wsp:val=&quot;20670E5A&quot;/&gt;&lt;wsp:rsid wsp:val=&quot;20671BE0&quot;/&gt;&lt;wsp:rsid wsp:val=&quot;20686458&quot;/&gt;&lt;wsp:rsid wsp:val=&quot;20686980&quot;/&gt;&lt;wsp:rsid wsp:val=&quot;20692E24&quot;/&gt;&lt;wsp:rsid wsp:val=&quot;206B1AB6&quot;/&gt;&lt;wsp:rsid wsp:val=&quot;206B2BEF&quot;/&gt;&lt;wsp:rsid wsp:val=&quot;206C021E&quot;/&gt;&lt;wsp:rsid wsp:val=&quot;206C2914&quot;/&gt;&lt;wsp:rsid wsp:val=&quot;206C3758&quot;/&gt;&lt;wsp:rsid wsp:val=&quot;206D21E8&quot;/&gt;&lt;wsp:rsid wsp:val=&quot;206D3F96&quot;/&gt;&lt;wsp:rsid wsp:val=&quot;206F381A&quot;/&gt;&lt;wsp:rsid wsp:val=&quot;206F41B2&quot;/&gt;&lt;wsp:rsid wsp:val=&quot;206F5F60&quot;/&gt;&lt;wsp:rsid wsp:val=&quot;2072219B&quot;/&gt;&lt;wsp:rsid wsp:val=&quot;207277FE&quot;/&gt;&lt;wsp:rsid wsp:val=&quot;20743577&quot;/&gt;&lt;wsp:rsid wsp:val=&quot;20745325&quot;/&gt;&lt;wsp:rsid wsp:val=&quot;20752354&quot;/&gt;&lt;wsp:rsid wsp:val=&quot;207672EF&quot;/&gt;&lt;wsp:rsid wsp:val=&quot;2077343C&quot;/&gt;&lt;wsp:rsid wsp:val=&quot;20790B8D&quot;/&gt;&lt;wsp:rsid wsp:val=&quot;20796DDF&quot;/&gt;&lt;wsp:rsid wsp:val=&quot;207B1DBD&quot;/&gt;&lt;wsp:rsid wsp:val=&quot;207C324D&quot;/&gt;&lt;wsp:rsid wsp:val=&quot;207E61A3&quot;/&gt;&lt;wsp:rsid wsp:val=&quot;208337BA&quot;/&gt;&lt;wsp:rsid wsp:val=&quot;208539D6&quot;/&gt;&lt;wsp:rsid wsp:val=&quot;20854C75&quot;/&gt;&lt;wsp:rsid wsp:val=&quot;20857532&quot;/&gt;&lt;wsp:rsid wsp:val=&quot;208741C9&quot;/&gt;&lt;wsp:rsid wsp:val=&quot;20875058&quot;/&gt;&lt;wsp:rsid wsp:val=&quot;208D63E6&quot;/&gt;&lt;wsp:rsid wsp:val=&quot;208F215E&quot;/&gt;&lt;wsp:rsid wsp:val=&quot;208F6602&quot;/&gt;&lt;wsp:rsid wsp:val=&quot;209115D5&quot;/&gt;&lt;wsp:rsid wsp:val=&quot;209314D4&quot;/&gt;&lt;wsp:rsid wsp:val=&quot;20931C4F&quot;/&gt;&lt;wsp:rsid wsp:val=&quot;20942964&quot;/&gt;&lt;wsp:rsid wsp:val=&quot;20943C19&quot;/&gt;&lt;wsp:rsid wsp:val=&quot;20961DB0&quot;/&gt;&lt;wsp:rsid wsp:val=&quot;209634ED&quot;/&gt;&lt;wsp:rsid wsp:val=&quot;20963CB8&quot;/&gt;&lt;wsp:rsid wsp:val=&quot;20971013&quot;/&gt;&lt;wsp:rsid wsp:val=&quot;20977E55&quot;/&gt;&lt;wsp:rsid wsp:val=&quot;2099776D&quot;/&gt;&lt;wsp:rsid wsp:val=&quot;209B6D55&quot;/&gt;&lt;wsp:rsid wsp:val=&quot;209D2ACD&quot;/&gt;&lt;wsp:rsid wsp:val=&quot;209E23A2&quot;/&gt;&lt;wsp:rsid wsp:val=&quot;209E2EE2&quot;/&gt;&lt;wsp:rsid wsp:val=&quot;20A0611A&quot;/&gt;&lt;wsp:rsid wsp:val=&quot;20A42459&quot;/&gt;&lt;wsp:rsid wsp:val=&quot;20A459ED&quot;/&gt;&lt;wsp:rsid wsp:val=&quot;20A52598&quot;/&gt;&lt;wsp:rsid wsp:val=&quot;20A53730&quot;/&gt;&lt;wsp:rsid wsp:val=&quot;20A756FA&quot;/&gt;&lt;wsp:rsid wsp:val=&quot;20A81A1B&quot;/&gt;&lt;wsp:rsid wsp:val=&quot;20A839AB&quot;/&gt;&lt;wsp:rsid wsp:val=&quot;20A976C4&quot;/&gt;&lt;wsp:rsid wsp:val=&quot;20AA343C&quot;/&gt;&lt;wsp:rsid wsp:val=&quot;20AC2D10&quot;/&gt;&lt;wsp:rsid wsp:val=&quot;20AC4ABE&quot;/&gt;&lt;wsp:rsid wsp:val=&quot;20AE6A88&quot;/&gt;&lt;wsp:rsid wsp:val=&quot;20AF1471&quot;/&gt;&lt;wsp:rsid wsp:val=&quot;20B07FB6&quot;/&gt;&lt;wsp:rsid wsp:val=&quot;20B10327&quot;/&gt;&lt;wsp:rsid wsp:val=&quot;20B120D5&quot;/&gt;&lt;wsp:rsid wsp:val=&quot;20B147CB&quot;/&gt;&lt;wsp:rsid wsp:val=&quot;20B16579&quot;/&gt;&lt;wsp:rsid wsp:val=&quot;20B179F6&quot;/&gt;&lt;wsp:rsid wsp:val=&quot;20B3409F&quot;/&gt;&lt;wsp:rsid wsp:val=&quot;20B35E4D&quot;/&gt;&lt;wsp:rsid wsp:val=&quot;20B646FB&quot;/&gt;&lt;wsp:rsid wsp:val=&quot;20B6593D&quot;/&gt;&lt;wsp:rsid wsp:val=&quot;20B816B5&quot;/&gt;&lt;wsp:rsid wsp:val=&quot;20B83463&quot;/&gt;&lt;wsp:rsid wsp:val=&quot;20BB1758&quot;/&gt;&lt;wsp:rsid wsp:val=&quot;20BC06E0&quot;/&gt;&lt;wsp:rsid wsp:val=&quot;20BC72BC&quot;/&gt;&lt;wsp:rsid wsp:val=&quot;20BD316F&quot;/&gt;&lt;wsp:rsid wsp:val=&quot;20BE2A44&quot;/&gt;&lt;wsp:rsid wsp:val=&quot;20C0056A&quot;/&gt;&lt;wsp:rsid wsp:val=&quot;20C130C2&quot;/&gt;&lt;wsp:rsid wsp:val=&quot;20C27BBB&quot;/&gt;&lt;wsp:rsid wsp:val=&quot;20C55B80&quot;/&gt;&lt;wsp:rsid wsp:val=&quot;20C718F8&quot;/&gt;&lt;wsp:rsid wsp:val=&quot;20C77B4A&quot;/&gt;&lt;wsp:rsid wsp:val=&quot;20C80E1E&quot;/&gt;&lt;wsp:rsid wsp:val=&quot;20C91B14&quot;/&gt;&lt;wsp:rsid wsp:val=&quot;20C95670&quot;/&gt;&lt;wsp:rsid wsp:val=&quot;20CA7BDE&quot;/&gt;&lt;wsp:rsid wsp:val=&quot;20CC33B3&quot;/&gt;&lt;wsp:rsid wsp:val=&quot;20CC6F0F&quot;/&gt;&lt;wsp:rsid wsp:val=&quot;20CD5881&quot;/&gt;&lt;wsp:rsid wsp:val=&quot;20CE0ED9&quot;/&gt;&lt;wsp:rsid wsp:val=&quot;20D02EA3&quot;/&gt;&lt;wsp:rsid wsp:val=&quot;20D063EC&quot;/&gt;&lt;wsp:rsid wsp:val=&quot;20D12BB7&quot;/&gt;&lt;wsp:rsid wsp:val=&quot;20D2063F&quot;/&gt;&lt;wsp:rsid wsp:val=&quot;20D22906&quot;/&gt;&lt;wsp:rsid wsp:val=&quot;20D34741&quot;/&gt;&lt;wsp:rsid wsp:val=&quot;20D52267&quot;/&gt;&lt;wsp:rsid wsp:val=&quot;20D65FDF&quot;/&gt;&lt;wsp:rsid wsp:val=&quot;20D67D8D&quot;/&gt;&lt;wsp:rsid wsp:val=&quot;20D83B05&quot;/&gt;&lt;wsp:rsid wsp:val=&quot;20D860E5&quot;/&gt;&lt;wsp:rsid wsp:val=&quot;20D9162C&quot;/&gt;&lt;wsp:rsid wsp:val=&quot;20DB35F6&quot;/&gt;&lt;wsp:rsid wsp:val=&quot;20DD2C3A&quot;/&gt;&lt;wsp:rsid wsp:val=&quot;20DE6AF4&quot;/&gt;&lt;wsp:rsid wsp:val=&quot;20DE6C42&quot;/&gt;&lt;wsp:rsid wsp:val=&quot;20DE7A50&quot;/&gt;&lt;wsp:rsid wsp:val=&quot;20DF30E6&quot;/&gt;&lt;wsp:rsid wsp:val=&quot;20E029BA&quot;/&gt;&lt;wsp:rsid wsp:val=&quot;20E24FCC&quot;/&gt;&lt;wsp:rsid wsp:val=&quot;20E406FC&quot;/&gt;&lt;wsp:rsid wsp:val=&quot;20E409E8&quot;/&gt;&lt;wsp:rsid wsp:val=&quot;20E57FD0&quot;/&gt;&lt;wsp:rsid wsp:val=&quot;20E701EC&quot;/&gt;&lt;wsp:rsid wsp:val=&quot;20E922CE&quot;/&gt;&lt;wsp:rsid wsp:val=&quot;20E92DBD&quot;/&gt;&lt;wsp:rsid wsp:val=&quot;20E96173&quot;/&gt;&lt;wsp:rsid wsp:val=&quot;20EA0BE3&quot;/&gt;&lt;wsp:rsid wsp:val=&quot;20EA55E7&quot;/&gt;&lt;wsp:rsid wsp:val=&quot;20EC0C4F&quot;/&gt;&lt;wsp:rsid wsp:val=&quot;20ED7D96&quot;/&gt;&lt;wsp:rsid wsp:val=&quot;20EE3E02&quot;/&gt;&lt;wsp:rsid wsp:val=&quot;20EF2BFD&quot;/&gt;&lt;wsp:rsid wsp:val=&quot;20F052F3&quot;/&gt;&lt;wsp:rsid wsp:val=&quot;20F16975&quot;/&gt;&lt;wsp:rsid wsp:val=&quot;20F3093F&quot;/&gt;&lt;wsp:rsid wsp:val=&quot;20F44810&quot;/&gt;&lt;wsp:rsid wsp:val=&quot;20F50871&quot;/&gt;&lt;wsp:rsid wsp:val=&quot;20F52909&quot;/&gt;&lt;wsp:rsid wsp:val=&quot;20F546B7&quot;/&gt;&lt;wsp:rsid wsp:val=&quot;20F87D04&quot;/&gt;&lt;wsp:rsid wsp:val=&quot;20FA0E09&quot;/&gt;&lt;wsp:rsid wsp:val=&quot;20FA3A7C&quot;/&gt;&lt;wsp:rsid wsp:val=&quot;20FD1BD4&quot;/&gt;&lt;wsp:rsid wsp:val=&quot;20FD531A&quot;/&gt;&lt;wsp:rsid wsp:val=&quot;20FF5536&quot;/&gt;&lt;wsp:rsid wsp:val=&quot;21004E0A&quot;/&gt;&lt;wsp:rsid wsp:val=&quot;210112AE&quot;/&gt;&lt;wsp:rsid wsp:val=&quot;210251C1&quot;/&gt;&lt;wsp:rsid wsp:val=&quot;21025544&quot;/&gt;&lt;wsp:rsid wsp:val=&quot;21042B4C&quot;/&gt;&lt;wsp:rsid wsp:val=&quot;210A7A37&quot;/&gt;&lt;wsp:rsid wsp:val=&quot;210C1A01&quot;/&gt;&lt;wsp:rsid wsp:val=&quot;210C37AF&quot;/&gt;&lt;wsp:rsid wsp:val=&quot;210C7C53&quot;/&gt;&lt;wsp:rsid wsp:val=&quot;210E39CB&quot;/&gt;&lt;wsp:rsid wsp:val=&quot;210E7527&quot;/&gt;&lt;wsp:rsid wsp:val=&quot;210F504D&quot;/&gt;&lt;wsp:rsid wsp:val=&quot;21111EDC&quot;/&gt;&lt;wsp:rsid wsp:val=&quot;21115269&quot;/&gt;&lt;wsp:rsid wsp:val=&quot;21117017&quot;/&gt;&lt;wsp:rsid wsp:val=&quot;21156E19&quot;/&gt;&lt;wsp:rsid wsp:val=&quot;2116462E&quot;/&gt;&lt;wsp:rsid wsp:val=&quot;21166F0F&quot;/&gt;&lt;wsp:rsid wsp:val=&quot;2117610B&quot;/&gt;&lt;wsp:rsid wsp:val=&quot;211865F8&quot;/&gt;&lt;wsp:rsid wsp:val=&quot;211A2370&quot;/&gt;&lt;wsp:rsid wsp:val=&quot;211A411E&quot;/&gt;&lt;wsp:rsid wsp:val=&quot;211B1C44&quot;/&gt;&lt;wsp:rsid wsp:val=&quot;211D59BC&quot;/&gt;&lt;wsp:rsid wsp:val=&quot;211E3538&quot;/&gt;&lt;wsp:rsid wsp:val=&quot;211F09E2&quot;/&gt;&lt;wsp:rsid wsp:val=&quot;211F1734&quot;/&gt;&lt;wsp:rsid wsp:val=&quot;21201F53&quot;/&gt;&lt;wsp:rsid wsp:val=&quot;212154AC&quot;/&gt;&lt;wsp:rsid wsp:val=&quot;2122245F&quot;/&gt;&lt;wsp:rsid wsp:val=&quot;21246D4B&quot;/&gt;&lt;wsp:rsid wsp:val=&quot;2127304A&quot;/&gt;&lt;wsp:rsid wsp:val=&quot;2127683B&quot;/&gt;&lt;wsp:rsid wsp:val=&quot;2129610F&quot;/&gt;&lt;wsp:rsid wsp:val=&quot;212B632B&quot;/&gt;&lt;wsp:rsid wsp:val=&quot;212D20A3&quot;/&gt;&lt;wsp:rsid wsp:val=&quot;212D2986&quot;/&gt;&lt;wsp:rsid wsp:val=&quot;212D49A1&quot;/&gt;&lt;wsp:rsid wsp:val=&quot;21332FC8&quot;/&gt;&lt;wsp:rsid wsp:val=&quot;213333E4&quot;/&gt;&lt;wsp:rsid wsp:val=&quot;21333432&quot;/&gt;&lt;wsp:rsid wsp:val=&quot;21345B69&quot;/&gt;&lt;wsp:rsid wsp:val=&quot;213571AA&quot;/&gt;&lt;wsp:rsid wsp:val=&quot;21374CD0&quot;/&gt;&lt;wsp:rsid wsp:val=&quot;213827F6&quot;/&gt;&lt;wsp:rsid wsp:val=&quot;21395B15&quot;/&gt;&lt;wsp:rsid wsp:val=&quot;213A06E6&quot;/&gt;&lt;wsp:rsid wsp:val=&quot;213A3073&quot;/&gt;&lt;wsp:rsid wsp:val=&quot;213B74B1&quot;/&gt;&lt;wsp:rsid wsp:val=&quot;213D4AD5&quot;/&gt;&lt;wsp:rsid wsp:val=&quot;213D64F3&quot;/&gt;&lt;wsp:rsid wsp:val=&quot;213D7067&quot;/&gt;&lt;wsp:rsid wsp:val=&quot;213D7E0C&quot;/&gt;&lt;wsp:rsid wsp:val=&quot;21420783&quot;/&gt;&lt;wsp:rsid wsp:val=&quot;21423675&quot;/&gt;&lt;wsp:rsid wsp:val=&quot;21442F49&quot;/&gt;&lt;wsp:rsid wsp:val=&quot;21444369&quot;/&gt;&lt;wsp:rsid wsp:val=&quot;21453DE1&quot;/&gt;&lt;wsp:rsid wsp:val=&quot;214557F9&quot;/&gt;&lt;wsp:rsid wsp:val=&quot;21455F28&quot;/&gt;&lt;wsp:rsid wsp:val=&quot;21455FC2&quot;/&gt;&lt;wsp:rsid wsp:val=&quot;21470C8B&quot;/&gt;&lt;wsp:rsid wsp:val=&quot;21486EDD&quot;/&gt;&lt;wsp:rsid wsp:val=&quot;214923C2&quot;/&gt;&lt;wsp:rsid wsp:val=&quot;21494A03&quot;/&gt;&lt;wsp:rsid wsp:val=&quot;214B09CE&quot;/&gt;&lt;wsp:rsid wsp:val=&quot;214B2529&quot;/&gt;&lt;wsp:rsid wsp:val=&quot;214B42D7&quot;/&gt;&lt;wsp:rsid wsp:val=&quot;214D4BFC&quot;/&gt;&lt;wsp:rsid wsp:val=&quot;214E201A&quot;/&gt;&lt;wsp:rsid wsp:val=&quot;214E3DC8&quot;/&gt;&lt;wsp:rsid wsp:val=&quot;214E5B76&quot;/&gt;&lt;wsp:rsid wsp:val=&quot;214F1F02&quot;/&gt;&lt;wsp:rsid wsp:val=&quot;215313DE&quot;/&gt;&lt;wsp:rsid wsp:val=&quot;21535882&quot;/&gt;&lt;wsp:rsid wsp:val=&quot;21570ECE&quot;/&gt;&lt;wsp:rsid wsp:val=&quot;215727DE&quot;/&gt;&lt;wsp:rsid wsp:val=&quot;215804A8&quot;/&gt;&lt;wsp:rsid wsp:val=&quot;21596DDD&quot;/&gt;&lt;wsp:rsid wsp:val=&quot;215A2310&quot;/&gt;&lt;wsp:rsid wsp:val=&quot;215A451A&quot;/&gt;&lt;wsp:rsid wsp:val=&quot;215C64E4&quot;/&gt;&lt;wsp:rsid wsp:val=&quot;215D04AF&quot;/&gt;&lt;wsp:rsid wsp:val=&quot;215F7D83&quot;/&gt;&lt;wsp:rsid wsp:val=&quot;21611D4D&quot;/&gt;&lt;wsp:rsid wsp:val=&quot;21616461&quot;/&gt;&lt;wsp:rsid wsp:val=&quot;21627873&quot;/&gt;&lt;wsp:rsid wsp:val=&quot;216361B0&quot;/&gt;&lt;wsp:rsid wsp:val=&quot;2164183D&quot;/&gt;&lt;wsp:rsid wsp:val=&quot;21661111&quot;/&gt;&lt;wsp:rsid wsp:val=&quot;216830DB&quot;/&gt;&lt;wsp:rsid wsp:val=&quot;21690C01&quot;/&gt;&lt;wsp:rsid wsp:val=&quot;21692022&quot;/&gt;&lt;wsp:rsid wsp:val=&quot;21693A14&quot;/&gt;&lt;wsp:rsid wsp:val=&quot;216A5E6B&quot;/&gt;&lt;wsp:rsid wsp:val=&quot;216B7513&quot;/&gt;&lt;wsp:rsid wsp:val=&quot;216C24A0&quot;/&gt;&lt;wsp:rsid wsp:val=&quot;216D06F2&quot;/&gt;&lt;wsp:rsid wsp:val=&quot;216E32C3&quot;/&gt;&lt;wsp:rsid wsp:val=&quot;216E7FC6&quot;/&gt;&lt;wsp:rsid wsp:val=&quot;21701F90&quot;/&gt;&lt;wsp:rsid wsp:val=&quot;21717AB6&quot;/&gt;&lt;wsp:rsid wsp:val=&quot;21724024&quot;/&gt;&lt;wsp:rsid wsp:val=&quot;217355DC&quot;/&gt;&lt;wsp:rsid wsp:val=&quot;21751354&quot;/&gt;&lt;wsp:rsid wsp:val=&quot;21753196&quot;/&gt;&lt;wsp:rsid wsp:val=&quot;217575A6&quot;/&gt;&lt;wsp:rsid wsp:val=&quot;21763195&quot;/&gt;&lt;wsp:rsid wsp:val=&quot;21771570&quot;/&gt;&lt;wsp:rsid wsp:val=&quot;2177331E&quot;/&gt;&lt;wsp:rsid wsp:val=&quot;217750CC&quot;/&gt;&lt;wsp:rsid wsp:val=&quot;21787C6A&quot;/&gt;&lt;wsp:rsid wsp:val=&quot;217A696B&quot;/&gt;&lt;wsp:rsid wsp:val=&quot;217D46AD&quot;/&gt;&lt;wsp:rsid wsp:val=&quot;21817CF9&quot;/&gt;&lt;wsp:rsid wsp:val=&quot;21821CC3&quot;/&gt;&lt;wsp:rsid wsp:val=&quot;21845A3B&quot;/&gt;&lt;wsp:rsid wsp:val=&quot;21857B95&quot;/&gt;&lt;wsp:rsid wsp:val=&quot;218617B3&quot;/&gt;&lt;wsp:rsid wsp:val=&quot;21863561&quot;/&gt;&lt;wsp:rsid wsp:val=&quot;2186530F&quot;/&gt;&lt;wsp:rsid wsp:val=&quot;218872DA&quot;/&gt;&lt;wsp:rsid wsp:val=&quot;21894E00&quot;/&gt;&lt;wsp:rsid wsp:val=&quot;218A3F2C&quot;/&gt;&lt;wsp:rsid wsp:val=&quot;218B6AFD&quot;/&gt;&lt;wsp:rsid wsp:val=&quot;218D48F0&quot;/&gt;&lt;wsp:rsid wsp:val=&quot;219043E0&quot;/&gt;&lt;wsp:rsid wsp:val=&quot;21921F06&quot;/&gt;&lt;wsp:rsid wsp:val=&quot;219263AA&quot;/&gt;&lt;wsp:rsid wsp:val=&quot;21935491&quot;/&gt;&lt;wsp:rsid wsp:val=&quot;21935C7E&quot;/&gt;&lt;wsp:rsid wsp:val=&quot;219537A4&quot;/&gt;&lt;wsp:rsid wsp:val=&quot;21983295&quot;/&gt;&lt;wsp:rsid wsp:val=&quot;219915B7&quot;/&gt;&lt;wsp:rsid wsp:val=&quot;219A3017&quot;/&gt;&lt;wsp:rsid wsp:val=&quot;219D4A4B&quot;/&gt;&lt;wsp:rsid wsp:val=&quot;219E4D4F&quot;/&gt;&lt;wsp:rsid wsp:val=&quot;219F4623&quot;/&gt;&lt;wsp:rsid wsp:val=&quot;219F4CC2&quot;/&gt;&lt;wsp:rsid wsp:val=&quot;21A10D23&quot;/&gt;&lt;wsp:rsid wsp:val=&quot;21A34A70&quot;/&gt;&lt;wsp:rsid wsp:val=&quot;21A460DD&quot;/&gt;&lt;wsp:rsid wsp:val=&quot;21A711FA&quot;/&gt;&lt;wsp:rsid wsp:val=&quot;21A841CC&quot;/&gt;&lt;wsp:rsid wsp:val=&quot;21A8797C&quot;/&gt;&lt;wsp:rsid wsp:val=&quot;21A97250&quot;/&gt;&lt;wsp:rsid wsp:val=&quot;21AA3516&quot;/&gt;&lt;wsp:rsid wsp:val=&quot;21AB2FC8&quot;/&gt;&lt;wsp:rsid wsp:val=&quot;21AC1A98&quot;/&gt;&lt;wsp:rsid wsp:val=&quot;21AD4F92&quot;/&gt;&lt;wsp:rsid wsp:val=&quot;21AE4866&quot;/&gt;&lt;wsp:rsid wsp:val=&quot;21B24356&quot;/&gt;&lt;wsp:rsid wsp:val=&quot;21B46321&quot;/&gt;&lt;wsp:rsid wsp:val=&quot;21B52099&quot;/&gt;&lt;wsp:rsid wsp:val=&quot;21B7196D&quot;/&gt;&lt;wsp:rsid wsp:val=&quot;21B87493&quot;/&gt;&lt;wsp:rsid wsp:val=&quot;21B96280&quot;/&gt;&lt;wsp:rsid wsp:val=&quot;21BA145D&quot;/&gt;&lt;wsp:rsid wsp:val=&quot;21BA320B&quot;/&gt;&lt;wsp:rsid wsp:val=&quot;21BE0F4D&quot;/&gt;&lt;wsp:rsid wsp:val=&quot;21BE2CFB&quot;/&gt;&lt;wsp:rsid wsp:val=&quot;21BF6A73&quot;/&gt;&lt;wsp:rsid wsp:val=&quot;21C422DC&quot;/&gt;&lt;wsp:rsid wsp:val=&quot;21C4408A&quot;/&gt;&lt;wsp:rsid wsp:val=&quot;21C81DCC&quot;/&gt;&lt;wsp:rsid wsp:val=&quot;21C83ECE&quot;/&gt;&lt;wsp:rsid wsp:val=&quot;21C916A0&quot;/&gt;&lt;wsp:rsid wsp:val=&quot;21CA5B44&quot;/&gt;&lt;wsp:rsid wsp:val=&quot;21CB71C6&quot;/&gt;&lt;wsp:rsid wsp:val=&quot;21CC24F4&quot;/&gt;&lt;wsp:rsid wsp:val=&quot;21CE7D40&quot;/&gt;&lt;wsp:rsid wsp:val=&quot;21CF4F08&quot;/&gt;&lt;wsp:rsid wsp:val=&quot;21D4251F&quot;/&gt;&lt;wsp:rsid wsp:val=&quot;21D56297&quot;/&gt;&lt;wsp:rsid wsp:val=&quot;21D70261&quot;/&gt;&lt;wsp:rsid wsp:val=&quot;21D839C3&quot;/&gt;&lt;wsp:rsid wsp:val=&quot;21D86395&quot;/&gt;&lt;wsp:rsid wsp:val=&quot;21D86594&quot;/&gt;&lt;wsp:rsid wsp:val=&quot;21D92534&quot;/&gt;&lt;wsp:rsid wsp:val=&quot;21DA565B&quot;/&gt;&lt;wsp:rsid wsp:val=&quot;21DC13D3&quot;/&gt;&lt;wsp:rsid wsp:val=&quot;21DC1B04&quot;/&gt;&lt;wsp:rsid wsp:val=&quot;21DE318A&quot;/&gt;&lt;wsp:rsid wsp:val=&quot;21DF0EC4&quot;/&gt;&lt;wsp:rsid wsp:val=&quot;21DF2C72&quot;/&gt;&lt;wsp:rsid wsp:val=&quot;21E07116&quot;/&gt;&lt;wsp:rsid wsp:val=&quot;21E14C3C&quot;/&gt;&lt;wsp:rsid wsp:val=&quot;21E169EA&quot;/&gt;&lt;wsp:rsid wsp:val=&quot;21E26FB5&quot;/&gt;&lt;wsp:rsid wsp:val=&quot;21E32762&quot;/&gt;&lt;wsp:rsid wsp:val=&quot;21E909DA&quot;/&gt;&lt;wsp:rsid wsp:val=&quot;21EB5ABA&quot;/&gt;&lt;wsp:rsid wsp:val=&quot;21EB7868&quot;/&gt;&lt;wsp:rsid wsp:val=&quot;21EF55AB&quot;/&gt;&lt;wsp:rsid wsp:val=&quot;21EF5B80&quot;/&gt;&lt;wsp:rsid wsp:val=&quot;21F259FA&quot;/&gt;&lt;wsp:rsid wsp:val=&quot;21F4496F&quot;/&gt;&lt;wsp:rsid wsp:val=&quot;21F66939&quot;/&gt;&lt;wsp:rsid wsp:val=&quot;21F726B1&quot;/&gt;&lt;wsp:rsid wsp:val=&quot;21F7445F&quot;/&gt;&lt;wsp:rsid wsp:val=&quot;21F7620D&quot;/&gt;&lt;wsp:rsid wsp:val=&quot;21F93D33&quot;/&gt;&lt;wsp:rsid wsp:val=&quot;21FA7AAB&quot;/&gt;&lt;wsp:rsid wsp:val=&quot;21FE134A&quot;/&gt;&lt;wsp:rsid wsp:val=&quot;21FE1DF5&quot;/&gt;&lt;wsp:rsid wsp:val=&quot;21FE56DE&quot;/&gt;&lt;wsp:rsid wsp:val=&quot;21FE759C&quot;/&gt;&lt;wsp:rsid wsp:val=&quot;21FF6B6E&quot;/&gt;&lt;wsp:rsid wsp:val=&quot;22002BCF&quot;/&gt;&lt;wsp:rsid wsp:val=&quot;220152DE&quot;/&gt;&lt;wsp:rsid wsp:val=&quot;220426D8&quot;/&gt;&lt;wsp:rsid wsp:val=&quot;22056B7C&quot;/&gt;&lt;wsp:rsid wsp:val=&quot;220628F4&quot;/&gt;&lt;wsp:rsid wsp:val=&quot;220646A2&quot;/&gt;&lt;wsp:rsid wsp:val=&quot;22066450&quot;/&gt;&lt;wsp:rsid wsp:val=&quot;22097CEF&quot;/&gt;&lt;wsp:rsid wsp:val=&quot;220A4192&quot;/&gt;&lt;wsp:rsid wsp:val=&quot;220A731F&quot;/&gt;&lt;wsp:rsid wsp:val=&quot;220D5A31&quot;/&gt;&lt;wsp:rsid wsp:val=&quot;220D77DF&quot;/&gt;&lt;wsp:rsid wsp:val=&quot;220F17A9&quot;/&gt;&lt;wsp:rsid wsp:val=&quot;2210107D&quot;/&gt;&lt;wsp:rsid wsp:val=&quot;22123047&quot;/&gt;&lt;wsp:rsid wsp:val=&quot;22124DF5&quot;/&gt;&lt;wsp:rsid wsp:val=&quot;22153965&quot;/&gt;&lt;wsp:rsid wsp:val=&quot;221548E5&quot;/&gt;&lt;wsp:rsid wsp:val=&quot;22160D89&quot;/&gt;&lt;wsp:rsid wsp:val=&quot;2217065D&quot;/&gt;&lt;wsp:rsid wsp:val=&quot;2217240B&quot;/&gt;&lt;wsp:rsid wsp:val=&quot;221943D6&quot;/&gt;&lt;wsp:rsid wsp:val=&quot;22196AD9&quot;/&gt;&lt;wsp:rsid wsp:val=&quot;221A18C9&quot;/&gt;&lt;wsp:rsid wsp:val=&quot;221A365E&quot;/&gt;&lt;wsp:rsid wsp:val=&quot;221A55CD&quot;/&gt;&lt;wsp:rsid wsp:val=&quot;2221328A&quot;/&gt;&lt;wsp:rsid wsp:val=&quot;22214839&quot;/&gt;&lt;wsp:rsid wsp:val=&quot;2221772E&quot;/&gt;&lt;wsp:rsid wsp:val=&quot;22235B21&quot;/&gt;&lt;wsp:rsid wsp:val=&quot;22266AF2&quot;/&gt;&lt;wsp:rsid wsp:val=&quot;22277E86&quot;/&gt;&lt;wsp:rsid wsp:val=&quot;222A0391&quot;/&gt;&lt;wsp:rsid wsp:val=&quot;222A213F&quot;/&gt;&lt;wsp:rsid wsp:val=&quot;222A65E3&quot;/&gt;&lt;wsp:rsid wsp:val=&quot;222B5EB7&quot;/&gt;&lt;wsp:rsid wsp:val=&quot;222D1C2F&quot;/&gt;&lt;wsp:rsid wsp:val=&quot;223034CD&quot;/&gt;&lt;wsp:rsid wsp:val=&quot;223125F1&quot;/&gt;&lt;wsp:rsid wsp:val=&quot;22321C56&quot;/&gt;&lt;wsp:rsid wsp:val=&quot;22322E8D&quot;/&gt;&lt;wsp:rsid wsp:val=&quot;223236E9&quot;/&gt;&lt;wsp:rsid wsp:val=&quot;22340C98&quot;/&gt;&lt;wsp:rsid wsp:val=&quot;22356D36&quot;/&gt;&lt;wsp:rsid wsp:val=&quot;22394A78&quot;/&gt;&lt;wsp:rsid wsp:val=&quot;223A1B0E&quot;/&gt;&lt;wsp:rsid wsp:val=&quot;223B07F0&quot;/&gt;&lt;wsp:rsid wsp:val=&quot;223B259E&quot;/&gt;&lt;wsp:rsid wsp:val=&quot;223B7F62&quot;/&gt;&lt;wsp:rsid wsp:val=&quot;223C00C4&quot;/&gt;&lt;wsp:rsid wsp:val=&quot;223C0251&quot;/&gt;&lt;wsp:rsid wsp:val=&quot;223F181A&quot;/&gt;&lt;wsp:rsid wsp:val=&quot;22405E06&quot;/&gt;&lt;wsp:rsid wsp:val=&quot;2241392C&quot;/&gt;&lt;wsp:rsid wsp:val=&quot;22425184&quot;/&gt;&lt;wsp:rsid wsp:val=&quot;224312FC&quot;/&gt;&lt;wsp:rsid wsp:val=&quot;22431452&quot;/&gt;&lt;wsp:rsid wsp:val=&quot;22442C3C&quot;/&gt;&lt;wsp:rsid wsp:val=&quot;2245341D&quot;/&gt;&lt;wsp:rsid wsp:val=&quot;22460F43&quot;/&gt;&lt;wsp:rsid wsp:val=&quot;22484CBB&quot;/&gt;&lt;wsp:rsid wsp:val=&quot;224C4614&quot;/&gt;&lt;wsp:rsid wsp:val=&quot;224C6559&quot;/&gt;&lt;wsp:rsid wsp:val=&quot;224C7D46&quot;/&gt;&lt;wsp:rsid wsp:val=&quot;224D0523&quot;/&gt;&lt;wsp:rsid wsp:val=&quot;2250591D&quot;/&gt;&lt;wsp:rsid wsp:val=&quot;22525B39&quot;/&gt;&lt;wsp:rsid wsp:val=&quot;22543660&quot;/&gt;&lt;wsp:rsid wsp:val=&quot;22561186&quot;/&gt;&lt;wsp:rsid wsp:val=&quot;225673D8&quot;/&gt;&lt;wsp:rsid wsp:val=&quot;22573150&quot;/&gt;&lt;wsp:rsid wsp:val=&quot;22576990&quot;/&gt;&lt;wsp:rsid wsp:val=&quot;22590C76&quot;/&gt;&lt;wsp:rsid wsp:val=&quot;22596EC8&quot;/&gt;&lt;wsp:rsid wsp:val=&quot;225B49EE&quot;/&gt;&lt;wsp:rsid wsp:val=&quot;225C2514&quot;/&gt;&lt;wsp:rsid wsp:val=&quot;225C3529&quot;/&gt;&lt;wsp:rsid wsp:val=&quot;225D0766&quot;/&gt;&lt;wsp:rsid wsp:val=&quot;225E003A&quot;/&gt;&lt;wsp:rsid wsp:val=&quot;225E628C&quot;/&gt;&lt;wsp:rsid wsp:val=&quot;22607368&quot;/&gt;&lt;wsp:rsid wsp:val=&quot;22623FCE&quot;/&gt;&lt;wsp:rsid wsp:val=&quot;226513C9&quot;/&gt;&lt;wsp:rsid wsp:val=&quot;22665141&quot;/&gt;&lt;wsp:rsid wsp:val=&quot;22665859&quot;/&gt;&lt;wsp:rsid wsp:val=&quot;22680EB9&quot;/&gt;&lt;wsp:rsid wsp:val=&quot;2268710B&quot;/&gt;&lt;wsp:rsid wsp:val=&quot;226B24CD&quot;/&gt;&lt;wsp:rsid wsp:val=&quot;226B2757&quot;/&gt;&lt;wsp:rsid wsp:val=&quot;226B475F&quot;/&gt;&lt;wsp:rsid wsp:val=&quot;226C68FD&quot;/&gt;&lt;wsp:rsid wsp:val=&quot;226D1E92&quot;/&gt;&lt;wsp:rsid wsp:val=&quot;226D4721&quot;/&gt;&lt;wsp:rsid wsp:val=&quot;226E2973&quot;/&gt;&lt;wsp:rsid wsp:val=&quot;226E3EE9&quot;/&gt;&lt;wsp:rsid wsp:val=&quot;226F30E0&quot;/&gt;&lt;wsp:rsid wsp:val=&quot;226F7C8D&quot;/&gt;&lt;wsp:rsid wsp:val=&quot;227105D1&quot;/&gt;&lt;wsp:rsid wsp:val=&quot;22717D6E&quot;/&gt;&lt;wsp:rsid wsp:val=&quot;227317B0&quot;/&gt;&lt;wsp:rsid wsp:val=&quot;22737F8A&quot;/&gt;&lt;wsp:rsid wsp:val=&quot;22794E74&quot;/&gt;&lt;wsp:rsid wsp:val=&quot;227B5090&quot;/&gt;&lt;wsp:rsid wsp:val=&quot;227B7D85&quot;/&gt;&lt;wsp:rsid wsp:val=&quot;227C332F&quot;/&gt;&lt;wsp:rsid wsp:val=&quot;227C4964&quot;/&gt;&lt;wsp:rsid wsp:val=&quot;227E692E&quot;/&gt;&lt;wsp:rsid wsp:val=&quot;22811F32&quot;/&gt;&lt;wsp:rsid wsp:val=&quot;22813D29&quot;/&gt;&lt;wsp:rsid wsp:val=&quot;22827E15&quot;/&gt;&lt;wsp:rsid wsp:val=&quot;22834CFD&quot;/&gt;&lt;wsp:rsid wsp:val=&quot;2285011F&quot;/&gt;&lt;wsp:rsid wsp:val=&quot;228526B8&quot;/&gt;&lt;wsp:rsid wsp:val=&quot;22857CBD&quot;/&gt;&lt;wsp:rsid wsp:val=&quot;22866796&quot;/&gt;&lt;wsp:rsid wsp:val=&quot;22877591&quot;/&gt;&lt;wsp:rsid wsp:val=&quot;228A1178&quot;/&gt;&lt;wsp:rsid wsp:val=&quot;228C104B&quot;/&gt;&lt;wsp:rsid wsp:val=&quot;228E38D5&quot;/&gt;&lt;wsp:rsid wsp:val=&quot;228F28EA&quot;/&gt;&lt;wsp:rsid wsp:val=&quot;22934188&quot;/&gt;&lt;wsp:rsid wsp:val=&quot;22963C78&quot;/&gt;&lt;wsp:rsid wsp:val=&quot;22965A26&quot;/&gt;&lt;wsp:rsid wsp:val=&quot;2296695B&quot;/&gt;&lt;wsp:rsid wsp:val=&quot;22993768&quot;/&gt;&lt;wsp:rsid wsp:val=&quot;22993C71&quot;/&gt;&lt;wsp:rsid wsp:val=&quot;229B128E&quot;/&gt;&lt;wsp:rsid wsp:val=&quot;229D4A1D&quot;/&gt;&lt;wsp:rsid wsp:val=&quot;229E200E&quot;/&gt;&lt;wsp:rsid wsp:val=&quot;229E2B2D&quot;/&gt;&lt;wsp:rsid wsp:val=&quot;229E75D3&quot;/&gt;&lt;wsp:rsid wsp:val=&quot;22A00653&quot;/&gt;&lt;wsp:rsid wsp:val=&quot;22A06A15&quot;/&gt;&lt;wsp:rsid wsp:val=&quot;22A20FA7&quot;/&gt;&lt;wsp:rsid wsp:val=&quot;22AA3280&quot;/&gt;&lt;wsp:rsid wsp:val=&quot;22AA7723&quot;/&gt;&lt;wsp:rsid wsp:val=&quot;22AD2D70&quot;/&gt;&lt;wsp:rsid wsp:val=&quot;22AE59A2&quot;/&gt;&lt;wsp:rsid wsp:val=&quot;22B1460E&quot;/&gt;&lt;wsp:rsid wsp:val=&quot;22B362C9&quot;/&gt;&lt;wsp:rsid wsp:val=&quot;22B660C8&quot;/&gt;&lt;wsp:rsid wsp:val=&quot;22B8599C&quot;/&gt;&lt;wsp:rsid wsp:val=&quot;22B91715&quot;/&gt;&lt;wsp:rsid wsp:val=&quot;22B934C3&quot;/&gt;&lt;wsp:rsid wsp:val=&quot;22BA5BB9&quot;/&gt;&lt;wsp:rsid wsp:val=&quot;22BD1205&quot;/&gt;&lt;wsp:rsid wsp:val=&quot;22BD28C6&quot;/&gt;&lt;wsp:rsid wsp:val=&quot;22BE6D2B&quot;/&gt;&lt;wsp:rsid wsp:val=&quot;22BF02C5&quot;/&gt;&lt;wsp:rsid wsp:val=&quot;22BF52C9&quot;/&gt;&lt;wsp:rsid wsp:val=&quot;22C3455E&quot;/&gt;&lt;wsp:rsid wsp:val=&quot;22C36737&quot;/&gt;&lt;wsp:rsid wsp:val=&quot;22C407E5&quot;/&gt;&lt;wsp:rsid wsp:val=&quot;22C500B9&quot;/&gt;&lt;wsp:rsid wsp:val=&quot;22C52798&quot;/&gt;&lt;wsp:rsid wsp:val=&quot;22C541CF&quot;/&gt;&lt;wsp:rsid wsp:val=&quot;22C5630B&quot;/&gt;&lt;wsp:rsid wsp:val=&quot;22C73E32&quot;/&gt;&lt;wsp:rsid wsp:val=&quot;22C77C89&quot;/&gt;&lt;wsp:rsid wsp:val=&quot;22C81958&quot;/&gt;&lt;wsp:rsid wsp:val=&quot;22CA4D90&quot;/&gt;&lt;wsp:rsid wsp:val=&quot;22CA56D0&quot;/&gt;&lt;wsp:rsid wsp:val=&quot;22CB2372&quot;/&gt;&lt;wsp:rsid wsp:val=&quot;22CE51C0&quot;/&gt;&lt;wsp:rsid wsp:val=&quot;22CF1618&quot;/&gt;&lt;wsp:rsid wsp:val=&quot;22CF718A&quot;/&gt;&lt;wsp:rsid wsp:val=&quot;22D24584&quot;/&gt;&lt;wsp:rsid wsp:val=&quot;22D327D6&quot;/&gt;&lt;wsp:rsid wsp:val=&quot;22D36C7A&quot;/&gt;&lt;wsp:rsid wsp:val=&quot;22D402FC&quot;/&gt;&lt;wsp:rsid wsp:val=&quot;22D801D2&quot;/&gt;&lt;wsp:rsid wsp:val=&quot;22D84291&quot;/&gt;&lt;wsp:rsid wsp:val=&quot;22D8603F&quot;/&gt;&lt;wsp:rsid wsp:val=&quot;22D95913&quot;/&gt;&lt;wsp:rsid wsp:val=&quot;22DB5B2F&quot;/&gt;&lt;wsp:rsid wsp:val=&quot;22DB78DD&quot;/&gt;&lt;wsp:rsid wsp:val=&quot;22DB7A75&quot;/&gt;&lt;wsp:rsid wsp:val=&quot;22DD3655&quot;/&gt;&lt;wsp:rsid wsp:val=&quot;22DD5403&quot;/&gt;&lt;wsp:rsid wsp:val=&quot;22DE07AD&quot;/&gt;&lt;wsp:rsid wsp:val=&quot;22E5075C&quot;/&gt;&lt;wsp:rsid wsp:val=&quot;22E542B8&quot;/&gt;&lt;wsp:rsid wsp:val=&quot;22E7490B&quot;/&gt;&lt;wsp:rsid wsp:val=&quot;22E91B93&quot;/&gt;&lt;wsp:rsid wsp:val=&quot;22E91FFA&quot;/&gt;&lt;wsp:rsid wsp:val=&quot;22E946E5&quot;/&gt;&lt;wsp:rsid wsp:val=&quot;22EB44B3&quot;/&gt;&lt;wsp:rsid wsp:val=&quot;22EC3898&quot;/&gt;&lt;wsp:rsid wsp:val=&quot;22EC5646&quot;/&gt;&lt;wsp:rsid wsp:val=&quot;22ED0263&quot;/&gt;&lt;wsp:rsid wsp:val=&quot;22EE5862&quot;/&gt;&lt;wsp:rsid wsp:val=&quot;22EF08E4&quot;/&gt;&lt;wsp:rsid wsp:val=&quot;22F015DA&quot;/&gt;&lt;wsp:rsid wsp:val=&quot;22F108A9&quot;/&gt;&lt;wsp:rsid wsp:val=&quot;22F10F18&quot;/&gt;&lt;wsp:rsid wsp:val=&quot;22F15352&quot;/&gt;&lt;wsp:rsid wsp:val=&quot;22F16BE4&quot;/&gt;&lt;wsp:rsid wsp:val=&quot;22F4099F&quot;/&gt;&lt;wsp:rsid wsp:val=&quot;22F422C8&quot;/&gt;&lt;wsp:rsid wsp:val=&quot;22F47480&quot;/&gt;&lt;wsp:rsid wsp:val=&quot;22F56BF1&quot;/&gt;&lt;wsp:rsid wsp:val=&quot;22F716CB&quot;/&gt;&lt;wsp:rsid wsp:val=&quot;22F72A56&quot;/&gt;&lt;wsp:rsid wsp:val=&quot;22F83FEB&quot;/&gt;&lt;wsp:rsid wsp:val=&quot;22FA533E&quot;/&gt;&lt;wsp:rsid wsp:val=&quot;22FC1543&quot;/&gt;&lt;wsp:rsid wsp:val=&quot;22FC5438&quot;/&gt;&lt;wsp:rsid wsp:val=&quot;22FF35CB&quot;/&gt;&lt;wsp:rsid wsp:val=&quot;23000B70&quot;/&gt;&lt;wsp:rsid wsp:val=&quot;23024E6A&quot;/&gt;&lt;wsp:rsid wsp:val=&quot;23033BCA&quot;/&gt;&lt;wsp:rsid wsp:val=&quot;23046E34&quot;/&gt;&lt;wsp:rsid wsp:val=&quot;2305495A&quot;/&gt;&lt;wsp:rsid wsp:val=&quot;230564EA&quot;/&gt;&lt;wsp:rsid wsp:val=&quot;23056708&quot;/&gt;&lt;wsp:rsid wsp:val=&quot;2307511C&quot;/&gt;&lt;wsp:rsid wsp:val=&quot;23076924&quot;/&gt;&lt;wsp:rsid wsp:val=&quot;230E1A60&quot;/&gt;&lt;wsp:rsid wsp:val=&quot;230E380E&quot;/&gt;&lt;wsp:rsid wsp:val=&quot;230E3DFE&quot;/&gt;&lt;wsp:rsid wsp:val=&quot;230E7CB2&quot;/&gt;&lt;wsp:rsid wsp:val=&quot;231132FF&quot;/&gt;&lt;wsp:rsid wsp:val=&quot;231150AD&quot;/&gt;&lt;wsp:rsid wsp:val=&quot;231177A3&quot;/&gt;&lt;wsp:rsid wsp:val=&quot;231352C9&quot;/&gt;&lt;wsp:rsid wsp:val=&quot;23144B9D&quot;/&gt;&lt;wsp:rsid wsp:val=&quot;23152DEF&quot;/&gt;&lt;wsp:rsid wsp:val=&quot;231921B3&quot;/&gt;&lt;wsp:rsid wsp:val=&quot;231A0B85&quot;/&gt;&lt;wsp:rsid wsp:val=&quot;231A54B6&quot;/&gt;&lt;wsp:rsid wsp:val=&quot;231B5F2B&quot;/&gt;&lt;wsp:rsid wsp:val=&quot;231D6147&quot;/&gt;&lt;wsp:rsid wsp:val=&quot;231F5A1C&quot;/&gt;&lt;wsp:rsid wsp:val=&quot;231F7E56&quot;/&gt;&lt;wsp:rsid wsp:val=&quot;23201794&quot;/&gt;&lt;wsp:rsid wsp:val=&quot;232118FA&quot;/&gt;&lt;wsp:rsid wsp:val=&quot;23215CC3&quot;/&gt;&lt;wsp:rsid wsp:val=&quot;2322375E&quot;/&gt;&lt;wsp:rsid wsp:val=&quot;23226D27&quot;/&gt;&lt;wsp:rsid wsp:val=&quot;23244DE0&quot;/&gt;&lt;wsp:rsid wsp:val=&quot;23247D44&quot;/&gt;&lt;wsp:rsid wsp:val=&quot;23250B58&quot;/&gt;&lt;wsp:rsid wsp:val=&quot;23251FF0&quot;/&gt;&lt;wsp:rsid wsp:val=&quot;232548A1&quot;/&gt;&lt;wsp:rsid wsp:val=&quot;23255AD4&quot;/&gt;&lt;wsp:rsid wsp:val=&quot;23294AEC&quot;/&gt;&lt;wsp:rsid wsp:val=&quot;232A2389&quot;/&gt;&lt;wsp:rsid wsp:val=&quot;232A43C0&quot;/&gt;&lt;wsp:rsid wsp:val=&quot;232C0139&quot;/&gt;&lt;wsp:rsid wsp:val=&quot;232C1EE7&quot;/&gt;&lt;wsp:rsid wsp:val=&quot;232C638A&quot;/&gt;&lt;wsp:rsid wsp:val=&quot;232E2103&quot;/&gt;&lt;wsp:rsid wsp:val=&quot;2331574F&quot;/&gt;&lt;wsp:rsid wsp:val=&quot;233157B8&quot;/&gt;&lt;wsp:rsid wsp:val=&quot;233314C7&quot;/&gt;&lt;wsp:rsid wsp:val=&quot;23333275&quot;/&gt;&lt;wsp:rsid wsp:val=&quot;23353491&quot;/&gt;&lt;wsp:rsid wsp:val=&quot;2335523F&quot;/&gt;&lt;wsp:rsid wsp:val=&quot;23360FB7&quot;/&gt;&lt;wsp:rsid wsp:val=&quot;23362D65&quot;/&gt;&lt;wsp:rsid wsp:val=&quot;233644C7&quot;/&gt;&lt;wsp:rsid wsp:val=&quot;2338088B&quot;/&gt;&lt;wsp:rsid wsp:val=&quot;233817E5&quot;/&gt;&lt;wsp:rsid wsp:val=&quot;23384D2F&quot;/&gt;&lt;wsp:rsid wsp:val=&quot;23395C89&quot;/&gt;&lt;wsp:rsid wsp:val=&quot;233A0AA7&quot;/&gt;&lt;wsp:rsid wsp:val=&quot;233A2855&quot;/&gt;&lt;wsp:rsid wsp:val=&quot;233B18FF&quot;/&gt;&lt;wsp:rsid wsp:val=&quot;233C28CB&quot;/&gt;&lt;wsp:rsid wsp:val=&quot;233D2346&quot;/&gt;&lt;wsp:rsid wsp:val=&quot;233D40F4&quot;/&gt;&lt;wsp:rsid wsp:val=&quot;233F28CD&quot;/&gt;&lt;wsp:rsid wsp:val=&quot;233F60BE&quot;/&gt;&lt;wsp:rsid wsp:val=&quot;233F7E6C&quot;/&gt;&lt;wsp:rsid wsp:val=&quot;23405992&quot;/&gt;&lt;wsp:rsid wsp:val=&quot;23411E36&quot;/&gt;&lt;wsp:rsid wsp:val=&quot;2342795C&quot;/&gt;&lt;wsp:rsid wsp:val=&quot;23446EF2&quot;/&gt;&lt;wsp:rsid wsp:val=&quot;2346744C&quot;/&gt;&lt;wsp:rsid wsp:val=&quot;23474F72&quot;/&gt;&lt;wsp:rsid wsp:val=&quot;23476D20&quot;/&gt;&lt;wsp:rsid wsp:val=&quot;234839B9&quot;/&gt;&lt;wsp:rsid wsp:val=&quot;23483ACC&quot;/&gt;&lt;wsp:rsid wsp:val=&quot;23490CEA&quot;/&gt;&lt;wsp:rsid wsp:val=&quot;23492A98&quot;/&gt;&lt;wsp:rsid wsp:val=&quot;234A05BF&quot;/&gt;&lt;wsp:rsid wsp:val=&quot;234C3850&quot;/&gt;&lt;wsp:rsid wsp:val=&quot;234C4337&quot;/&gt;&lt;wsp:rsid wsp:val=&quot;234E6301&quot;/&gt;&lt;wsp:rsid wsp:val=&quot;234F4B40&quot;/&gt;&lt;wsp:rsid wsp:val=&quot;235002CB&quot;/&gt;&lt;wsp:rsid wsp:val=&quot;235021D1&quot;/&gt;&lt;wsp:rsid wsp:val=&quot;23513661&quot;/&gt;&lt;wsp:rsid wsp:val=&quot;23521160&quot;/&gt;&lt;wsp:rsid wsp:val=&quot;23525258&quot;/&gt;&lt;wsp:rsid wsp:val=&quot;23531B69&quot;/&gt;&lt;wsp:rsid wsp:val=&quot;235356C5&quot;/&gt;&lt;wsp:rsid wsp:val=&quot;235651B5&quot;/&gt;&lt;wsp:rsid wsp:val=&quot;23566F63&quot;/&gt;&lt;wsp:rsid wsp:val=&quot;23576154&quot;/&gt;&lt;wsp:rsid wsp:val=&quot;23593283&quot;/&gt;&lt;wsp:rsid wsp:val=&quot;235947F0&quot;/&gt;&lt;wsp:rsid wsp:val=&quot;235A2EF8&quot;/&gt;&lt;wsp:rsid wsp:val=&quot;235B248E&quot;/&gt;&lt;wsp:rsid wsp:val=&quot;235B2E51&quot;/&gt;&lt;wsp:rsid wsp:val=&quot;235C0A1E&quot;/&gt;&lt;wsp:rsid wsp:val=&quot;235D02F2&quot;/&gt;&lt;wsp:rsid wsp:val=&quot;235D6544&quot;/&gt;&lt;wsp:rsid wsp:val=&quot;235F050E&quot;/&gt;&lt;wsp:rsid wsp:val=&quot;235F3807&quot;/&gt;&lt;wsp:rsid wsp:val=&quot;235F406A&quot;/&gt;&lt;wsp:rsid wsp:val=&quot;23641680&quot;/&gt;&lt;wsp:rsid wsp:val=&quot;236478D2&quot;/&gt;&lt;wsp:rsid wsp:val=&quot;236553F8&quot;/&gt;&lt;wsp:rsid wsp:val=&quot;236773C3&quot;/&gt;&lt;wsp:rsid wsp:val=&quot;23696C97&quot;/&gt;&lt;wsp:rsid wsp:val=&quot;236B2A0F&quot;/&gt;&lt;wsp:rsid wsp:val=&quot;236C2E3A&quot;/&gt;&lt;wsp:rsid wsp:val=&quot;236E0751&quot;/&gt;&lt;wsp:rsid wsp:val=&quot;237044C9&quot;/&gt;&lt;wsp:rsid wsp:val=&quot;23706277&quot;/&gt;&lt;wsp:rsid wsp:val=&quot;23713D9D&quot;/&gt;&lt;wsp:rsid wsp:val=&quot;23755842&quot;/&gt;&lt;wsp:rsid wsp:val=&quot;23757D31&quot;/&gt;&lt;wsp:rsid wsp:val=&quot;237613B4&quot;/&gt;&lt;wsp:rsid wsp:val=&quot;23766ABD&quot;/&gt;&lt;wsp:rsid wsp:val=&quot;23784951&quot;/&gt;&lt;wsp:rsid wsp:val=&quot;237A0EA4&quot;/&gt;&lt;wsp:rsid wsp:val=&quot;237A70F6&quot;/&gt;&lt;wsp:rsid wsp:val=&quot;237C10C0&quot;/&gt;&lt;wsp:rsid wsp:val=&quot;237C661D&quot;/&gt;&lt;wsp:rsid wsp:val=&quot;237E524F&quot;/&gt;&lt;wsp:rsid wsp:val=&quot;23810FFF&quot;/&gt;&lt;wsp:rsid wsp:val=&quot;238166D6&quot;/&gt;&lt;wsp:rsid wsp:val=&quot;23827D58&quot;/&gt;&lt;wsp:rsid wsp:val=&quot;23841D23&quot;/&gt;&lt;wsp:rsid wsp:val=&quot;23841DA8&quot;/&gt;&lt;wsp:rsid wsp:val=&quot;23843AD1&quot;/&gt;&lt;wsp:rsid wsp:val=&quot;23846E58&quot;/&gt;&lt;wsp:rsid wsp:val=&quot;23847F75&quot;/&gt;&lt;wsp:rsid wsp:val=&quot;238612AD&quot;/&gt;&lt;wsp:rsid wsp:val=&quot;23863CED&quot;/&gt;&lt;wsp:rsid wsp:val=&quot;23865A9B&quot;/&gt;&lt;wsp:rsid wsp:val=&quot;2386783E&quot;/&gt;&lt;wsp:rsid wsp:val=&quot;23887A65&quot;/&gt;&lt;wsp:rsid wsp:val=&quot;23890495&quot;/&gt;&lt;wsp:rsid wsp:val=&quot;23891DF0&quot;/&gt;&lt;wsp:rsid wsp:val=&quot;238B4E5F&quot;/&gt;&lt;wsp:rsid wsp:val=&quot;238C2C77&quot;/&gt;&lt;wsp:rsid wsp:val=&quot;238C6E29&quot;/&gt;&lt;wsp:rsid wsp:val=&quot;238D37BF&quot;/&gt;&lt;wsp:rsid wsp:val=&quot;23910AF4&quot;/&gt;&lt;wsp:rsid wsp:val=&quot;23922691&quot;/&gt;&lt;wsp:rsid wsp:val=&quot;2392443F&quot;/&gt;&lt;wsp:rsid wsp:val=&quot;23952182&quot;/&gt;&lt;wsp:rsid wsp:val=&quot;23953F30&quot;/&gt;&lt;wsp:rsid wsp:val=&quot;23963804&quot;/&gt;&lt;wsp:rsid wsp:val=&quot;23977CA8&quot;/&gt;&lt;wsp:rsid wsp:val=&quot;2398757C&quot;/&gt;&lt;wsp:rsid wsp:val=&quot;239A1546&quot;/&gt;&lt;wsp:rsid wsp:val=&quot;239A32F4&quot;/&gt;&lt;wsp:rsid wsp:val=&quot;239C52BE&quot;/&gt;&lt;wsp:rsid wsp:val=&quot;239D1036&quot;/&gt;&lt;wsp:rsid wsp:val=&quot;239D2DE4&quot;/&gt;&lt;wsp:rsid wsp:val=&quot;239E21FE&quot;/&gt;&lt;wsp:rsid wsp:val=&quot;23A10B26&quot;/&gt;&lt;wsp:rsid wsp:val=&quot;23A3664D&quot;/&gt;&lt;wsp:rsid wsp:val=&quot;23A3680E&quot;/&gt;&lt;wsp:rsid wsp:val=&quot;23A44173&quot;/&gt;&lt;wsp:rsid wsp:val=&quot;23A777BF&quot;/&gt;&lt;wsp:rsid wsp:val=&quot;23A80CA6&quot;/&gt;&lt;wsp:rsid wsp:val=&quot;23A957E6&quot;/&gt;&lt;wsp:rsid wsp:val=&quot;23AA169B&quot;/&gt;&lt;wsp:rsid wsp:val=&quot;23AB72AF&quot;/&gt;&lt;wsp:rsid wsp:val=&quot;23AC0E53&quot;/&gt;&lt;wsp:rsid wsp:val=&quot;23AD74CB&quot;/&gt;&lt;wsp:rsid wsp:val=&quot;23AE6D9F&quot;/&gt;&lt;wsp:rsid wsp:val=&quot;23B02B18&quot;/&gt;&lt;wsp:rsid wsp:val=&quot;23B24AE2&quot;/&gt;&lt;wsp:rsid wsp:val=&quot;23B26890&quot;/&gt;&lt;wsp:rsid wsp:val=&quot;23B32608&quot;/&gt;&lt;wsp:rsid wsp:val=&quot;23B4085A&quot;/&gt;&lt;wsp:rsid wsp:val=&quot;23B75C54&quot;/&gt;&lt;wsp:rsid wsp:val=&quot;23B86660&quot;/&gt;&lt;wsp:rsid wsp:val=&quot;23B87C1E&quot;/&gt;&lt;wsp:rsid wsp:val=&quot;23B91A9E&quot;/&gt;&lt;wsp:rsid wsp:val=&quot;23BA1BE8&quot;/&gt;&lt;wsp:rsid wsp:val=&quot;23BC51F1&quot;/&gt;&lt;wsp:rsid wsp:val=&quot;23BF0BC5&quot;/&gt;&lt;wsp:rsid wsp:val=&quot;23BF0FAD&quot;/&gt;&lt;wsp:rsid wsp:val=&quot;23BF2D5B&quot;/&gt;&lt;wsp:rsid wsp:val=&quot;23C10881&quot;/&gt;&lt;wsp:rsid wsp:val=&quot;23C12F77&quot;/&gt;&lt;wsp:rsid wsp:val=&quot;23C2284B&quot;/&gt;&lt;wsp:rsid wsp:val=&quot;23C245F9&quot;/&gt;&lt;wsp:rsid wsp:val=&quot;23C40371&quot;/&gt;&lt;wsp:rsid wsp:val=&quot;23C44815&quot;/&gt;&lt;wsp:rsid wsp:val=&quot;23C465C3&quot;/&gt;&lt;wsp:rsid wsp:val=&quot;23C53D41&quot;/&gt;&lt;wsp:rsid wsp:val=&quot;23C57FBE&quot;/&gt;&lt;wsp:rsid wsp:val=&quot;23C640E9&quot;/&gt;&lt;wsp:rsid wsp:val=&quot;23C860B3&quot;/&gt;&lt;wsp:rsid wsp:val=&quot;23C87E61&quot;/&gt;&lt;wsp:rsid wsp:val=&quot;23CA0100&quot;/&gt;&lt;wsp:rsid wsp:val=&quot;23CB16FF&quot;/&gt;&lt;wsp:rsid wsp:val=&quot;23CB5BA3&quot;/&gt;&lt;wsp:rsid wsp:val=&quot;23CD36CA&quot;/&gt;&lt;wsp:rsid wsp:val=&quot;23CE11F0&quot;/&gt;&lt;wsp:rsid wsp:val=&quot;23CE2811&quot;/&gt;&lt;wsp:rsid wsp:val=&quot;23D02696&quot;/&gt;&lt;wsp:rsid wsp:val=&quot;23D031BA&quot;/&gt;&lt;wsp:rsid wsp:val=&quot;23D245E4&quot;/&gt;&lt;wsp:rsid wsp:val=&quot;23D26F32&quot;/&gt;&lt;wsp:rsid wsp:val=&quot;23D305B4&quot;/&gt;&lt;wsp:rsid wsp:val=&quot;23D34A58&quot;/&gt;&lt;wsp:rsid wsp:val=&quot;23D36806&quot;/&gt;&lt;wsp:rsid wsp:val=&quot;23D42CAA&quot;/&gt;&lt;wsp:rsid wsp:val=&quot;23D507D0&quot;/&gt;&lt;wsp:rsid wsp:val=&quot;23D74548&quot;/&gt;&lt;wsp:rsid wsp:val=&quot;23DA1943&quot;/&gt;&lt;wsp:rsid wsp:val=&quot;23DA7B95&quot;/&gt;&lt;wsp:rsid wsp:val=&quot;23DE1C48&quot;/&gt;&lt;wsp:rsid wsp:val=&quot;23DE5576&quot;/&gt;&lt;wsp:rsid wsp:val=&quot;23E1714E&quot;/&gt;&lt;wsp:rsid wsp:val=&quot;23E3589A&quot;/&gt;&lt;wsp:rsid wsp:val=&quot;23E40A13&quot;/&gt;&lt;wsp:rsid wsp:val=&quot;23E427C1&quot;/&gt;&lt;wsp:rsid wsp:val=&quot;23E660C1&quot;/&gt;&lt;wsp:rsid wsp:val=&quot;23E66539&quot;/&gt;&lt;wsp:rsid wsp:val=&quot;23E9602A&quot;/&gt;&lt;wsp:rsid wsp:val=&quot;23E97DD8&quot;/&gt;&lt;wsp:rsid wsp:val=&quot;23ED1676&quot;/&gt;&lt;wsp:rsid wsp:val=&quot;23ED46EB&quot;/&gt;&lt;wsp:rsid wsp:val=&quot;23ED5B1A&quot;/&gt;&lt;wsp:rsid wsp:val=&quot;23EE3640&quot;/&gt;&lt;wsp:rsid wsp:val=&quot;23F0560A&quot;/&gt;&lt;wsp:rsid wsp:val=&quot;23F24EDE&quot;/&gt;&lt;wsp:rsid wsp:val=&quot;23F37E91&quot;/&gt;&lt;wsp:rsid wsp:val=&quot;23F5732E&quot;/&gt;&lt;wsp:rsid wsp:val=&quot;23F66979&quot;/&gt;&lt;wsp:rsid wsp:val=&quot;23F70746&quot;/&gt;&lt;wsp:rsid wsp:val=&quot;23F85E1A&quot;/&gt;&lt;wsp:rsid wsp:val=&quot;23F93B71&quot;/&gt;&lt;wsp:rsid wsp:val=&quot;23F944BF&quot;/&gt;&lt;wsp:rsid wsp:val=&quot;23FA0D14&quot;/&gt;&lt;wsp:rsid wsp:val=&quot;23FC1649&quot;/&gt;&lt;wsp:rsid wsp:val=&quot;23FE7D27&quot;/&gt;&lt;wsp:rsid wsp:val=&quot;23FF75FB&quot;/&gt;&lt;wsp:rsid wsp:val=&quot;240115C5&quot;/&gt;&lt;wsp:rsid wsp:val=&quot;240210CD&quot;/&gt;&lt;wsp:rsid wsp:val=&quot;240370EB&quot;/&gt;&lt;wsp:rsid wsp:val=&quot;24042E63&quot;/&gt;&lt;wsp:rsid wsp:val=&quot;240510B5&quot;/&gt;&lt;wsp:rsid wsp:val=&quot;24053736&quot;/&gt;&lt;wsp:rsid wsp:val=&quot;24061B78&quot;/&gt;&lt;wsp:rsid wsp:val=&quot;2409047A&quot;/&gt;&lt;wsp:rsid wsp:val=&quot;24094C88&quot;/&gt;&lt;wsp:rsid wsp:val=&quot;240A66CC&quot;/&gt;&lt;wsp:rsid wsp:val=&quot;24102A4E&quot;/&gt;&lt;wsp:rsid wsp:val=&quot;24107A5A&quot;/&gt;&lt;wsp:rsid wsp:val=&quot;24111CD9&quot;/&gt;&lt;wsp:rsid wsp:val=&quot;24134E54&quot;/&gt;&lt;wsp:rsid wsp:val=&quot;241430A6&quot;/&gt;&lt;wsp:rsid wsp:val=&quot;24150BCD&quot;/&gt;&lt;wsp:rsid wsp:val=&quot;2419690F&quot;/&gt;&lt;wsp:rsid wsp:val=&quot;241A4435&quot;/&gt;&lt;wsp:rsid wsp:val=&quot;241C01AD&quot;/&gt;&lt;wsp:rsid wsp:val=&quot;241C1F5B&quot;/&gt;&lt;wsp:rsid wsp:val=&quot;241E2177&quot;/&gt;&lt;wsp:rsid wsp:val=&quot;242332EA&quot;/&gt;&lt;wsp:rsid wsp:val=&quot;24253506&quot;/&gt;&lt;wsp:rsid wsp:val=&quot;24264B88&quot;/&gt;&lt;wsp:rsid wsp:val=&quot;242816A1&quot;/&gt;&lt;wsp:rsid wsp:val=&quot;24284DA4&quot;/&gt;&lt;wsp:rsid wsp:val=&quot;24285550&quot;/&gt;&lt;wsp:rsid wsp:val=&quot;24295A04&quot;/&gt;&lt;wsp:rsid wsp:val=&quot;242A28CA&quot;/&gt;&lt;wsp:rsid wsp:val=&quot;242B6642&quot;/&gt;&lt;wsp:rsid wsp:val=&quot;242D14B2&quot;/&gt;&lt;wsp:rsid wsp:val=&quot;242D24F0&quot;/&gt;&lt;wsp:rsid wsp:val=&quot;242D5F16&quot;/&gt;&lt;wsp:rsid wsp:val=&quot;242F7EE0&quot;/&gt;&lt;wsp:rsid wsp:val=&quot;24303C58&quot;/&gt;&lt;wsp:rsid wsp:val=&quot;24311EAA&quot;/&gt;&lt;wsp:rsid wsp:val=&quot;2432177F&quot;/&gt;&lt;wsp:rsid wsp:val=&quot;243279D1&quot;/&gt;&lt;wsp:rsid wsp:val=&quot;243472A5&quot;/&gt;&lt;wsp:rsid wsp:val=&quot;2436209C&quot;/&gt;&lt;wsp:rsid wsp:val=&quot;243674C1&quot;/&gt;&lt;wsp:rsid wsp:val=&quot;24392B0D&quot;/&gt;&lt;wsp:rsid wsp:val=&quot;243A525D&quot;/&gt;&lt;wsp:rsid wsp:val=&quot;243A6885&quot;/&gt;&lt;wsp:rsid wsp:val=&quot;243C25FD&quot;/&gt;&lt;wsp:rsid wsp:val=&quot;243C2F8D&quot;/&gt;&lt;wsp:rsid wsp:val=&quot;243D04AF&quot;/&gt;&lt;wsp:rsid wsp:val=&quot;243E6375&quot;/&gt;&lt;wsp:rsid wsp:val=&quot;243F4D56&quot;/&gt;&lt;wsp:rsid wsp:val=&quot;24425E3B&quot;/&gt;&lt;wsp:rsid wsp:val=&quot;24434A5C&quot;/&gt;&lt;wsp:rsid wsp:val=&quot;24443260&quot;/&gt;&lt;wsp:rsid wsp:val=&quot;244A4D1A&quot;/&gt;&lt;wsp:rsid wsp:val=&quot;244B1E69&quot;/&gt;&lt;wsp:rsid wsp:val=&quot;244D480A&quot;/&gt;&lt;wsp:rsid wsp:val=&quot;245265B7&quot;/&gt;&lt;wsp:rsid wsp:val=&quot;2454306B&quot;/&gt;&lt;wsp:rsid wsp:val=&quot;24545B99&quot;/&gt;&lt;wsp:rsid wsp:val=&quot;24561B4D&quot;/&gt;&lt;wsp:rsid wsp:val=&quot;24577437&quot;/&gt;&lt;wsp:rsid wsp:val=&quot;2458446D&quot;/&gt;&lt;wsp:rsid wsp:val=&quot;245931AF&quot;/&gt;&lt;wsp:rsid wsp:val=&quot;245A04CE&quot;/&gt;&lt;wsp:rsid wsp:val=&quot;245C2C9F&quot;/&gt;&lt;wsp:rsid wsp:val=&quot;245C67FB&quot;/&gt;&lt;wsp:rsid wsp:val=&quot;245C7023&quot;/&gt;&lt;wsp:rsid wsp:val=&quot;245D6108&quot;/&gt;&lt;wsp:rsid wsp:val=&quot;245E4322&quot;/&gt;&lt;wsp:rsid wsp:val=&quot;24612064&quot;/&gt;&lt;wsp:rsid wsp:val=&quot;24632CC1&quot;/&gt;&lt;wsp:rsid wsp:val=&quot;24633790&quot;/&gt;&lt;wsp:rsid wsp:val=&quot;2463402E&quot;/&gt;&lt;wsp:rsid wsp:val=&quot;24661428&quot;/&gt;&lt;wsp:rsid wsp:val=&quot;246758CC&quot;/&gt;&lt;wsp:rsid wsp:val=&quot;24677167&quot;/&gt;&lt;wsp:rsid wsp:val=&quot;24681644&quot;/&gt;&lt;wsp:rsid wsp:val=&quot;246833F2&quot;/&gt;&lt;wsp:rsid wsp:val=&quot;246851A0&quot;/&gt;&lt;wsp:rsid wsp:val=&quot;246856A3&quot;/&gt;&lt;wsp:rsid wsp:val=&quot;246C03EF&quot;/&gt;&lt;wsp:rsid wsp:val=&quot;246C2EE2&quot;/&gt;&lt;wsp:rsid wsp:val=&quot;246D0A09&quot;/&gt;&lt;wsp:rsid wsp:val=&quot;246D6C5B&quot;/&gt;&lt;wsp:rsid wsp:val=&quot;246E7DD4&quot;/&gt;&lt;wsp:rsid wsp:val=&quot;246F29D3&quot;/&gt;&lt;wsp:rsid wsp:val=&quot;246F652F&quot;/&gt;&lt;wsp:rsid wsp:val=&quot;24704055&quot;/&gt;&lt;wsp:rsid wsp:val=&quot;2471674B&quot;/&gt;&lt;wsp:rsid wsp:val=&quot;24727BE5&quot;/&gt;&lt;wsp:rsid wsp:val=&quot;24741D97&quot;/&gt;&lt;wsp:rsid wsp:val=&quot;24753802&quot;/&gt;&lt;wsp:rsid wsp:val=&quot;24773635&quot;/&gt;&lt;wsp:rsid wsp:val=&quot;2479115B&quot;/&gt;&lt;wsp:rsid wsp:val=&quot;247965B0&quot;/&gt;&lt;wsp:rsid wsp:val=&quot;247966B3&quot;/&gt;&lt;wsp:rsid wsp:val=&quot;247973AD&quot;/&gt;&lt;wsp:rsid wsp:val=&quot;247B1BF4&quot;/&gt;&lt;wsp:rsid wsp:val=&quot;247B4ED4&quot;/&gt;&lt;wsp:rsid wsp:val=&quot;247D4CF8&quot;/&gt;&lt;wsp:rsid wsp:val=&quot;247D50F0&quot;/&gt;&lt;wsp:rsid wsp:val=&quot;247E6772&quot;/&gt;&lt;wsp:rsid wsp:val=&quot;2480698E&quot;/&gt;&lt;wsp:rsid wsp:val=&quot;24816262&quot;/&gt;&lt;wsp:rsid wsp:val=&quot;248322AB&quot;/&gt;&lt;wsp:rsid wsp:val=&quot;24855D52&quot;/&gt;&lt;wsp:rsid wsp:val=&quot;24861ACA&quot;/&gt;&lt;wsp:rsid wsp:val=&quot;24883A94&quot;/&gt;&lt;wsp:rsid wsp:val=&quot;24885842&quot;/&gt;&lt;wsp:rsid wsp:val=&quot;248A15BB&quot;/&gt;&lt;wsp:rsid wsp:val=&quot;248A5117&quot;/&gt;&lt;wsp:rsid wsp:val=&quot;248B0D95&quot;/&gt;&lt;wsp:rsid wsp:val=&quot;248B1ECD&quot;/&gt;&lt;wsp:rsid wsp:val=&quot;248D10AB&quot;/&gt;&lt;wsp:rsid wsp:val=&quot;248D2E59&quot;/&gt;&lt;wsp:rsid wsp:val=&quot;248E1534&quot;/&gt;&lt;wsp:rsid wsp:val=&quot;248F076C&quot;/&gt;&lt;wsp:rsid wsp:val=&quot;248F4E23&quot;/&gt;&lt;wsp:rsid wsp:val=&quot;24922B77&quot;/&gt;&lt;wsp:rsid wsp:val=&quot;249266C1&quot;/&gt;&lt;wsp:rsid wsp:val=&quot;24960699&quot;/&gt;&lt;wsp:rsid wsp:val=&quot;24970470&quot;/&gt;&lt;wsp:rsid wsp:val=&quot;249776D4&quot;/&gt;&lt;wsp:rsid wsp:val=&quot;24997A50&quot;/&gt;&lt;wsp:rsid wsp:val=&quot;249B37C8&quot;/&gt;&lt;wsp:rsid wsp:val=&quot;249B5576&quot;/&gt;&lt;wsp:rsid wsp:val=&quot;249D12EE&quot;/&gt;&lt;wsp:rsid wsp:val=&quot;249D1730&quot;/&gt;&lt;wsp:rsid wsp:val=&quot;249D4C1D&quot;/&gt;&lt;wsp:rsid wsp:val=&quot;249E0BC2&quot;/&gt;&lt;wsp:rsid wsp:val=&quot;24A04DA1&quot;/&gt;&lt;wsp:rsid wsp:val=&quot;24A04DBD&quot;/&gt;&lt;wsp:rsid wsp:val=&quot;24A26904&quot;/&gt;&lt;wsp:rsid wsp:val=&quot;24A3267C&quot;/&gt;&lt;wsp:rsid wsp:val=&quot;24A415E4&quot;/&gt;&lt;wsp:rsid wsp:val=&quot;24A51F50&quot;/&gt;&lt;wsp:rsid wsp:val=&quot;24A63F04&quot;/&gt;&lt;wsp:rsid wsp:val=&quot;24A65CC9&quot;/&gt;&lt;wsp:rsid wsp:val=&quot;24AA68E6&quot;/&gt;&lt;wsp:rsid wsp:val=&quot;24AE34FB&quot;/&gt;&lt;wsp:rsid wsp:val=&quot;24B102DB&quot;/&gt;&lt;wsp:rsid wsp:val=&quot;24B16B47&quot;/&gt;&lt;wsp:rsid wsp:val=&quot;24B47998&quot;/&gt;&lt;wsp:rsid wsp:val=&quot;24B93C4E&quot;/&gt;&lt;wsp:rsid wsp:val=&quot;24BB5C18&quot;/&gt;&lt;wsp:rsid wsp:val=&quot;24BD373E&quot;/&gt;&lt;wsp:rsid wsp:val=&quot;24BE2528&quot;/&gt;&lt;wsp:rsid wsp:val=&quot;24BF09F7&quot;/&gt;&lt;wsp:rsid wsp:val=&quot;24C0322E&quot;/&gt;&lt;wsp:rsid wsp:val=&quot;24C06D8A&quot;/&gt;&lt;wsp:rsid wsp:val=&quot;24C30629&quot;/&gt;&lt;wsp:rsid wsp:val=&quot;24C3087B&quot;/&gt;&lt;wsp:rsid wsp:val=&quot;24C3328E&quot;/&gt;&lt;wsp:rsid wsp:val=&quot;24C573A0&quot;/&gt;&lt;wsp:rsid wsp:val=&quot;24C745BD&quot;/&gt;&lt;wsp:rsid wsp:val=&quot;24C820E3&quot;/&gt;&lt;wsp:rsid wsp:val=&quot;24CA19B7&quot;/&gt;&lt;wsp:rsid wsp:val=&quot;24CC07F0&quot;/&gt;&lt;wsp:rsid wsp:val=&quot;24CC572F&quot;/&gt;&lt;wsp:rsid wsp:val=&quot;24CC5C1F&quot;/&gt;&lt;wsp:rsid wsp:val=&quot;24CD1292&quot;/&gt;&lt;wsp:rsid wsp:val=&quot;24CD14A7&quot;/&gt;&lt;wsp:rsid wsp:val=&quot;24CE594B&quot;/&gt;&lt;wsp:rsid wsp:val=&quot;24CF1C50&quot;/&gt;&lt;wsp:rsid wsp:val=&quot;24CF521F&quot;/&gt;&lt;wsp:rsid wsp:val=&quot;24D10F97&quot;/&gt;&lt;wsp:rsid wsp:val=&quot;24D10FB3&quot;/&gt;&lt;wsp:rsid wsp:val=&quot;24D25CCF&quot;/&gt;&lt;wsp:rsid wsp:val=&quot;24D26ABE&quot;/&gt;&lt;wsp:rsid wsp:val=&quot;24D34D10&quot;/&gt;&lt;wsp:rsid wsp:val=&quot;24D42836&quot;/&gt;&lt;wsp:rsid wsp:val=&quot;24D740D4&quot;/&gt;&lt;wsp:rsid wsp:val=&quot;24D90223&quot;/&gt;&lt;wsp:rsid wsp:val=&quot;24D97C08&quot;/&gt;&lt;wsp:rsid wsp:val=&quot;24DB0068&quot;/&gt;&lt;wsp:rsid wsp:val=&quot;24DB3BC4&quot;/&gt;&lt;wsp:rsid wsp:val=&quot;24DC16EA&quot;/&gt;&lt;wsp:rsid wsp:val=&quot;24E0742D&quot;/&gt;&lt;wsp:rsid wsp:val=&quot;24E32A79&quot;/&gt;&lt;wsp:rsid wsp:val=&quot;24E52C95&quot;/&gt;&lt;wsp:rsid wsp:val=&quot;24E54A43&quot;/&gt;&lt;wsp:rsid wsp:val=&quot;24E6133A&quot;/&gt;&lt;wsp:rsid wsp:val=&quot;24E94533&quot;/&gt;&lt;wsp:rsid wsp:val=&quot;24EA3E07&quot;/&gt;&lt;wsp:rsid wsp:val=&quot;24EE1B49&quot;/&gt;&lt;wsp:rsid wsp:val=&quot;24F01F86&quot;/&gt;&lt;wsp:rsid wsp:val=&quot;24F1163A&quot;/&gt;&lt;wsp:rsid wsp:val=&quot;24F353B2&quot;/&gt;&lt;wsp:rsid wsp:val=&quot;24F37160&quot;/&gt;&lt;wsp:rsid wsp:val=&quot;24F609FE&quot;/&gt;&lt;wsp:rsid wsp:val=&quot;24F86524&quot;/&gt;&lt;wsp:rsid wsp:val=&quot;24F904EE&quot;/&gt;&lt;wsp:rsid wsp:val=&quot;24FB4266&quot;/&gt;&lt;wsp:rsid wsp:val=&quot;24FB7DC2&quot;/&gt;&lt;wsp:rsid wsp:val=&quot;24FD3B3B&quot;/&gt;&lt;wsp:rsid wsp:val=&quot;24FE5B05&quot;/&gt;&lt;wsp:rsid wsp:val=&quot;2500362B&quot;/&gt;&lt;wsp:rsid wsp:val=&quot;2503462D&quot;/&gt;&lt;wsp:rsid wsp:val=&quot;25040928&quot;/&gt;&lt;wsp:rsid wsp:val=&quot;25050981&quot;/&gt;&lt;wsp:rsid wsp:val=&quot;25072C0B&quot;/&gt;&lt;wsp:rsid wsp:val=&quot;250A6257&quot;/&gt;&lt;wsp:rsid wsp:val=&quot;250C6474&quot;/&gt;&lt;wsp:rsid wsp:val=&quot;250D7A7E&quot;/&gt;&lt;wsp:rsid wsp:val=&quot;250E3F9A&quot;/&gt;&lt;wsp:rsid wsp:val=&quot;250E5D48&quot;/&gt;&lt;wsp:rsid wsp:val=&quot;250E7A49&quot;/&gt;&lt;wsp:rsid wsp:val=&quot;250F386E&quot;/&gt;&lt;wsp:rsid wsp:val=&quot;25115838&quot;/&gt;&lt;wsp:rsid wsp:val=&quot;251315B0&quot;/&gt;&lt;wsp:rsid wsp:val=&quot;25131844&quot;/&gt;&lt;wsp:rsid wsp:val=&quot;2513335E&quot;/&gt;&lt;wsp:rsid wsp:val=&quot;25137802&quot;/&gt;&lt;wsp:rsid wsp:val=&quot;25140E84&quot;/&gt;&lt;wsp:rsid wsp:val=&quot;25145328&quot;/&gt;&lt;wsp:rsid wsp:val=&quot;25162E4E&quot;/&gt;&lt;wsp:rsid wsp:val=&quot;25184E18&quot;/&gt;&lt;wsp:rsid wsp:val=&quot;251946ED&quot;/&gt;&lt;wsp:rsid wsp:val=&quot;251B2213&quot;/&gt;&lt;wsp:rsid wsp:val=&quot;251C5778&quot;/&gt;&lt;wsp:rsid wsp:val=&quot;251D5F8B&quot;/&gt;&lt;wsp:rsid wsp:val=&quot;251D70E5&quot;/&gt;&lt;wsp:rsid wsp:val=&quot;252029B8&quot;/&gt;&lt;wsp:rsid wsp:val=&quot;25207829&quot;/&gt;&lt;wsp:rsid wsp:val=&quot;25213E48&quot;/&gt;&lt;wsp:rsid wsp:val=&quot;2526682A&quot;/&gt;&lt;wsp:rsid wsp:val=&quot;2527505B&quot;/&gt;&lt;wsp:rsid wsp:val=&quot;25276E09&quot;/&gt;&lt;wsp:rsid wsp:val=&quot;25284930&quot;/&gt;&lt;wsp:rsid wsp:val=&quot;252B4B4C&quot;/&gt;&lt;wsp:rsid wsp:val=&quot;252C2672&quot;/&gt;&lt;wsp:rsid wsp:val=&quot;252D53FE&quot;/&gt;&lt;wsp:rsid wsp:val=&quot;252E0198&quot;/&gt;&lt;wsp:rsid wsp:val=&quot;252E1F46&quot;/&gt;&lt;wsp:rsid wsp:val=&quot;252F5CBE&quot;/&gt;&lt;wsp:rsid wsp:val=&quot;25304E39&quot;/&gt;&lt;wsp:rsid wsp:val=&quot;25333A00&quot;/&gt;&lt;wsp:rsid wsp:val=&quot;253357AE&quot;/&gt;&lt;wsp:rsid wsp:val=&quot;2533755C&quot;/&gt;&lt;wsp:rsid wsp:val=&quot;25357778&quot;/&gt;&lt;wsp:rsid wsp:val=&quot;25382DC5&quot;/&gt;&lt;wsp:rsid wsp:val=&quot;253A4D8F&quot;/&gt;&lt;wsp:rsid wsp:val=&quot;253B2191&quot;/&gt;&lt;wsp:rsid wsp:val=&quot;253B28B5&quot;/&gt;&lt;wsp:rsid wsp:val=&quot;253C797D&quot;/&gt;&lt;wsp:rsid wsp:val=&quot;253D662D&quot;/&gt;&lt;wsp:rsid wsp:val=&quot;253F05F7&quot;/&gt;&lt;wsp:rsid wsp:val=&quot;253F4153&quot;/&gt;&lt;wsp:rsid wsp:val=&quot;2540170A&quot;/&gt;&lt;wsp:rsid wsp:val=&quot;25401C79&quot;/&gt;&lt;wsp:rsid wsp:val=&quot;25407ECB&quot;/&gt;&lt;wsp:rsid wsp:val=&quot;25421E95&quot;/&gt;&lt;wsp:rsid wsp:val=&quot;25453733&quot;/&gt;&lt;wsp:rsid wsp:val=&quot;254C6870&quot;/&gt;&lt;wsp:rsid wsp:val=&quot;254E0756&quot;/&gt;&lt;wsp:rsid wsp:val=&quot;254E25E8&quot;/&gt;&lt;wsp:rsid wsp:val=&quot;254F010E&quot;/&gt;&lt;wsp:rsid wsp:val=&quot;255046A7&quot;/&gt;&lt;wsp:rsid wsp:val=&quot;255120D8&quot;/&gt;&lt;wsp:rsid wsp:val=&quot;25513E86&quot;/&gt;&lt;wsp:rsid wsp:val=&quot;25537BFE&quot;/&gt;&lt;wsp:rsid wsp:val=&quot;25551BC9&quot;/&gt;&lt;wsp:rsid wsp:val=&quot;2556149D&quot;/&gt;&lt;wsp:rsid wsp:val=&quot;255641A7&quot;/&gt;&lt;wsp:rsid wsp:val=&quot;25565941&quot;/&gt;&lt;wsp:rsid wsp:val=&quot;255676EF&quot;/&gt;&lt;wsp:rsid wsp:val=&quot;25586A2F&quot;/&gt;&lt;wsp:rsid wsp:val=&quot;255A0F8D&quot;/&gt;&lt;wsp:rsid wsp:val=&quot;255B2F57&quot;/&gt;&lt;wsp:rsid wsp:val=&quot;255B4D05&quot;/&gt;&lt;wsp:rsid wsp:val=&quot;255D592E&quot;/&gt;&lt;wsp:rsid wsp:val=&quot;255F47F5&quot;/&gt;&lt;wsp:rsid wsp:val=&quot;25600F79&quot;/&gt;&lt;wsp:rsid wsp:val=&quot;256040C9&quot;/&gt;&lt;wsp:rsid wsp:val=&quot;256112DB&quot;/&gt;&lt;wsp:rsid wsp:val=&quot;256242E5&quot;/&gt;&lt;wsp:rsid wsp:val=&quot;25627E42&quot;/&gt;&lt;wsp:rsid wsp:val=&quot;256476B6&quot;/&gt;&lt;wsp:rsid wsp:val=&quot;2567514D&quot;/&gt;&lt;wsp:rsid wsp:val=&quot;25695674&quot;/&gt;&lt;wsp:rsid wsp:val=&quot;25697422&quot;/&gt;&lt;wsp:rsid wsp:val=&quot;256B7A37&quot;/&gt;&lt;wsp:rsid wsp:val=&quot;256C2A6E&quot;/&gt;&lt;wsp:rsid wsp:val=&quot;256C6F12&quot;/&gt;&lt;wsp:rsid wsp:val=&quot;256D6D51&quot;/&gt;&lt;wsp:rsid wsp:val=&quot;256E38EB&quot;/&gt;&lt;wsp:rsid wsp:val=&quot;256E4A38&quot;/&gt;&lt;wsp:rsid wsp:val=&quot;256E67E6&quot;/&gt;&lt;wsp:rsid wsp:val=&quot;256F255E&quot;/&gt;&lt;wsp:rsid wsp:val=&quot;25706A02&quot;/&gt;&lt;wsp:rsid wsp:val=&quot;25722260&quot;/&gt;&lt;wsp:rsid wsp:val=&quot;2572431F&quot;/&gt;&lt;wsp:rsid wsp:val=&quot;257302A1&quot;/&gt;&lt;wsp:rsid wsp:val=&quot;2573204F&quot;/&gt;&lt;wsp:rsid wsp:val=&quot;25733DFD&quot;/&gt;&lt;wsp:rsid wsp:val=&quot;25754019&quot;/&gt;&lt;wsp:rsid wsp:val=&quot;257858B7&quot;/&gt;&lt;wsp:rsid wsp:val=&quot;25787665&quot;/&gt;&lt;wsp:rsid wsp:val=&quot;257B0F03&quot;/&gt;&lt;wsp:rsid wsp:val=&quot;257F27A2&quot;/&gt;&lt;wsp:rsid wsp:val=&quot;257F6C45&quot;/&gt;&lt;wsp:rsid wsp:val=&quot;25826736&quot;/&gt;&lt;wsp:rsid wsp:val=&quot;25826799&quot;/&gt;&lt;wsp:rsid wsp:val=&quot;258424AE&quot;/&gt;&lt;wsp:rsid wsp:val=&quot;2584425C&quot;/&gt;&lt;wsp:rsid wsp:val=&quot;25880798&quot;/&gt;&lt;wsp:rsid wsp:val=&quot;25891872&quot;/&gt;&lt;wsp:rsid wsp:val=&quot;258B55EA&quot;/&gt;&lt;wsp:rsid wsp:val=&quot;258C0DDD&quot;/&gt;&lt;wsp:rsid wsp:val=&quot;258C59D8&quot;/&gt;&lt;wsp:rsid wsp:val=&quot;258D5C34&quot;/&gt;&lt;wsp:rsid wsp:val=&quot;258E6E89&quot;/&gt;&lt;wsp:rsid wsp:val=&quot;259049AF&quot;/&gt;&lt;wsp:rsid wsp:val=&quot;25910727&quot;/&gt;&lt;wsp:rsid wsp:val=&quot;259124D5&quot;/&gt;&lt;wsp:rsid wsp:val=&quot;259326F1&quot;/&gt;&lt;wsp:rsid wsp:val=&quot;2593449F&quot;/&gt;&lt;wsp:rsid wsp:val=&quot;2593624D&quot;/&gt;&lt;wsp:rsid wsp:val=&quot;259455FA&quot;/&gt;&lt;wsp:rsid wsp:val=&quot;25950217&quot;/&gt;&lt;wsp:rsid wsp:val=&quot;259721E1&quot;/&gt;&lt;wsp:rsid wsp:val=&quot;259B403D&quot;/&gt;&lt;wsp:rsid wsp:val=&quot;259C009E&quot;/&gt;&lt;wsp:rsid wsp:val=&quot;259C15A5&quot;/&gt;&lt;wsp:rsid wsp:val=&quot;259C77F7&quot;/&gt;&lt;wsp:rsid wsp:val=&quot;259D531E&quot;/&gt;&lt;wsp:rsid wsp:val=&quot;259E2E5A&quot;/&gt;&lt;wsp:rsid wsp:val=&quot;259F3E4E&quot;/&gt;&lt;wsp:rsid wsp:val=&quot;25A0096A&quot;/&gt;&lt;wsp:rsid wsp:val=&quot;25A052DE&quot;/&gt;&lt;wsp:rsid wsp:val=&quot;25A42208&quot;/&gt;&lt;wsp:rsid wsp:val=&quot;25A61866&quot;/&gt;&lt;wsp:rsid wsp:val=&quot;25A71CF8&quot;/&gt;&lt;wsp:rsid wsp:val=&quot;25A725E0&quot;/&gt;&lt;wsp:rsid wsp:val=&quot;25A769EE&quot;/&gt;&lt;wsp:rsid wsp:val=&quot;25A95A70&quot;/&gt;&lt;wsp:rsid wsp:val=&quot;25AB17E9&quot;/&gt;&lt;wsp:rsid wsp:val=&quot;25AB7A3A&quot;/&gt;&lt;wsp:rsid wsp:val=&quot;25AE3087&quot;/&gt;&lt;wsp:rsid wsp:val=&quot;25B12B77&quot;/&gt;&lt;wsp:rsid wsp:val=&quot;25B1777F&quot;/&gt;&lt;wsp:rsid wsp:val=&quot;25B82157&quot;/&gt;&lt;wsp:rsid wsp:val=&quot;25B849F4&quot;/&gt;&lt;wsp:rsid wsp:val=&quot;25BA7C7E&quot;/&gt;&lt;wsp:rsid wsp:val=&quot;25BC1C48&quot;/&gt;&lt;wsp:rsid wsp:val=&quot;25BC57A4&quot;/&gt;&lt;wsp:rsid wsp:val=&quot;25BF0E4C&quot;/&gt;&lt;wsp:rsid wsp:val=&quot;25C12DBA&quot;/&gt;&lt;wsp:rsid wsp:val=&quot;25C26B32&quot;/&gt;&lt;wsp:rsid wsp:val=&quot;25C32FD6&quot;/&gt;&lt;wsp:rsid wsp:val=&quot;25C4081F&quot;/&gt;&lt;wsp:rsid wsp:val=&quot;25C55B68&quot;/&gt;&lt;wsp:rsid wsp:val=&quot;25C61BC9&quot;/&gt;&lt;wsp:rsid wsp:val=&quot;25C66622&quot;/&gt;&lt;wsp:rsid wsp:val=&quot;25C77554&quot;/&gt;&lt;wsp:rsid wsp:val=&quot;25CB1E8B&quot;/&gt;&lt;wsp:rsid wsp:val=&quot;25CE197B&quot;/&gt;&lt;wsp:rsid wsp:val=&quot;25D23219&quot;/&gt;&lt;wsp:rsid wsp:val=&quot;25D24FC7&quot;/&gt;&lt;wsp:rsid wsp:val=&quot;25D30D3F&quot;/&gt;&lt;wsp:rsid wsp:val=&quot;25D56865&quot;/&gt;&lt;wsp:rsid wsp:val=&quot;25D61896&quot;/&gt;&lt;wsp:rsid wsp:val=&quot;25D93E01&quot;/&gt;&lt;wsp:rsid wsp:val=&quot;25DA20CE&quot;/&gt;&lt;wsp:rsid wsp:val=&quot;25DC295F&quot;/&gt;&lt;wsp:rsid wsp:val=&quot;25DC4098&quot;/&gt;&lt;wsp:rsid wsp:val=&quot;25E036D8&quot;/&gt;&lt;wsp:rsid wsp:val=&quot;25E1345C&quot;/&gt;&lt;wsp:rsid wsp:val=&quot;25E35426&quot;/&gt;&lt;wsp:rsid wsp:val=&quot;25E46AA9&quot;/&gt;&lt;wsp:rsid wsp:val=&quot;25E62821&quot;/&gt;&lt;wsp:rsid wsp:val=&quot;25E66CC5&quot;/&gt;&lt;wsp:rsid wsp:val=&quot;25E904C5&quot;/&gt;&lt;wsp:rsid wsp:val=&quot;25E90563&quot;/&gt;&lt;wsp:rsid wsp:val=&quot;25E940BF&quot;/&gt;&lt;wsp:rsid wsp:val=&quot;25EB42DB&quot;/&gt;&lt;wsp:rsid wsp:val=&quot;25EB5898&quot;/&gt;&lt;wsp:rsid wsp:val=&quot;25EB7E37&quot;/&gt;&lt;wsp:rsid wsp:val=&quot;25EC2D81&quot;/&gt;&lt;wsp:rsid wsp:val=&quot;25ED1E01&quot;/&gt;&lt;wsp:rsid wsp:val=&quot;25F24B85&quot;/&gt;&lt;wsp:rsid wsp:val=&quot;25F25669&quot;/&gt;&lt;wsp:rsid wsp:val=&quot;25F27417&quot;/&gt;&lt;wsp:rsid wsp:val=&quot;25F3318F&quot;/&gt;&lt;wsp:rsid wsp:val=&quot;25F34F1D&quot;/&gt;&lt;wsp:rsid wsp:val=&quot;25F36015&quot;/&gt;&lt;wsp:rsid wsp:val=&quot;25F43AB3&quot;/&gt;&lt;wsp:rsid wsp:val=&quot;25F52A64&quot;/&gt;&lt;wsp:rsid wsp:val=&quot;25F54C47&quot;/&gt;&lt;wsp:rsid wsp:val=&quot;25F5515A&quot;/&gt;&lt;wsp:rsid wsp:val=&quot;25F72C80&quot;/&gt;&lt;wsp:rsid wsp:val=&quot;25F82554&quot;/&gt;&lt;wsp:rsid wsp:val=&quot;25FC33D9&quot;/&gt;&lt;wsp:rsid wsp:val=&quot;25FC3DF2&quot;/&gt;&lt;wsp:rsid wsp:val=&quot;25FC7AAD&quot;/&gt;&lt;wsp:rsid wsp:val=&quot;25FD5DBC&quot;/&gt;&lt;wsp:rsid wsp:val=&quot;25FE400E&quot;/&gt;&lt;wsp:rsid wsp:val=&quot;260158AC&quot;/&gt;&lt;wsp:rsid wsp:val=&quot;2601765A&quot;/&gt;&lt;wsp:rsid wsp:val=&quot;26031625&quot;/&gt;&lt;wsp:rsid wsp:val=&quot;26040EF9&quot;/&gt;&lt;wsp:rsid wsp:val=&quot;2604714B&quot;/&gt;&lt;wsp:rsid wsp:val=&quot;260578BB&quot;/&gt;&lt;wsp:rsid wsp:val=&quot;2607705C&quot;/&gt;&lt;wsp:rsid wsp:val=&quot;26082FEA&quot;/&gt;&lt;wsp:rsid wsp:val=&quot;260B672B&quot;/&gt;&lt;wsp:rsid wsp:val=&quot;260D24A3&quot;/&gt;&lt;wsp:rsid wsp:val=&quot;260D4251&quot;/&gt;&lt;wsp:rsid wsp:val=&quot;260D5FFF&quot;/&gt;&lt;wsp:rsid wsp:val=&quot;26102CD7&quot;/&gt;&lt;wsp:rsid wsp:val=&quot;2610789E&quot;/&gt;&lt;wsp:rsid wsp:val=&quot;26121868&quot;/&gt;&lt;wsp:rsid wsp:val=&quot;26124F7C&quot;/&gt;&lt;wsp:rsid wsp:val=&quot;26151358&quot;/&gt;&lt;wsp:rsid wsp:val=&quot;26154EB4&quot;/&gt;&lt;wsp:rsid wsp:val=&quot;26163F80&quot;/&gt;&lt;wsp:rsid wsp:val=&quot;26192BF6&quot;/&gt;&lt;wsp:rsid wsp:val=&quot;261A3D6A&quot;/&gt;&lt;wsp:rsid wsp:val=&quot;261E020C&quot;/&gt;&lt;wsp:rsid wsp:val=&quot;261F093B&quot;/&gt;&lt;wsp:rsid wsp:val=&quot;26211093&quot;/&gt;&lt;wsp:rsid wsp:val=&quot;26233A75&quot;/&gt;&lt;wsp:rsid wsp:val=&quot;2624159B&quot;/&gt;&lt;wsp:rsid wsp:val=&quot;26246953&quot;/&gt;&lt;wsp:rsid wsp:val=&quot;26247A14&quot;/&gt;&lt;wsp:rsid wsp:val=&quot;26265313&quot;/&gt;&lt;wsp:rsid wsp:val=&quot;26273AE3&quot;/&gt;&lt;wsp:rsid wsp:val=&quot;26282E39&quot;/&gt;&lt;wsp:rsid wsp:val=&quot;26284BE7&quot;/&gt;&lt;wsp:rsid wsp:val=&quot;2629095F&quot;/&gt;&lt;wsp:rsid wsp:val=&quot;26296882&quot;/&gt;&lt;wsp:rsid wsp:val=&quot;262A4E03&quot;/&gt;&lt;wsp:rsid wsp:val=&quot;262B0B7B&quot;/&gt;&lt;wsp:rsid wsp:val=&quot;262D4649&quot;/&gt;&lt;wsp:rsid wsp:val=&quot;262E41C8&quot;/&gt;&lt;wsp:rsid wsp:val=&quot;262F4B27&quot;/&gt;&lt;wsp:rsid wsp:val=&quot;26301CEE&quot;/&gt;&lt;wsp:rsid wsp:val=&quot;26306192&quot;/&gt;&lt;wsp:rsid wsp:val=&quot;26311886&quot;/&gt;&lt;wsp:rsid wsp:val=&quot;263317DE&quot;/&gt;&lt;wsp:rsid wsp:val=&quot;26345C82&quot;/&gt;&lt;wsp:rsid wsp:val=&quot;26350999&quot;/&gt;&lt;wsp:rsid wsp:val=&quot;26355556&quot;/&gt;&lt;wsp:rsid wsp:val=&quot;2636186A&quot;/&gt;&lt;wsp:rsid wsp:val=&quot;263712CE&quot;/&gt;&lt;wsp:rsid wsp:val=&quot;2637307C&quot;/&gt;&lt;wsp:rsid wsp:val=&quot;263A491A&quot;/&gt;&lt;wsp:rsid wsp:val=&quot;263B64F1&quot;/&gt;&lt;wsp:rsid wsp:val=&quot;263B7010&quot;/&gt;&lt;wsp:rsid wsp:val=&quot;263C0693&quot;/&gt;&lt;wsp:rsid wsp:val=&quot;263C4B36&quot;/&gt;&lt;wsp:rsid wsp:val=&quot;263C68E5&quot;/&gt;&lt;wsp:rsid wsp:val=&quot;263F0183&quot;/&gt;&lt;wsp:rsid wsp:val=&quot;263F63D5&quot;/&gt;&lt;wsp:rsid wsp:val=&quot;26435EC5&quot;/&gt;&lt;wsp:rsid wsp:val=&quot;26437C73&quot;/&gt;&lt;wsp:rsid wsp:val=&quot;26446FFE&quot;/&gt;&lt;wsp:rsid wsp:val=&quot;264834DB&quot;/&gt;&lt;wsp:rsid wsp:val=&quot;264D28A0&quot;/&gt;&lt;wsp:rsid wsp:val=&quot;264D464E&quot;/&gt;&lt;wsp:rsid wsp:val=&quot;264D6D44&quot;/&gt;&lt;wsp:rsid wsp:val=&quot;264E00B0&quot;/&gt;&lt;wsp:rsid wsp:val=&quot;264E342E&quot;/&gt;&lt;wsp:rsid wsp:val=&quot;264F6618&quot;/&gt;&lt;wsp:rsid wsp:val=&quot;265005E2&quot;/&gt;&lt;wsp:rsid wsp:val=&quot;2650413E&quot;/&gt;&lt;wsp:rsid wsp:val=&quot;26543C2E&quot;/&gt;&lt;wsp:rsid wsp:val=&quot;26555BF8&quot;/&gt;&lt;wsp:rsid wsp:val=&quot;26575474&quot;/&gt;&lt;wsp:rsid wsp:val=&quot;26591245&quot;/&gt;&lt;wsp:rsid wsp:val=&quot;265956E8&quot;/&gt;&lt;wsp:rsid wsp:val=&quot;265D4AA1&quot;/&gt;&lt;wsp:rsid wsp:val=&quot;265E17FF&quot;/&gt;&lt;wsp:rsid wsp:val=&quot;265E685B&quot;/&gt;&lt;wsp:rsid wsp:val=&quot;266100F9&quot;/&gt;&lt;wsp:rsid wsp:val=&quot;2661459D&quot;/&gt;&lt;wsp:rsid wsp:val=&quot;26622587&quot;/&gt;&lt;wsp:rsid wsp:val=&quot;26627EDE&quot;/&gt;&lt;wsp:rsid wsp:val=&quot;26633A17&quot;/&gt;&lt;wsp:rsid wsp:val=&quot;26633E71&quot;/&gt;&lt;wsp:rsid wsp:val=&quot;26642ABF&quot;/&gt;&lt;wsp:rsid wsp:val=&quot;26643BF2&quot;/&gt;&lt;wsp:rsid wsp:val=&quot;26647BE9&quot;/&gt;&lt;wsp:rsid wsp:val=&quot;2665408D&quot;/&gt;&lt;wsp:rsid wsp:val=&quot;26663961&quot;/&gt;&lt;wsp:rsid wsp:val=&quot;26667E05&quot;/&gt;&lt;wsp:rsid wsp:val=&quot;26667F9E&quot;/&gt;&lt;wsp:rsid wsp:val=&quot;26676DC9&quot;/&gt;&lt;wsp:rsid wsp:val=&quot;26681488&quot;/&gt;&lt;wsp:rsid wsp:val=&quot;2668592C&quot;/&gt;&lt;wsp:rsid wsp:val=&quot;266A3452&quot;/&gt;&lt;wsp:rsid wsp:val=&quot;266B0F78&quot;/&gt;&lt;wsp:rsid wsp:val=&quot;266D2F42&quot;/&gt;&lt;wsp:rsid wsp:val=&quot;266D4CF0&quot;/&gt;&lt;wsp:rsid wsp:val=&quot;266F6CBA&quot;/&gt;&lt;wsp:rsid wsp:val=&quot;267047E0&quot;/&gt;&lt;wsp:rsid wsp:val=&quot;2670658E&quot;/&gt;&lt;wsp:rsid wsp:val=&quot;26712A32&quot;/&gt;&lt;wsp:rsid wsp:val=&quot;2672207C&quot;/&gt;&lt;wsp:rsid wsp:val=&quot;267267AA&quot;/&gt;&lt;wsp:rsid wsp:val=&quot;2674499C&quot;/&gt;&lt;wsp:rsid wsp:val=&quot;26751385&quot;/&gt;&lt;wsp:rsid wsp:val=&quot;26760048&quot;/&gt;&lt;wsp:rsid wsp:val=&quot;26775B6F&quot;/&gt;&lt;wsp:rsid wsp:val=&quot;267775BA&quot;/&gt;&lt;wsp:rsid wsp:val=&quot;2678103A&quot;/&gt;&lt;wsp:rsid wsp:val=&quot;267B1C9E&quot;/&gt;&lt;wsp:rsid wsp:val=&quot;267D4C70&quot;/&gt;&lt;wsp:rsid wsp:val=&quot;267E514F&quot;/&gt;&lt;wsp:rsid wsp:val=&quot;267E6EFD&quot;/&gt;&lt;wsp:rsid wsp:val=&quot;26802C75&quot;/&gt;&lt;wsp:rsid wsp:val=&quot;26804A23&quot;/&gt;&lt;wsp:rsid wsp:val=&quot;26805352&quot;/&gt;&lt;wsp:rsid wsp:val=&quot;26810235&quot;/&gt;&lt;wsp:rsid wsp:val=&quot;26833001&quot;/&gt;&lt;wsp:rsid wsp:val=&quot;26834513&quot;/&gt;&lt;wsp:rsid wsp:val=&quot;26842FEA&quot;/&gt;&lt;wsp:rsid wsp:val=&quot;2685028B&quot;/&gt;&lt;wsp:rsid wsp:val=&quot;2685203A&quot;/&gt;&lt;wsp:rsid wsp:val=&quot;26864004&quot;/&gt;&lt;wsp:rsid wsp:val=&quot;26871982&quot;/&gt;&lt;wsp:rsid wsp:val=&quot;26887D7C&quot;/&gt;&lt;wsp:rsid wsp:val=&quot;26890114&quot;/&gt;&lt;wsp:rsid wsp:val=&quot;268A0303&quot;/&gt;&lt;wsp:rsid wsp:val=&quot;268A7650&quot;/&gt;&lt;wsp:rsid wsp:val=&quot;268B1793&quot;/&gt;&lt;wsp:rsid wsp:val=&quot;268C786C&quot;/&gt;&lt;wsp:rsid wsp:val=&quot;268E7D4E&quot;/&gt;&lt;wsp:rsid wsp:val=&quot;268F4C66&quot;/&gt;&lt;wsp:rsid wsp:val=&quot;26920BFA&quot;/&gt;&lt;wsp:rsid wsp:val=&quot;26926577&quot;/&gt;&lt;wsp:rsid wsp:val=&quot;26926958&quot;/&gt;&lt;wsp:rsid wsp:val=&quot;269404CF&quot;/&gt;&lt;wsp:rsid wsp:val=&quot;269432A2&quot;/&gt;&lt;wsp:rsid wsp:val=&quot;269621FC&quot;/&gt;&lt;wsp:rsid wsp:val=&quot;26971D6D&quot;/&gt;&lt;wsp:rsid wsp:val=&quot;26984D6C&quot;/&gt;&lt;wsp:rsid wsp:val=&quot;26992656&quot;/&gt;&lt;wsp:rsid wsp:val=&quot;269A2E50&quot;/&gt;&lt;wsp:rsid wsp:val=&quot;269A47EB&quot;/&gt;&lt;wsp:rsid wsp:val=&quot;269B185D&quot;/&gt;&lt;wsp:rsid wsp:val=&quot;269E759F&quot;/&gt;&lt;wsp:rsid wsp:val=&quot;269E75BC&quot;/&gt;&lt;wsp:rsid wsp:val=&quot;269F2B0B&quot;/&gt;&lt;wsp:rsid wsp:val=&quot;26A06E73&quot;/&gt;&lt;wsp:rsid wsp:val=&quot;26A12BEB&quot;/&gt;&lt;wsp:rsid wsp:val=&quot;26A1499A&quot;/&gt;&lt;wsp:rsid wsp:val=&quot;26A34BB6&quot;/&gt;&lt;wsp:rsid wsp:val=&quot;26A5092E&quot;/&gt;&lt;wsp:rsid wsp:val=&quot;26A61FB0&quot;/&gt;&lt;wsp:rsid wsp:val=&quot;26A76454&quot;/&gt;&lt;wsp:rsid wsp:val=&quot;26A85D28&quot;/&gt;&lt;wsp:rsid wsp:val=&quot;26AA35DB&quot;/&gt;&lt;wsp:rsid wsp:val=&quot;26AB75C6&quot;/&gt;&lt;wsp:rsid wsp:val=&quot;26AF0EEB&quot;/&gt;&lt;wsp:rsid wsp:val=&quot;26B172D2&quot;/&gt;&lt;wsp:rsid wsp:val=&quot;26B20955&quot;/&gt;&lt;wsp:rsid wsp:val=&quot;26B26BA7&quot;/&gt;&lt;wsp:rsid wsp:val=&quot;26B3099F&quot;/&gt;&lt;wsp:rsid wsp:val=&quot;26B50445&quot;/&gt;&lt;wsp:rsid wsp:val=&quot;26B53A57&quot;/&gt;&lt;wsp:rsid wsp:val=&quot;26B75F6B&quot;/&gt;&lt;wsp:rsid wsp:val=&quot;26B801BD&quot;/&gt;&lt;wsp:rsid wsp:val=&quot;26B8182B&quot;/&gt;&lt;wsp:rsid wsp:val=&quot;26B818B1&quot;/&gt;&lt;wsp:rsid wsp:val=&quot;26B91CE3&quot;/&gt;&lt;wsp:rsid wsp:val=&quot;26B96187&quot;/&gt;&lt;wsp:rsid wsp:val=&quot;26BA5B8F&quot;/&gt;&lt;wsp:rsid wsp:val=&quot;26BB5A5B&quot;/&gt;&lt;wsp:rsid wsp:val=&quot;26BC17D3&quot;/&gt;&lt;wsp:rsid wsp:val=&quot;26BC2B51&quot;/&gt;&lt;wsp:rsid wsp:val=&quot;26BC6698&quot;/&gt;&lt;wsp:rsid wsp:val=&quot;26BD5C77&quot;/&gt;&lt;wsp:rsid wsp:val=&quot;26BE554B&quot;/&gt;&lt;wsp:rsid wsp:val=&quot;26C1503C&quot;/&gt;&lt;wsp:rsid wsp:val=&quot;26C3701B&quot;/&gt;&lt;wsp:rsid wsp:val=&quot;26C54B2C&quot;/&gt;&lt;wsp:rsid wsp:val=&quot;26CA0394&quot;/&gt;&lt;wsp:rsid wsp:val=&quot;26CC38C1&quot;/&gt;&lt;wsp:rsid wsp:val=&quot;26CC5EBA&quot;/&gt;&lt;wsp:rsid wsp:val=&quot;26CD1C32&quot;/&gt;&lt;wsp:rsid wsp:val=&quot;26CF59AB&quot;/&gt;&lt;wsp:rsid wsp:val=&quot;26CF7759&quot;/&gt;&lt;wsp:rsid wsp:val=&quot;26D07EC7&quot;/&gt;&lt;wsp:rsid wsp:val=&quot;26D11723&quot;/&gt;&lt;wsp:rsid wsp:val=&quot;26D20FF7&quot;/&gt;&lt;wsp:rsid wsp:val=&quot;26D22DA5&quot;/&gt;&lt;wsp:rsid wsp:val=&quot;26D3779C&quot;/&gt;&lt;wsp:rsid wsp:val=&quot;26D44D6F&quot;/&gt;&lt;wsp:rsid wsp:val=&quot;26D625F8&quot;/&gt;&lt;wsp:rsid wsp:val=&quot;26D66D39&quot;/&gt;&lt;wsp:rsid wsp:val=&quot;26D905D7&quot;/&gt;&lt;wsp:rsid wsp:val=&quot;26D92385&quot;/&gt;&lt;wsp:rsid wsp:val=&quot;26D97AE9&quot;/&gt;&lt;wsp:rsid wsp:val=&quot;26DA78A1&quot;/&gt;&lt;wsp:rsid wsp:val=&quot;26DB434F&quot;/&gt;&lt;wsp:rsid wsp:val=&quot;26DD00C8&quot;/&gt;&lt;wsp:rsid wsp:val=&quot;26DD2094&quot;/&gt;&lt;wsp:rsid wsp:val=&quot;26DE5BEE&quot;/&gt;&lt;wsp:rsid wsp:val=&quot;26DE799C&quot;/&gt;&lt;wsp:rsid wsp:val=&quot;26DF4B02&quot;/&gt;&lt;wsp:rsid wsp:val=&quot;26E10E4C&quot;/&gt;&lt;wsp:rsid wsp:val=&quot;26E11D97&quot;/&gt;&lt;wsp:rsid wsp:val=&quot;26E1248B&quot;/&gt;&lt;wsp:rsid wsp:val=&quot;26E20A62&quot;/&gt;&lt;wsp:rsid wsp:val=&quot;26E2106F&quot;/&gt;&lt;wsp:rsid wsp:val=&quot;26E222DC&quot;/&gt;&lt;wsp:rsid wsp:val=&quot;26E2748C&quot;/&gt;&lt;wsp:rsid wsp:val=&quot;26E36D60&quot;/&gt;&lt;wsp:rsid wsp:val=&quot;26E50D2A&quot;/&gt;&lt;wsp:rsid wsp:val=&quot;26E52AD8&quot;/&gt;&lt;wsp:rsid wsp:val=&quot;26E8081A&quot;/&gt;&lt;wsp:rsid wsp:val=&quot;26EA0A6E&quot;/&gt;&lt;wsp:rsid wsp:val=&quot;26EB3E67&quot;/&gt;&lt;wsp:rsid wsp:val=&quot;26EB6016&quot;/&gt;&lt;wsp:rsid wsp:val=&quot;26EF3957&quot;/&gt;&lt;wsp:rsid wsp:val=&quot;26EF3ACE&quot;/&gt;&lt;wsp:rsid wsp:val=&quot;26EF7DFB&quot;/&gt;&lt;wsp:rsid wsp:val=&quot;26F0218F&quot;/&gt;&lt;wsp:rsid wsp:val=&quot;26F15921&quot;/&gt;&lt;wsp:rsid wsp:val=&quot;26F251F5&quot;/&gt;&lt;wsp:rsid wsp:val=&quot;26F64CE5&quot;/&gt;&lt;wsp:rsid wsp:val=&quot;26F6767D&quot;/&gt;&lt;wsp:rsid wsp:val=&quot;26F70A5D&quot;/&gt;&lt;wsp:rsid wsp:val=&quot;26F7280B&quot;/&gt;&lt;wsp:rsid wsp:val=&quot;26F86CAF&quot;/&gt;&lt;wsp:rsid wsp:val=&quot;26FA33AF&quot;/&gt;&lt;wsp:rsid wsp:val=&quot;26FA7EC6&quot;/&gt;&lt;wsp:rsid wsp:val=&quot;26FB054E&quot;/&gt;&lt;wsp:rsid wsp:val=&quot;26FB22FC&quot;/&gt;&lt;wsp:rsid wsp:val=&quot;26FB45C4&quot;/&gt;&lt;wsp:rsid wsp:val=&quot;26FC6074&quot;/&gt;&lt;wsp:rsid wsp:val=&quot;26FD3D8F&quot;/&gt;&lt;wsp:rsid wsp:val=&quot;26FE2E1D&quot;/&gt;&lt;wsp:rsid wsp:val=&quot;26FF43D5&quot;/&gt;&lt;wsp:rsid wsp:val=&quot;2702368A&quot;/&gt;&lt;wsp:rsid wsp:val=&quot;27024548&quot;/&gt;&lt;wsp:rsid wsp:val=&quot;270311B0&quot;/&gt;&lt;wsp:rsid wsp:val=&quot;2705317A&quot;/&gt;&lt;wsp:rsid wsp:val=&quot;27070CA1&quot;/&gt;&lt;wsp:rsid wsp:val=&quot;27072B67&quot;/&gt;&lt;wsp:rsid wsp:val=&quot;27075144&quot;/&gt;&lt;wsp:rsid wsp:val=&quot;270A0791&quot;/&gt;&lt;wsp:rsid wsp:val=&quot;270A253F&quot;/&gt;&lt;wsp:rsid wsp:val=&quot;270B3494&quot;/&gt;&lt;wsp:rsid wsp:val=&quot;270C62B7&quot;/&gt;&lt;wsp:rsid wsp:val=&quot;270D202F&quot;/&gt;&lt;wsp:rsid wsp:val=&quot;270D32BD&quot;/&gt;&lt;wsp:rsid wsp:val=&quot;270E20AE&quot;/&gt;&lt;wsp:rsid wsp:val=&quot;270F3ECA&quot;/&gt;&lt;wsp:rsid wsp:val=&quot;27100E1A&quot;/&gt;&lt;wsp:rsid wsp:val=&quot;2714225E&quot;/&gt;&lt;wsp:rsid wsp:val=&quot;271433BD&quot;/&gt;&lt;wsp:rsid wsp:val=&quot;27165388&quot;/&gt;&lt;wsp:rsid wsp:val=&quot;27167136&quot;/&gt;&lt;wsp:rsid wsp:val=&quot;27182EAE&quot;/&gt;&lt;wsp:rsid wsp:val=&quot;271909D4&quot;/&gt;&lt;wsp:rsid wsp:val=&quot;271D04C4&quot;/&gt;&lt;wsp:rsid wsp:val=&quot;271D6716&quot;/&gt;&lt;wsp:rsid wsp:val=&quot;271F3365&quot;/&gt;&lt;wsp:rsid wsp:val=&quot;2720227E&quot;/&gt;&lt;wsp:rsid wsp:val=&quot;27207FB4&quot;/&gt;&lt;wsp:rsid wsp:val=&quot;27220FDE&quot;/&gt;&lt;wsp:rsid wsp:val=&quot;2724208F&quot;/&gt;&lt;wsp:rsid wsp:val=&quot;2725381D&quot;/&gt;&lt;wsp:rsid wsp:val=&quot;27266572&quot;/&gt;&lt;wsp:rsid wsp:val=&quot;27276D3D&quot;/&gt;&lt;wsp:rsid wsp:val=&quot;27277595&quot;/&gt;&lt;wsp:rsid wsp:val=&quot;27286E69&quot;/&gt;&lt;wsp:rsid wsp:val=&quot;272A498F&quot;/&gt;&lt;wsp:rsid wsp:val=&quot;272D33E5&quot;/&gt;&lt;wsp:rsid wsp:val=&quot;27313F6F&quot;/&gt;&lt;wsp:rsid wsp:val=&quot;27321A96&quot;/&gt;&lt;wsp:rsid wsp:val=&quot;27337CE7&quot;/&gt;&lt;wsp:rsid wsp:val=&quot;27343A60&quot;/&gt;&lt;wsp:rsid wsp:val=&quot;2734580E&quot;/&gt;&lt;wsp:rsid wsp:val=&quot;27361586&quot;/&gt;&lt;wsp:rsid wsp:val=&quot;27391076&quot;/&gt;&lt;wsp:rsid wsp:val=&quot;27392E24&quot;/&gt;&lt;wsp:rsid wsp:val=&quot;27394565&quot;/&gt;&lt;wsp:rsid wsp:val=&quot;273A18F4&quot;/&gt;&lt;wsp:rsid wsp:val=&quot;273A72C8&quot;/&gt;&lt;wsp:rsid wsp:val=&quot;273B094A&quot;/&gt;&lt;wsp:rsid wsp:val=&quot;273B6B9C&quot;/&gt;&lt;wsp:rsid wsp:val=&quot;273D2914&quot;/&gt;&lt;wsp:rsid wsp:val=&quot;273D46C2&quot;/&gt;&lt;wsp:rsid wsp:val=&quot;273E043A&quot;/&gt;&lt;wsp:rsid wsp:val=&quot;273E668C&quot;/&gt;&lt;wsp:rsid wsp:val=&quot;273F48DE&quot;/&gt;&lt;wsp:rsid wsp:val=&quot;27402404&quot;/&gt;&lt;wsp:rsid wsp:val=&quot;274134AA&quot;/&gt;&lt;wsp:rsid wsp:val=&quot;274243CE&quot;/&gt;&lt;wsp:rsid wsp:val=&quot;27424B60&quot;/&gt;&lt;wsp:rsid wsp:val=&quot;27427F2B&quot;/&gt;&lt;wsp:rsid wsp:val=&quot;274301E8&quot;/&gt;&lt;wsp:rsid wsp:val=&quot;27433CA3&quot;/&gt;&lt;wsp:rsid wsp:val=&quot;27435A51&quot;/&gt;&lt;wsp:rsid wsp:val=&quot;27436AA7&quot;/&gt;&lt;wsp:rsid wsp:val=&quot;27441678&quot;/&gt;&lt;wsp:rsid wsp:val=&quot;274A3283&quot;/&gt;&lt;wsp:rsid wsp:val=&quot;274A5031&quot;/&gt;&lt;wsp:rsid wsp:val=&quot;274A634F&quot;/&gt;&lt;wsp:rsid wsp:val=&quot;274B7E0A&quot;/&gt;&lt;wsp:rsid wsp:val=&quot;274C0DA9&quot;/&gt;&lt;wsp:rsid wsp:val=&quot;274C2B57&quot;/&gt;&lt;wsp:rsid wsp:val=&quot;274C6FFB&quot;/&gt;&lt;wsp:rsid wsp:val=&quot;274E2D73&quot;/&gt;&lt;wsp:rsid wsp:val=&quot;274E68CF&quot;/&gt;&lt;wsp:rsid wsp:val=&quot;274F505D&quot;/&gt;&lt;wsp:rsid wsp:val=&quot;275066B9&quot;/&gt;&lt;wsp:rsid wsp:val=&quot;27507C1B&quot;/&gt;&lt;wsp:rsid wsp:val=&quot;27513C7C&quot;/&gt;&lt;wsp:rsid wsp:val=&quot;27514612&quot;/&gt;&lt;wsp:rsid wsp:val=&quot;27533EE6&quot;/&gt;&lt;wsp:rsid wsp:val=&quot;27541A0C&quot;/&gt;&lt;wsp:rsid wsp:val=&quot;27545EB0&quot;/&gt;&lt;wsp:rsid wsp:val=&quot;275814FC&quot;/&gt;&lt;wsp:rsid wsp:val=&quot;275859A0&quot;/&gt;&lt;wsp:rsid wsp:val=&quot;27594FDF&quot;/&gt;&lt;wsp:rsid wsp:val=&quot;275A1718&quot;/&gt;&lt;wsp:rsid wsp:val=&quot;275A34C6&quot;/&gt;&lt;wsp:rsid wsp:val=&quot;275B304F&quot;/&gt;&lt;wsp:rsid wsp:val=&quot;275D2FB6&quot;/&gt;&lt;wsp:rsid wsp:val=&quot;275D3041&quot;/&gt;&lt;wsp:rsid wsp:val=&quot;27604855&quot;/&gt;&lt;wsp:rsid wsp:val=&quot;27607710&quot;/&gt;&lt;wsp:rsid wsp:val=&quot;276205CD&quot;/&gt;&lt;wsp:rsid wsp:val=&quot;27644345&quot;/&gt;&lt;wsp:rsid wsp:val=&quot;276A122F&quot;/&gt;&lt;wsp:rsid wsp:val=&quot;276A3840&quot;/&gt;&lt;wsp:rsid wsp:val=&quot;276E31A4&quot;/&gt;&lt;wsp:rsid wsp:val=&quot;276E51C4&quot;/&gt;&lt;wsp:rsid wsp:val=&quot;277057A2&quot;/&gt;&lt;wsp:rsid wsp:val=&quot;27706FB8&quot;/&gt;&lt;wsp:rsid wsp:val=&quot;27710810&quot;/&gt;&lt;wsp:rsid wsp:val=&quot;277125BE&quot;/&gt;&lt;wsp:rsid wsp:val=&quot;27726DC1&quot;/&gt;&lt;wsp:rsid wsp:val=&quot;27750300&quot;/&gt;&lt;wsp:rsid wsp:val=&quot;27753077&quot;/&gt;&lt;wsp:rsid wsp:val=&quot;27761936&quot;/&gt;&lt;wsp:rsid wsp:val=&quot;27765E26&quot;/&gt;&lt;wsp:rsid wsp:val=&quot;27791C52&quot;/&gt;&lt;wsp:rsid wsp:val=&quot;277A5916&quot;/&gt;&lt;wsp:rsid wsp:val=&quot;277B343D&quot;/&gt;&lt;wsp:rsid wsp:val=&quot;277B51EB&quot;/&gt;&lt;wsp:rsid wsp:val=&quot;277B6EE9&quot;/&gt;&lt;wsp:rsid wsp:val=&quot;277D0F63&quot;/&gt;&lt;wsp:rsid wsp:val=&quot;277D1E1B&quot;/&gt;&lt;wsp:rsid wsp:val=&quot;27800A53&quot;/&gt;&lt;wsp:rsid wsp:val=&quot;27802801&quot;/&gt;&lt;wsp:rsid wsp:val=&quot;27822A1D&quot;/&gt;&lt;wsp:rsid wsp:val=&quot;278241EB&quot;/&gt;&lt;wsp:rsid wsp:val=&quot;278247CB&quot;/&gt;&lt;wsp:rsid wsp:val=&quot;27856069&quot;/&gt;&lt;wsp:rsid wsp:val=&quot;27857F9B&quot;/&gt;&lt;wsp:rsid wsp:val=&quot;27893DAB&quot;/&gt;&lt;wsp:rsid wsp:val=&quot;27897806&quot;/&gt;&lt;wsp:rsid wsp:val=&quot;278A18D2&quot;/&gt;&lt;wsp:rsid wsp:val=&quot;278B7B24&quot;/&gt;&lt;wsp:rsid wsp:val=&quot;278B7D5D&quot;/&gt;&lt;wsp:rsid wsp:val=&quot;278C389C&quot;/&gt;&lt;wsp:rsid wsp:val=&quot;278C73F8&quot;/&gt;&lt;wsp:rsid wsp:val=&quot;278E4F1E&quot;/&gt;&lt;wsp:rsid wsp:val=&quot;279029B7&quot;/&gt;&lt;wsp:rsid wsp:val=&quot;2790513A&quot;/&gt;&lt;wsp:rsid wsp:val=&quot;2792259F&quot;/&gt;&lt;wsp:rsid wsp:val=&quot;27952750&quot;/&gt;&lt;wsp:rsid wsp:val=&quot;27966247&quot;/&gt;&lt;wsp:rsid wsp:val=&quot;279664C8&quot;/&gt;&lt;wsp:rsid wsp:val=&quot;27983FEE&quot;/&gt;&lt;wsp:rsid wsp:val=&quot;279A1B15&quot;/&gt;&lt;wsp:rsid wsp:val=&quot;279A2500&quot;/&gt;&lt;wsp:rsid wsp:val=&quot;279B763B&quot;/&gt;&lt;wsp:rsid wsp:val=&quot;279C473B&quot;/&gt;&lt;wsp:rsid wsp:val=&quot;279D1605&quot;/&gt;&lt;wsp:rsid wsp:val=&quot;279D6E90&quot;/&gt;&lt;wsp:rsid wsp:val=&quot;279D7F0B&quot;/&gt;&lt;wsp:rsid wsp:val=&quot;279F3713&quot;/&gt;&lt;wsp:rsid wsp:val=&quot;279F712B&quot;/&gt;&lt;wsp:rsid wsp:val=&quot;27A02EA3&quot;/&gt;&lt;wsp:rsid wsp:val=&quot;27A17CA4&quot;/&gt;&lt;wsp:rsid wsp:val=&quot;27A22094&quot;/&gt;&lt;wsp:rsid wsp:val=&quot;27A44741&quot;/&gt;&lt;wsp:rsid wsp:val=&quot;27A612A3&quot;/&gt;&lt;wsp:rsid wsp:val=&quot;27A61EA5&quot;/&gt;&lt;wsp:rsid wsp:val=&quot;27A6670B&quot;/&gt;&lt;wsp:rsid wsp:val=&quot;27A74232&quot;/&gt;&lt;wsp:rsid wsp:val=&quot;27A97FAA&quot;/&gt;&lt;wsp:rsid wsp:val=&quot;27AB1F74&quot;/&gt;&lt;wsp:rsid wsp:val=&quot;27AB3D22&quot;/&gt;&lt;wsp:rsid wsp:val=&quot;27AB7DE0&quot;/&gt;&lt;wsp:rsid wsp:val=&quot;27AC35F6&quot;/&gt;&lt;wsp:rsid wsp:val=&quot;27AC5CEC&quot;/&gt;&lt;wsp:rsid wsp:val=&quot;27AE3812&quot;/&gt;&lt;wsp:rsid wsp:val=&quot;27AE736E&quot;/&gt;&lt;wsp:rsid wsp:val=&quot;27AF1AC7&quot;/&gt;&lt;wsp:rsid wsp:val=&quot;27AF30E6&quot;/&gt;&lt;wsp:rsid wsp:val=&quot;27B02F57&quot;/&gt;&lt;wsp:rsid wsp:val=&quot;27B04698&quot;/&gt;&lt;wsp:rsid wsp:val=&quot;27B0758A&quot;/&gt;&lt;wsp:rsid wsp:val=&quot;27B0795B&quot;/&gt;&lt;wsp:rsid wsp:val=&quot;27B106F9&quot;/&gt;&lt;wsp:rsid wsp:val=&quot;27B16194&quot;/&gt;&lt;wsp:rsid wsp:val=&quot;27B32BD6&quot;/&gt;&lt;wsp:rsid wsp:val=&quot;27B626C7&quot;/&gt;&lt;wsp:rsid wsp:val=&quot;27B66DC9&quot;/&gt;&lt;wsp:rsid wsp:val=&quot;27B84691&quot;/&gt;&lt;wsp:rsid wsp:val=&quot;27BA21B7&quot;/&gt;&lt;wsp:rsid wsp:val=&quot;27BB2F34&quot;/&gt;&lt;wsp:rsid wsp:val=&quot;27BB7CDD&quot;/&gt;&lt;wsp:rsid wsp:val=&quot;27BC580C&quot;/&gt;&lt;wsp:rsid wsp:val=&quot;27BC723E&quot;/&gt;&lt;wsp:rsid wsp:val=&quot;27BD2B44&quot;/&gt;&lt;wsp:rsid wsp:val=&quot;27BD5803&quot;/&gt;&lt;wsp:rsid wsp:val=&quot;27BF77CD&quot;/&gt;&lt;wsp:rsid wsp:val=&quot;27C052F3&quot;/&gt;&lt;wsp:rsid wsp:val=&quot;27C2106B&quot;/&gt;&lt;wsp:rsid wsp:val=&quot;27C22E19&quot;/&gt;&lt;wsp:rsid wsp:val=&quot;27C27F3D&quot;/&gt;&lt;wsp:rsid wsp:val=&quot;27C35E3F&quot;/&gt;&lt;wsp:rsid wsp:val=&quot;27C43F9E&quot;/&gt;&lt;wsp:rsid wsp:val=&quot;27C46B92&quot;/&gt;&lt;wsp:rsid wsp:val=&quot;27C546B8&quot;/&gt;&lt;wsp:rsid wsp:val=&quot;27C941A8&quot;/&gt;&lt;wsp:rsid wsp:val=&quot;27CB0FB5&quot;/&gt;&lt;wsp:rsid wsp:val=&quot;27CC3C98&quot;/&gt;&lt;wsp:rsid wsp:val=&quot;27CE17BE&quot;/&gt;&lt;wsp:rsid wsp:val=&quot;27CE5C62&quot;/&gt;&lt;wsp:rsid wsp:val=&quot;27D17500&quot;/&gt;&lt;wsp:rsid wsp:val=&quot;27D2015E&quot;/&gt;&lt;wsp:rsid wsp:val=&quot;27D35027&quot;/&gt;&lt;wsp:rsid wsp:val=&quot;27D549D1&quot;/&gt;&lt;wsp:rsid wsp:val=&quot;27D8263D&quot;/&gt;&lt;wsp:rsid wsp:val=&quot;27D8568C&quot;/&gt;&lt;wsp:rsid wsp:val=&quot;27D86AE1&quot;/&gt;&lt;wsp:rsid wsp:val=&quot;27DA4607&quot;/&gt;&lt;wsp:rsid wsp:val=&quot;27DA63B5&quot;/&gt;&lt;wsp:rsid wsp:val=&quot;27DD5EA5&quot;/&gt;&lt;wsp:rsid wsp:val=&quot;27DF1C1D&quot;/&gt;&lt;wsp:rsid wsp:val=&quot;27DF39CB&quot;/&gt;&lt;wsp:rsid wsp:val=&quot;27DF5779&quot;/&gt;&lt;wsp:rsid wsp:val=&quot;27E014F2&quot;/&gt;&lt;wsp:rsid wsp:val=&quot;27E15995&quot;/&gt;&lt;wsp:rsid wsp:val=&quot;27E20E2A&quot;/&gt;&lt;wsp:rsid wsp:val=&quot;27E234BC&quot;/&gt;&lt;wsp:rsid wsp:val=&quot;27E4630B&quot;/&gt;&lt;wsp:rsid wsp:val=&quot;27E61651&quot;/&gt;&lt;wsp:rsid wsp:val=&quot;27E70AD2&quot;/&gt;&lt;wsp:rsid wsp:val=&quot;27E82557&quot;/&gt;&lt;wsp:rsid wsp:val=&quot;27EB2370&quot;/&gt;&lt;wsp:rsid wsp:val=&quot;27F07987&quot;/&gt;&lt;wsp:rsid wsp:val=&quot;27F12FBB&quot;/&gt;&lt;wsp:rsid wsp:val=&quot;27F136FF&quot;/&gt;&lt;wsp:rsid wsp:val=&quot;27F154AD&quot;/&gt;&lt;wsp:rsid wsp:val=&quot;27F27A1F&quot;/&gt;&lt;wsp:rsid wsp:val=&quot;27F37477&quot;/&gt;&lt;wsp:rsid wsp:val=&quot;27F4323D&quot;/&gt;&lt;wsp:rsid wsp:val=&quot;27F531EF&quot;/&gt;&lt;wsp:rsid wsp:val=&quot;27F57BD6&quot;/&gt;&lt;wsp:rsid wsp:val=&quot;27F751B9&quot;/&gt;&lt;wsp:rsid wsp:val=&quot;27F84A8D&quot;/&gt;&lt;wsp:rsid wsp:val=&quot;27F90751&quot;/&gt;&lt;wsp:rsid wsp:val=&quot;27FA6A57&quot;/&gt;&lt;wsp:rsid wsp:val=&quot;27FC27CF&quot;/&gt;&lt;wsp:rsid wsp:val=&quot;27FC2C9F&quot;/&gt;&lt;wsp:rsid wsp:val=&quot;27FC632B&quot;/&gt;&lt;wsp:rsid wsp:val=&quot;27FD6419&quot;/&gt;&lt;wsp:rsid wsp:val=&quot;27FE6547&quot;/&gt;&lt;wsp:rsid wsp:val=&quot;28012102&quot;/&gt;&lt;wsp:rsid wsp:val=&quot;28041431&quot;/&gt;&lt;wsp:rsid wsp:val=&quot;28043432&quot;/&gt;&lt;wsp:rsid wsp:val=&quot;28060F58&quot;/&gt;&lt;wsp:rsid wsp:val=&quot;28074CD0&quot;/&gt;&lt;wsp:rsid wsp:val=&quot;280B7BC3&quot;/&gt;&lt;wsp:rsid wsp:val=&quot;280D0F4C&quot;/&gt;&lt;wsp:rsid wsp:val=&quot;280D24E3&quot;/&gt;&lt;wsp:rsid wsp:val=&quot;280E2503&quot;/&gt;&lt;wsp:rsid wsp:val=&quot;28100718&quot;/&gt;&lt;wsp:rsid wsp:val=&quot;281178FD&quot;/&gt;&lt;wsp:rsid wsp:val=&quot;28123DA1&quot;/&gt;&lt;wsp:rsid wsp:val=&quot;28124CBB&quot;/&gt;&lt;wsp:rsid wsp:val=&quot;28133675&quot;/&gt;&lt;wsp:rsid wsp:val=&quot;28135D30&quot;/&gt;&lt;wsp:rsid wsp:val=&quot;28140F26&quot;/&gt;&lt;wsp:rsid wsp:val=&quot;28164F13&quot;/&gt;&lt;wsp:rsid wsp:val=&quot;28165994&quot;/&gt;&lt;wsp:rsid wsp:val=&quot;28177609&quot;/&gt;&lt;wsp:rsid wsp:val=&quot;281803AC&quot;/&gt;&lt;wsp:rsid wsp:val=&quot;281A2C55&quot;/&gt;&lt;wsp:rsid wsp:val=&quot;281C01F3&quot;/&gt;&lt;wsp:rsid wsp:val=&quot;281C077C&quot;/&gt;&lt;wsp:rsid wsp:val=&quot;281F201A&quot;/&gt;&lt;wsp:rsid wsp:val=&quot;281F5094&quot;/&gt;&lt;wsp:rsid wsp:val=&quot;28235FAE&quot;/&gt;&lt;wsp:rsid wsp:val=&quot;28275C5B&quot;/&gt;&lt;wsp:rsid wsp:val=&quot;28277C8E&quot;/&gt;&lt;wsp:rsid wsp:val=&quot;28292C63&quot;/&gt;&lt;wsp:rsid wsp:val=&quot;282B09BF&quot;/&gt;&lt;wsp:rsid wsp:val=&quot;282C5617&quot;/&gt;&lt;wsp:rsid wsp:val=&quot;282E04AF&quot;/&gt;&lt;wsp:rsid wsp:val=&quot;282E6701&quot;/&gt;&lt;wsp:rsid wsp:val=&quot;28304227&quot;/&gt;&lt;wsp:rsid wsp:val=&quot;28305FD5&quot;/&gt;&lt;wsp:rsid wsp:val=&quot;28322399&quot;/&gt;&lt;wsp:rsid wsp:val=&quot;28322D6E&quot;/&gt;&lt;wsp:rsid wsp:val=&quot;283261F1&quot;/&gt;&lt;wsp:rsid wsp:val=&quot;28333D17&quot;/&gt;&lt;wsp:rsid wsp:val=&quot;28341F69&quot;/&gt;&lt;wsp:rsid wsp:val=&quot;2835183D&quot;/&gt;&lt;wsp:rsid wsp:val=&quot;28357A8F&quot;/&gt;&lt;wsp:rsid wsp:val=&quot;283B2990&quot;/&gt;&lt;wsp:rsid wsp:val=&quot;283C2BCC&quot;/&gt;&lt;wsp:rsid wsp:val=&quot;283C5EAB&quot;/&gt;&lt;wsp:rsid wsp:val=&quot;283E2A52&quot;/&gt;&lt;wsp:rsid wsp:val=&quot;284167A7&quot;/&gt;&lt;wsp:rsid wsp:val=&quot;284303FE&quot;/&gt;&lt;wsp:rsid wsp:val=&quot;28433CF3&quot;/&gt;&lt;wsp:rsid wsp:val=&quot;28447CD2&quot;/&gt;&lt;wsp:rsid wsp:val=&quot;28457D54&quot;/&gt;&lt;wsp:rsid wsp:val=&quot;284611E4&quot;/&gt;&lt;wsp:rsid wsp:val=&quot;28472674&quot;/&gt;&lt;wsp:rsid wsp:val=&quot;28485A15&quot;/&gt;&lt;wsp:rsid wsp:val=&quot;284952E9&quot;/&gt;&lt;wsp:rsid wsp:val=&quot;28497097&quot;/&gt;&lt;wsp:rsid wsp:val=&quot;284B2485&quot;/&gt;&lt;wsp:rsid wsp:val=&quot;284B4370&quot;/&gt;&lt;wsp:rsid wsp:val=&quot;284D302B&quot;/&gt;&lt;wsp:rsid wsp:val=&quot;284D4DD9&quot;/&gt;&lt;wsp:rsid wsp:val=&quot;284E28FF&quot;/&gt;&lt;wsp:rsid wsp:val=&quot;284F6DA3&quot;/&gt;&lt;wsp:rsid wsp:val=&quot;28500425&quot;/&gt;&lt;wsp:rsid wsp:val=&quot;2850260F&quot;/&gt;&lt;wsp:rsid wsp:val=&quot;285223EF&quot;/&gt;&lt;wsp:rsid wsp:val=&quot;28537F15&quot;/&gt;&lt;wsp:rsid wsp:val=&quot;285443B9&quot;/&gt;&lt;wsp:rsid wsp:val=&quot;28546167&quot;/&gt;&lt;wsp:rsid wsp:val=&quot;28550131&quot;/&gt;&lt;wsp:rsid wsp:val=&quot;28574869&quot;/&gt;&lt;wsp:rsid wsp:val=&quot;28595F19&quot;/&gt;&lt;wsp:rsid wsp:val=&quot;285A6182&quot;/&gt;&lt;wsp:rsid wsp:val=&quot;285C14C0&quot;/&gt;&lt;wsp:rsid wsp:val=&quot;285C326E&quot;/&gt;&lt;wsp:rsid wsp:val=&quot;285D746B&quot;/&gt;&lt;wsp:rsid wsp:val=&quot;28612632&quot;/&gt;&lt;wsp:rsid wsp:val=&quot;2862536E&quot;/&gt;&lt;wsp:rsid wsp:val=&quot;28643ED1&quot;/&gt;&lt;wsp:rsid wsp:val=&quot;286444FC&quot;/&gt;&lt;wsp:rsid wsp:val=&quot;2869124C&quot;/&gt;&lt;wsp:rsid wsp:val=&quot;28697739&quot;/&gt;&lt;wsp:rsid wsp:val=&quot;286A598B&quot;/&gt;&lt;wsp:rsid wsp:val=&quot;286A5FDD&quot;/&gt;&lt;wsp:rsid wsp:val=&quot;286B1703&quot;/&gt;&lt;wsp:rsid wsp:val=&quot;286D008D&quot;/&gt;&lt;wsp:rsid wsp:val=&quot;286D0FD7&quot;/&gt;&lt;wsp:rsid wsp:val=&quot;286D7229&quot;/&gt;&lt;wsp:rsid wsp:val=&quot;286E4D4F&quot;/&gt;&lt;wsp:rsid wsp:val=&quot;28700AC7&quot;/&gt;&lt;wsp:rsid wsp:val=&quot;287265EE&quot;/&gt;&lt;wsp:rsid wsp:val=&quot;28732366&quot;/&gt;&lt;wsp:rsid wsp:val=&quot;28741B8A&quot;/&gt;&lt;wsp:rsid wsp:val=&quot;28744960&quot;/&gt;&lt;wsp:rsid wsp:val=&quot;28744BDA&quot;/&gt;&lt;wsp:rsid wsp:val=&quot;2874680A&quot;/&gt;&lt;wsp:rsid wsp:val=&quot;287560DE&quot;/&gt;&lt;wsp:rsid wsp:val=&quot;287656A9&quot;/&gt;&lt;wsp:rsid wsp:val=&quot;28771E56&quot;/&gt;&lt;wsp:rsid wsp:val=&quot;28773C04&quot;/&gt;&lt;wsp:rsid wsp:val=&quot;287776D3&quot;/&gt;&lt;wsp:rsid wsp:val=&quot;287814A2&quot;/&gt;&lt;wsp:rsid wsp:val=&quot;287C121A&quot;/&gt;&lt;wsp:rsid wsp:val=&quot;287C56BE&quot;/&gt;&lt;wsp:rsid wsp:val=&quot;287F6DC5&quot;/&gt;&lt;wsp:rsid wsp:val=&quot;287F6F5C&quot;/&gt;&lt;wsp:rsid wsp:val=&quot;288051AE&quot;/&gt;&lt;wsp:rsid wsp:val=&quot;28812455&quot;/&gt;&lt;wsp:rsid wsp:val=&quot;28844573&quot;/&gt;&lt;wsp:rsid wsp:val=&quot;28846321&quot;/&gt;&lt;wsp:rsid wsp:val=&quot;288502C1&quot;/&gt;&lt;wsp:rsid wsp:val=&quot;28862099&quot;/&gt;&lt;wsp:rsid wsp:val=&quot;288822B5&quot;/&gt;&lt;wsp:rsid wsp:val=&quot;288A1B89&quot;/&gt;&lt;wsp:rsid wsp:val=&quot;288A4920&quot;/&gt;&lt;wsp:rsid wsp:val=&quot;288B5901&quot;/&gt;&lt;wsp:rsid wsp:val=&quot;28902F18&quot;/&gt;&lt;wsp:rsid wsp:val=&quot;28904CC6&quot;/&gt;&lt;wsp:rsid wsp:val=&quot;289112ED&quot;/&gt;&lt;wsp:rsid wsp:val=&quot;28926C90&quot;/&gt;&lt;wsp:rsid wsp:val=&quot;28940C5A&quot;/&gt;&lt;wsp:rsid wsp:val=&quot;28942A08&quot;/&gt;&lt;wsp:rsid wsp:val=&quot;289447B6&quot;/&gt;&lt;wsp:rsid wsp:val=&quot;289522DC&quot;/&gt;&lt;wsp:rsid wsp:val=&quot;28954CDC&quot;/&gt;&lt;wsp:rsid wsp:val=&quot;28956780&quot;/&gt;&lt;wsp:rsid wsp:val=&quot;28976054&quot;/&gt;&lt;wsp:rsid wsp:val=&quot;28990963&quot;/&gt;&lt;wsp:rsid wsp:val=&quot;28991DCC&quot;/&gt;&lt;wsp:rsid wsp:val=&quot;289B1FDE&quot;/&gt;&lt;wsp:rsid wsp:val=&quot;289B5978&quot;/&gt;&lt;wsp:rsid wsp:val=&quot;289D1D2D&quot;/&gt;&lt;wsp:rsid wsp:val=&quot;289F721E&quot;/&gt;&lt;wsp:rsid wsp:val=&quot;28A10C81&quot;/&gt;&lt;wsp:rsid wsp:val=&quot;28A16ED3&quot;/&gt;&lt;wsp:rsid wsp:val=&quot;28A54C15&quot;/&gt;&lt;wsp:rsid wsp:val=&quot;28A8200F&quot;/&gt;&lt;wsp:rsid wsp:val=&quot;28A945E1&quot;/&gt;&lt;wsp:rsid wsp:val=&quot;28A95D87&quot;/&gt;&lt;wsp:rsid wsp:val=&quot;28AA3FD9&quot;/&gt;&lt;wsp:rsid wsp:val=&quot;28AB7D51&quot;/&gt;&lt;wsp:rsid wsp:val=&quot;28AD1D1C&quot;/&gt;&lt;wsp:rsid wsp:val=&quot;28AD5878&quot;/&gt;&lt;wsp:rsid wsp:val=&quot;28AF339E&quot;/&gt;&lt;wsp:rsid wsp:val=&quot;28B07116&quot;/&gt;&lt;wsp:rsid wsp:val=&quot;28B409B4&quot;/&gt;&lt;wsp:rsid wsp:val=&quot;28B44E58&quot;/&gt;&lt;wsp:rsid wsp:val=&quot;28B45344&quot;/&gt;&lt;wsp:rsid wsp:val=&quot;28B5472C&quot;/&gt;&lt;wsp:rsid wsp:val=&quot;28B9421C&quot;/&gt;&lt;wsp:rsid wsp:val=&quot;28BA1D43&quot;/&gt;&lt;wsp:rsid wsp:val=&quot;28BA5566&quot;/&gt;&lt;wsp:rsid wsp:val=&quot;28BC1F5F&quot;/&gt;&lt;wsp:rsid wsp:val=&quot;28BC5ABB&quot;/&gt;&lt;wsp:rsid wsp:val=&quot;28BE7A85&quot;/&gt;&lt;wsp:rsid wsp:val=&quot;28BF50C6&quot;/&gt;&lt;wsp:rsid wsp:val=&quot;28C130D1&quot;/&gt;&lt;wsp:rsid wsp:val=&quot;28C332ED&quot;/&gt;&lt;wsp:rsid wsp:val=&quot;28C3700C&quot;/&gt;&lt;wsp:rsid wsp:val=&quot;28C45F55&quot;/&gt;&lt;wsp:rsid wsp:val=&quot;28C47AA8&quot;/&gt;&lt;wsp:rsid wsp:val=&quot;28C50E13&quot;/&gt;&lt;wsp:rsid wsp:val=&quot;28C50F38&quot;/&gt;&lt;wsp:rsid wsp:val=&quot;28C56E58&quot;/&gt;&lt;wsp:rsid wsp:val=&quot;28C57065&quot;/&gt;&lt;wsp:rsid wsp:val=&quot;28C63B09&quot;/&gt;&lt;wsp:rsid wsp:val=&quot;28C80903&quot;/&gt;&lt;wsp:rsid wsp:val=&quot;28C826B1&quot;/&gt;&lt;wsp:rsid wsp:val=&quot;28CB3F50&quot;/&gt;&lt;wsp:rsid wsp:val=&quot;28CC03F4&quot;/&gt;&lt;wsp:rsid wsp:val=&quot;28CD229B&quot;/&gt;&lt;wsp:rsid wsp:val=&quot;28CD2F26&quot;/&gt;&lt;wsp:rsid wsp:val=&quot;28CD5F1A&quot;/&gt;&lt;wsp:rsid wsp:val=&quot;28D163A6&quot;/&gt;&lt;wsp:rsid wsp:val=&quot;28D4759D&quot;/&gt;&lt;wsp:rsid wsp:val=&quot;28D67719&quot;/&gt;&lt;wsp:rsid wsp:val=&quot;28D728F5&quot;/&gt;&lt;wsp:rsid wsp:val=&quot;28D95D96&quot;/&gt;&lt;wsp:rsid wsp:val=&quot;28D9666D&quot;/&gt;&lt;wsp:rsid wsp:val=&quot;28DA340F&quot;/&gt;&lt;wsp:rsid wsp:val=&quot;28DC615D&quot;/&gt;&lt;wsp:rsid wsp:val=&quot;28DC73E2&quot;/&gt;&lt;wsp:rsid wsp:val=&quot;28DC7F0B&quot;/&gt;&lt;wsp:rsid wsp:val=&quot;28E03E9F&quot;/&gt;&lt;wsp:rsid wsp:val=&quot;28E079FB&quot;/&gt;&lt;wsp:rsid wsp:val=&quot;28E13773&quot;/&gt;&lt;wsp:rsid wsp:val=&quot;28E15521&quot;/&gt;&lt;wsp:rsid wsp:val=&quot;28E219C5&quot;/&gt;&lt;wsp:rsid wsp:val=&quot;28E31299&quot;/&gt;&lt;wsp:rsid wsp:val=&quot;28E3573D&quot;/&gt;&lt;wsp:rsid wsp:val=&quot;28E37000&quot;/&gt;&lt;wsp:rsid wsp:val=&quot;28E374EB&quot;/&gt;&lt;wsp:rsid wsp:val=&quot;28E4124D&quot;/&gt;&lt;wsp:rsid wsp:val=&quot;28E53263&quot;/&gt;&lt;wsp:rsid wsp:val=&quot;28E55011&quot;/&gt;&lt;wsp:rsid wsp:val=&quot;28E619B2&quot;/&gt;&lt;wsp:rsid wsp:val=&quot;28E76FDC&quot;/&gt;&lt;wsp:rsid wsp:val=&quot;28E82D54&quot;/&gt;&lt;wsp:rsid wsp:val=&quot;28E868B0&quot;/&gt;&lt;wsp:rsid wsp:val=&quot;28E86EA3&quot;/&gt;&lt;wsp:rsid wsp:val=&quot;28EA0527&quot;/&gt;&lt;wsp:rsid wsp:val=&quot;28EA087A&quot;/&gt;&lt;wsp:rsid wsp:val=&quot;28EA2628&quot;/&gt;&lt;wsp:rsid wsp:val=&quot;28EC095D&quot;/&gt;&lt;wsp:rsid wsp:val=&quot;28EE0144&quot;/&gt;&lt;wsp:rsid wsp:val=&quot;28EF5E90&quot;/&gt;&lt;wsp:rsid wsp:val=&quot;28F2772E&quot;/&gt;&lt;wsp:rsid wsp:val=&quot;28F434A6&quot;/&gt;&lt;wsp:rsid wsp:val=&quot;28F60FCD&quot;/&gt;&lt;wsp:rsid wsp:val=&quot;28F76096&quot;/&gt;&lt;wsp:rsid wsp:val=&quot;28F90ABD&quot;/&gt;&lt;wsp:rsid wsp:val=&quot;28F9286B&quot;/&gt;&lt;wsp:rsid wsp:val=&quot;28FB789F&quot;/&gt;&lt;wsp:rsid wsp:val=&quot;28FC235B&quot;/&gt;&lt;wsp:rsid wsp:val=&quot;28FD16C4&quot;/&gt;&lt;wsp:rsid wsp:val=&quot;28FD67FF&quot;/&gt;&lt;wsp:rsid wsp:val=&quot;28FE4325&quot;/&gt;&lt;wsp:rsid wsp:val=&quot;29003BF9&quot;/&gt;&lt;wsp:rsid wsp:val=&quot;29015BC3&quot;/&gt;&lt;wsp:rsid wsp:val=&quot;29017971&quot;/&gt;&lt;wsp:rsid wsp:val=&quot;29046EDC&quot;/&gt;&lt;wsp:rsid wsp:val=&quot;29053906&quot;/&gt;&lt;wsp:rsid wsp:val=&quot;290563CB&quot;/&gt;&lt;wsp:rsid wsp:val=&quot;290731DA&quot;/&gt;&lt;wsp:rsid wsp:val=&quot;29080D00&quot;/&gt;&lt;wsp:rsid wsp:val=&quot;290B223D&quot;/&gt;&lt;wsp:rsid wsp:val=&quot;291122AA&quot;/&gt;&lt;wsp:rsid wsp:val=&quot;29115E06&quot;/&gt;&lt;wsp:rsid wsp:val=&quot;29121B7F&quot;/&gt;&lt;wsp:rsid wsp:val=&quot;2912392D&quot;/&gt;&lt;wsp:rsid wsp:val=&quot;29127DD1&quot;/&gt;&lt;wsp:rsid wsp:val=&quot;2914053D&quot;/&gt;&lt;wsp:rsid wsp:val=&quot;29144A30&quot;/&gt;&lt;wsp:rsid wsp:val=&quot;291476A5&quot;/&gt;&lt;wsp:rsid wsp:val=&quot;291678C1&quot;/&gt;&lt;wsp:rsid wsp:val=&quot;29183639&quot;/&gt;&lt;wsp:rsid wsp:val=&quot;2919115F&quot;/&gt;&lt;wsp:rsid wsp:val=&quot;29191410&quot;/&gt;&lt;wsp:rsid wsp:val=&quot;291B6C85&quot;/&gt;&lt;wsp:rsid wsp:val=&quot;291C47AB&quot;/&gt;&lt;wsp:rsid wsp:val=&quot;291E22D1&quot;/&gt;&lt;wsp:rsid wsp:val=&quot;291E6775&quot;/&gt;&lt;wsp:rsid wsp:val=&quot;2920429C&quot;/&gt;&lt;wsp:rsid wsp:val=&quot;2920604A&quot;/&gt;&lt;wsp:rsid wsp:val=&quot;29206EB8&quot;/&gt;&lt;wsp:rsid wsp:val=&quot;29211DC2&quot;/&gt;&lt;wsp:rsid wsp:val=&quot;29227034&quot;/&gt;&lt;wsp:rsid wsp:val=&quot;292565A7&quot;/&gt;&lt;wsp:rsid wsp:val=&quot;292813A2&quot;/&gt;&lt;wsp:rsid wsp:val=&quot;29297E32&quot;/&gt;&lt;wsp:rsid wsp:val=&quot;292A6EC8&quot;/&gt;&lt;wsp:rsid wsp:val=&quot;292A7B94&quot;/&gt;&lt;wsp:rsid wsp:val=&quot;292B00E6&quot;/&gt;&lt;wsp:rsid wsp:val=&quot;292C0E92&quot;/&gt;&lt;wsp:rsid wsp:val=&quot;292C49EE&quot;/&gt;&lt;wsp:rsid wsp:val=&quot;292C587F&quot;/&gt;&lt;wsp:rsid wsp:val=&quot;292D1BA5&quot;/&gt;&lt;wsp:rsid wsp:val=&quot;292F2731&quot;/&gt;&lt;wsp:rsid wsp:val=&quot;292F400E&quot;/&gt;&lt;wsp:rsid wsp:val=&quot;29341ACA&quot;/&gt;&lt;wsp:rsid wsp:val=&quot;2934401A&quot;/&gt;&lt;wsp:rsid wsp:val=&quot;29353D69&quot;/&gt;&lt;wsp:rsid wsp:val=&quot;29361C72&quot;/&gt;&lt;wsp:rsid wsp:val=&quot;29361D11&quot;/&gt;&lt;wsp:rsid wsp:val=&quot;2936586D&quot;/&gt;&lt;wsp:rsid wsp:val=&quot;29373393&quot;/&gt;&lt;wsp:rsid wsp:val=&quot;293935AF&quot;/&gt;&lt;wsp:rsid wsp:val=&quot;2939535D&quot;/&gt;&lt;wsp:rsid wsp:val=&quot;2939710B&quot;/&gt;&lt;wsp:rsid wsp:val=&quot;293A007B&quot;/&gt;&lt;wsp:rsid wsp:val=&quot;293B10D5&quot;/&gt;&lt;wsp:rsid wsp:val=&quot;293C27AC&quot;/&gt;&lt;wsp:rsid wsp:val=&quot;293C5380&quot;/&gt;&lt;wsp:rsid wsp:val=&quot;293D6BFB&quot;/&gt;&lt;wsp:rsid wsp:val=&quot;293E2974&quot;/&gt;&lt;wsp:rsid wsp:val=&quot;293E4FA7&quot;/&gt;&lt;wsp:rsid wsp:val=&quot;29403455&quot;/&gt;&lt;wsp:rsid wsp:val=&quot;29424212&quot;/&gt;&lt;wsp:rsid wsp:val=&quot;29430E8F&quot;/&gt;&lt;wsp:rsid wsp:val=&quot;294361DC&quot;/&gt;&lt;wsp:rsid wsp:val=&quot;29471828&quot;/&gt;&lt;wsp:rsid wsp:val=&quot;29477A7A&quot;/&gt;&lt;wsp:rsid wsp:val=&quot;294837F2&quot;/&gt;&lt;wsp:rsid wsp:val=&quot;294A6EAE&quot;/&gt;&lt;wsp:rsid wsp:val=&quot;294C6E3F&quot;/&gt;&lt;wsp:rsid wsp:val=&quot;294F4B81&quot;/&gt;&lt;wsp:rsid wsp:val=&quot;29506096&quot;/&gt;&lt;wsp:rsid wsp:val=&quot;29511E01&quot;/&gt;&lt;wsp:rsid wsp:val=&quot;29514455&quot;/&gt;&lt;wsp:rsid wsp:val=&quot;295201CD&quot;/&gt;&lt;wsp:rsid wsp:val=&quot;295474FF&quot;/&gt;&lt;wsp:rsid wsp:val=&quot;29564161&quot;/&gt;&lt;wsp:rsid wsp:val=&quot;29567CBD&quot;/&gt;&lt;wsp:rsid wsp:val=&quot;29575C73&quot;/&gt;&lt;wsp:rsid wsp:val=&quot;29595666&quot;/&gt;&lt;wsp:rsid wsp:val=&quot;29596949&quot;/&gt;&lt;wsp:rsid wsp:val=&quot;295D54F0&quot;/&gt;&lt;wsp:rsid wsp:val=&quot;29622D86&quot;/&gt;&lt;wsp:rsid wsp:val=&quot;29626662&quot;/&gt;&lt;wsp:rsid wsp:val=&quot;296323DA&quot;/&gt;&lt;wsp:rsid wsp:val=&quot;2964062C&quot;/&gt;&lt;wsp:rsid wsp:val=&quot;29671ECA&quot;/&gt;&lt;wsp:rsid wsp:val=&quot;296C128F&quot;/&gt;&lt;wsp:rsid wsp:val=&quot;29712D49&quot;/&gt;&lt;wsp:rsid wsp:val=&quot;29714AF7&quot;/&gt;&lt;wsp:rsid wsp:val=&quot;2973261D&quot;/&gt;&lt;wsp:rsid wsp:val=&quot;29736AC1&quot;/&gt;&lt;wsp:rsid wsp:val=&quot;29752839&quot;/&gt;&lt;wsp:rsid wsp:val=&quot;2976035F&quot;/&gt;&lt;wsp:rsid wsp:val=&quot;2976210D&quot;/&gt;&lt;wsp:rsid wsp:val=&quot;29763EBB&quot;/&gt;&lt;wsp:rsid wsp:val=&quot;297665B1&quot;/&gt;&lt;wsp:rsid wsp:val=&quot;29785E86&quot;/&gt;&lt;wsp:rsid wsp:val=&quot;29787C34&quot;/&gt;&lt;wsp:rsid wsp:val=&quot;29791BFE&quot;/&gt;&lt;wsp:rsid wsp:val=&quot;297B5976&quot;/&gt;&lt;wsp:rsid wsp:val=&quot;297D16EE&quot;/&gt;&lt;wsp:rsid wsp:val=&quot;298011DE&quot;/&gt;&lt;wsp:rsid wsp:val=&quot;29820AB2&quot;/&gt;&lt;wsp:rsid wsp:val=&quot;29824F56&quot;/&gt;&lt;wsp:rsid wsp:val=&quot;29826D04&quot;/&gt;&lt;wsp:rsid wsp:val=&quot;298365D8&quot;/&gt;&lt;wsp:rsid wsp:val=&quot;29842A7C&quot;/&gt;&lt;wsp:rsid wsp:val=&quot;2984482A&quot;/&gt;&lt;wsp:rsid wsp:val=&quot;29844C90&quot;/&gt;&lt;wsp:rsid wsp:val=&quot;29852351&quot;/&gt;&lt;wsp:rsid wsp:val=&quot;298654FF&quot;/&gt;&lt;wsp:rsid wsp:val=&quot;2987256D&quot;/&gt;&lt;wsp:rsid wsp:val=&quot;29874881&quot;/&gt;&lt;wsp:rsid wsp:val=&quot;298760C9&quot;/&gt;&lt;wsp:rsid wsp:val=&quot;298962E5&quot;/&gt;&lt;wsp:rsid wsp:val=&quot;298C36DF&quot;/&gt;&lt;wsp:rsid wsp:val=&quot;298E38FB&quot;/&gt;&lt;wsp:rsid wsp:val=&quot;298E7457&quot;/&gt;&lt;wsp:rsid wsp:val=&quot;298F1421&quot;/&gt;&lt;wsp:rsid wsp:val=&quot;298F4F7D&quot;/&gt;&lt;wsp:rsid wsp:val=&quot;299042C3&quot;/&gt;&lt;wsp:rsid wsp:val=&quot;29911D35&quot;/&gt;&lt;wsp:rsid wsp:val=&quot;29916F47&quot;/&gt;&lt;wsp:rsid wsp:val=&quot;299270AF&quot;/&gt;&lt;wsp:rsid wsp:val=&quot;29934A6D&quot;/&gt;&lt;wsp:rsid wsp:val=&quot;29946A38&quot;/&gt;&lt;wsp:rsid wsp:val=&quot;29956DFE&quot;/&gt;&lt;wsp:rsid wsp:val=&quot;29974847&quot;/&gt;&lt;wsp:rsid wsp:val=&quot;299A1CC3&quot;/&gt;&lt;wsp:rsid wsp:val=&quot;299A22A0&quot;/&gt;&lt;wsp:rsid wsp:val=&quot;299B7DC6&quot;/&gt;&lt;wsp:rsid wsp:val=&quot;299D58EC&quot;/&gt;&lt;wsp:rsid wsp:val=&quot;299E3412&quot;/&gt;&lt;wsp:rsid wsp:val=&quot;299F1664&quot;/&gt;&lt;wsp:rsid wsp:val=&quot;29A22F02&quot;/&gt;&lt;wsp:rsid wsp:val=&quot;29A44ECD&quot;/&gt;&lt;wsp:rsid wsp:val=&quot;29A529F3&quot;/&gt;&lt;wsp:rsid wsp:val=&quot;29A547A1&quot;/&gt;&lt;wsp:rsid wsp:val=&quot;29A749BD&quot;/&gt;&lt;wsp:rsid wsp:val=&quot;29AB625B&quot;/&gt;&lt;wsp:rsid wsp:val=&quot;29AC5B2F&quot;/&gt;&lt;wsp:rsid wsp:val=&quot;29AD17B3&quot;/&gt;&lt;wsp:rsid wsp:val=&quot;29AE18A7&quot;/&gt;&lt;wsp:rsid wsp:val=&quot;29AE5D4B&quot;/&gt;&lt;wsp:rsid wsp:val=&quot;29B0281D&quot;/&gt;&lt;wsp:rsid wsp:val=&quot;29B03871&quot;/&gt;&lt;wsp:rsid wsp:val=&quot;29B175E9&quot;/&gt;&lt;wsp:rsid wsp:val=&quot;29B35110&quot;/&gt;&lt;wsp:rsid wsp:val=&quot;29B7592F&quot;/&gt;&lt;wsp:rsid wsp:val=&quot;29B82726&quot;/&gt;&lt;wsp:rsid wsp:val=&quot;29B9024C&quot;/&gt;&lt;wsp:rsid wsp:val=&quot;29BA649E&quot;/&gt;&lt;wsp:rsid wsp:val=&quot;29BB2216&quot;/&gt;&lt;wsp:rsid wsp:val=&quot;29BB3FC4&quot;/&gt;&lt;wsp:rsid wsp:val=&quot;29BC23C8&quot;/&gt;&lt;wsp:rsid wsp:val=&quot;29BD6562&quot;/&gt;&lt;wsp:rsid wsp:val=&quot;29C0782D&quot;/&gt;&lt;wsp:rsid wsp:val=&quot;29C235A5&quot;/&gt;&lt;wsp:rsid wsp:val=&quot;29C34ADE&quot;/&gt;&lt;wsp:rsid wsp:val=&quot;29C44CF4&quot;/&gt;&lt;wsp:rsid wsp:val=&quot;29C54E43&quot;/&gt;&lt;wsp:rsid wsp:val=&quot;29C55BD3&quot;/&gt;&lt;wsp:rsid wsp:val=&quot;29C70CDD&quot;/&gt;&lt;wsp:rsid wsp:val=&quot;29C94933&quot;/&gt;&lt;wsp:rsid wsp:val=&quot;29CB1FF6&quot;/&gt;&lt;wsp:rsid wsp:val=&quot;29CB68D8&quot;/&gt;&lt;wsp:rsid wsp:val=&quot;29CC61D1&quot;/&gt;&lt;wsp:rsid wsp:val=&quot;29CC7F7F&quot;/&gt;&lt;wsp:rsid wsp:val=&quot;29CD6057&quot;/&gt;&lt;wsp:rsid wsp:val=&quot;29CE5AA6&quot;/&gt;&lt;wsp:rsid wsp:val=&quot;29CE5DA6&quot;/&gt;&lt;wsp:rsid wsp:val=&quot;29CF181E&quot;/&gt;&lt;wsp:rsid wsp:val=&quot;29D049D8&quot;/&gt;&lt;wsp:rsid wsp:val=&quot;29D07A70&quot;/&gt;&lt;wsp:rsid wsp:val=&quot;29D23611&quot;/&gt;&lt;wsp:rsid wsp:val=&quot;29D3130E&quot;/&gt;&lt;wsp:rsid wsp:val=&quot;29D37560&quot;/&gt;&lt;wsp:rsid wsp:val=&quot;29D46E34&quot;/&gt;&lt;wsp:rsid wsp:val=&quot;29D532D8&quot;/&gt;&lt;wsp:rsid wsp:val=&quot;29D67050&quot;/&gt;&lt;wsp:rsid wsp:val=&quot;29D81A29&quot;/&gt;&lt;wsp:rsid wsp:val=&quot;29D81A5D&quot;/&gt;&lt;wsp:rsid wsp:val=&quot;29D85AE2&quot;/&gt;&lt;wsp:rsid wsp:val=&quot;29D92EB9&quot;/&gt;&lt;wsp:rsid wsp:val=&quot;29DA08EE&quot;/&gt;&lt;wsp:rsid wsp:val=&quot;29DA6B40&quot;/&gt;&lt;wsp:rsid wsp:val=&quot;29DB188C&quot;/&gt;&lt;wsp:rsid wsp:val=&quot;29DD218D&quot;/&gt;&lt;wsp:rsid wsp:val=&quot;29DE69D7&quot;/&gt;&lt;wsp:rsid wsp:val=&quot;29DF5F05&quot;/&gt;&lt;wsp:rsid wsp:val=&quot;29DF7CB3&quot;/&gt;&lt;wsp:rsid wsp:val=&quot;29E03A2B&quot;/&gt;&lt;wsp:rsid wsp:val=&quot;29E11C7D&quot;/&gt;&lt;wsp:rsid wsp:val=&quot;29E21551&quot;/&gt;&lt;wsp:rsid wsp:val=&quot;29E277A3&quot;/&gt;&lt;wsp:rsid wsp:val=&quot;29E325E0&quot;/&gt;&lt;wsp:rsid wsp:val=&quot;29E4170D&quot;/&gt;&lt;wsp:rsid wsp:val=&quot;29E43E3B&quot;/&gt;&lt;wsp:rsid wsp:val=&quot;29E7008E&quot;/&gt;&lt;wsp:rsid wsp:val=&quot;29E74DB9&quot;/&gt;&lt;wsp:rsid wsp:val=&quot;29E90B31&quot;/&gt;&lt;wsp:rsid wsp:val=&quot;29E929AE&quot;/&gt;&lt;wsp:rsid wsp:val=&quot;29E96D83&quot;/&gt;&lt;wsp:rsid wsp:val=&quot;29EE7EF6&quot;/&gt;&lt;wsp:rsid wsp:val=&quot;29F251A1&quot;/&gt;&lt;wsp:rsid wsp:val=&quot;29F375EE&quot;/&gt;&lt;wsp:rsid wsp:val=&quot;29F37C02&quot;/&gt;&lt;wsp:rsid wsp:val=&quot;29F47AC1&quot;/&gt;&lt;wsp:rsid wsp:val=&quot;29F55728&quot;/&gt;&lt;wsp:rsid wsp:val=&quot;29F6190F&quot;/&gt;&lt;wsp:rsid wsp:val=&quot;29F6324E&quot;/&gt;&lt;wsp:rsid wsp:val=&quot;29F714A0&quot;/&gt;&lt;wsp:rsid wsp:val=&quot;29F80D74&quot;/&gt;&lt;wsp:rsid wsp:val=&quot;29F814D9&quot;/&gt;&lt;wsp:rsid wsp:val=&quot;29F86FC6&quot;/&gt;&lt;wsp:rsid wsp:val=&quot;29F9586B&quot;/&gt;&lt;wsp:rsid wsp:val=&quot;29FA2D3E&quot;/&gt;&lt;wsp:rsid wsp:val=&quot;29FD45DD&quot;/&gt;&lt;wsp:rsid wsp:val=&quot;29FF0355&quot;/&gt;&lt;wsp:rsid wsp:val=&quot;29FF2103&quot;/&gt;&lt;wsp:rsid wsp:val=&quot;29FF6BD6&quot;/&gt;&lt;wsp:rsid wsp:val=&quot;2A0140CD&quot;/&gt;&lt;wsp:rsid wsp:val=&quot;2A027E45&quot;/&gt;&lt;wsp:rsid wsp:val=&quot;2A03697A&quot;/&gt;&lt;wsp:rsid wsp:val=&quot;2A043BBD&quot;/&gt;&lt;wsp:rsid wsp:val=&quot;2A070FB7&quot;/&gt;&lt;wsp:rsid wsp:val=&quot;2A077209&quot;/&gt;&lt;wsp:rsid wsp:val=&quot;2A091F98&quot;/&gt;&lt;wsp:rsid wsp:val=&quot;2A092F82&quot;/&gt;&lt;wsp:rsid wsp:val=&quot;2A0B7489&quot;/&gt;&lt;wsp:rsid wsp:val=&quot;2A0D1313&quot;/&gt;&lt;wsp:rsid wsp:val=&quot;2A0E2346&quot;/&gt;&lt;wsp:rsid wsp:val=&quot;2A0F5E0A&quot;/&gt;&lt;wsp:rsid wsp:val=&quot;2A104310&quot;/&gt;&lt;wsp:rsid wsp:val=&quot;2A1060BE&quot;/&gt;&lt;wsp:rsid wsp:val=&quot;2A110088&quot;/&gt;&lt;wsp:rsid wsp:val=&quot;2A111E36&quot;/&gt;&lt;wsp:rsid wsp:val=&quot;2A12586E&quot;/&gt;&lt;wsp:rsid wsp:val=&quot;2A133E00&quot;/&gt;&lt;wsp:rsid wsp:val=&quot;2A13795C&quot;/&gt;&lt;wsp:rsid wsp:val=&quot;2A1536D4&quot;/&gt;&lt;wsp:rsid wsp:val=&quot;2A161EB6&quot;/&gt;&lt;wsp:rsid wsp:val=&quot;2A175819&quot;/&gt;&lt;wsp:rsid wsp:val=&quot;2A1C2BC3&quot;/&gt;&lt;wsp:rsid wsp:val=&quot;2A1C2CB5&quot;/&gt;&lt;wsp:rsid wsp:val=&quot;2A1D07DB&quot;/&gt;&lt;wsp:rsid wsp:val=&quot;2A1D2DF3&quot;/&gt;&lt;wsp:rsid wsp:val=&quot;2A1D6A2D&quot;/&gt;&lt;wsp:rsid wsp:val=&quot;2A1E5633&quot;/&gt;&lt;wsp:rsid wsp:val=&quot;2A1F41BD&quot;/&gt;&lt;wsp:rsid wsp:val=&quot;2A202079&quot;/&gt;&lt;wsp:rsid wsp:val=&quot;2A2102CB&quot;/&gt;&lt;wsp:rsid wsp:val=&quot;2A222295&quot;/&gt;&lt;wsp:rsid wsp:val=&quot;2A255F01&quot;/&gt;&lt;wsp:rsid wsp:val=&quot;2A257690&quot;/&gt;&lt;wsp:rsid wsp:val=&quot;2A261D85&quot;/&gt;&lt;wsp:rsid wsp:val=&quot;2A263B34&quot;/&gt;&lt;wsp:rsid wsp:val=&quot;2A27165A&quot;/&gt;&lt;wsp:rsid wsp:val=&quot;2A293624&quot;/&gt;&lt;wsp:rsid wsp:val=&quot;2A2953D2&quot;/&gt;&lt;wsp:rsid wsp:val=&quot;2A297E40&quot;/&gt;&lt;wsp:rsid wsp:val=&quot;2A2B2EF8&quot;/&gt;&lt;wsp:rsid wsp:val=&quot;2A2C6C70&quot;/&gt;&lt;wsp:rsid wsp:val=&quot;2A30050E&quot;/&gt;&lt;wsp:rsid wsp:val=&quot;2A306760&quot;/&gt;&lt;wsp:rsid wsp:val=&quot;2A3111A3&quot;/&gt;&lt;wsp:rsid wsp:val=&quot;2A314286&quot;/&gt;&lt;wsp:rsid wsp:val=&quot;2A333AC3&quot;/&gt;&lt;wsp:rsid wsp:val=&quot;2A335204&quot;/&gt;&lt;wsp:rsid wsp:val=&quot;2A351FC9&quot;/&gt;&lt;wsp:rsid wsp:val=&quot;2A360FB4&quot;/&gt;&lt;wsp:rsid wsp:val=&quot;2A383867&quot;/&gt;&lt;wsp:rsid wsp:val=&quot;2A385615&quot;/&gt;&lt;wsp:rsid wsp:val=&quot;2A39669A&quot;/&gt;&lt;wsp:rsid wsp:val=&quot;2A3A313B&quot;/&gt;&lt;wsp:rsid wsp:val=&quot;2A3C5105&quot;/&gt;&lt;wsp:rsid wsp:val=&quot;2A3D2C2B&quot;/&gt;&lt;wsp:rsid wsp:val=&quot;2A410C98&quot;/&gt;&lt;wsp:rsid wsp:val=&quot;2A426494&quot;/&gt;&lt;wsp:rsid wsp:val=&quot;2A44220C&quot;/&gt;&lt;wsp:rsid wsp:val=&quot;2A44494B&quot;/&gt;&lt;wsp:rsid wsp:val=&quot;2A452503&quot;/&gt;&lt;wsp:rsid wsp:val=&quot;2A456A43&quot;/&gt;&lt;wsp:rsid wsp:val=&quot;2A465F84&quot;/&gt;&lt;wsp:rsid wsp:val=&quot;2A467ADE&quot;/&gt;&lt;wsp:rsid wsp:val=&quot;2A467D32&quot;/&gt;&lt;wsp:rsid wsp:val=&quot;2A473AAA&quot;/&gt;&lt;wsp:rsid wsp:val=&quot;2A497822&quot;/&gt;&lt;wsp:rsid wsp:val=&quot;2A4B17EC&quot;/&gt;&lt;wsp:rsid wsp:val=&quot;2A4B1FF1&quot;/&gt;&lt;wsp:rsid wsp:val=&quot;2A4B446B&quot;/&gt;&lt;wsp:rsid wsp:val=&quot;2A4D5650&quot;/&gt;&lt;wsp:rsid wsp:val=&quot;2A4D7312&quot;/&gt;&lt;wsp:rsid wsp:val=&quot;2A4D7C8D&quot;/&gt;&lt;wsp:rsid wsp:val=&quot;2A4E1F42&quot;/&gt;&lt;wsp:rsid wsp:val=&quot;2A4E308A&quot;/&gt;&lt;wsp:rsid wsp:val=&quot;2A4F0498&quot;/&gt;&lt;wsp:rsid wsp:val=&quot;2A506E02&quot;/&gt;&lt;wsp:rsid wsp:val=&quot;2A5330AD&quot;/&gt;&lt;wsp:rsid wsp:val=&quot;2A5561C7&quot;/&gt;&lt;wsp:rsid wsp:val=&quot;2A557F75&quot;/&gt;&lt;wsp:rsid wsp:val=&quot;2A571F3F&quot;/&gt;&lt;wsp:rsid wsp:val=&quot;2A587A65&quot;/&gt;&lt;wsp:rsid wsp:val=&quot;2A5A6C6E&quot;/&gt;&lt;wsp:rsid wsp:val=&quot;2A5C2CCF&quot;/&gt;&lt;wsp:rsid wsp:val=&quot;2A5C7555&quot;/&gt;&lt;wsp:rsid wsp:val=&quot;2A5E32CD&quot;/&gt;&lt;wsp:rsid wsp:val=&quot;2A5F2BA2&quot;/&gt;&lt;wsp:rsid wsp:val=&quot;2A6037AC&quot;/&gt;&lt;wsp:rsid wsp:val=&quot;2A623D4A&quot;/&gt;&lt;wsp:rsid wsp:val=&quot;2A662182&quot;/&gt;&lt;wsp:rsid wsp:val=&quot;2A681272&quot;/&gt;&lt;wsp:rsid wsp:val=&quot;2A6824BE&quot;/&gt;&lt;wsp:rsid wsp:val=&quot;2A68414C&quot;/&gt;&lt;wsp:rsid wsp:val=&quot;2A685EFA&quot;/&gt;&lt;wsp:rsid wsp:val=&quot;2A6C6B5B&quot;/&gt;&lt;wsp:rsid wsp:val=&quot;2A6E1037&quot;/&gt;&lt;wsp:rsid wsp:val=&quot;2A6E548C&quot;/&gt;&lt;wsp:rsid wsp:val=&quot;2A701253&quot;/&gt;&lt;wsp:rsid wsp:val=&quot;2A704DAF&quot;/&gt;&lt;wsp:rsid wsp:val=&quot;2A717F62&quot;/&gt;&lt;wsp:rsid wsp:val=&quot;2A7228D5&quot;/&gt;&lt;wsp:rsid wsp:val=&quot;2A726D79&quot;/&gt;&lt;wsp:rsid wsp:val=&quot;2A73664D&quot;/&gt;&lt;wsp:rsid wsp:val=&quot;2A736B07&quot;/&gt;&lt;wsp:rsid wsp:val=&quot;2A7523C5&quot;/&gt;&lt;wsp:rsid wsp:val=&quot;2A7725E1&quot;/&gt;&lt;wsp:rsid wsp:val=&quot;2A77438F&quot;/&gt;&lt;wsp:rsid wsp:val=&quot;2A783C63&quot;/&gt;&lt;wsp:rsid wsp:val=&quot;2A78776A&quot;/&gt;&lt;wsp:rsid wsp:val=&quot;2A790107&quot;/&gt;&lt;wsp:rsid wsp:val=&quot;2A7A79DB&quot;/&gt;&lt;wsp:rsid wsp:val=&quot;2A7C3754&quot;/&gt;&lt;wsp:rsid wsp:val=&quot;2A7E571E&quot;/&gt;&lt;wsp:rsid wsp:val=&quot;2A7F3244&quot;/&gt;&lt;wsp:rsid wsp:val=&quot;2A816FBC&quot;/&gt;&lt;wsp:rsid wsp:val=&quot;2A84085A&quot;/&gt;&lt;wsp:rsid wsp:val=&quot;2A841E75&quot;/&gt;&lt;wsp:rsid wsp:val=&quot;2A842608&quot;/&gt;&lt;wsp:rsid wsp:val=&quot;2A862824&quot;/&gt;&lt;wsp:rsid wsp:val=&quot;2A88659C&quot;/&gt;&lt;wsp:rsid wsp:val=&quot;2A8922A4&quot;/&gt;&lt;wsp:rsid wsp:val=&quot;2A89317C&quot;/&gt;&lt;wsp:rsid wsp:val=&quot;2A8940C2&quot;/&gt;&lt;wsp:rsid wsp:val=&quot;2A895828&quot;/&gt;&lt;wsp:rsid wsp:val=&quot;2A895E70&quot;/&gt;&lt;wsp:rsid wsp:val=&quot;2A8A2314&quot;/&gt;&lt;wsp:rsid wsp:val=&quot;2A8B1BE9&quot;/&gt;&lt;wsp:rsid wsp:val=&quot;2A8B3997&quot;/&gt;&lt;wsp:rsid wsp:val=&quot;2A900FAD&quot;/&gt;&lt;wsp:rsid wsp:val=&quot;2A9144DF&quot;/&gt;&lt;wsp:rsid wsp:val=&quot;2A930A9D&quot;/&gt;&lt;wsp:rsid wsp:val=&quot;2A9520EF&quot;/&gt;&lt;wsp:rsid wsp:val=&quot;2A952A67&quot;/&gt;&lt;wsp:rsid wsp:val=&quot;2A970BD3&quot;/&gt;&lt;wsp:rsid wsp:val=&quot;2A9767DF&quot;/&gt;&lt;wsp:rsid wsp:val=&quot;2A9860B3&quot;/&gt;&lt;wsp:rsid wsp:val=&quot;2A9943B2&quot;/&gt;&lt;wsp:rsid wsp:val=&quot;2A9A1E2C&quot;/&gt;&lt;wsp:rsid wsp:val=&quot;2A9C1476&quot;/&gt;&lt;wsp:rsid wsp:val=&quot;2A9D0465&quot;/&gt;&lt;wsp:rsid wsp:val=&quot;2AA31C54&quot;/&gt;&lt;wsp:rsid wsp:val=&quot;2AA36F32&quot;/&gt;&lt;wsp:rsid wsp:val=&quot;2AA42CAA&quot;/&gt;&lt;wsp:rsid wsp:val=&quot;2AA70B88&quot;/&gt;&lt;wsp:rsid wsp:val=&quot;2AA719AA&quot;/&gt;&lt;wsp:rsid wsp:val=&quot;2AA74552&quot;/&gt;&lt;wsp:rsid wsp:val=&quot;2AAA6513&quot;/&gt;&lt;wsp:rsid wsp:val=&quot;2AAB73FB&quot;/&gt;&lt;wsp:rsid wsp:val=&quot;2AAD6003&quot;/&gt;&lt;wsp:rsid wsp:val=&quot;2AAE58D7&quot;/&gt;&lt;wsp:rsid wsp:val=&quot;2AB0164F&quot;/&gt;&lt;wsp:rsid wsp:val=&quot;2AB02639&quot;/&gt;&lt;wsp:rsid wsp:val=&quot;2AB23619&quot;/&gt;&lt;wsp:rsid wsp:val=&quot;2AB24F59&quot;/&gt;&lt;wsp:rsid wsp:val=&quot;2AB34AAA&quot;/&gt;&lt;wsp:rsid wsp:val=&quot;2AB56C65&quot;/&gt;&lt;wsp:rsid wsp:val=&quot;2AB729DE&quot;/&gt;&lt;wsp:rsid wsp:val=&quot;2AB7478C&quot;/&gt;&lt;wsp:rsid wsp:val=&quot;2AB90504&quot;/&gt;&lt;wsp:rsid wsp:val=&quot;2AB92AF5&quot;/&gt;&lt;wsp:rsid wsp:val=&quot;2AB949A8&quot;/&gt;&lt;wsp:rsid wsp:val=&quot;2ABC13D1&quot;/&gt;&lt;wsp:rsid wsp:val=&quot;2ABC4498&quot;/&gt;&lt;wsp:rsid wsp:val=&quot;2ABE5B1A&quot;/&gt;&lt;wsp:rsid wsp:val=&quot;2AC1385C&quot;/&gt;&lt;wsp:rsid wsp:val=&quot;2AC31382&quot;/&gt;&lt;wsp:rsid wsp:val=&quot;2AC450FA&quot;/&gt;&lt;wsp:rsid wsp:val=&quot;2AC46EA9&quot;/&gt;&lt;wsp:rsid wsp:val=&quot;2AC717C5&quot;/&gt;&lt;wsp:rsid wsp:val=&quot;2ACA2711&quot;/&gt;&lt;wsp:rsid wsp:val=&quot;2ACA2BB1&quot;/&gt;&lt;wsp:rsid wsp:val=&quot;2ACB46DB&quot;/&gt;&lt;wsp:rsid wsp:val=&quot;2ACB7893&quot;/&gt;&lt;wsp:rsid wsp:val=&quot;2ACD2201&quot;/&gt;&lt;wsp:rsid wsp:val=&quot;2ACD3FAF&quot;/&gt;&lt;wsp:rsid wsp:val=&quot;2ACE1666&quot;/&gt;&lt;wsp:rsid wsp:val=&quot;2AD025B0&quot;/&gt;&lt;wsp:rsid wsp:val=&quot;2AD27817&quot;/&gt;&lt;wsp:rsid wsp:val=&quot;2AD4533E&quot;/&gt;&lt;wsp:rsid wsp:val=&quot;2AD510B6&quot;/&gt;&lt;wsp:rsid wsp:val=&quot;2AD64354&quot;/&gt;&lt;wsp:rsid wsp:val=&quot;2AD73080&quot;/&gt;&lt;wsp:rsid wsp:val=&quot;2AD74E2E&quot;/&gt;&lt;wsp:rsid wsp:val=&quot;2AD92954&quot;/&gt;&lt;wsp:rsid wsp:val=&quot;2ADB491E&quot;/&gt;&lt;wsp:rsid wsp:val=&quot;2ADC2444&quot;/&gt;&lt;wsp:rsid wsp:val=&quot;2ADC41F2&quot;/&gt;&lt;wsp:rsid wsp:val=&quot;2ADE0265&quot;/&gt;&lt;wsp:rsid wsp:val=&quot;2ADE2AE6&quot;/&gt;&lt;wsp:rsid wsp:val=&quot;2ADE6E32&quot;/&gt;&lt;wsp:rsid wsp:val=&quot;2AE00186&quot;/&gt;&lt;wsp:rsid wsp:val=&quot;2AE01BD6&quot;/&gt;&lt;wsp:rsid wsp:val=&quot;2AE412F9&quot;/&gt;&lt;wsp:rsid wsp:val=&quot;2AE5579D&quot;/&gt;&lt;wsp:rsid wsp:val=&quot;2AE5754B&quot;/&gt;&lt;wsp:rsid wsp:val=&quot;2AE57DE8&quot;/&gt;&lt;wsp:rsid wsp:val=&quot;2AE82B97&quot;/&gt;&lt;wsp:rsid wsp:val=&quot;2AE8528D&quot;/&gt;&lt;wsp:rsid wsp:val=&quot;2AE9690F&quot;/&gt;&lt;wsp:rsid wsp:val=&quot;2AEA2DB3&quot;/&gt;&lt;wsp:rsid wsp:val=&quot;2AED28A3&quot;/&gt;&lt;wsp:rsid wsp:val=&quot;2AEE0D42&quot;/&gt;&lt;wsp:rsid wsp:val=&quot;2AEF03C9&quot;/&gt;&lt;wsp:rsid wsp:val=&quot;2AF10F5C&quot;/&gt;&lt;wsp:rsid wsp:val=&quot;2AF43C32&quot;/&gt;&lt;wsp:rsid wsp:val=&quot;2AF459E0&quot;/&gt;&lt;wsp:rsid wsp:val=&quot;2AF47A0E&quot;/&gt;&lt;wsp:rsid wsp:val=&quot;2AF82279&quot;/&gt;&lt;wsp:rsid wsp:val=&quot;2AF91248&quot;/&gt;&lt;wsp:rsid wsp:val=&quot;2AFB461F&quot;/&gt;&lt;wsp:rsid wsp:val=&quot;2AFB4FC0&quot;/&gt;&lt;wsp:rsid wsp:val=&quot;2AFC1611&quot;/&gt;&lt;wsp:rsid wsp:val=&quot;2AFC41A2&quot;/&gt;&lt;wsp:rsid wsp:val=&quot;2B0025D7&quot;/&gt;&lt;wsp:rsid wsp:val=&quot;2B0032AF&quot;/&gt;&lt;wsp:rsid wsp:val=&quot;2B0100FD&quot;/&gt;&lt;wsp:rsid wsp:val=&quot;2B02634F&quot;/&gt;&lt;wsp:rsid wsp:val=&quot;2B0379D1&quot;/&gt;&lt;wsp:rsid wsp:val=&quot;2B053749&quot;/&gt;&lt;wsp:rsid wsp:val=&quot;2B057BED&quot;/&gt;&lt;wsp:rsid wsp:val=&quot;2B071CF2&quot;/&gt;&lt;wsp:rsid wsp:val=&quot;2B08148B&quot;/&gt;&lt;wsp:rsid wsp:val=&quot;2B0B1A6F&quot;/&gt;&lt;wsp:rsid wsp:val=&quot;2B0B2D29&quot;/&gt;&lt;wsp:rsid wsp:val=&quot;2B0C5B64&quot;/&gt;&lt;wsp:rsid wsp:val=&quot;2B0D6AA1&quot;/&gt;&lt;wsp:rsid wsp:val=&quot;2B0F281A&quot;/&gt;&lt;wsp:rsid wsp:val=&quot;2B116592&quot;/&gt;&lt;wsp:rsid wsp:val=&quot;2B12230A&quot;/&gt;&lt;wsp:rsid wsp:val=&quot;2B125F6C&quot;/&gt;&lt;wsp:rsid wsp:val=&quot;2B146082&quot;/&gt;&lt;wsp:rsid wsp:val=&quot;2B147E30&quot;/&gt;&lt;wsp:rsid wsp:val=&quot;2B17347C&quot;/&gt;&lt;wsp:rsid wsp:val=&quot;2B1B7EB7&quot;/&gt;&lt;wsp:rsid wsp:val=&quot;2B1C2A88&quot;/&gt;&lt;wsp:rsid wsp:val=&quot;2B1C4F36&quot;/&gt;&lt;wsp:rsid wsp:val=&quot;2B1C6CE5&quot;/&gt;&lt;wsp:rsid wsp:val=&quot;2B2160A9&quot;/&gt;&lt;wsp:rsid wsp:val=&quot;2B2251B9&quot;/&gt;&lt;wsp:rsid wsp:val=&quot;2B230073&quot;/&gt;&lt;wsp:rsid wsp:val=&quot;2B231E21&quot;/&gt;&lt;wsp:rsid wsp:val=&quot;2B245F87&quot;/&gt;&lt;wsp:rsid wsp:val=&quot;2B2636BF&quot;/&gt;&lt;wsp:rsid wsp:val=&quot;2B277B63&quot;/&gt;&lt;wsp:rsid wsp:val=&quot;2B2838DB&quot;/&gt;&lt;wsp:rsid wsp:val=&quot;2B2C33CC&quot;/&gt;&lt;wsp:rsid wsp:val=&quot;2B2D0EF2&quot;/&gt;&lt;wsp:rsid wsp:val=&quot;2B2D4A4E&quot;/&gt;&lt;wsp:rsid wsp:val=&quot;2B2D7144&quot;/&gt;&lt;wsp:rsid wsp:val=&quot;2B30453E&quot;/&gt;&lt;wsp:rsid wsp:val=&quot;2B307525&quot;/&gt;&lt;wsp:rsid wsp:val=&quot;2B3109E2&quot;/&gt;&lt;wsp:rsid wsp:val=&quot;2B326508&quot;/&gt;&lt;wsp:rsid wsp:val=&quot;2B3352EE&quot;/&gt;&lt;wsp:rsid wsp:val=&quot;2B342280&quot;/&gt;&lt;wsp:rsid wsp:val=&quot;2B365FF8&quot;/&gt;&lt;wsp:rsid wsp:val=&quot;2B367DA6&quot;/&gt;&lt;wsp:rsid wsp:val=&quot;2B372091&quot;/&gt;&lt;wsp:rsid wsp:val=&quot;2B3836F1&quot;/&gt;&lt;wsp:rsid wsp:val=&quot;2B397896&quot;/&gt;&lt;wsp:rsid wsp:val=&quot;2B3B0DBE&quot;/&gt;&lt;wsp:rsid wsp:val=&quot;2B3E4EAD&quot;/&gt;&lt;wsp:rsid wsp:val=&quot;2B3E6C5B&quot;/&gt;&lt;wsp:rsid wsp:val=&quot;2B3F2B94&quot;/&gt;&lt;wsp:rsid wsp:val=&quot;2B3F54CD&quot;/&gt;&lt;wsp:rsid wsp:val=&quot;2B4029D3&quot;/&gt;&lt;wsp:rsid wsp:val=&quot;2B4465E7&quot;/&gt;&lt;wsp:rsid wsp:val=&quot;2B45448D&quot;/&gt;&lt;wsp:rsid wsp:val=&quot;2B4638FA&quot;/&gt;&lt;wsp:rsid wsp:val=&quot;2B465B0F&quot;/&gt;&lt;wsp:rsid wsp:val=&quot;2B471FB3&quot;/&gt;&lt;wsp:rsid wsp:val=&quot;2B473D61&quot;/&gt;&lt;wsp:rsid wsp:val=&quot;2B477185&quot;/&gt;&lt;wsp:rsid wsp:val=&quot;2B4C1378&quot;/&gt;&lt;wsp:rsid wsp:val=&quot;2B4D6C1E&quot;/&gt;&lt;wsp:rsid wsp:val=&quot;2B4F0E68&quot;/&gt;&lt;wsp:rsid wsp:val=&quot;2B4F5673&quot;/&gt;&lt;wsp:rsid wsp:val=&quot;2B512E08&quot;/&gt;&lt;wsp:rsid wsp:val=&quot;2B512E32&quot;/&gt;&lt;wsp:rsid wsp:val=&quot;2B522706&quot;/&gt;&lt;wsp:rsid wsp:val=&quot;2B535728&quot;/&gt;&lt;wsp:rsid wsp:val=&quot;2B536BAA&quot;/&gt;&lt;wsp:rsid wsp:val=&quot;2B54003D&quot;/&gt;&lt;wsp:rsid wsp:val=&quot;2B566C7A&quot;/&gt;&lt;wsp:rsid wsp:val=&quot;2B577D1D&quot;/&gt;&lt;wsp:rsid wsp:val=&quot;2B593A95&quot;/&gt;&lt;wsp:rsid wsp:val=&quot;2B5A7935&quot;/&gt;&lt;wsp:rsid wsp:val=&quot;2B5E10AB&quot;/&gt;&lt;wsp:rsid wsp:val=&quot;2B5E554F&quot;/&gt;&lt;wsp:rsid wsp:val=&quot;2B612949&quot;/&gt;&lt;wsp:rsid wsp:val=&quot;2B613A37&quot;/&gt;&lt;wsp:rsid wsp:val=&quot;2B614ECC&quot;/&gt;&lt;wsp:rsid wsp:val=&quot;2B621AD2&quot;/&gt;&lt;wsp:rsid wsp:val=&quot;2B634913&quot;/&gt;&lt;wsp:rsid wsp:val=&quot;2B64127E&quot;/&gt;&lt;wsp:rsid wsp:val=&quot;2B667F60&quot;/&gt;&lt;wsp:rsid wsp:val=&quot;2B69017C&quot;/&gt;&lt;wsp:rsid wsp:val=&quot;2B6A7A50&quot;/&gt;&lt;wsp:rsid wsp:val=&quot;2B6D7540&quot;/&gt;&lt;wsp:rsid wsp:val=&quot;2B6F150A&quot;/&gt;&lt;wsp:rsid wsp:val=&quot;2B6F32B8&quot;/&gt;&lt;wsp:rsid wsp:val=&quot;2B6F5066&quot;/&gt;&lt;wsp:rsid wsp:val=&quot;2B7045BA&quot;/&gt;&lt;wsp:rsid wsp:val=&quot;2B710DDE&quot;/&gt;&lt;wsp:rsid wsp:val=&quot;2B716E31&quot;/&gt;&lt;wsp:rsid wsp:val=&quot;2B724B56&quot;/&gt;&lt;wsp:rsid wsp:val=&quot;2B726905&quot;/&gt;&lt;wsp:rsid wsp:val=&quot;2B7554AB&quot;/&gt;&lt;wsp:rsid wsp:val=&quot;2B7663F5&quot;/&gt;&lt;wsp:rsid wsp:val=&quot;2B7756A4&quot;/&gt;&lt;wsp:rsid wsp:val=&quot;2B7803BF&quot;/&gt;&lt;wsp:rsid wsp:val=&quot;2B795EE5&quot;/&gt;&lt;wsp:rsid wsp:val=&quot;2B7B144C&quot;/&gt;&lt;wsp:rsid wsp:val=&quot;2B7B3A0B&quot;/&gt;&lt;wsp:rsid wsp:val=&quot;2B7D58BA&quot;/&gt;&lt;wsp:rsid wsp:val=&quot;2B7D7783&quot;/&gt;&lt;wsp:rsid wsp:val=&quot;2B7E52A9&quot;/&gt;&lt;wsp:rsid wsp:val=&quot;2B7F1994&quot;/&gt;&lt;wsp:rsid wsp:val=&quot;2B8054C5&quot;/&gt;&lt;wsp:rsid wsp:val=&quot;2B807273&quot;/&gt;&lt;wsp:rsid wsp:val=&quot;2B834329&quot;/&gt;&lt;wsp:rsid wsp:val=&quot;2B836D64&quot;/&gt;&lt;wsp:rsid wsp:val=&quot;2B872ED7&quot;/&gt;&lt;wsp:rsid wsp:val=&quot;2B8A1EA0&quot;/&gt;&lt;wsp:rsid wsp:val=&quot;2B8A6344&quot;/&gt;&lt;wsp:rsid wsp:val=&quot;2B8B66EB&quot;/&gt;&lt;wsp:rsid wsp:val=&quot;2B8D191A&quot;/&gt;&lt;wsp:rsid wsp:val=&quot;2B8E7BE2&quot;/&gt;&lt;wsp:rsid wsp:val=&quot;2B8F1669&quot;/&gt;&lt;wsp:rsid wsp:val=&quot;2B911481&quot;/&gt;&lt;wsp:rsid wsp:val=&quot;2B9351F9&quot;/&gt;&lt;wsp:rsid wsp:val=&quot;2B936FA7&quot;/&gt;&lt;wsp:rsid wsp:val=&quot;2B940F71&quot;/&gt;&lt;wsp:rsid wsp:val=&quot;2B9729CB&quot;/&gt;&lt;wsp:rsid wsp:val=&quot;2B97636B&quot;/&gt;&lt;wsp:rsid wsp:val=&quot;2B98280F&quot;/&gt;&lt;wsp:rsid wsp:val=&quot;2B986A2C&quot;/&gt;&lt;wsp:rsid wsp:val=&quot;2B9A1328&quot;/&gt;&lt;wsp:rsid wsp:val=&quot;2B9C3C6C&quot;/&gt;&lt;wsp:rsid wsp:val=&quot;2B9D1BD3&quot;/&gt;&lt;wsp:rsid wsp:val=&quot;2B9D7E25&quot;/&gt;&lt;wsp:rsid wsp:val=&quot;2B9F2CC0&quot;/&gt;&lt;wsp:rsid wsp:val=&quot;2BA016C4&quot;/&gt;&lt;wsp:rsid wsp:val=&quot;2BA03472&quot;/&gt;&lt;wsp:rsid wsp:val=&quot;2BA44493&quot;/&gt;&lt;wsp:rsid wsp:val=&quot;2BA47406&quot;/&gt;&lt;wsp:rsid wsp:val=&quot;2BA50A88&quot;/&gt;&lt;wsp:rsid wsp:val=&quot;2BA54F2C&quot;/&gt;&lt;wsp:rsid wsp:val=&quot;2BA56CDA&quot;/&gt;&lt;wsp:rsid wsp:val=&quot;2BA86521&quot;/&gt;&lt;wsp:rsid wsp:val=&quot;2BA936A8&quot;/&gt;&lt;wsp:rsid wsp:val=&quot;2BAA14CE&quot;/&gt;&lt;wsp:rsid wsp:val=&quot;2BAB5541&quot;/&gt;&lt;wsp:rsid wsp:val=&quot;2BAC1E16&quot;/&gt;&lt;wsp:rsid wsp:val=&quot;2BAE2033&quot;/&gt;&lt;wsp:rsid wsp:val=&quot;2BAF20E2&quot;/&gt;&lt;wsp:rsid wsp:val=&quot;2BB04CB3&quot;/&gt;&lt;wsp:rsid wsp:val=&quot;2BB05DAB&quot;/&gt;&lt;wsp:rsid wsp:val=&quot;2BB331A5&quot;/&gt;&lt;wsp:rsid wsp:val=&quot;2BBA09D7&quot;/&gt;&lt;wsp:rsid wsp:val=&quot;2BBC3256&quot;/&gt;&lt;wsp:rsid wsp:val=&quot;2BBD4024&quot;/&gt;&lt;wsp:rsid wsp:val=&quot;2BBF5FEE&quot;/&gt;&lt;wsp:rsid wsp:val=&quot;2BC2163A&quot;/&gt;&lt;wsp:rsid wsp:val=&quot;2BC31734&quot;/&gt;&lt;wsp:rsid wsp:val=&quot;2BC453B2&quot;/&gt;&lt;wsp:rsid wsp:val=&quot;2BC66ED9&quot;/&gt;&lt;wsp:rsid wsp:val=&quot;2BC730F4&quot;/&gt;&lt;wsp:rsid wsp:val=&quot;2BC90C1A&quot;/&gt;&lt;wsp:rsid wsp:val=&quot;2BC929C8&quot;/&gt;&lt;wsp:rsid wsp:val=&quot;2BCC24B9&quot;/&gt;&lt;wsp:rsid wsp:val=&quot;2BCD76CE&quot;/&gt;&lt;wsp:rsid wsp:val=&quot;2BCE4483&quot;/&gt;&lt;wsp:rsid wsp:val=&quot;2BCF5242&quot;/&gt;&lt;wsp:rsid wsp:val=&quot;2BD05855&quot;/&gt;&lt;wsp:rsid wsp:val=&quot;2BD1572D&quot;/&gt;&lt;wsp:rsid wsp:val=&quot;2BD355F5&quot;/&gt;&lt;wsp:rsid wsp:val=&quot;2BD440AE&quot;/&gt;&lt;wsp:rsid wsp:val=&quot;2BD55811&quot;/&gt;&lt;wsp:rsid wsp:val=&quot;2BD63337&quot;/&gt;&lt;wsp:rsid wsp:val=&quot;2BD66E93&quot;/&gt;&lt;wsp:rsid wsp:val=&quot;2BD7250D&quot;/&gt;&lt;wsp:rsid wsp:val=&quot;2BD870AF&quot;/&gt;&lt;wsp:rsid wsp:val=&quot;2BD9091A&quot;/&gt;&lt;wsp:rsid wsp:val=&quot;2BD96984&quot;/&gt;&lt;wsp:rsid wsp:val=&quot;2BDA4BD6&quot;/&gt;&lt;wsp:rsid wsp:val=&quot;2BDA6A14&quot;/&gt;&lt;wsp:rsid wsp:val=&quot;2BDB094E&quot;/&gt;&lt;wsp:rsid wsp:val=&quot;2BDB26FC&quot;/&gt;&lt;wsp:rsid wsp:val=&quot;2BDD3CD0&quot;/&gt;&lt;wsp:rsid wsp:val=&quot;2BDE30D5&quot;/&gt;&lt;wsp:rsid wsp:val=&quot;2BDE3F9A&quot;/&gt;&lt;wsp:rsid wsp:val=&quot;2BDF043E&quot;/&gt;&lt;wsp:rsid wsp:val=&quot;2BDF11C1&quot;/&gt;&lt;wsp:rsid wsp:val=&quot;2BDF21C9&quot;/&gt;&lt;wsp:rsid wsp:val=&quot;2BDF24A6&quot;/&gt;&lt;wsp:rsid wsp:val=&quot;2BE21CDC&quot;/&gt;&lt;wsp:rsid wsp:val=&quot;2BE27F2E&quot;/&gt;&lt;wsp:rsid wsp:val=&quot;2BE315B0&quot;/&gt;&lt;wsp:rsid wsp:val=&quot;2BE55328&quot;/&gt;&lt;wsp:rsid wsp:val=&quot;2BE617CC&quot;/&gt;&lt;wsp:rsid wsp:val=&quot;2BE63B1F&quot;/&gt;&lt;wsp:rsid wsp:val=&quot;2BE8587B&quot;/&gt;&lt;wsp:rsid wsp:val=&quot;2BE912BD&quot;/&gt;&lt;wsp:rsid wsp:val=&quot;2BEA0B91&quot;/&gt;&lt;wsp:rsid wsp:val=&quot;2BEE242F&quot;/&gt;&lt;wsp:rsid wsp:val=&quot;2BEF7575&quot;/&gt;&lt;wsp:rsid wsp:val=&quot;2BF00C46&quot;/&gt;&lt;wsp:rsid wsp:val=&quot;2BF0264B&quot;/&gt;&lt;wsp:rsid wsp:val=&quot;2BF11F1F&quot;/&gt;&lt;wsp:rsid wsp:val=&quot;2BF33EE9&quot;/&gt;&lt;wsp:rsid wsp:val=&quot;2BF35C97&quot;/&gt;&lt;wsp:rsid wsp:val=&quot;2BF437BD&quot;/&gt;&lt;wsp:rsid wsp:val=&quot;2BF57C61&quot;/&gt;&lt;wsp:rsid wsp:val=&quot;2BF612E4&quot;/&gt;&lt;wsp:rsid wsp:val=&quot;2BF67536&quot;/&gt;&lt;wsp:rsid wsp:val=&quot;2BF81500&quot;/&gt;&lt;wsp:rsid wsp:val=&quot;2BF8505C&quot;/&gt;&lt;wsp:rsid wsp:val=&quot;2BFA7026&quot;/&gt;&lt;wsp:rsid wsp:val=&quot;2BFB2D9E&quot;/&gt;&lt;wsp:rsid wsp:val=&quot;2BFC0FF0&quot;/&gt;&lt;wsp:rsid wsp:val=&quot;2BFD2672&quot;/&gt;&lt;wsp:rsid wsp:val=&quot;2BFF463C&quot;/&gt;&lt;wsp:rsid wsp:val=&quot;2C025EDA&quot;/&gt;&lt;wsp:rsid wsp:val=&quot;2C027C88&quot;/&gt;&lt;wsp:rsid wsp:val=&quot;2C041C52&quot;/&gt;&lt;wsp:rsid wsp:val=&quot;2C0435DB&quot;/&gt;&lt;wsp:rsid wsp:val=&quot;2C043A79&quot;/&gt;&lt;wsp:rsid wsp:val=&quot;2C05030B&quot;/&gt;&lt;wsp:rsid wsp:val=&quot;2C051FF5&quot;/&gt;&lt;wsp:rsid wsp:val=&quot;2C0734F1&quot;/&gt;&lt;wsp:rsid wsp:val=&quot;2C09011C&quot;/&gt;&lt;wsp:rsid wsp:val=&quot;2C091613&quot;/&gt;&lt;wsp:rsid wsp:val=&quot;2C0A4D8F&quot;/&gt;&lt;wsp:rsid wsp:val=&quot;2C1005F7&quot;/&gt;&lt;wsp:rsid wsp:val=&quot;2C133D9F&quot;/&gt;&lt;wsp:rsid wsp:val=&quot;2C167BD8&quot;/&gt;&lt;wsp:rsid wsp:val=&quot;2C1703A3&quot;/&gt;&lt;wsp:rsid wsp:val=&quot;2C1752F1&quot;/&gt;&lt;wsp:rsid wsp:val=&quot;2C1A3224&quot;/&gt;&lt;wsp:rsid wsp:val=&quot;2C1A4943&quot;/&gt;&lt;wsp:rsid wsp:val=&quot;2C1C3440&quot;/&gt;&lt;wsp:rsid wsp:val=&quot;2C1C7CD3&quot;/&gt;&lt;wsp:rsid wsp:val=&quot;2C1D2D14&quot;/&gt;&lt;wsp:rsid wsp:val=&quot;2C1D33FB&quot;/&gt;&lt;wsp:rsid wsp:val=&quot;2C1D4AC2&quot;/&gt;&lt;wsp:rsid wsp:val=&quot;2C1D7A22&quot;/&gt;&lt;wsp:rsid wsp:val=&quot;2C1F6A8C&quot;/&gt;&lt;wsp:rsid wsp:val=&quot;2C210A56&quot;/&gt;&lt;wsp:rsid wsp:val=&quot;2C212804&quot;/&gt;&lt;wsp:rsid wsp:val=&quot;2C2422F5&quot;/&gt;&lt;wsp:rsid wsp:val=&quot;2C2440A3&quot;/&gt;&lt;wsp:rsid wsp:val=&quot;2C253164&quot;/&gt;&lt;wsp:rsid wsp:val=&quot;2C2661CB&quot;/&gt;&lt;wsp:rsid wsp:val=&quot;2C267E1B&quot;/&gt;&lt;wsp:rsid wsp:val=&quot;2C273B93&quot;/&gt;&lt;wsp:rsid wsp:val=&quot;2C275941&quot;/&gt;&lt;wsp:rsid wsp:val=&quot;2C293467&quot;/&gt;&lt;wsp:rsid wsp:val=&quot;2C2A3767&quot;/&gt;&lt;wsp:rsid wsp:val=&quot;2C2A71DF&quot;/&gt;&lt;wsp:rsid wsp:val=&quot;2C2C11A9&quot;/&gt;&lt;wsp:rsid wsp:val=&quot;2C2E0A7D&quot;/&gt;&lt;wsp:rsid wsp:val=&quot;2C2E3173&quot;/&gt;&lt;wsp:rsid wsp:val=&quot;2C302A48&quot;/&gt;&lt;wsp:rsid wsp:val=&quot;2C31056E&quot;/&gt;&lt;wsp:rsid wsp:val=&quot;2C315A5A&quot;/&gt;&lt;wsp:rsid wsp:val=&quot;2C332538&quot;/&gt;&lt;wsp:rsid wsp:val=&quot;2C35087A&quot;/&gt;&lt;wsp:rsid wsp:val=&quot;2C387880&quot;/&gt;&lt;wsp:rsid wsp:val=&quot;2C3A1B18&quot;/&gt;&lt;wsp:rsid wsp:val=&quot;2C3A5674&quot;/&gt;&lt;wsp:rsid wsp:val=&quot;2C3B3CAE&quot;/&gt;&lt;wsp:rsid wsp:val=&quot;2C3C763E&quot;/&gt;&lt;wsp:rsid wsp:val=&quot;2C3E306D&quot;/&gt;&lt;wsp:rsid wsp:val=&quot;2C3F28B9&quot;/&gt;&lt;wsp:rsid wsp:val=&quot;2C3F2C8B&quot;/&gt;&lt;wsp:rsid wsp:val=&quot;2C414C55&quot;/&gt;&lt;wsp:rsid wsp:val=&quot;2C4165DB&quot;/&gt;&lt;wsp:rsid wsp:val=&quot;2C416A03&quot;/&gt;&lt;wsp:rsid wsp:val=&quot;2C4209CD&quot;/&gt;&lt;wsp:rsid wsp:val=&quot;2C43743C&quot;/&gt;&lt;wsp:rsid wsp:val=&quot;2C484235&quot;/&gt;&lt;wsp:rsid wsp:val=&quot;2C4869F0&quot;/&gt;&lt;wsp:rsid wsp:val=&quot;2C4958B7&quot;/&gt;&lt;wsp:rsid wsp:val=&quot;2C4B162F&quot;/&gt;&lt;wsp:rsid wsp:val=&quot;2C4B1C25&quot;/&gt;&lt;wsp:rsid wsp:val=&quot;2C4B5AD3&quot;/&gt;&lt;wsp:rsid wsp:val=&quot;2C4C35F9&quot;/&gt;&lt;wsp:rsid wsp:val=&quot;2C4D184B&quot;/&gt;&lt;wsp:rsid wsp:val=&quot;2C4D5A97&quot;/&gt;&lt;wsp:rsid wsp:val=&quot;2C4E1120&quot;/&gt;&lt;wsp:rsid wsp:val=&quot;2C4E7372&quot;/&gt;&lt;wsp:rsid wsp:val=&quot;2C534309&quot;/&gt;&lt;wsp:rsid wsp:val=&quot;2C536736&quot;/&gt;&lt;wsp:rsid wsp:val=&quot;2C550700&quot;/&gt;&lt;wsp:rsid wsp:val=&quot;2C567FD4&quot;/&gt;&lt;wsp:rsid wsp:val=&quot;2C572442&quot;/&gt;&lt;wsp:rsid wsp:val=&quot;2C576226&quot;/&gt;&lt;wsp:rsid wsp:val=&quot;2C5A5D16&quot;/&gt;&lt;wsp:rsid wsp:val=&quot;2C5C383D&quot;/&gt;&lt;wsp:rsid wsp:val=&quot;2C6023A6&quot;/&gt;&lt;wsp:rsid wsp:val=&quot;2C602C01&quot;/&gt;&lt;wsp:rsid wsp:val=&quot;2C622E1D&quot;/&gt;&lt;wsp:rsid wsp:val=&quot;2C632468&quot;/&gt;&lt;wsp:rsid wsp:val=&quot;2C6646BB&quot;/&gt;&lt;wsp:rsid wsp:val=&quot;2C666469&quot;/&gt;&lt;wsp:rsid wsp:val=&quot;2C6941AB&quot;/&gt;&lt;wsp:rsid wsp:val=&quot;2C6B1CD2&quot;/&gt;&lt;wsp:rsid wsp:val=&quot;2C6D3C9C&quot;/&gt;&lt;wsp:rsid wsp:val=&quot;2C6E096F&quot;/&gt;&lt;wsp:rsid wsp:val=&quot;2C6E531E&quot;/&gt;&lt;wsp:rsid wsp:val=&quot;2C6F1D04&quot;/&gt;&lt;wsp:rsid wsp:val=&quot;2C6F72CA&quot;/&gt;&lt;wsp:rsid wsp:val=&quot;2C701096&quot;/&gt;&lt;wsp:rsid wsp:val=&quot;2C701E9B&quot;/&gt;&lt;wsp:rsid wsp:val=&quot;2C7072E8&quot;/&gt;&lt;wsp:rsid wsp:val=&quot;2C714E0E&quot;/&gt;&lt;wsp:rsid wsp:val=&quot;2C7212B2&quot;/&gt;&lt;wsp:rsid wsp:val=&quot;2C732934&quot;/&gt;&lt;wsp:rsid wsp:val=&quot;2C73502A&quot;/&gt;&lt;wsp:rsid wsp:val=&quot;2C742D57&quot;/&gt;&lt;wsp:rsid wsp:val=&quot;2C752B50&quot;/&gt;&lt;wsp:rsid wsp:val=&quot;2C7768C8&quot;/&gt;&lt;wsp:rsid wsp:val=&quot;2C7843EE&quot;/&gt;&lt;wsp:rsid wsp:val=&quot;2C792640&quot;/&gt;&lt;wsp:rsid wsp:val=&quot;2C795A94&quot;/&gt;&lt;wsp:rsid wsp:val=&quot;2C7A4279&quot;/&gt;&lt;wsp:rsid wsp:val=&quot;2C7D37B3&quot;/&gt;&lt;wsp:rsid wsp:val=&quot;2C7E7C57&quot;/&gt;&lt;wsp:rsid wsp:val=&quot;2C7F39CF&quot;/&gt;&lt;wsp:rsid wsp:val=&quot;2C8132A3&quot;/&gt;&lt;wsp:rsid wsp:val=&quot;2C82701B&quot;/&gt;&lt;wsp:rsid wsp:val=&quot;2C832906&quot;/&gt;&lt;wsp:rsid wsp:val=&quot;2C840FE5&quot;/&gt;&lt;wsp:rsid wsp:val=&quot;2C8608B9&quot;/&gt;&lt;wsp:rsid wsp:val=&quot;2C866B0B&quot;/&gt;&lt;wsp:rsid wsp:val=&quot;2C872E2D&quot;/&gt;&lt;wsp:rsid wsp:val=&quot;2C884632&quot;/&gt;&lt;wsp:rsid wsp:val=&quot;2C892158&quot;/&gt;&lt;wsp:rsid wsp:val=&quot;2C8B4122&quot;/&gt;&lt;wsp:rsid wsp:val=&quot;2C8B51FB&quot;/&gt;&lt;wsp:rsid wsp:val=&quot;2C8E17A8&quot;/&gt;&lt;wsp:rsid wsp:val=&quot;2C8E3C12&quot;/&gt;&lt;wsp:rsid wsp:val=&quot;2C901738&quot;/&gt;&lt;wsp:rsid wsp:val=&quot;2C9103E2&quot;/&gt;&lt;wsp:rsid wsp:val=&quot;2C923702&quot;/&gt;&lt;wsp:rsid wsp:val=&quot;2C9254B0&quot;/&gt;&lt;wsp:rsid wsp:val=&quot;2C9303A0&quot;/&gt;&lt;wsp:rsid wsp:val=&quot;2C931228&quot;/&gt;&lt;wsp:rsid wsp:val=&quot;2C934D84&quot;/&gt;&lt;wsp:rsid wsp:val=&quot;2C950AFD&quot;/&gt;&lt;wsp:rsid wsp:val=&quot;2C970CD4&quot;/&gt;&lt;wsp:rsid wsp:val=&quot;2C994A91&quot;/&gt;&lt;wsp:rsid wsp:val=&quot;2C9A25B7&quot;/&gt;&lt;wsp:rsid wsp:val=&quot;2C9A4365&quot;/&gt;&lt;wsp:rsid wsp:val=&quot;2C9A6113&quot;/&gt;&lt;wsp:rsid wsp:val=&quot;2C9C1E8B&quot;/&gt;&lt;wsp:rsid wsp:val=&quot;2C9E3E55&quot;/&gt;&lt;wsp:rsid wsp:val=&quot;2C9F197B&quot;/&gt;&lt;wsp:rsid wsp:val=&quot;2C9F20B0&quot;/&gt;&lt;wsp:rsid wsp:val=&quot;2C9F63A9&quot;/&gt;&lt;wsp:rsid wsp:val=&quot;2C9F7BCD&quot;/&gt;&lt;wsp:rsid wsp:val=&quot;2CA174A1&quot;/&gt;&lt;wsp:rsid wsp:val=&quot;2CA23219&quot;/&gt;&lt;wsp:rsid wsp:val=&quot;2CA43435&quot;/&gt;&lt;wsp:rsid wsp:val=&quot;2CA451E4&quot;/&gt;&lt;wsp:rsid wsp:val=&quot;2CA46F92&quot;/&gt;&lt;wsp:rsid wsp:val=&quot;2CA70830&quot;/&gt;&lt;wsp:rsid wsp:val=&quot;2CAB0320&quot;/&gt;&lt;wsp:rsid wsp:val=&quot;2CAD4098&quot;/&gt;&lt;wsp:rsid wsp:val=&quot;2CAE7587&quot;/&gt;&lt;wsp:rsid wsp:val=&quot;2CAE7E10&quot;/&gt;&lt;wsp:rsid wsp:val=&quot;2CB01DDA&quot;/&gt;&lt;wsp:rsid wsp:val=&quot;2CB216AE&quot;/&gt;&lt;wsp:rsid wsp:val=&quot;2CB2345D&quot;/&gt;&lt;wsp:rsid wsp:val=&quot;2CB2481F&quot;/&gt;&lt;wsp:rsid wsp:val=&quot;2CB371D5&quot;/&gt;&lt;wsp:rsid wsp:val=&quot;2CB42A1C&quot;/&gt;&lt;wsp:rsid wsp:val=&quot;2CB43679&quot;/&gt;&lt;wsp:rsid wsp:val=&quot;2CB46D5B&quot;/&gt;&lt;wsp:rsid wsp:val=&quot;2CB504DE&quot;/&gt;&lt;wsp:rsid wsp:val=&quot;2CB50C49&quot;/&gt;&lt;wsp:rsid wsp:val=&quot;2CB573F1&quot;/&gt;&lt;wsp:rsid wsp:val=&quot;2CB73169&quot;/&gt;&lt;wsp:rsid wsp:val=&quot;2CB74F17&quot;/&gt;&lt;wsp:rsid wsp:val=&quot;2CB76CC5&quot;/&gt;&lt;wsp:rsid wsp:val=&quot;2CB82A3D&quot;/&gt;&lt;wsp:rsid wsp:val=&quot;2CB847EB&quot;/&gt;&lt;wsp:rsid wsp:val=&quot;2CB90C8F&quot;/&gt;&lt;wsp:rsid wsp:val=&quot;2CBA0563&quot;/&gt;&lt;wsp:rsid wsp:val=&quot;2CBA1E1E&quot;/&gt;&lt;wsp:rsid wsp:val=&quot;2CBB4441&quot;/&gt;&lt;wsp:rsid wsp:val=&quot;2CC00E82&quot;/&gt;&lt;wsp:rsid wsp:val=&quot;2CC118F2&quot;/&gt;&lt;wsp:rsid wsp:val=&quot;2CC15D95&quot;/&gt;&lt;wsp:rsid wsp:val=&quot;2CC17B44&quot;/&gt;&lt;wsp:rsid wsp:val=&quot;2CC3566A&quot;/&gt;&lt;wsp:rsid wsp:val=&quot;2CC64125&quot;/&gt;&lt;wsp:rsid wsp:val=&quot;2CC80ED2&quot;/&gt;&lt;wsp:rsid wsp:val=&quot;2CC94C4A&quot;/&gt;&lt;wsp:rsid wsp:val=&quot;2CC969F8&quot;/&gt;&lt;wsp:rsid wsp:val=&quot;2CCB451E&quot;/&gt;&lt;wsp:rsid wsp:val=&quot;2CCB6C14&quot;/&gt;&lt;wsp:rsid wsp:val=&quot;2CCC7C29&quot;/&gt;&lt;wsp:rsid wsp:val=&quot;2CCD0296&quot;/&gt;&lt;wsp:rsid wsp:val=&quot;2CCF6918&quot;/&gt;&lt;wsp:rsid wsp:val=&quot;2CD07D87&quot;/&gt;&lt;wsp:rsid wsp:val=&quot;2CD35299&quot;/&gt;&lt;wsp:rsid wsp:val=&quot;2CD45AC9&quot;/&gt;&lt;wsp:rsid wsp:val=&quot;2CD47877&quot;/&gt;&lt;wsp:rsid wsp:val=&quot;2CD535EF&quot;/&gt;&lt;wsp:rsid wsp:val=&quot;2CD86C3B&quot;/&gt;&lt;wsp:rsid wsp:val=&quot;2CDC672B&quot;/&gt;&lt;wsp:rsid wsp:val=&quot;2CDF446E&quot;/&gt;&lt;wsp:rsid wsp:val=&quot;2CE101E6&quot;/&gt;&lt;wsp:rsid wsp:val=&quot;2CE43832&quot;/&gt;&lt;wsp:rsid wsp:val=&quot;2CE576AE&quot;/&gt;&lt;wsp:rsid wsp:val=&quot;2CE61FCE&quot;/&gt;&lt;wsp:rsid wsp:val=&quot;2CE7345E&quot;/&gt;&lt;wsp:rsid wsp:val=&quot;2CEA52EC&quot;/&gt;&lt;wsp:rsid wsp:val=&quot;2CEB2E12&quot;/&gt;&lt;wsp:rsid wsp:val=&quot;2CEB4BC0&quot;/&gt;&lt;wsp:rsid wsp:val=&quot;2CED0939&quot;/&gt;&lt;wsp:rsid wsp:val=&quot;2CEF46B1&quot;/&gt;&lt;wsp:rsid wsp:val=&quot;2CEF6E8C&quot;/&gt;&lt;wsp:rsid wsp:val=&quot;2CF00429&quot;/&gt;&lt;wsp:rsid wsp:val=&quot;2CF021D7&quot;/&gt;&lt;wsp:rsid wsp:val=&quot;2CF03F85&quot;/&gt;&lt;wsp:rsid wsp:val=&quot;2CF170E1&quot;/&gt;&lt;wsp:rsid wsp:val=&quot;2CF31A01&quot;/&gt;&lt;wsp:rsid wsp:val=&quot;2CF41CC7&quot;/&gt;&lt;wsp:rsid wsp:val=&quot;2CF55A3F&quot;/&gt;&lt;wsp:rsid wsp:val=&quot;2CF57C1C&quot;/&gt;&lt;wsp:rsid wsp:val=&quot;2CF94162&quot;/&gt;&lt;wsp:rsid wsp:val=&quot;2CFA6D03&quot;/&gt;&lt;wsp:rsid wsp:val=&quot;2CFB44A5&quot;/&gt;&lt;wsp:rsid wsp:val=&quot;2CFC0B7C&quot;/&gt;&lt;wsp:rsid wsp:val=&quot;2CFE66A2&quot;/&gt;&lt;wsp:rsid wsp:val=&quot;2CFF1472&quot;/&gt;&lt;wsp:rsid wsp:val=&quot;2D005746&quot;/&gt;&lt;wsp:rsid wsp:val=&quot;2D012636&quot;/&gt;&lt;wsp:rsid wsp:val=&quot;2D016192&quot;/&gt;&lt;wsp:rsid wsp:val=&quot;2D031F0A&quot;/&gt;&lt;wsp:rsid wsp:val=&quot;2D0363AE&quot;/&gt;&lt;wsp:rsid wsp:val=&quot;2D045C82&quot;/&gt;&lt;wsp:rsid wsp:val=&quot;2D076515&quot;/&gt;&lt;wsp:rsid wsp:val=&quot;2D0839C4&quot;/&gt;&lt;wsp:rsid wsp:val=&quot;2D087520&quot;/&gt;&lt;wsp:rsid wsp:val=&quot;2D095281&quot;/&gt;&lt;wsp:rsid wsp:val=&quot;2D0A3299&quot;/&gt;&lt;wsp:rsid wsp:val=&quot;2D0B0DBF&quot;/&gt;&lt;wsp:rsid wsp:val=&quot;2D0D0FDB&quot;/&gt;&lt;wsp:rsid wsp:val=&quot;2D0D2D89&quot;/&gt;&lt;wsp:rsid wsp:val=&quot;2D0F6B01&quot;/&gt;&lt;wsp:rsid wsp:val=&quot;2D12039F&quot;/&gt;&lt;wsp:rsid wsp:val=&quot;2D12214D&quot;/&gt;&lt;wsp:rsid wsp:val=&quot;2D126B82&quot;/&gt;&lt;wsp:rsid wsp:val=&quot;2D126CD3&quot;/&gt;&lt;wsp:rsid wsp:val=&quot;2D14247A&quot;/&gt;&lt;wsp:rsid wsp:val=&quot;2D145EC5&quot;/&gt;&lt;wsp:rsid wsp:val=&quot;2D173C07&quot;/&gt;&lt;wsp:rsid wsp:val=&quot;2D177764&quot;/&gt;&lt;wsp:rsid wsp:val=&quot;2D1934DC&quot;/&gt;&lt;wsp:rsid wsp:val=&quot;2D197980&quot;/&gt;&lt;wsp:rsid wsp:val=&quot;2D1B36F8&quot;/&gt;&lt;wsp:rsid wsp:val=&quot;2D1B54A6&quot;/&gt;&lt;wsp:rsid wsp:val=&quot;2D1C121E&quot;/&gt;&lt;wsp:rsid wsp:val=&quot;2D1E4F96&quot;/&gt;&lt;wsp:rsid wsp:val=&quot;2D1E6D44&quot;/&gt;&lt;wsp:rsid wsp:val=&quot;2D200D0E&quot;/&gt;&lt;wsp:rsid wsp:val=&quot;2D20215E&quot;/&gt;&lt;wsp:rsid wsp:val=&quot;2D2105E2&quot;/&gt;&lt;wsp:rsid wsp:val=&quot;2D23435A&quot;/&gt;&lt;wsp:rsid wsp:val=&quot;2D2500D2&quot;/&gt;&lt;wsp:rsid wsp:val=&quot;2D265BF9&quot;/&gt;&lt;wsp:rsid wsp:val=&quot;2D2D342B&quot;/&gt;&lt;wsp:rsid wsp:val=&quot;2D314CC9&quot;/&gt;&lt;wsp:rsid wsp:val=&quot;2D3227EF&quot;/&gt;&lt;wsp:rsid wsp:val=&quot;2D3305D4&quot;/&gt;&lt;wsp:rsid wsp:val=&quot;2D3312B2&quot;/&gt;&lt;wsp:rsid wsp:val=&quot;2D347A8C&quot;/&gt;&lt;wsp:rsid wsp:val=&quot;2D35408E&quot;/&gt;&lt;wsp:rsid wsp:val=&quot;2D355E3C&quot;/&gt;&lt;wsp:rsid wsp:val=&quot;2D391DD0&quot;/&gt;&lt;wsp:rsid wsp:val=&quot;2D393B7E&quot;/&gt;&lt;wsp:rsid wsp:val=&quot;2D3A16A4&quot;/&gt;&lt;wsp:rsid wsp:val=&quot;2D3A4195&quot;/&gt;&lt;wsp:rsid wsp:val=&quot;2D3E1194&quot;/&gt;&lt;wsp:rsid wsp:val=&quot;2D3E2F42&quot;/&gt;&lt;wsp:rsid wsp:val=&quot;2D3E73E6&quot;/&gt;&lt;wsp:rsid wsp:val=&quot;2D410C84&quot;/&gt;&lt;wsp:rsid wsp:val=&quot;2D41586D&quot;/&gt;&lt;wsp:rsid wsp:val=&quot;2D426ED6&quot;/&gt;&lt;wsp:rsid wsp:val=&quot;2D430559&quot;/&gt;&lt;wsp:rsid wsp:val=&quot;2D4349FC&quot;/&gt;&lt;wsp:rsid wsp:val=&quot;2D450775&quot;/&gt;&lt;wsp:rsid wsp:val=&quot;2D4542D1&quot;/&gt;&lt;wsp:rsid wsp:val=&quot;2D4744ED&quot;/&gt;&lt;wsp:rsid wsp:val=&quot;2D480265&quot;/&gt;&lt;wsp:rsid wsp:val=&quot;2D4D7629&quot;/&gt;&lt;wsp:rsid wsp:val=&quot;2D4F15F3&quot;/&gt;&lt;wsp:rsid wsp:val=&quot;2D517119&quot;/&gt;&lt;wsp:rsid wsp:val=&quot;2D524C40&quot;/&gt;&lt;wsp:rsid wsp:val=&quot;2D534021&quot;/&gt;&lt;wsp:rsid wsp:val=&quot;2D5409B8&quot;/&gt;&lt;wsp:rsid wsp:val=&quot;2D5655D2&quot;/&gt;&lt;wsp:rsid wsp:val=&quot;2D5704A8&quot;/&gt;&lt;wsp:rsid wsp:val=&quot;2D580E5F&quot;/&gt;&lt;wsp:rsid wsp:val=&quot;2D594220&quot;/&gt;&lt;wsp:rsid wsp:val=&quot;2D597D7C&quot;/&gt;&lt;wsp:rsid wsp:val=&quot;2D5B1D46&quot;/&gt;&lt;wsp:rsid wsp:val=&quot;2D5B77E0&quot;/&gt;&lt;wsp:rsid wsp:val=&quot;2D5D3823&quot;/&gt;&lt;wsp:rsid wsp:val=&quot;2D613652&quot;/&gt;&lt;wsp:rsid wsp:val=&quot;2D616C31&quot;/&gt;&lt;wsp:rsid wsp:val=&quot;2D6648F3&quot;/&gt;&lt;wsp:rsid wsp:val=&quot;2D67693D&quot;/&gt;&lt;wsp:rsid wsp:val=&quot;2D687FBF&quot;/&gt;&lt;wsp:rsid wsp:val=&quot;2D6A3D37&quot;/&gt;&lt;wsp:rsid wsp:val=&quot;2D6C0765&quot;/&gt;&lt;wsp:rsid wsp:val=&quot;2D6C3F53&quot;/&gt;&lt;wsp:rsid wsp:val=&quot;2D6C5D01&quot;/&gt;&lt;wsp:rsid wsp:val=&quot;2D6F57F1&quot;/&gt;&lt;wsp:rsid wsp:val=&quot;2D6F75A0&quot;/&gt;&lt;wsp:rsid wsp:val=&quot;2D71156A&quot;/&gt;&lt;wsp:rsid wsp:val=&quot;2D720E3E&quot;/&gt;&lt;wsp:rsid wsp:val=&quot;2D727090&quot;/&gt;&lt;wsp:rsid wsp:val=&quot;2D7352E2&quot;/&gt;&lt;wsp:rsid wsp:val=&quot;2D742E08&quot;/&gt;&lt;wsp:rsid wsp:val=&quot;2D747BBB&quot;/&gt;&lt;wsp:rsid wsp:val=&quot;2D76092E&quot;/&gt;&lt;wsp:rsid wsp:val=&quot;2D7626DC&quot;/&gt;&lt;wsp:rsid wsp:val=&quot;2D766B80&quot;/&gt;&lt;wsp:rsid wsp:val=&quot;2D7746A6&quot;/&gt;&lt;wsp:rsid wsp:val=&quot;2D784137&quot;/&gt;&lt;wsp:rsid wsp:val=&quot;2D79041E&quot;/&gt;&lt;wsp:rsid wsp:val=&quot;2D7921CC&quot;/&gt;&lt;wsp:rsid wsp:val=&quot;2D7C3A6A&quot;/&gt;&lt;wsp:rsid wsp:val=&quot;2D7D7F0E&quot;/&gt;&lt;wsp:rsid wsp:val=&quot;2D7E3C87&quot;/&gt;&lt;wsp:rsid wsp:val=&quot;2D7E5A35&quot;/&gt;&lt;wsp:rsid wsp:val=&quot;2D7E6DEA&quot;/&gt;&lt;wsp:rsid wsp:val=&quot;2D806BDB&quot;/&gt;&lt;wsp:rsid wsp:val=&quot;2D8079FF&quot;/&gt;&lt;wsp:rsid wsp:val=&quot;2D820DFF&quot;/&gt;&lt;wsp:rsid wsp:val=&quot;2D834DF9&quot;/&gt;&lt;wsp:rsid wsp:val=&quot;2D855015&quot;/&gt;&lt;wsp:rsid wsp:val=&quot;2D856DC3&quot;/&gt;&lt;wsp:rsid wsp:val=&quot;2D8748E9&quot;/&gt;&lt;wsp:rsid wsp:val=&quot;2D8A262B&quot;/&gt;&lt;wsp:rsid wsp:val=&quot;2D8C1F00&quot;/&gt;&lt;wsp:rsid wsp:val=&quot;2D8D03EA&quot;/&gt;&lt;wsp:rsid wsp:val=&quot;2D8D5C78&quot;/&gt;&lt;wsp:rsid wsp:val=&quot;2D8D660E&quot;/&gt;&lt;wsp:rsid wsp:val=&quot;2D8E211C&quot;/&gt;&lt;wsp:rsid wsp:val=&quot;2D8F7C42&quot;/&gt;&lt;wsp:rsid wsp:val=&quot;2D9139BA&quot;/&gt;&lt;wsp:rsid wsp:val=&quot;2D917516&quot;/&gt;&lt;wsp:rsid wsp:val=&quot;2D933910&quot;/&gt;&lt;wsp:rsid wsp:val=&quot;2D937732&quot;/&gt;&lt;wsp:rsid wsp:val=&quot;2D945258&quot;/&gt;&lt;wsp:rsid wsp:val=&quot;2D964B2C&quot;/&gt;&lt;wsp:rsid wsp:val=&quot;2D991937&quot;/&gt;&lt;wsp:rsid wsp:val=&quot;2D99286E&quot;/&gt;&lt;wsp:rsid wsp:val=&quot;2D9B0395&quot;/&gt;&lt;wsp:rsid wsp:val=&quot;2D9B2143&quot;/&gt;&lt;wsp:rsid wsp:val=&quot;2D9B65E7&quot;/&gt;&lt;wsp:rsid wsp:val=&quot;2D9D68F1&quot;/&gt;&lt;wsp:rsid wsp:val=&quot;2D9E0A23&quot;/&gt;&lt;wsp:rsid wsp:val=&quot;2D9E1C33&quot;/&gt;&lt;wsp:rsid wsp:val=&quot;2D9E56F5&quot;/&gt;&lt;wsp:rsid wsp:val=&quot;2DA07759&quot;/&gt;&lt;wsp:rsid wsp:val=&quot;2DA134D1&quot;/&gt;&lt;wsp:rsid wsp:val=&quot;2DA21723&quot;/&gt;&lt;wsp:rsid wsp:val=&quot;2DA60308&quot;/&gt;&lt;wsp:rsid wsp:val=&quot;2DA717C6&quot;/&gt;&lt;wsp:rsid wsp:val=&quot;2DA74F8B&quot;/&gt;&lt;wsp:rsid wsp:val=&quot;2DA75F41&quot;/&gt;&lt;wsp:rsid wsp:val=&quot;2DA76D39&quot;/&gt;&lt;wsp:rsid wsp:val=&quot;2DAA682A&quot;/&gt;&lt;wsp:rsid wsp:val=&quot;2DAD258B&quot;/&gt;&lt;wsp:rsid wsp:val=&quot;2DB01B2B&quot;/&gt;&lt;wsp:rsid wsp:val=&quot;2DB15E0A&quot;/&gt;&lt;wsp:rsid wsp:val=&quot;2DB16695&quot;/&gt;&lt;wsp:rsid wsp:val=&quot;2DB31B82&quot;/&gt;&lt;wsp:rsid wsp:val=&quot;2DB41456&quot;/&gt;&lt;wsp:rsid wsp:val=&quot;2DB476A8&quot;/&gt;&lt;wsp:rsid wsp:val=&quot;2DB51313&quot;/&gt;&lt;wsp:rsid wsp:val=&quot;2DB60A5F&quot;/&gt;&lt;wsp:rsid wsp:val=&quot;2DB66F7C&quot;/&gt;&lt;wsp:rsid wsp:val=&quot;2DB67697&quot;/&gt;&lt;wsp:rsid wsp:val=&quot;2DB72D0B&quot;/&gt;&lt;wsp:rsid wsp:val=&quot;2DB80F46&quot;/&gt;&lt;wsp:rsid wsp:val=&quot;2DB87198&quot;/&gt;&lt;wsp:rsid wsp:val=&quot;2DB9360F&quot;/&gt;&lt;wsp:rsid wsp:val=&quot;2DB96A6D&quot;/&gt;&lt;wsp:rsid wsp:val=&quot;2DBB27E5&quot;/&gt;&lt;wsp:rsid wsp:val=&quot;2DBD50E7&quot;/&gt;&lt;wsp:rsid wsp:val=&quot;2DBE0D2E&quot;/&gt;&lt;wsp:rsid wsp:val=&quot;2DBE22D5&quot;/&gt;&lt;wsp:rsid wsp:val=&quot;2DBE3570&quot;/&gt;&lt;wsp:rsid wsp:val=&quot;2DBE4083&quot;/&gt;&lt;wsp:rsid wsp:val=&quot;2DBF0527&quot;/&gt;&lt;wsp:rsid wsp:val=&quot;2DC01BA9&quot;/&gt;&lt;wsp:rsid wsp:val=&quot;2DC20E96&quot;/&gt;&lt;wsp:rsid wsp:val=&quot;2DC3161E&quot;/&gt;&lt;wsp:rsid wsp:val=&quot;2DC378EB&quot;/&gt;&lt;wsp:rsid wsp:val=&quot;2DC415DB&quot;/&gt;&lt;wsp:rsid wsp:val=&quot;2DC45B3D&quot;/&gt;&lt;wsp:rsid wsp:val=&quot;2DC63113&quot;/&gt;&lt;wsp:rsid wsp:val=&quot;2DC73C58&quot;/&gt;&lt;wsp:rsid wsp:val=&quot;2DC86CB0&quot;/&gt;&lt;wsp:rsid wsp:val=&quot;2DCA2A28&quot;/&gt;&lt;wsp:rsid wsp:val=&quot;2DCD2AB1&quot;/&gt;&lt;wsp:rsid wsp:val=&quot;2DCE2518&quot;/&gt;&lt;wsp:rsid wsp:val=&quot;2DCE784E&quot;/&gt;&lt;wsp:rsid wsp:val=&quot;2DCF0F92&quot;/&gt;&lt;wsp:rsid wsp:val=&quot;2DD218DC&quot;/&gt;&lt;wsp:rsid wsp:val=&quot;2DD22E73&quot;/&gt;&lt;wsp:rsid wsp:val=&quot;2DD7249E&quot;/&gt;&lt;wsp:rsid wsp:val=&quot;2DD815E9&quot;/&gt;&lt;wsp:rsid wsp:val=&quot;2DD83397&quot;/&gt;&lt;wsp:rsid wsp:val=&quot;2DDB2E87&quot;/&gt;&lt;wsp:rsid wsp:val=&quot;2DDB4C35&quot;/&gt;&lt;wsp:rsid wsp:val=&quot;2DDC5E7F&quot;/&gt;&lt;wsp:rsid wsp:val=&quot;2DDD09AD&quot;/&gt;&lt;wsp:rsid wsp:val=&quot;2DDD6BFF&quot;/&gt;&lt;wsp:rsid wsp:val=&quot;2DDE64D3&quot;/&gt;&lt;wsp:rsid wsp:val=&quot;2DDF14E4&quot;/&gt;&lt;wsp:rsid wsp:val=&quot;2DE23A09&quot;/&gt;&lt;wsp:rsid wsp:val=&quot;2DE24215&quot;/&gt;&lt;wsp:rsid wsp:val=&quot;2DE37BA3&quot;/&gt;&lt;wsp:rsid wsp:val=&quot;2DE47157&quot;/&gt;&lt;wsp:rsid wsp:val=&quot;2DE57862&quot;/&gt;&lt;wsp:rsid wsp:val=&quot;2DE7182C&quot;/&gt;&lt;wsp:rsid wsp:val=&quot;2DE735DA&quot;/&gt;&lt;wsp:rsid wsp:val=&quot;2DE8408C&quot;/&gt;&lt;wsp:rsid wsp:val=&quot;2DE955A4&quot;/&gt;&lt;wsp:rsid wsp:val=&quot;2DEA30CA&quot;/&gt;&lt;wsp:rsid wsp:val=&quot;2DEB087C&quot;/&gt;&lt;wsp:rsid wsp:val=&quot;2DEB6A75&quot;/&gt;&lt;wsp:rsid wsp:val=&quot;2DEC0BF0&quot;/&gt;&lt;wsp:rsid wsp:val=&quot;2DEC299E&quot;/&gt;&lt;wsp:rsid wsp:val=&quot;2DEF06E0&quot;/&gt;&lt;wsp:rsid wsp:val=&quot;2DEF248E&quot;/&gt;&lt;wsp:rsid wsp:val=&quot;2DEF3750&quot;/&gt;&lt;wsp:rsid wsp:val=&quot;2DEF6E3B&quot;/&gt;&lt;wsp:rsid wsp:val=&quot;2DF12E9C&quot;/&gt;&lt;wsp:rsid wsp:val=&quot;2DF16206&quot;/&gt;&lt;wsp:rsid wsp:val=&quot;2DF31F7F&quot;/&gt;&lt;wsp:rsid wsp:val=&quot;2DF45CF7&quot;/&gt;&lt;wsp:rsid wsp:val=&quot;2DF53F49&quot;/&gt;&lt;wsp:rsid wsp:val=&quot;2DF730F6&quot;/&gt;&lt;wsp:rsid wsp:val=&quot;2DF83A39&quot;/&gt;&lt;wsp:rsid wsp:val=&quot;2DF87595&quot;/&gt;&lt;wsp:rsid wsp:val=&quot;2DF9688E&quot;/&gt;&lt;wsp:rsid wsp:val=&quot;2DFB52D7&quot;/&gt;&lt;wsp:rsid wsp:val=&quot;2DFC5422&quot;/&gt;&lt;wsp:rsid wsp:val=&quot;2DFD4BAB&quot;/&gt;&lt;wsp:rsid wsp:val=&quot;2DFF1133&quot;/&gt;&lt;wsp:rsid wsp:val=&quot;2E00644A&quot;/&gt;&lt;wsp:rsid wsp:val=&quot;2E020414&quot;/&gt;&lt;wsp:rsid wsp:val=&quot;2E0210B7&quot;/&gt;&lt;wsp:rsid wsp:val=&quot;2E032598&quot;/&gt;&lt;wsp:rsid wsp:val=&quot;2E033B70&quot;/&gt;&lt;wsp:rsid wsp:val=&quot;2E040986&quot;/&gt;&lt;wsp:rsid wsp:val=&quot;2E041312&quot;/&gt;&lt;wsp:rsid wsp:val=&quot;2E045F3A&quot;/&gt;&lt;wsp:rsid wsp:val=&quot;2E0622F6&quot;/&gt;&lt;wsp:rsid wsp:val=&quot;2E0917A2&quot;/&gt;&lt;wsp:rsid wsp:val=&quot;2E0979F4&quot;/&gt;&lt;wsp:rsid wsp:val=&quot;2E0B02C8&quot;/&gt;&lt;wsp:rsid wsp:val=&quot;2E0C1292&quot;/&gt;&lt;wsp:rsid wsp:val=&quot;2E0E0B66&quot;/&gt;&lt;wsp:rsid wsp:val=&quot;2E0E500A&quot;/&gt;&lt;wsp:rsid wsp:val=&quot;2E1168A9&quot;/&gt;&lt;wsp:rsid wsp:val=&quot;2E132621&quot;/&gt;&lt;wsp:rsid wsp:val=&quot;2E13617D&quot;/&gt;&lt;wsp:rsid wsp:val=&quot;2E1476CE&quot;/&gt;&lt;wsp:rsid wsp:val=&quot;2E150147&quot;/&gt;&lt;wsp:rsid wsp:val=&quot;2E1819E5&quot;/&gt;&lt;wsp:rsid wsp:val=&quot;2E1B663D&quot;/&gt;&lt;wsp:rsid wsp:val=&quot;2E1D349F&quot;/&gt;&lt;wsp:rsid wsp:val=&quot;2E1E4B22&quot;/&gt;&lt;wsp:rsid wsp:val=&quot;2E1F0FC6&quot;/&gt;&lt;wsp:rsid wsp:val=&quot;2E1F4A69&quot;/&gt;&lt;wsp:rsid wsp:val=&quot;2E204D3E&quot;/&gt;&lt;wsp:rsid wsp:val=&quot;2E2122D0&quot;/&gt;&lt;wsp:rsid wsp:val=&quot;2E232138&quot;/&gt;&lt;wsp:rsid wsp:val=&quot;2E24038A&quot;/&gt;&lt;wsp:rsid wsp:val=&quot;2E2465DC&quot;/&gt;&lt;wsp:rsid wsp:val=&quot;2E255EB0&quot;/&gt;&lt;wsp:rsid wsp:val=&quot;2E271C28&quot;/&gt;&lt;wsp:rsid wsp:val=&quot;2E2A34C6&quot;/&gt;&lt;wsp:rsid wsp:val=&quot;2E2B796A&quot;/&gt;&lt;wsp:rsid wsp:val=&quot;2E2C723F&quot;/&gt;&lt;wsp:rsid wsp:val=&quot;2E2E026D&quot;/&gt;&lt;wsp:rsid wsp:val=&quot;2E2E2FB7&quot;/&gt;&lt;wsp:rsid wsp:val=&quot;2E2F6D2F&quot;/&gt;&lt;wsp:rsid wsp:val=&quot;2E312AA7&quot;/&gt;&lt;wsp:rsid wsp:val=&quot;2E314855&quot;/&gt;&lt;wsp:rsid wsp:val=&quot;2E344345&quot;/&gt;&lt;wsp:rsid wsp:val=&quot;2E36586F&quot;/&gt;&lt;wsp:rsid wsp:val=&quot;2E36630F&quot;/&gt;&lt;wsp:rsid wsp:val=&quot;2E374561&quot;/&gt;&lt;wsp:rsid wsp:val=&quot;2E383EF0&quot;/&gt;&lt;wsp:rsid wsp:val=&quot;2E395380&quot;/&gt;&lt;wsp:rsid wsp:val=&quot;2E3B3926&quot;/&gt;&lt;wsp:rsid wsp:val=&quot;2E3B56D4&quot;/&gt;&lt;wsp:rsid wsp:val=&quot;2E3B7332&quot;/&gt;&lt;wsp:rsid wsp:val=&quot;2E3C4320&quot;/&gt;&lt;wsp:rsid wsp:val=&quot;2E3D31FA&quot;/&gt;&lt;wsp:rsid wsp:val=&quot;2E3F51C4&quot;/&gt;&lt;wsp:rsid wsp:val=&quot;2E41385B&quot;/&gt;&lt;wsp:rsid wsp:val=&quot;2E41718E&quot;/&gt;&lt;wsp:rsid wsp:val=&quot;2E427D13&quot;/&gt;&lt;wsp:rsid wsp:val=&quot;2E432744&quot;/&gt;&lt;wsp:rsid wsp:val=&quot;2E440A2C&quot;/&gt;&lt;wsp:rsid wsp:val=&quot;2E450300&quot;/&gt;&lt;wsp:rsid wsp:val=&quot;2E467984&quot;/&gt;&lt;wsp:rsid wsp:val=&quot;2E4722CA&quot;/&gt;&lt;wsp:rsid wsp:val=&quot;2E4B1DBB&quot;/&gt;&lt;wsp:rsid wsp:val=&quot;2E4B2DD8&quot;/&gt;&lt;wsp:rsid wsp:val=&quot;2E4B3B69&quot;/&gt;&lt;wsp:rsid wsp:val=&quot;2E4C5B33&quot;/&gt;&lt;wsp:rsid wsp:val=&quot;2E5073D1&quot;/&gt;&lt;wsp:rsid wsp:val=&quot;2E530AF8&quot;/&gt;&lt;wsp:rsid wsp:val=&quot;2E56250D&quot;/&gt;&lt;wsp:rsid wsp:val=&quot;2E580034&quot;/&gt;&lt;wsp:rsid wsp:val=&quot;2E5844D8&quot;/&gt;&lt;wsp:rsid wsp:val=&quot;2E586286&quot;/&gt;&lt;wsp:rsid wsp:val=&quot;2E5A0250&quot;/&gt;&lt;wsp:rsid wsp:val=&quot;2E5A1FFE&quot;/&gt;&lt;wsp:rsid wsp:val=&quot;2E5D734C&quot;/&gt;&lt;wsp:rsid wsp:val=&quot;2E5F03D1&quot;/&gt;&lt;wsp:rsid wsp:val=&quot;2E6115DE&quot;/&gt;&lt;wsp:rsid wsp:val=&quot;2E61338C&quot;/&gt;&lt;wsp:rsid wsp:val=&quot;2E620EB2&quot;/&gt;&lt;wsp:rsid wsp:val=&quot;2E625356&quot;/&gt;&lt;wsp:rsid wsp:val=&quot;2E627104&quot;/&gt;&lt;wsp:rsid wsp:val=&quot;2E637A64&quot;/&gt;&lt;wsp:rsid wsp:val=&quot;2E642E7C&quot;/&gt;&lt;wsp:rsid wsp:val=&quot;2E667F96&quot;/&gt;&lt;wsp:rsid wsp:val=&quot;2E67296D&quot;/&gt;&lt;wsp:rsid wsp:val=&quot;2E67471B&quot;/&gt;&lt;wsp:rsid wsp:val=&quot;2E693FEF&quot;/&gt;&lt;wsp:rsid wsp:val=&quot;2E6D4270&quot;/&gt;&lt;wsp:rsid wsp:val=&quot;2E702BF1&quot;/&gt;&lt;wsp:rsid wsp:val=&quot;2E7035CF&quot;/&gt;&lt;wsp:rsid wsp:val=&quot;2E717347&quot;/&gt;&lt;wsp:rsid wsp:val=&quot;2E725599&quot;/&gt;&lt;wsp:rsid wsp:val=&quot;2E7330BF&quot;/&gt;&lt;wsp:rsid wsp:val=&quot;2E741572&quot;/&gt;&lt;wsp:rsid wsp:val=&quot;2E742A02&quot;/&gt;&lt;wsp:rsid wsp:val=&quot;2E755089&quot;/&gt;&lt;wsp:rsid wsp:val=&quot;2E756E38&quot;/&gt;&lt;wsp:rsid wsp:val=&quot;2E772BB0&quot;/&gt;&lt;wsp:rsid wsp:val=&quot;2E792950&quot;/&gt;&lt;wsp:rsid wsp:val=&quot;2E7A26A0&quot;/&gt;&lt;wsp:rsid wsp:val=&quot;2E7B3D22&quot;/&gt;&lt;wsp:rsid wsp:val=&quot;2E7D3F3E&quot;/&gt;&lt;wsp:rsid wsp:val=&quot;2E7F25F4&quot;/&gt;&lt;wsp:rsid wsp:val=&quot;2E7F6685&quot;/&gt;&lt;wsp:rsid wsp:val=&quot;2E7F7D69&quot;/&gt;&lt;wsp:rsid wsp:val=&quot;2E804A02&quot;/&gt;&lt;wsp:rsid wsp:val=&quot;2E81758A&quot;/&gt;&lt;wsp:rsid wsp:val=&quot;2E821554&quot;/&gt;&lt;wsp:rsid wsp:val=&quot;2E8226AB&quot;/&gt;&lt;wsp:rsid wsp:val=&quot;2E823302&quot;/&gt;&lt;wsp:rsid wsp:val=&quot;2E840E29&quot;/&gt;&lt;wsp:rsid wsp:val=&quot;2E8928E3&quot;/&gt;&lt;wsp:rsid wsp:val=&quot;2E894691&quot;/&gt;&lt;wsp:rsid wsp:val=&quot;2E8B21B7&quot;/&gt;&lt;wsp:rsid wsp:val=&quot;2E8B665B&quot;/&gt;&lt;wsp:rsid wsp:val=&quot;2E8B77F8&quot;/&gt;&lt;wsp:rsid wsp:val=&quot;2E8C5F2F&quot;/&gt;&lt;wsp:rsid wsp:val=&quot;2E8D23D3&quot;/&gt;&lt;wsp:rsid wsp:val=&quot;2E8E0627&quot;/&gt;&lt;wsp:rsid wsp:val=&quot;2E8E1CA7&quot;/&gt;&lt;wsp:rsid wsp:val=&quot;2E903C71&quot;/&gt;&lt;wsp:rsid wsp:val=&quot;2E905510&quot;/&gt;&lt;wsp:rsid wsp:val=&quot;2E9077CD&quot;/&gt;&lt;wsp:rsid wsp:val=&quot;2E913546&quot;/&gt;&lt;wsp:rsid wsp:val=&quot;2E91369D&quot;/&gt;&lt;wsp:rsid wsp:val=&quot;2E9141EB&quot;/&gt;&lt;wsp:rsid wsp:val=&quot;2E921798&quot;/&gt;&lt;wsp:rsid wsp:val=&quot;2E933762&quot;/&gt;&lt;wsp:rsid wsp:val=&quot;2E935510&quot;/&gt;&lt;wsp:rsid wsp:val=&quot;2E951288&quot;/&gt;&lt;wsp:rsid wsp:val=&quot;2E954DE4&quot;/&gt;&lt;wsp:rsid wsp:val=&quot;2E9574DA&quot;/&gt;&lt;wsp:rsid wsp:val=&quot;2E975000&quot;/&gt;&lt;wsp:rsid wsp:val=&quot;2E976DAE&quot;/&gt;&lt;wsp:rsid wsp:val=&quot;2E982B26&quot;/&gt;&lt;wsp:rsid wsp:val=&quot;2E99698C&quot;/&gt;&lt;wsp:rsid wsp:val=&quot;2E9A4AF0&quot;/&gt;&lt;wsp:rsid wsp:val=&quot;2E9A689E&quot;/&gt;&lt;wsp:rsid wsp:val=&quot;2E9B6172&quot;/&gt;&lt;wsp:rsid wsp:val=&quot;2E9C077D&quot;/&gt;&lt;wsp:rsid wsp:val=&quot;2EA119DB&quot;/&gt;&lt;wsp:rsid wsp:val=&quot;2EA15E7F&quot;/&gt;&lt;wsp:rsid wsp:val=&quot;2EA25753&quot;/&gt;&lt;wsp:rsid wsp:val=&quot;2EA27501&quot;/&gt;&lt;wsp:rsid wsp:val=&quot;2EA339A5&quot;/&gt;&lt;wsp:rsid wsp:val=&quot;2EA35ACD&quot;/&gt;&lt;wsp:rsid wsp:val=&quot;2EA67CB0&quot;/&gt;&lt;wsp:rsid wsp:val=&quot;2EA72D69&quot;/&gt;&lt;wsp:rsid wsp:val=&quot;2EA80FBB&quot;/&gt;&lt;wsp:rsid wsp:val=&quot;2EA901B0&quot;/&gt;&lt;wsp:rsid wsp:val=&quot;2EA94D33&quot;/&gt;&lt;wsp:rsid wsp:val=&quot;2EAB4607&quot;/&gt;&lt;wsp:rsid wsp:val=&quot;2EAE074D&quot;/&gt;&lt;wsp:rsid wsp:val=&quot;2EB07E70&quot;/&gt;&lt;wsp:rsid wsp:val=&quot;2EB15996&quot;/&gt;&lt;wsp:rsid wsp:val=&quot;2EB21E3A&quot;/&gt;&lt;wsp:rsid wsp:val=&quot;2EB23BE8&quot;/&gt;&lt;wsp:rsid wsp:val=&quot;2EB37960&quot;/&gt;&lt;wsp:rsid wsp:val=&quot;2EB57234&quot;/&gt;&lt;wsp:rsid wsp:val=&quot;2EB77450&quot;/&gt;&lt;wsp:rsid wsp:val=&quot;2EB813E6&quot;/&gt;&lt;wsp:rsid wsp:val=&quot;2EB86D24&quot;/&gt;&lt;wsp:rsid wsp:val=&quot;2EBA1135&quot;/&gt;&lt;wsp:rsid wsp:val=&quot;2EBA484A&quot;/&gt;&lt;wsp:rsid wsp:val=&quot;2EBC05C2&quot;/&gt;&lt;wsp:rsid wsp:val=&quot;2EBC4A66&quot;/&gt;&lt;wsp:rsid wsp:val=&quot;2EBE0643&quot;/&gt;&lt;wsp:rsid wsp:val=&quot;2EBE1C67&quot;/&gt;&lt;wsp:rsid wsp:val=&quot;2EBE2687&quot;/&gt;&lt;wsp:rsid wsp:val=&quot;2EBE493E&quot;/&gt;&lt;wsp:rsid wsp:val=&quot;2EC041FE&quot;/&gt;&lt;wsp:rsid wsp:val=&quot;2EC13E2B&quot;/&gt;&lt;wsp:rsid wsp:val=&quot;2EC14B6F&quot;/&gt;&lt;wsp:rsid wsp:val=&quot;2EC15BD9&quot;/&gt;&lt;wsp:rsid wsp:val=&quot;2EC1611A&quot;/&gt;&lt;wsp:rsid wsp:val=&quot;2EC21951&quot;/&gt;&lt;wsp:rsid wsp:val=&quot;2EC35DF5&quot;/&gt;&lt;wsp:rsid wsp:val=&quot;2EC41B6D&quot;/&gt;&lt;wsp:rsid wsp:val=&quot;2EC456C9&quot;/&gt;&lt;wsp:rsid wsp:val=&quot;2EC76F67&quot;/&gt;&lt;wsp:rsid wsp:val=&quot;2EC8340B&quot;/&gt;&lt;wsp:rsid wsp:val=&quot;2EC90F31&quot;/&gt;&lt;wsp:rsid wsp:val=&quot;2EC9236B&quot;/&gt;&lt;wsp:rsid wsp:val=&quot;2EC92CDF&quot;/&gt;&lt;wsp:rsid wsp:val=&quot;2ECB6480&quot;/&gt;&lt;wsp:rsid wsp:val=&quot;2ECB6A58&quot;/&gt;&lt;wsp:rsid wsp:val=&quot;2ECD6C74&quot;/&gt;&lt;wsp:rsid wsp:val=&quot;2ECE217C&quot;/&gt;&lt;wsp:rsid wsp:val=&quot;2ECE6548&quot;/&gt;&lt;wsp:rsid wsp:val=&quot;2ECF4A9C&quot;/&gt;&lt;wsp:rsid wsp:val=&quot;2ED00512&quot;/&gt;&lt;wsp:rsid wsp:val=&quot;2ED022C0&quot;/&gt;&lt;wsp:rsid wsp:val=&quot;2ED2428A&quot;/&gt;&lt;wsp:rsid wsp:val=&quot;2ED27DE6&quot;/&gt;&lt;wsp:rsid wsp:val=&quot;2ED3590C&quot;/&gt;&lt;wsp:rsid wsp:val=&quot;2ED50AD1&quot;/&gt;&lt;wsp:rsid wsp:val=&quot;2ED55B28&quot;/&gt;&lt;wsp:rsid wsp:val=&quot;2ED578D6&quot;/&gt;&lt;wsp:rsid wsp:val=&quot;2EDB6DBC&quot;/&gt;&lt;wsp:rsid wsp:val=&quot;2EDE1FC9&quot;/&gt;&lt;wsp:rsid wsp:val=&quot;2EDF0755&quot;/&gt;&lt;wsp:rsid wsp:val=&quot;2EDF19C0&quot;/&gt;&lt;wsp:rsid wsp:val=&quot;2EDF2503&quot;/&gt;&lt;wsp:rsid wsp:val=&quot;2EDF4591&quot;/&gt;&lt;wsp:rsid wsp:val=&quot;2EE06AF8&quot;/&gt;&lt;wsp:rsid wsp:val=&quot;2EE24216&quot;/&gt;&lt;wsp:rsid wsp:val=&quot;2EE47B19&quot;/&gt;&lt;wsp:rsid wsp:val=&quot;2EE6563F&quot;/&gt;&lt;wsp:rsid wsp:val=&quot;2EE67D35&quot;/&gt;&lt;wsp:rsid wsp:val=&quot;2EE713B8&quot;/&gt;&lt;wsp:rsid wsp:val=&quot;2EE8585B&quot;/&gt;&lt;wsp:rsid wsp:val=&quot;2EEA0214&quot;/&gt;&lt;wsp:rsid wsp:val=&quot;2EEA15D4&quot;/&gt;&lt;wsp:rsid wsp:val=&quot;2EEA16A4&quot;/&gt;&lt;wsp:rsid wsp:val=&quot;2EEB70FA&quot;/&gt;&lt;wsp:rsid wsp:val=&quot;2EED10C4&quot;/&gt;&lt;wsp:rsid wsp:val=&quot;2EED4C20&quot;/&gt;&lt;wsp:rsid wsp:val=&quot;2EEE1637&quot;/&gt;&lt;wsp:rsid wsp:val=&quot;2EEF4086&quot;/&gt;&lt;wsp:rsid wsp:val=&quot;2EF02962&quot;/&gt;&lt;wsp:rsid wsp:val=&quot;2EF04710&quot;/&gt;&lt;wsp:rsid wsp:val=&quot;2EF266DA&quot;/&gt;&lt;wsp:rsid wsp:val=&quot;2EF46CED&quot;/&gt;&lt;wsp:rsid wsp:val=&quot;2EF51D26&quot;/&gt;&lt;wsp:rsid wsp:val=&quot;2EF523B2&quot;/&gt;&lt;wsp:rsid wsp:val=&quot;2EF57F78&quot;/&gt;&lt;wsp:rsid wsp:val=&quot;2EF7784D&quot;/&gt;&lt;wsp:rsid wsp:val=&quot;2EFC1307&quot;/&gt;&lt;wsp:rsid wsp:val=&quot;2EFC30B5&quot;/&gt;&lt;wsp:rsid wsp:val=&quot;2EFC4E63&quot;/&gt;&lt;wsp:rsid wsp:val=&quot;2EFD4110&quot;/&gt;&lt;wsp:rsid wsp:val=&quot;2EFE0BDB&quot;/&gt;&lt;wsp:rsid wsp:val=&quot;2EFE6E2D&quot;/&gt;&lt;wsp:rsid wsp:val=&quot;2EFF4953&quot;/&gt;&lt;wsp:rsid wsp:val=&quot;2EFF6701&quot;/&gt;&lt;wsp:rsid wsp:val=&quot;2F000DF7&quot;/&gt;&lt;wsp:rsid wsp:val=&quot;2F002D93&quot;/&gt;&lt;wsp:rsid wsp:val=&quot;2F005A0D&quot;/&gt;&lt;wsp:rsid wsp:val=&quot;2F01691D&quot;/&gt;&lt;wsp:rsid wsp:val=&quot;2F030FE4&quot;/&gt;&lt;wsp:rsid wsp:val=&quot;2F032695&quot;/&gt;&lt;wsp:rsid wsp:val=&quot;2F034443&quot;/&gt;&lt;wsp:rsid wsp:val=&quot;2F081A5A&quot;/&gt;&lt;wsp:rsid wsp:val=&quot;2F087CAC&quot;/&gt;&lt;wsp:rsid wsp:val=&quot;2F0A0C8E&quot;/&gt;&lt;wsp:rsid wsp:val=&quot;2F0A1147&quot;/&gt;&lt;wsp:rsid wsp:val=&quot;2F0A60BD&quot;/&gt;&lt;wsp:rsid wsp:val=&quot;2F0B32F8&quot;/&gt;&lt;wsp:rsid wsp:val=&quot;2F0B67A3&quot;/&gt;&lt;wsp:rsid wsp:val=&quot;2F0E760F&quot;/&gt;&lt;wsp:rsid wsp:val=&quot;2F1321AD&quot;/&gt;&lt;wsp:rsid wsp:val=&quot;2F1403FE&quot;/&gt;&lt;wsp:rsid wsp:val=&quot;2F146650&quot;/&gt;&lt;wsp:rsid wsp:val=&quot;2F154177&quot;/&gt;&lt;wsp:rsid wsp:val=&quot;2F171C9D&quot;/&gt;&lt;wsp:rsid wsp:val=&quot;2F181B51&quot;/&gt;&lt;wsp:rsid wsp:val=&quot;2F186C3C&quot;/&gt;&lt;wsp:rsid wsp:val=&quot;2F1877C3&quot;/&gt;&lt;wsp:rsid wsp:val=&quot;2F195A15&quot;/&gt;&lt;wsp:rsid wsp:val=&quot;2F1A0783&quot;/&gt;&lt;wsp:rsid wsp:val=&quot;2F1C3757&quot;/&gt;&lt;wsp:rsid wsp:val=&quot;2F1C72B3&quot;/&gt;&lt;wsp:rsid wsp:val=&quot;2F1D4533&quot;/&gt;&lt;wsp:rsid wsp:val=&quot;2F1E302B&quot;/&gt;&lt;wsp:rsid wsp:val=&quot;2F1E74CF&quot;/&gt;&lt;wsp:rsid wsp:val=&quot;2F210D6D&quot;/&gt;&lt;wsp:rsid wsp:val=&quot;2F2318FC&quot;/&gt;&lt;wsp:rsid wsp:val=&quot;2F25260C&quot;/&gt;&lt;wsp:rsid wsp:val=&quot;2F266384&quot;/&gt;&lt;wsp:rsid wsp:val=&quot;2F2732C1&quot;/&gt;&lt;wsp:rsid wsp:val=&quot;2F2B399A&quot;/&gt;&lt;wsp:rsid wsp:val=&quot;2F2B74F6&quot;/&gt;&lt;wsp:rsid wsp:val=&quot;2F2C2940&quot;/&gt;&lt;wsp:rsid wsp:val=&quot;2F2D28E7&quot;/&gt;&lt;wsp:rsid wsp:val=&quot;2F2D326E&quot;/&gt;&lt;wsp:rsid wsp:val=&quot;2F2F5238&quot;/&gt;&lt;wsp:rsid wsp:val=&quot;2F320885&quot;/&gt;&lt;wsp:rsid wsp:val=&quot;2F337E9A&quot;/&gt;&lt;wsp:rsid wsp:val=&quot;2F3445FD&quot;/&gt;&lt;wsp:rsid wsp:val=&quot;2F37233F&quot;/&gt;&lt;wsp:rsid wsp:val=&quot;2F3825F9&quot;/&gt;&lt;wsp:rsid wsp:val=&quot;2F382935&quot;/&gt;&lt;wsp:rsid wsp:val=&quot;2F391C13&quot;/&gt;&lt;wsp:rsid wsp:val=&quot;2F39218E&quot;/&gt;&lt;wsp:rsid wsp:val=&quot;2F3960B7&quot;/&gt;&lt;wsp:rsid wsp:val=&quot;2F3A5E9B&quot;/&gt;&lt;wsp:rsid wsp:val=&quot;2F3B7ABC&quot;/&gt;&lt;wsp:rsid wsp:val=&quot;2F3C1703&quot;/&gt;&lt;wsp:rsid wsp:val=&quot;2F3C5BA7&quot;/&gt;&lt;wsp:rsid wsp:val=&quot;2F3D15F2&quot;/&gt;&lt;wsp:rsid wsp:val=&quot;2F416BFE&quot;/&gt;&lt;wsp:rsid wsp:val=&quot;2F4405B8&quot;/&gt;&lt;wsp:rsid wsp:val=&quot;2F4528CB&quot;/&gt;&lt;wsp:rsid wsp:val=&quot;2F454A5C&quot;/&gt;&lt;wsp:rsid wsp:val=&quot;2F462582&quot;/&gt;&lt;wsp:rsid wsp:val=&quot;2F4772C6&quot;/&gt;&lt;wsp:rsid wsp:val=&quot;2F4862FA&quot;/&gt;&lt;wsp:rsid wsp:val=&quot;2F49593D&quot;/&gt;&lt;wsp:rsid wsp:val=&quot;2F4A2072&quot;/&gt;&lt;wsp:rsid wsp:val=&quot;2F4C5E70&quot;/&gt;&lt;wsp:rsid wsp:val=&quot;2F4D1B62&quot;/&gt;&lt;wsp:rsid wsp:val=&quot;2F4D5775&quot;/&gt;&lt;wsp:rsid wsp:val=&quot;2F4E5C64&quot;/&gt;&lt;wsp:rsid wsp:val=&quot;2F4F58DB&quot;/&gt;&lt;wsp:rsid wsp:val=&quot;2F502541&quot;/&gt;&lt;wsp:rsid wsp:val=&quot;2F511653&quot;/&gt;&lt;wsp:rsid wsp:val=&quot;2F522CD5&quot;/&gt;&lt;wsp:rsid wsp:val=&quot;2F566C69&quot;/&gt;&lt;wsp:rsid wsp:val=&quot;2F5729E1&quot;/&gt;&lt;wsp:rsid wsp:val=&quot;2F580725&quot;/&gt;&lt;wsp:rsid wsp:val=&quot;2F591BB5&quot;/&gt;&lt;wsp:rsid wsp:val=&quot;2F5922B5&quot;/&gt;&lt;wsp:rsid wsp:val=&quot;2F594063&quot;/&gt;&lt;wsp:rsid wsp:val=&quot;2F5971AC&quot;/&gt;&lt;wsp:rsid wsp:val=&quot;2F5A3045&quot;/&gt;&lt;wsp:rsid wsp:val=&quot;2F5B35AF&quot;/&gt;&lt;wsp:rsid wsp:val=&quot;2F5C3B54&quot;/&gt;&lt;wsp:rsid wsp:val=&quot;2F5D19C6&quot;/&gt;&lt;wsp:rsid wsp:val=&quot;2F5E78CC&quot;/&gt;&lt;wsp:rsid wsp:val=&quot;2F600347&quot;/&gt;&lt;wsp:rsid wsp:val=&quot;2F601896&quot;/&gt;&lt;wsp:rsid wsp:val=&quot;2F603644&quot;/&gt;&lt;wsp:rsid wsp:val=&quot;2F6243A8&quot;/&gt;&lt;wsp:rsid wsp:val=&quot;2F67051F&quot;/&gt;&lt;wsp:rsid wsp:val=&quot;2F67112F&quot;/&gt;&lt;wsp:rsid wsp:val=&quot;2F672A78&quot;/&gt;&lt;wsp:rsid wsp:val=&quot;2F6824F8&quot;/&gt;&lt;wsp:rsid wsp:val=&quot;2F6964B6&quot;/&gt;&lt;wsp:rsid wsp:val=&quot;2F696CB2&quot;/&gt;&lt;wsp:rsid wsp:val=&quot;2F6A44C2&quot;/&gt;&lt;wsp:rsid wsp:val=&quot;2F6B3D97&quot;/&gt;&lt;wsp:rsid wsp:val=&quot;2F6B59C3&quot;/&gt;&lt;wsp:rsid wsp:val=&quot;2F6C023B&quot;/&gt;&lt;wsp:rsid wsp:val=&quot;2F6D7B0F&quot;/&gt;&lt;wsp:rsid wsp:val=&quot;2F6E6D7E&quot;/&gt;&lt;wsp:rsid wsp:val=&quot;2F6F3887&quot;/&gt;&lt;wsp:rsid wsp:val=&quot;2F7075FF&quot;/&gt;&lt;wsp:rsid wsp:val=&quot;2F715851&quot;/&gt;&lt;wsp:rsid wsp:val=&quot;2F745341&quot;/&gt;&lt;wsp:rsid wsp:val=&quot;2F747421&quot;/&gt;&lt;wsp:rsid wsp:val=&quot;2F77098D&quot;/&gt;&lt;wsp:rsid wsp:val=&quot;2F7739FD&quot;/&gt;&lt;wsp:rsid wsp:val=&quot;2F7852FC&quot;/&gt;&lt;wsp:rsid wsp:val=&quot;2F79399B&quot;/&gt;&lt;wsp:rsid wsp:val=&quot;2F7A1A4C&quot;/&gt;&lt;wsp:rsid wsp:val=&quot;2F7B222C&quot;/&gt;&lt;wsp:rsid wsp:val=&quot;2F7C226F&quot;/&gt;&lt;wsp:rsid wsp:val=&quot;2F7E1D1C&quot;/&gt;&lt;wsp:rsid wsp:val=&quot;2F7E7F6E&quot;/&gt;&lt;wsp:rsid wsp:val=&quot;2F803CE6&quot;/&gt;&lt;wsp:rsid wsp:val=&quot;2F805A94&quot;/&gt;&lt;wsp:rsid wsp:val=&quot;2F814DA1&quot;/&gt;&lt;wsp:rsid wsp:val=&quot;2F8310E0&quot;/&gt;&lt;wsp:rsid wsp:val=&quot;2F8337D6&quot;/&gt;&lt;wsp:rsid wsp:val=&quot;2F833C5E&quot;/&gt;&lt;wsp:rsid wsp:val=&quot;2F8512FC&quot;/&gt;&lt;wsp:rsid wsp:val=&quot;2F860BD0&quot;/&gt;&lt;wsp:rsid wsp:val=&quot;2F875074&quot;/&gt;&lt;wsp:rsid wsp:val=&quot;2F882B9B&quot;/&gt;&lt;wsp:rsid wsp:val=&quot;2F8A35B4&quot;/&gt;&lt;wsp:rsid wsp:val=&quot;2F8A6913&quot;/&gt;&lt;wsp:rsid wsp:val=&quot;2F8D6403&quot;/&gt;&lt;wsp:rsid wsp:val=&quot;2F8E04F5&quot;/&gt;&lt;wsp:rsid wsp:val=&quot;2F8F5CD7&quot;/&gt;&lt;wsp:rsid wsp:val=&quot;2F8F63FC&quot;/&gt;&lt;wsp:rsid wsp:val=&quot;2F911A4F&quot;/&gt;&lt;wsp:rsid wsp:val=&quot;2F923A19&quot;/&gt;&lt;wsp:rsid wsp:val=&quot;2F927575&quot;/&gt;&lt;wsp:rsid wsp:val=&quot;2F947791&quot;/&gt;&lt;wsp:rsid wsp:val=&quot;2F963509&quot;/&gt;&lt;wsp:rsid wsp:val=&quot;2F967065&quot;/&gt;&lt;wsp:rsid wsp:val=&quot;2F997048&quot;/&gt;&lt;wsp:rsid wsp:val=&quot;2F9B467C&quot;/&gt;&lt;wsp:rsid wsp:val=&quot;2F9C03F4&quot;/&gt;&lt;wsp:rsid wsp:val=&quot;2F9E5F1A&quot;/&gt;&lt;wsp:rsid wsp:val=&quot;2FA01C92&quot;/&gt;&lt;wsp:rsid wsp:val=&quot;2FA23C5C&quot;/&gt;&lt;wsp:rsid wsp:val=&quot;2FA31782&quot;/&gt;&lt;wsp:rsid wsp:val=&quot;2FA4299B&quot;/&gt;&lt;wsp:rsid wsp:val=&quot;2FA501BC&quot;/&gt;&lt;wsp:rsid wsp:val=&quot;2FA54233&quot;/&gt;&lt;wsp:rsid wsp:val=&quot;2FA774C5&quot;/&gt;&lt;wsp:rsid wsp:val=&quot;2FAA0D63&quot;/&gt;&lt;wsp:rsid wsp:val=&quot;2FAA2B11&quot;/&gt;&lt;wsp:rsid wsp:val=&quot;2FAC6889&quot;/&gt;&lt;wsp:rsid wsp:val=&quot;2FAD0853&quot;/&gt;&lt;wsp:rsid wsp:val=&quot;2FAD2601&quot;/&gt;&lt;wsp:rsid wsp:val=&quot;2FAF45CB&quot;/&gt;&lt;wsp:rsid wsp:val=&quot;2FB13E9F&quot;/&gt;&lt;wsp:rsid wsp:val=&quot;2FB43990&quot;/&gt;&lt;wsp:rsid wsp:val=&quot;2FB4573E&quot;/&gt;&lt;wsp:rsid wsp:val=&quot;2FB614B6&quot;/&gt;&lt;wsp:rsid wsp:val=&quot;2FB63264&quot;/&gt;&lt;wsp:rsid wsp:val=&quot;2FB714D1&quot;/&gt;&lt;wsp:rsid wsp:val=&quot;2FB92D54&quot;/&gt;&lt;wsp:rsid wsp:val=&quot;2FBA3D21&quot;/&gt;&lt;wsp:rsid wsp:val=&quot;2FBB2F70&quot;/&gt;&lt;wsp:rsid wsp:val=&quot;2FC5794B&quot;/&gt;&lt;wsp:rsid wsp:val=&quot;2FC60D0F&quot;/&gt;&lt;wsp:rsid wsp:val=&quot;2FC70985&quot;/&gt;&lt;wsp:rsid wsp:val=&quot;2FC75471&quot;/&gt;&lt;wsp:rsid wsp:val=&quot;2FC81EC3&quot;/&gt;&lt;wsp:rsid wsp:val=&quot;2FC9658A&quot;/&gt;&lt;wsp:rsid wsp:val=&quot;2FC96724&quot;/&gt;&lt;wsp:rsid wsp:val=&quot;2FCA6D0F&quot;/&gt;&lt;wsp:rsid wsp:val=&quot;2FCB7306&quot;/&gt;&lt;wsp:rsid wsp:val=&quot;2FCC6F2B&quot;/&gt;&lt;wsp:rsid wsp:val=&quot;2FCD1ED3&quot;/&gt;&lt;wsp:rsid wsp:val=&quot;2FCD67FF&quot;/&gt;&lt;wsp:rsid wsp:val=&quot;2FD065E6&quot;/&gt;&lt;wsp:rsid wsp:val=&quot;2FD211B5&quot;/&gt;&lt;wsp:rsid wsp:val=&quot;2FD32E80&quot;/&gt;&lt;wsp:rsid wsp:val=&quot;2FD45DE0&quot;/&gt;&lt;wsp:rsid wsp:val=&quot;2FD47B8E&quot;/&gt;&lt;wsp:rsid wsp:val=&quot;2FD7142C&quot;/&gt;&lt;wsp:rsid wsp:val=&quot;2FD77070&quot;/&gt;&lt;wsp:rsid wsp:val=&quot;2FD8190A&quot;/&gt;&lt;wsp:rsid wsp:val=&quot;2FD951A4&quot;/&gt;&lt;wsp:rsid wsp:val=&quot;2FD96870&quot;/&gt;&lt;wsp:rsid wsp:val=&quot;2FDF5AD0&quot;/&gt;&lt;wsp:rsid wsp:val=&quot;2FDF6E49&quot;/&gt;&lt;wsp:rsid wsp:val=&quot;2FE0009C&quot;/&gt;&lt;wsp:rsid wsp:val=&quot;2FE2558D&quot;/&gt;&lt;wsp:rsid wsp:val=&quot;2FE36023&quot;/&gt;&lt;wsp:rsid wsp:val=&quot;2FE43D81&quot;/&gt;&lt;wsp:rsid wsp:val=&quot;2FE47EAD&quot;/&gt;&lt;wsp:rsid wsp:val=&quot;2FE523C9&quot;/&gt;&lt;wsp:rsid wsp:val=&quot;2FE64BD8&quot;/&gt;&lt;wsp:rsid wsp:val=&quot;2FE7539E&quot;/&gt;&lt;wsp:rsid wsp:val=&quot;2FE75B13&quot;/&gt;&lt;wsp:rsid wsp:val=&quot;2FE778C1&quot;/&gt;&lt;wsp:rsid wsp:val=&quot;2FEA115F&quot;/&gt;&lt;wsp:rsid wsp:val=&quot;2FEA5603&quot;/&gt;&lt;wsp:rsid wsp:val=&quot;2FEA73B1&quot;/&gt;&lt;wsp:rsid wsp:val=&quot;2FEB51AF&quot;/&gt;&lt;wsp:rsid wsp:val=&quot;2FEB5CCB&quot;/&gt;&lt;wsp:rsid wsp:val=&quot;2FEC073B&quot;/&gt;&lt;wsp:rsid wsp:val=&quot;2FEE50F3&quot;/&gt;&lt;wsp:rsid wsp:val=&quot;2FEE6EA1&quot;/&gt;&lt;wsp:rsid wsp:val=&quot;2FEF1830&quot;/&gt;&lt;wsp:rsid wsp:val=&quot;2FEF49C8&quot;/&gt;&lt;wsp:rsid wsp:val=&quot;2FEF6701&quot;/&gt;&lt;wsp:rsid wsp:val=&quot;2FF10740&quot;/&gt;&lt;wsp:rsid wsp:val=&quot;2FF278D5&quot;/&gt;&lt;wsp:rsid wsp:val=&quot;2FF41FDE&quot;/&gt;&lt;wsp:rsid wsp:val=&quot;2FF5347D&quot;/&gt;&lt;wsp:rsid wsp:val=&quot;2FF7387C&quot;/&gt;&lt;wsp:rsid wsp:val=&quot;2FFA3A98&quot;/&gt;&lt;wsp:rsid wsp:val=&quot;2FFD70E5&quot;/&gt;&lt;wsp:rsid wsp:val=&quot;2FFE62F9&quot;/&gt;&lt;wsp:rsid wsp:val=&quot;3002294D&quot;/&gt;&lt;wsp:rsid wsp:val=&quot;30047496&quot;/&gt;&lt;wsp:rsid wsp:val=&quot;300541EB&quot;/&gt;&lt;wsp:rsid wsp:val=&quot;30087370&quot;/&gt;&lt;wsp:rsid wsp:val=&quot;30093CDB&quot;/&gt;&lt;wsp:rsid wsp:val=&quot;300968A8&quot;/&gt;&lt;wsp:rsid wsp:val=&quot;300A3D8C&quot;/&gt;&lt;wsp:rsid wsp:val=&quot;300C557A&quot;/&gt;&lt;wsp:rsid wsp:val=&quot;300C7328&quot;/&gt;&lt;wsp:rsid wsp:val=&quot;300D4E4E&quot;/&gt;&lt;wsp:rsid wsp:val=&quot;300F6E18&quot;/&gt;&lt;wsp:rsid wsp:val=&quot;3012466B&quot;/&gt;&lt;wsp:rsid wsp:val=&quot;301306B6&quot;/&gt;&lt;wsp:rsid wsp:val=&quot;30134B5A&quot;/&gt;&lt;wsp:rsid wsp:val=&quot;301663F8&quot;/&gt;&lt;wsp:rsid wsp:val=&quot;301745ED&quot;/&gt;&lt;wsp:rsid wsp:val=&quot;30180806&quot;/&gt;&lt;wsp:rsid wsp:val=&quot;30182170&quot;/&gt;&lt;wsp:rsid wsp:val=&quot;301870A8&quot;/&gt;&lt;wsp:rsid wsp:val=&quot;301937F3&quot;/&gt;&lt;wsp:rsid wsp:val=&quot;30197C97&quot;/&gt;&lt;wsp:rsid wsp:val=&quot;301A241E&quot;/&gt;&lt;wsp:rsid wsp:val=&quot;301B756B&quot;/&gt;&lt;wsp:rsid wsp:val=&quot;301D7787&quot;/&gt;&lt;wsp:rsid wsp:val=&quot;301E7081&quot;/&gt;&lt;wsp:rsid wsp:val=&quot;30201025&quot;/&gt;&lt;wsp:rsid wsp:val=&quot;30206F5A&quot;/&gt;&lt;wsp:rsid wsp:val=&quot;302208F9&quot;/&gt;&lt;wsp:rsid wsp:val=&quot;302243E3&quot;/&gt;&lt;wsp:rsid wsp:val=&quot;30241C87&quot;/&gt;&lt;wsp:rsid wsp:val=&quot;30246A80&quot;/&gt;&lt;wsp:rsid wsp:val=&quot;3026317E&quot;/&gt;&lt;wsp:rsid wsp:val=&quot;30267BAB&quot;/&gt;&lt;wsp:rsid wsp:val=&quot;30274161&quot;/&gt;&lt;wsp:rsid wsp:val=&quot;30281C88&quot;/&gt;&lt;wsp:rsid wsp:val=&quot;302A3C52&quot;/&gt;&lt;wsp:rsid wsp:val=&quot;302C5C1C&quot;/&gt;&lt;wsp:rsid wsp:val=&quot;302C79CA&quot;/&gt;&lt;wsp:rsid wsp:val=&quot;302F4737&quot;/&gt;&lt;wsp:rsid wsp:val=&quot;30307B56&quot;/&gt;&lt;wsp:rsid wsp:val=&quot;30316D8E&quot;/&gt;&lt;wsp:rsid wsp:val=&quot;3034062C&quot;/&gt;&lt;wsp:rsid wsp:val=&quot;30360E95&quot;/&gt;&lt;wsp:rsid wsp:val=&quot;30384C45&quot;/&gt;&lt;wsp:rsid wsp:val=&quot;30384E78&quot;/&gt;&lt;wsp:rsid wsp:val=&quot;303B7C0D&quot;/&gt;&lt;wsp:rsid wsp:val=&quot;303D1BD7&quot;/&gt;&lt;wsp:rsid wsp:val=&quot;303E6F0A&quot;/&gt;&lt;wsp:rsid wsp:val=&quot;303F124E&quot;/&gt;&lt;wsp:rsid wsp:val=&quot;303F594F&quot;/&gt;&lt;wsp:rsid wsp:val=&quot;303F76FD&quot;/&gt;&lt;wsp:rsid wsp:val=&quot;30403475&quot;/&gt;&lt;wsp:rsid wsp:val=&quot;30404B18&quot;/&gt;&lt;wsp:rsid wsp:val=&quot;304059BC&quot;/&gt;&lt;wsp:rsid wsp:val=&quot;30420F9B&quot;/&gt;&lt;wsp:rsid wsp:val=&quot;304271ED&quot;/&gt;&lt;wsp:rsid wsp:val=&quot;304308C8&quot;/&gt;&lt;wsp:rsid wsp:val=&quot;30465CF1&quot;/&gt;&lt;wsp:rsid wsp:val=&quot;30473ADA&quot;/&gt;&lt;wsp:rsid wsp:val=&quot;3049057C&quot;/&gt;&lt;wsp:rsid wsp:val=&quot;3049232A&quot;/&gt;&lt;wsp:rsid wsp:val=&quot;304940D8&quot;/&gt;&lt;wsp:rsid wsp:val=&quot;304A60A2&quot;/&gt;&lt;wsp:rsid wsp:val=&quot;304B42F4&quot;/&gt;&lt;wsp:rsid wsp:val=&quot;304C3BC8&quot;/&gt;&lt;wsp:rsid wsp:val=&quot;304C48ED&quot;/&gt;&lt;wsp:rsid wsp:val=&quot;304C5976&quot;/&gt;&lt;wsp:rsid wsp:val=&quot;304E7940&quot;/&gt;&lt;wsp:rsid wsp:val=&quot;30517430&quot;/&gt;&lt;wsp:rsid wsp:val=&quot;305331A8&quot;/&gt;&lt;wsp:rsid wsp:val=&quot;30533F6E&quot;/&gt;&lt;wsp:rsid wsp:val=&quot;30534F57&quot;/&gt;&lt;wsp:rsid wsp:val=&quot;30550CCF&quot;/&gt;&lt;wsp:rsid wsp:val=&quot;305667F5&quot;/&gt;&lt;wsp:rsid wsp:val=&quot;30566D3E&quot;/&gt;&lt;wsp:rsid wsp:val=&quot;30580BC9&quot;/&gt;&lt;wsp:rsid wsp:val=&quot;30586A11&quot;/&gt;&lt;wsp:rsid wsp:val=&quot;305A4537&quot;/&gt;&lt;wsp:rsid wsp:val=&quot;305A62E5&quot;/&gt;&lt;wsp:rsid wsp:val=&quot;305D4027&quot;/&gt;&lt;wsp:rsid wsp:val=&quot;305D4040&quot;/&gt;&lt;wsp:rsid wsp:val=&quot;305E34B5&quot;/&gt;&lt;wsp:rsid wsp:val=&quot;305E56A9&quot;/&gt;&lt;wsp:rsid wsp:val=&quot;305F1B4D&quot;/&gt;&lt;wsp:rsid wsp:val=&quot;306058C5&quot;/&gt;&lt;wsp:rsid wsp:val=&quot;3060709E&quot;/&gt;&lt;wsp:rsid wsp:val=&quot;30613E51&quot;/&gt;&lt;wsp:rsid wsp:val=&quot;3062519A&quot;/&gt;&lt;wsp:rsid wsp:val=&quot;30653C62&quot;/&gt;&lt;wsp:rsid wsp:val=&quot;30696528&quot;/&gt;&lt;wsp:rsid wsp:val=&quot;306A22A0&quot;/&gt;&lt;wsp:rsid wsp:val=&quot;306F1BBA&quot;/&gt;&lt;wsp:rsid wsp:val=&quot;306F78B6&quot;/&gt;&lt;wsp:rsid wsp:val=&quot;30703D5A&quot;/&gt;&lt;wsp:rsid wsp:val=&quot;30711881&quot;/&gt;&lt;wsp:rsid wsp:val=&quot;307153DD&quot;/&gt;&lt;wsp:rsid wsp:val=&quot;3073716F&quot;/&gt;&lt;wsp:rsid wsp:val=&quot;3075311F&quot;/&gt;&lt;wsp:rsid wsp:val=&quot;30757063&quot;/&gt;&lt;wsp:rsid wsp:val=&quot;30766E97&quot;/&gt;&lt;wsp:rsid wsp:val=&quot;307A24E3&quot;/&gt;&lt;wsp:rsid wsp:val=&quot;307A6987&quot;/&gt;&lt;wsp:rsid wsp:val=&quot;307C26FF&quot;/&gt;&lt;wsp:rsid wsp:val=&quot;307D6477&quot;/&gt;&lt;wsp:rsid wsp:val=&quot;307F3F9D&quot;/&gt;&lt;wsp:rsid wsp:val=&quot;307F7AFA&quot;/&gt;&lt;wsp:rsid wsp:val=&quot;30815AC1&quot;/&gt;&lt;wsp:rsid wsp:val=&quot;30841DBC&quot;/&gt;&lt;wsp:rsid wsp:val=&quot;308570DA&quot;/&gt;&lt;wsp:rsid wsp:val=&quot;3086532C&quot;/&gt;&lt;wsp:rsid wsp:val=&quot;3088073D&quot;/&gt;&lt;wsp:rsid wsp:val=&quot;30881BCD&quot;/&gt;&lt;wsp:rsid wsp:val=&quot;30892064&quot;/&gt;&lt;wsp:rsid wsp:val=&quot;3089305D&quot;/&gt;&lt;wsp:rsid wsp:val=&quot;30896BCA&quot;/&gt;&lt;wsp:rsid wsp:val=&quot;308A51D5&quot;/&gt;&lt;wsp:rsid wsp:val=&quot;308C0D28&quot;/&gt;&lt;wsp:rsid wsp:val=&quot;308C66BA&quot;/&gt;&lt;wsp:rsid wsp:val=&quot;308D19DE&quot;/&gt;&lt;wsp:rsid wsp:val=&quot;308E41E1&quot;/&gt;&lt;wsp:rsid wsp:val=&quot;309061AB&quot;/&gt;&lt;wsp:rsid wsp:val=&quot;30915A7F&quot;/&gt;&lt;wsp:rsid wsp:val=&quot;309537C1&quot;/&gt;&lt;wsp:rsid wsp:val=&quot;30953AAB&quot;/&gt;&lt;wsp:rsid wsp:val=&quot;30974EC3&quot;/&gt;&lt;wsp:rsid wsp:val=&quot;309A0DD7&quot;/&gt;&lt;wsp:rsid wsp:val=&quot;309A2B85&quot;/&gt;&lt;wsp:rsid wsp:val=&quot;309C68FD&quot;/&gt;&lt;wsp:rsid wsp:val=&quot;309D28EB&quot;/&gt;&lt;wsp:rsid wsp:val=&quot;309D65F0&quot;/&gt;&lt;wsp:rsid wsp:val=&quot;309F019C&quot;/&gt;&lt;wsp:rsid wsp:val=&quot;30A05CC2&quot;/&gt;&lt;wsp:rsid wsp:val=&quot;30A43A04&quot;/&gt;&lt;wsp:rsid wsp:val=&quot;30A457B2&quot;/&gt;&lt;wsp:rsid wsp:val=&quot;30A47560&quot;/&gt;&lt;wsp:rsid wsp:val=&quot;30A532D8&quot;/&gt;&lt;wsp:rsid wsp:val=&quot;30A734F4&quot;/&gt;&lt;wsp:rsid wsp:val=&quot;30A9101A&quot;/&gt;&lt;wsp:rsid wsp:val=&quot;30A92DC8&quot;/&gt;&lt;wsp:rsid wsp:val=&quot;30A9726C&quot;/&gt;&lt;wsp:rsid wsp:val=&quot;30AA3AD7&quot;/&gt;&lt;wsp:rsid wsp:val=&quot;30AB4D93&quot;/&gt;&lt;wsp:rsid wsp:val=&quot;30AB4F67&quot;/&gt;&lt;wsp:rsid wsp:val=&quot;30AD0B0B&quot;/&gt;&lt;wsp:rsid wsp:val=&quot;30AE03DF&quot;/&gt;&lt;wsp:rsid wsp:val=&quot;30AF33F6&quot;/&gt;&lt;wsp:rsid wsp:val=&quot;30B023A9&quot;/&gt;&lt;wsp:rsid wsp:val=&quot;30B26121&quot;/&gt;&lt;wsp:rsid wsp:val=&quot;30B654E5&quot;/&gt;&lt;wsp:rsid wsp:val=&quot;30B70C77&quot;/&gt;&lt;wsp:rsid wsp:val=&quot;30B85942&quot;/&gt;&lt;wsp:rsid wsp:val=&quot;30B860DB&quot;/&gt;&lt;wsp:rsid wsp:val=&quot;30B874AF&quot;/&gt;&lt;wsp:rsid wsp:val=&quot;30B87E4A&quot;/&gt;&lt;wsp:rsid wsp:val=&quot;30BA35CC&quot;/&gt;&lt;wsp:rsid wsp:val=&quot;30BC0D4E&quot;/&gt;&lt;wsp:rsid wsp:val=&quot;30BC5EEC&quot;/&gt;&lt;wsp:rsid wsp:val=&quot;30BE33DD&quot;/&gt;&lt;wsp:rsid wsp:val=&quot;30C23E8A&quot;/&gt;&lt;wsp:rsid wsp:val=&quot;30C40126&quot;/&gt;&lt;wsp:rsid wsp:val=&quot;30C419B0&quot;/&gt;&lt;wsp:rsid wsp:val=&quot;30C43B12&quot;/&gt;&lt;wsp:rsid wsp:val=&quot;30C5530F&quot;/&gt;&lt;wsp:rsid wsp:val=&quot;30C55B0E&quot;/&gt;&lt;wsp:rsid wsp:val=&quot;30C65728&quot;/&gt;&lt;wsp:rsid wsp:val=&quot;30C916BD&quot;/&gt;&lt;wsp:rsid wsp:val=&quot;30C9346B&quot;/&gt;&lt;wsp:rsid wsp:val=&quot;30C96FC7&quot;/&gt;&lt;wsp:rsid wsp:val=&quot;30CB0F91&quot;/&gt;&lt;wsp:rsid wsp:val=&quot;30CC4D09&quot;/&gt;&lt;wsp:rsid wsp:val=&quot;30CC6AB7&quot;/&gt;&lt;wsp:rsid wsp:val=&quot;30D0230B&quot;/&gt;&lt;wsp:rsid wsp:val=&quot;30D047F9&quot;/&gt;&lt;wsp:rsid wsp:val=&quot;30D065A7&quot;/&gt;&lt;wsp:rsid wsp:val=&quot;30D140CD&quot;/&gt;&lt;wsp:rsid wsp:val=&quot;30D20571&quot;/&gt;&lt;wsp:rsid wsp:val=&quot;30D342E9&quot;/&gt;&lt;wsp:rsid wsp:val=&quot;30D36097&quot;/&gt;&lt;wsp:rsid wsp:val=&quot;30D37E45&quot;/&gt;&lt;wsp:rsid wsp:val=&quot;30D50061&quot;/&gt;&lt;wsp:rsid wsp:val=&quot;30D77936&quot;/&gt;&lt;wsp:rsid wsp:val=&quot;30D8545C&quot;/&gt;&lt;wsp:rsid wsp:val=&quot;30DB6CFA&quot;/&gt;&lt;wsp:rsid wsp:val=&quot;30DD2A72&quot;/&gt;&lt;wsp:rsid wsp:val=&quot;30DD6966&quot;/&gt;&lt;wsp:rsid wsp:val=&quot;30DD6F16&quot;/&gt;&lt;wsp:rsid wsp:val=&quot;30DF67EA&quot;/&gt;&lt;wsp:rsid wsp:val=&quot;30E12562&quot;/&gt;&lt;wsp:rsid wsp:val=&quot;30E218A0&quot;/&gt;&lt;wsp:rsid wsp:val=&quot;30E262DA&quot;/&gt;&lt;wsp:rsid wsp:val=&quot;30E2642D&quot;/&gt;&lt;wsp:rsid wsp:val=&quot;30E3277E&quot;/&gt;&lt;wsp:rsid wsp:val=&quot;30E3452C&quot;/&gt;&lt;wsp:rsid wsp:val=&quot;30E6401D&quot;/&gt;&lt;wsp:rsid wsp:val=&quot;30E67B79&quot;/&gt;&lt;wsp:rsid wsp:val=&quot;30E81B43&quot;/&gt;&lt;wsp:rsid wsp:val=&quot;30E84DC0&quot;/&gt;&lt;wsp:rsid wsp:val=&quot;30E91417&quot;/&gt;&lt;wsp:rsid wsp:val=&quot;30E918A5&quot;/&gt;&lt;wsp:rsid wsp:val=&quot;30E94F09&quot;/&gt;&lt;wsp:rsid wsp:val=&quot;30E958BB&quot;/&gt;&lt;wsp:rsid wsp:val=&quot;30E97669&quot;/&gt;&lt;wsp:rsid wsp:val=&quot;30E97ADA&quot;/&gt;&lt;wsp:rsid wsp:val=&quot;30EA0F6A&quot;/&gt;&lt;wsp:rsid wsp:val=&quot;30EC0F07&quot;/&gt;&lt;wsp:rsid wsp:val=&quot;30ED53AB&quot;/&gt;&lt;wsp:rsid wsp:val=&quot;30EE01DF&quot;/&gt;&lt;wsp:rsid wsp:val=&quot;30EE4C7F&quot;/&gt;&lt;wsp:rsid wsp:val=&quot;30F009F7&quot;/&gt;&lt;wsp:rsid wsp:val=&quot;30F02036&quot;/&gt;&lt;wsp:rsid wsp:val=&quot;30F524B2&quot;/&gt;&lt;wsp:rsid wsp:val=&quot;30F5600E&quot;/&gt;&lt;wsp:rsid wsp:val=&quot;30F85AFE&quot;/&gt;&lt;wsp:rsid wsp:val=&quot;30F86B09&quot;/&gt;&lt;wsp:rsid wsp:val=&quot;30F93D50&quot;/&gt;&lt;wsp:rsid wsp:val=&quot;30F949FE&quot;/&gt;&lt;wsp:rsid wsp:val=&quot;30FA1876&quot;/&gt;&lt;wsp:rsid wsp:val=&quot;30FA7AC8&quot;/&gt;&lt;wsp:rsid wsp:val=&quot;30FC114A&quot;/&gt;&lt;wsp:rsid wsp:val=&quot;30FC55EE&quot;/&gt;&lt;wsp:rsid wsp:val=&quot;30FE3DE8&quot;/&gt;&lt;wsp:rsid wsp:val=&quot;30FF0C3A&quot;/&gt;&lt;wsp:rsid wsp:val=&quot;30FF1D00&quot;/&gt;&lt;wsp:rsid wsp:val=&quot;30FF50DE&quot;/&gt;&lt;wsp:rsid wsp:val=&quot;310149B3&quot;/&gt;&lt;wsp:rsid wsp:val=&quot;3102072B&quot;/&gt;&lt;wsp:rsid wsp:val=&quot;3103697D&quot;/&gt;&lt;wsp:rsid wsp:val=&quot;31036C3B&quot;/&gt;&lt;wsp:rsid wsp:val=&quot;310444A3&quot;/&gt;&lt;wsp:rsid wsp:val=&quot;31061FC9&quot;/&gt;&lt;wsp:rsid wsp:val=&quot;310712E0&quot;/&gt;&lt;wsp:rsid wsp:val=&quot;310821E5&quot;/&gt;&lt;wsp:rsid wsp:val=&quot;31091AB9&quot;/&gt;&lt;wsp:rsid wsp:val=&quot;31097D0B&quot;/&gt;&lt;wsp:rsid wsp:val=&quot;310D6ED5&quot;/&gt;&lt;wsp:rsid wsp:val=&quot;31102784&quot;/&gt;&lt;wsp:rsid wsp:val=&quot;31104BF6&quot;/&gt;&lt;wsp:rsid wsp:val=&quot;31115856&quot;/&gt;&lt;wsp:rsid wsp:val=&quot;31124E12&quot;/&gt;&lt;wsp:rsid wsp:val=&quot;31132938&quot;/&gt;&lt;wsp:rsid wsp:val=&quot;311346E6&quot;/&gt;&lt;wsp:rsid wsp:val=&quot;311566B0&quot;/&gt;&lt;wsp:rsid wsp:val=&quot;31165B12&quot;/&gt;&lt;wsp:rsid wsp:val=&quot;31175F84&quot;/&gt;&lt;wsp:rsid wsp:val=&quot;31177F87&quot;/&gt;&lt;wsp:rsid wsp:val=&quot;31182B58&quot;/&gt;&lt;wsp:rsid wsp:val=&quot;311A1F18&quot;/&gt;&lt;wsp:rsid wsp:val=&quot;311A3CC6&quot;/&gt;&lt;wsp:rsid wsp:val=&quot;311B5125&quot;/&gt;&lt;wsp:rsid wsp:val=&quot;311B7D98&quot;/&gt;&lt;wsp:rsid wsp:val=&quot;311C17EC&quot;/&gt;&lt;wsp:rsid wsp:val=&quot;311C7A3E&quot;/&gt;&lt;wsp:rsid wsp:val=&quot;311D7312&quot;/&gt;&lt;wsp:rsid wsp:val=&quot;311E2ED7&quot;/&gt;&lt;wsp:rsid wsp:val=&quot;311F308B&quot;/&gt;&lt;wsp:rsid wsp:val=&quot;31200A1B&quot;/&gt;&lt;wsp:rsid wsp:val=&quot;31210BB1&quot;/&gt;&lt;wsp:rsid wsp:val=&quot;31226909&quot;/&gt;&lt;wsp:rsid wsp:val=&quot;31230DCD&quot;/&gt;&lt;wsp:rsid wsp:val=&quot;312468F3&quot;/&gt;&lt;wsp:rsid wsp:val=&quot;31271F3F&quot;/&gt;&lt;wsp:rsid wsp:val=&quot;31280191&quot;/&gt;&lt;wsp:rsid wsp:val=&quot;3129239C&quot;/&gt;&lt;wsp:rsid wsp:val=&quot;312A215B&quot;/&gt;&lt;wsp:rsid wsp:val=&quot;312B4CBC&quot;/&gt;&lt;wsp:rsid wsp:val=&quot;312B5ED3&quot;/&gt;&lt;wsp:rsid wsp:val=&quot;312E4039&quot;/&gt;&lt;wsp:rsid wsp:val=&quot;312F2BA5&quot;/&gt;&lt;wsp:rsid wsp:val=&quot;31307046&quot;/&gt;&lt;wsp:rsid wsp:val=&quot;31311AD6&quot;/&gt;&lt;wsp:rsid wsp:val=&quot;31327262&quot;/&gt;&lt;wsp:rsid wsp:val=&quot;313308E4&quot;/&gt;&lt;wsp:rsid wsp:val=&quot;313316FE&quot;/&gt;&lt;wsp:rsid wsp:val=&quot;31342FDA&quot;/&gt;&lt;wsp:rsid wsp:val=&quot;31350B00&quot;/&gt;&lt;wsp:rsid wsp:val=&quot;313624B6&quot;/&gt;&lt;wsp:rsid wsp:val=&quot;31374878&quot;/&gt;&lt;wsp:rsid wsp:val=&quot;313A7EC4&quot;/&gt;&lt;wsp:rsid wsp:val=&quot;313C1E8F&quot;/&gt;&lt;wsp:rsid wsp:val=&quot;313C59EB&quot;/&gt;&lt;wsp:rsid wsp:val=&quot;313F34CE&quot;/&gt;&lt;wsp:rsid wsp:val=&quot;313F372D&quot;/&gt;&lt;wsp:rsid wsp:val=&quot;31411253&quot;/&gt;&lt;wsp:rsid wsp:val=&quot;31434FCB&quot;/&gt;&lt;wsp:rsid wsp:val=&quot;31442AF1&quot;/&gt;&lt;wsp:rsid wsp:val=&quot;31473867&quot;/&gt;&lt;wsp:rsid wsp:val=&quot;31480833&quot;/&gt;&lt;wsp:rsid wsp:val=&quot;31496359&quot;/&gt;&lt;wsp:rsid wsp:val=&quot;314A04F0&quot;/&gt;&lt;wsp:rsid wsp:val=&quot;314A45AB&quot;/&gt;&lt;wsp:rsid wsp:val=&quot;314B303F&quot;/&gt;&lt;wsp:rsid wsp:val=&quot;314B3E80&quot;/&gt;&lt;wsp:rsid wsp:val=&quot;31503085&quot;/&gt;&lt;wsp:rsid wsp:val=&quot;3150593A&quot;/&gt;&lt;wsp:rsid wsp:val=&quot;315216B2&quot;/&gt;&lt;wsp:rsid wsp:val=&quot;31530A22&quot;/&gt;&lt;wsp:rsid wsp:val=&quot;31533EC8&quot;/&gt;&lt;wsp:rsid wsp:val=&quot;315409BD&quot;/&gt;&lt;wsp:rsid wsp:val=&quot;31540F86&quot;/&gt;&lt;wsp:rsid wsp:val=&quot;315419A0&quot;/&gt;&lt;wsp:rsid wsp:val=&quot;315471D8&quot;/&gt;&lt;wsp:rsid wsp:val=&quot;31554CFE&quot;/&gt;&lt;wsp:rsid wsp:val=&quot;315619EE&quot;/&gt;&lt;wsp:rsid wsp:val=&quot;31570A76&quot;/&gt;&lt;wsp:rsid wsp:val=&quot;3157541A&quot;/&gt;&lt;wsp:rsid wsp:val=&quot;31592A40&quot;/&gt;&lt;wsp:rsid wsp:val=&quot;31597D3A&quot;/&gt;&lt;wsp:rsid wsp:val=&quot;315A2315&quot;/&gt;&lt;wsp:rsid wsp:val=&quot;315A40C3&quot;/&gt;&lt;wsp:rsid wsp:val=&quot;315C42DF&quot;/&gt;&lt;wsp:rsid wsp:val=&quot;315C449C&quot;/&gt;&lt;wsp:rsid wsp:val=&quot;315C608D&quot;/&gt;&lt;wsp:rsid wsp:val=&quot;315D71B8&quot;/&gt;&lt;wsp:rsid wsp:val=&quot;316255FD&quot;/&gt;&lt;wsp:rsid wsp:val=&quot;31644F41&quot;/&gt;&lt;wsp:rsid wsp:val=&quot;31650EAE&quot;/&gt;&lt;wsp:rsid wsp:val=&quot;316521F1&quot;/&gt;&lt;wsp:rsid wsp:val=&quot;31653193&quot;/&gt;&lt;wsp:rsid wsp:val=&quot;31660129&quot;/&gt;&lt;wsp:rsid wsp:val=&quot;31660CB9&quot;/&gt;&lt;wsp:rsid wsp:val=&quot;31662A68&quot;/&gt;&lt;wsp:rsid wsp:val=&quot;3166515D&quot;/&gt;&lt;wsp:rsid wsp:val=&quot;316737CE&quot;/&gt;&lt;wsp:rsid wsp:val=&quot;316B214F&quot;/&gt;&lt;wsp:rsid wsp:val=&quot;316B4522&quot;/&gt;&lt;wsp:rsid wsp:val=&quot;316B62D0&quot;/&gt;&lt;wsp:rsid wsp:val=&quot;316D2048&quot;/&gt;&lt;wsp:rsid wsp:val=&quot;316D3DF6&quot;/&gt;&lt;wsp:rsid wsp:val=&quot;316F7181&quot;/&gt;&lt;wsp:rsid wsp:val=&quot;31701B38&quot;/&gt;&lt;wsp:rsid wsp:val=&quot;317038E6&quot;/&gt;&lt;wsp:rsid wsp:val=&quot;31704B31&quot;/&gt;&lt;wsp:rsid wsp:val=&quot;31753B49&quot;/&gt;&lt;wsp:rsid wsp:val=&quot;31771119&quot;/&gt;&lt;wsp:rsid wsp:val=&quot;3179279B&quot;/&gt;&lt;wsp:rsid wsp:val=&quot;31796C3F&quot;/&gt;&lt;wsp:rsid wsp:val=&quot;317A6513&quot;/&gt;&lt;wsp:rsid wsp:val=&quot;317C5CA4&quot;/&gt;&lt;wsp:rsid wsp:val=&quot;317D0ABA&quot;/&gt;&lt;wsp:rsid wsp:val=&quot;317F1D7B&quot;/&gt;&lt;wsp:rsid wsp:val=&quot;317F3195&quot;/&gt;&lt;wsp:rsid wsp:val=&quot;317F3B29&quot;/&gt;&lt;wsp:rsid wsp:val=&quot;31803DAC&quot;/&gt;&lt;wsp:rsid wsp:val=&quot;31853836&quot;/&gt;&lt;wsp:rsid wsp:val=&quot;3186310A&quot;/&gt;&lt;wsp:rsid wsp:val=&quot;31864EB8&quot;/&gt;&lt;wsp:rsid wsp:val=&quot;31866D56&quot;/&gt;&lt;wsp:rsid wsp:val=&quot;31874330&quot;/&gt;&lt;wsp:rsid wsp:val=&quot;318956D7&quot;/&gt;&lt;wsp:rsid wsp:val=&quot;318D26EA&quot;/&gt;&lt;wsp:rsid wsp:val=&quot;318E5A74&quot;/&gt;&lt;wsp:rsid wsp:val=&quot;319066C4&quot;/&gt;&lt;wsp:rsid wsp:val=&quot;31943A79&quot;/&gt;&lt;wsp:rsid wsp:val=&quot;31966E5D&quot;/&gt;&lt;wsp:rsid wsp:val=&quot;31967CDB&quot;/&gt;&lt;wsp:rsid wsp:val=&quot;31983D3C&quot;/&gt;&lt;wsp:rsid wsp:val=&quot;319C292D&quot;/&gt;&lt;wsp:rsid wsp:val=&quot;319C46DB&quot;/&gt;&lt;wsp:rsid wsp:val=&quot;319C528E&quot;/&gt;&lt;wsp:rsid wsp:val=&quot;319E0453&quot;/&gt;&lt;wsp:rsid wsp:val=&quot;319E6025&quot;/&gt;&lt;wsp:rsid wsp:val=&quot;319F103E&quot;/&gt;&lt;wsp:rsid wsp:val=&quot;31A135F7&quot;/&gt;&lt;wsp:rsid wsp:val=&quot;31A55C86&quot;/&gt;&lt;wsp:rsid wsp:val=&quot;31A57A34&quot;/&gt;&lt;wsp:rsid wsp:val=&quot;31A67308&quot;/&gt;&lt;wsp:rsid wsp:val=&quot;31A737AC&quot;/&gt;&lt;wsp:rsid wsp:val=&quot;31A83080&quot;/&gt;&lt;wsp:rsid wsp:val=&quot;31A91211&quot;/&gt;&lt;wsp:rsid wsp:val=&quot;31AA329C&quot;/&gt;&lt;wsp:rsid wsp:val=&quot;31AA504A&quot;/&gt;&lt;wsp:rsid wsp:val=&quot;31AB2B70&quot;/&gt;&lt;wsp:rsid wsp:val=&quot;31AC5F47&quot;/&gt;&lt;wsp:rsid wsp:val=&quot;31AD68E8&quot;/&gt;&lt;wsp:rsid wsp:val=&quot;31AD77A6&quot;/&gt;&lt;wsp:rsid wsp:val=&quot;31AE385F&quot;/&gt;&lt;wsp:rsid wsp:val=&quot;31AF2660&quot;/&gt;&lt;wsp:rsid wsp:val=&quot;31AF440F&quot;/&gt;&lt;wsp:rsid wsp:val=&quot;31B00187&quot;/&gt;&lt;wsp:rsid wsp:val=&quot;31B163D9&quot;/&gt;&lt;wsp:rsid wsp:val=&quot;31B22151&quot;/&gt;&lt;wsp:rsid wsp:val=&quot;31B25CAD&quot;/&gt;&lt;wsp:rsid wsp:val=&quot;31B732C3&quot;/&gt;&lt;wsp:rsid wsp:val=&quot;31B8181D&quot;/&gt;&lt;wsp:rsid wsp:val=&quot;31B82709&quot;/&gt;&lt;wsp:rsid wsp:val=&quot;31B859B9&quot;/&gt;&lt;wsp:rsid wsp:val=&quot;31B867A1&quot;/&gt;&lt;wsp:rsid wsp:val=&quot;31B9528D&quot;/&gt;&lt;wsp:rsid wsp:val=&quot;31B9703B&quot;/&gt;&lt;wsp:rsid wsp:val=&quot;31BC3137&quot;/&gt;&lt;wsp:rsid wsp:val=&quot;31BD655C&quot;/&gt;&lt;wsp:rsid wsp:val=&quot;31BE7043&quot;/&gt;&lt;wsp:rsid wsp:val=&quot;31BF1AB8&quot;/&gt;&lt;wsp:rsid wsp:val=&quot;31C272B4&quot;/&gt;&lt;wsp:rsid wsp:val=&quot;31C27D50&quot;/&gt;&lt;wsp:rsid wsp:val=&quot;31C31505&quot;/&gt;&lt;wsp:rsid wsp:val=&quot;31C3435E&quot;/&gt;&lt;wsp:rsid wsp:val=&quot;31C51E84&quot;/&gt;&lt;wsp:rsid wsp:val=&quot;31C679AA&quot;/&gt;&lt;wsp:rsid wsp:val=&quot;31C75BFC&quot;/&gt;&lt;wsp:rsid wsp:val=&quot;31CA1248&quot;/&gt;&lt;wsp:rsid wsp:val=&quot;31CC3212&quot;/&gt;&lt;wsp:rsid wsp:val=&quot;31CD2AE7&quot;/&gt;&lt;wsp:rsid wsp:val=&quot;31CD6F8B&quot;/&gt;&lt;wsp:rsid wsp:val=&quot;31CF4AB1&quot;/&gt;&lt;wsp:rsid wsp:val=&quot;31CF71ED&quot;/&gt;&lt;wsp:rsid wsp:val=&quot;31D04385&quot;/&gt;&lt;wsp:rsid wsp:val=&quot;31D05482&quot;/&gt;&lt;wsp:rsid wsp:val=&quot;31D07E6C&quot;/&gt;&lt;wsp:rsid wsp:val=&quot;31D245A1&quot;/&gt;&lt;wsp:rsid wsp:val=&quot;31D64091&quot;/&gt;&lt;wsp:rsid wsp:val=&quot;31D9148B&quot;/&gt;&lt;wsp:rsid wsp:val=&quot;31DA66C0&quot;/&gt;&lt;wsp:rsid wsp:val=&quot;31DC0F7C&quot;/&gt;&lt;wsp:rsid wsp:val=&quot;31DD5420&quot;/&gt;&lt;wsp:rsid wsp:val=&quot;31DE2F46&quot;/&gt;&lt;wsp:rsid wsp:val=&quot;31E139C2&quot;/&gt;&lt;wsp:rsid wsp:val=&quot;31E16592&quot;/&gt;&lt;wsp:rsid wsp:val=&quot;31E22A36&quot;/&gt;&lt;wsp:rsid wsp:val=&quot;31E3230A&quot;/&gt;&lt;wsp:rsid wsp:val=&quot;31E653D6&quot;/&gt;&lt;wsp:rsid wsp:val=&quot;31E87920&quot;/&gt;&lt;wsp:rsid wsp:val=&quot;31EA35E4&quot;/&gt;&lt;wsp:rsid wsp:val=&quot;31EE089B&quot;/&gt;&lt;wsp:rsid wsp:val=&quot;31EE4B36&quot;/&gt;&lt;wsp:rsid wsp:val=&quot;31EF5153&quot;/&gt;&lt;wsp:rsid wsp:val=&quot;31F14A27&quot;/&gt;&lt;wsp:rsid wsp:val=&quot;31F167D5&quot;/&gt;&lt;wsp:rsid wsp:val=&quot;31F2254D&quot;/&gt;&lt;wsp:rsid wsp:val=&quot;31F369F1&quot;/&gt;&lt;wsp:rsid wsp:val=&quot;31F43B9D&quot;/&gt;&lt;wsp:rsid wsp:val=&quot;31F6203D&quot;/&gt;&lt;wsp:rsid wsp:val=&quot;31F75DB5&quot;/&gt;&lt;wsp:rsid wsp:val=&quot;31F84007&quot;/&gt;&lt;wsp:rsid wsp:val=&quot;31F97D80&quot;/&gt;&lt;wsp:rsid wsp:val=&quot;31FA30D9&quot;/&gt;&lt;wsp:rsid wsp:val=&quot;31FB08BE&quot;/&gt;&lt;wsp:rsid wsp:val=&quot;31FB0B7D&quot;/&gt;&lt;wsp:rsid wsp:val=&quot;31FB3AF8&quot;/&gt;&lt;wsp:rsid wsp:val=&quot;31FD161E&quot;/&gt;&lt;wsp:rsid wsp:val=&quot;31FE7144&quot;/&gt;&lt;wsp:rsid wsp:val=&quot;32004C6A&quot;/&gt;&lt;wsp:rsid wsp:val=&quot;32010381&quot;/&gt;&lt;wsp:rsid wsp:val=&quot;320209E2&quot;/&gt;&lt;wsp:rsid wsp:val=&quot;32022CFB&quot;/&gt;&lt;wsp:rsid wsp:val=&quot;32026C34&quot;/&gt;&lt;wsp:rsid wsp:val=&quot;32061EAF&quot;/&gt;&lt;wsp:rsid wsp:val=&quot;3207424B&quot;/&gt;&lt;wsp:rsid wsp:val=&quot;320960CA&quot;/&gt;&lt;wsp:rsid wsp:val=&quot;320A70C6&quot;/&gt;&lt;wsp:rsid wsp:val=&quot;320C1861&quot;/&gt;&lt;wsp:rsid wsp:val=&quot;320C697E&quot;/&gt;&lt;wsp:rsid wsp:val=&quot;320D1CB4&quot;/&gt;&lt;wsp:rsid wsp:val=&quot;320F27B6&quot;/&gt;&lt;wsp:rsid wsp:val=&quot;32116E77&quot;/&gt;&lt;wsp:rsid wsp:val=&quot;321227F0&quot;/&gt;&lt;wsp:rsid wsp:val=&quot;32132BEF&quot;/&gt;&lt;wsp:rsid wsp:val=&quot;32133BAD&quot;/&gt;&lt;wsp:rsid wsp:val=&quot;3216448E&quot;/&gt;&lt;wsp:rsid wsp:val=&quot;32170C86&quot;/&gt;&lt;wsp:rsid wsp:val=&quot;321859F5&quot;/&gt;&lt;wsp:rsid wsp:val=&quot;32186458&quot;/&gt;&lt;wsp:rsid wsp:val=&quot;321A5A83&quot;/&gt;&lt;wsp:rsid wsp:val=&quot;321B5F48&quot;/&gt;&lt;wsp:rsid wsp:val=&quot;321B7CF6&quot;/&gt;&lt;wsp:rsid wsp:val=&quot;321D3A6E&quot;/&gt;&lt;wsp:rsid wsp:val=&quot;321F09AA&quot;/&gt;&lt;wsp:rsid wsp:val=&quot;322070BA&quot;/&gt;&lt;wsp:rsid wsp:val=&quot;322272D6&quot;/&gt;&lt;wsp:rsid wsp:val=&quot;32244DFC&quot;/&gt;&lt;wsp:rsid wsp:val=&quot;32250B75&quot;/&gt;&lt;wsp:rsid wsp:val=&quot;3227483B&quot;/&gt;&lt;wsp:rsid wsp:val=&quot;322748ED&quot;/&gt;&lt;wsp:rsid wsp:val=&quot;32290665&quot;/&gt;&lt;wsp:rsid wsp:val=&quot;322A1CE7&quot;/&gt;&lt;wsp:rsid wsp:val=&quot;322A7F39&quot;/&gt;&lt;wsp:rsid wsp:val=&quot;322B1F07&quot;/&gt;&lt;wsp:rsid wsp:val=&quot;322C1F03&quot;/&gt;&lt;wsp:rsid wsp:val=&quot;322C3CB1&quot;/&gt;&lt;wsp:rsid wsp:val=&quot;322C5A5F&quot;/&gt;&lt;wsp:rsid wsp:val=&quot;322E5C09&quot;/&gt;&lt;wsp:rsid wsp:val=&quot;322E5C7B&quot;/&gt;&lt;wsp:rsid wsp:val=&quot;322E7A29&quot;/&gt;&lt;wsp:rsid wsp:val=&quot;322F1F88&quot;/&gt;&lt;wsp:rsid wsp:val=&quot;323112C7&quot;/&gt;&lt;wsp:rsid wsp:val=&quot;32317519&quot;/&gt;&lt;wsp:rsid wsp:val=&quot;32333292&quot;/&gt;&lt;wsp:rsid wsp:val=&quot;323365A6&quot;/&gt;&lt;wsp:rsid wsp:val=&quot;3234700A&quot;/&gt;&lt;wsp:rsid wsp:val=&quot;32353BD1&quot;/&gt;&lt;wsp:rsid wsp:val=&quot;3236068C&quot;/&gt;&lt;wsp:rsid wsp:val=&quot;323808A8&quot;/&gt;&lt;wsp:rsid wsp:val=&quot;323A1AE2&quot;/&gt;&lt;wsp:rsid wsp:val=&quot;323B0398&quot;/&gt;&lt;wsp:rsid wsp:val=&quot;323B2146&quot;/&gt;&lt;wsp:rsid wsp:val=&quot;323B45CD&quot;/&gt;&lt;wsp:rsid wsp:val=&quot;323D7C6C&quot;/&gt;&lt;wsp:rsid wsp:val=&quot;323E39E4&quot;/&gt;&lt;wsp:rsid wsp:val=&quot;323F1C36&quot;/&gt;&lt;wsp:rsid wsp:val=&quot;32400B34&quot;/&gt;&lt;wsp:rsid wsp:val=&quot;3240150B&quot;/&gt;&lt;wsp:rsid wsp:val=&quot;3240775C&quot;/&gt;&lt;wsp:rsid wsp:val=&quot;32427031&quot;/&gt;&lt;wsp:rsid wsp:val=&quot;324541CB&quot;/&gt;&lt;wsp:rsid wsp:val=&quot;32456B21&quot;/&gt;&lt;wsp:rsid wsp:val=&quot;324845D6&quot;/&gt;&lt;wsp:rsid wsp:val=&quot;32496611&quot;/&gt;&lt;wsp:rsid wsp:val=&quot;324A05DB&quot;/&gt;&lt;wsp:rsid wsp:val=&quot;324A2389&quot;/&gt;&lt;wsp:rsid wsp:val=&quot;324D2CF5&quot;/&gt;&lt;wsp:rsid wsp:val=&quot;324E1D3A&quot;/&gt;&lt;wsp:rsid wsp:val=&quot;324E3C27&quot;/&gt;&lt;wsp:rsid wsp:val=&quot;32513718&quot;/&gt;&lt;wsp:rsid wsp:val=&quot;32536FBE&quot;/&gt;&lt;wsp:rsid wsp:val=&quot;32537490&quot;/&gt;&lt;wsp:rsid wsp:val=&quot;32543208&quot;/&gt;&lt;wsp:rsid wsp:val=&quot;32544FB6&quot;/&gt;&lt;wsp:rsid wsp:val=&quot;32546D64&quot;/&gt;&lt;wsp:rsid wsp:val=&quot;3256215C&quot;/&gt;&lt;wsp:rsid wsp:val=&quot;32566F80&quot;/&gt;&lt;wsp:rsid wsp:val=&quot;325717F3&quot;/&gt;&lt;wsp:rsid wsp:val=&quot;325B4596&quot;/&gt;&lt;wsp:rsid wsp:val=&quot;325D20BC&quot;/&gt;&lt;wsp:rsid wsp:val=&quot;326150E4&quot;/&gt;&lt;wsp:rsid wsp:val=&quot;326162E8&quot;/&gt;&lt;wsp:rsid wsp:val=&quot;32617E42&quot;/&gt;&lt;wsp:rsid wsp:val=&quot;32621481&quot;/&gt;&lt;wsp:rsid wsp:val=&quot;32622D33&quot;/&gt;&lt;wsp:rsid wsp:val=&quot;32625925&quot;/&gt;&lt;wsp:rsid wsp:val=&quot;32630FC4&quot;/&gt;&lt;wsp:rsid wsp:val=&quot;3263498F&quot;/&gt;&lt;wsp:rsid wsp:val=&quot;3264344B&quot;/&gt;&lt;wsp:rsid wsp:val=&quot;32655415&quot;/&gt;&lt;wsp:rsid wsp:val=&quot;326571C3&quot;/&gt;&lt;wsp:rsid wsp:val=&quot;32696CB3&quot;/&gt;&lt;wsp:rsid wsp:val=&quot;326A6587&quot;/&gt;&lt;wsp:rsid wsp:val=&quot;326B00AC&quot;/&gt;&lt;wsp:rsid wsp:val=&quot;326E42CA&quot;/&gt;&lt;wsp:rsid wsp:val=&quot;326E7E26&quot;/&gt;&lt;wsp:rsid wsp:val=&quot;326F3B9E&quot;/&gt;&lt;wsp:rsid wsp:val=&quot;32700F83&quot;/&gt;&lt;wsp:rsid wsp:val=&quot;32701D7C&quot;/&gt;&lt;wsp:rsid wsp:val=&quot;32715B68&quot;/&gt;&lt;wsp:rsid wsp:val=&quot;32717916&quot;/&gt;&lt;wsp:rsid wsp:val=&quot;32735E3B&quot;/&gt;&lt;wsp:rsid wsp:val=&quot;32764F2C&quot;/&gt;&lt;wsp:rsid wsp:val=&quot;32780935&quot;/&gt;&lt;wsp:rsid wsp:val=&quot;3278199E&quot;/&gt;&lt;wsp:rsid wsp:val=&quot;32786EF6&quot;/&gt;&lt;wsp:rsid wsp:val=&quot;32794A1C&quot;/&gt;&lt;wsp:rsid wsp:val=&quot;327A0EC0&quot;/&gt;&lt;wsp:rsid wsp:val=&quot;327A2C6E&quot;/&gt;&lt;wsp:rsid wsp:val=&quot;327B0795&quot;/&gt;&lt;wsp:rsid wsp:val=&quot;327B2096&quot;/&gt;&lt;wsp:rsid wsp:val=&quot;327B2543&quot;/&gt;&lt;wsp:rsid wsp:val=&quot;327C031F&quot;/&gt;&lt;wsp:rsid wsp:val=&quot;327C2EF0&quot;/&gt;&lt;wsp:rsid wsp:val=&quot;327D37D4&quot;/&gt;&lt;wsp:rsid wsp:val=&quot;327D62BB&quot;/&gt;&lt;wsp:rsid wsp:val=&quot;327D63F4&quot;/&gt;&lt;wsp:rsid wsp:val=&quot;327E018E&quot;/&gt;&lt;wsp:rsid wsp:val=&quot;327F0285&quot;/&gt;&lt;wsp:rsid wsp:val=&quot;32803FFD&quot;/&gt;&lt;wsp:rsid wsp:val=&quot;328210D9&quot;/&gt;&lt;wsp:rsid wsp:val=&quot;32821B23&quot;/&gt;&lt;wsp:rsid wsp:val=&quot;328238D1&quot;/&gt;&lt;wsp:rsid wsp:val=&quot;32841682&quot;/&gt;&lt;wsp:rsid wsp:val=&quot;32847649&quot;/&gt;&lt;wsp:rsid wsp:val=&quot;32870EE7&quot;/&gt;&lt;wsp:rsid wsp:val=&quot;32875432&quot;/&gt;&lt;wsp:rsid wsp:val=&quot;328E3BC4&quot;/&gt;&lt;wsp:rsid wsp:val=&quot;328F43F1&quot;/&gt;&lt;wsp:rsid wsp:val=&quot;328F5FEE&quot;/&gt;&lt;wsp:rsid wsp:val=&quot;32902492&quot;/&gt;&lt;wsp:rsid wsp:val=&quot;32911D66&quot;/&gt;&lt;wsp:rsid wsp:val=&quot;3291620A&quot;/&gt;&lt;wsp:rsid wsp:val=&quot;32917FB8&quot;/&gt;&lt;wsp:rsid wsp:val=&quot;32935A2E&quot;/&gt;&lt;wsp:rsid wsp:val=&quot;32935ADE&quot;/&gt;&lt;wsp:rsid wsp:val=&quot;32957AA8&quot;/&gt;&lt;wsp:rsid wsp:val=&quot;329655CE&quot;/&gt;&lt;wsp:rsid wsp:val=&quot;32981347&quot;/&gt;&lt;wsp:rsid wsp:val=&quot;329A4CFF&quot;/&gt;&lt;wsp:rsid wsp:val=&quot;329D070B&quot;/&gt;&lt;wsp:rsid wsp:val=&quot;329E6876&quot;/&gt;&lt;wsp:rsid wsp:val=&quot;329F26D5&quot;/&gt;&lt;wsp:rsid wsp:val=&quot;329F4483&quot;/&gt;&lt;wsp:rsid wsp:val=&quot;32A221C5&quot;/&gt;&lt;wsp:rsid wsp:val=&quot;32A23F73&quot;/&gt;&lt;wsp:rsid wsp:val=&quot;32A777DC&quot;/&gt;&lt;wsp:rsid wsp:val=&quot;32A93554&quot;/&gt;&lt;wsp:rsid wsp:val=&quot;32A95302&quot;/&gt;&lt;wsp:rsid wsp:val=&quot;32A970B0&quot;/&gt;&lt;wsp:rsid wsp:val=&quot;32A97B09&quot;/&gt;&lt;wsp:rsid wsp:val=&quot;32AB107A&quot;/&gt;&lt;wsp:rsid wsp:val=&quot;32AB72CC&quot;/&gt;&lt;wsp:rsid wsp:val=&quot;32AC094E&quot;/&gt;&lt;wsp:rsid wsp:val=&quot;32AD73EA&quot;/&gt;&lt;wsp:rsid wsp:val=&quot;32B048E2&quot;/&gt;&lt;wsp:rsid wsp:val=&quot;32B141B6&quot;/&gt;&lt;wsp:rsid wsp:val=&quot;32B31CDC&quot;/&gt;&lt;wsp:rsid wsp:val=&quot;32B35B90&quot;/&gt;&lt;wsp:rsid wsp:val=&quot;32B37F2E&quot;/&gt;&lt;wsp:rsid wsp:val=&quot;32B47B52&quot;/&gt;&lt;wsp:rsid wsp:val=&quot;32B53CA7&quot;/&gt;&lt;wsp:rsid wsp:val=&quot;32B67A1F&quot;/&gt;&lt;wsp:rsid wsp:val=&quot;32B8116A&quot;/&gt;&lt;wsp:rsid wsp:val=&quot;32B85545&quot;/&gt;&lt;wsp:rsid wsp:val=&quot;32B86E31&quot;/&gt;&lt;wsp:rsid wsp:val=&quot;32BA1751&quot;/&gt;&lt;wsp:rsid wsp:val=&quot;32BB6DE3&quot;/&gt;&lt;wsp:rsid wsp:val=&quot;32BD2B5B&quot;/&gt;&lt;wsp:rsid wsp:val=&quot;32BF0681&quot;/&gt;&lt;wsp:rsid wsp:val=&quot;32C043F9&quot;/&gt;&lt;wsp:rsid wsp:val=&quot;32C073EC&quot;/&gt;&lt;wsp:rsid wsp:val=&quot;32C12BB8&quot;/&gt;&lt;wsp:rsid wsp:val=&quot;32C51A10&quot;/&gt;&lt;wsp:rsid wsp:val=&quot;32C65507&quot;/&gt;&lt;wsp:rsid wsp:val=&quot;32C65EB4&quot;/&gt;&lt;wsp:rsid wsp:val=&quot;32C75788&quot;/&gt;&lt;wsp:rsid wsp:val=&quot;32C959A4&quot;/&gt;&lt;wsp:rsid wsp:val=&quot;32C97752&quot;/&gt;&lt;wsp:rsid wsp:val=&quot;32CA1246&quot;/&gt;&lt;wsp:rsid wsp:val=&quot;32CB5278&quot;/&gt;&lt;wsp:rsid wsp:val=&quot;32CD3EEF&quot;/&gt;&lt;wsp:rsid wsp:val=&quot;32D00AE0&quot;/&gt;&lt;wsp:rsid wsp:val=&quot;32D00F65&quot;/&gt;&lt;wsp:rsid wsp:val=&quot;32D020E4&quot;/&gt;&lt;wsp:rsid wsp:val=&quot;32D103B5&quot;/&gt;&lt;wsp:rsid wsp:val=&quot;32D22AAA&quot;/&gt;&lt;wsp:rsid wsp:val=&quot;32D3237F&quot;/&gt;&lt;wsp:rsid wsp:val=&quot;32D33A39&quot;/&gt;&lt;wsp:rsid wsp:val=&quot;32D3412D&quot;/&gt;&lt;wsp:rsid wsp:val=&quot;32D50A2F&quot;/&gt;&lt;wsp:rsid wsp:val=&quot;32D54F54&quot;/&gt;&lt;wsp:rsid wsp:val=&quot;32D560F7&quot;/&gt;&lt;wsp:rsid wsp:val=&quot;32D61E6F&quot;/&gt;&lt;wsp:rsid wsp:val=&quot;32D64894&quot;/&gt;&lt;wsp:rsid wsp:val=&quot;32D87995&quot;/&gt;&lt;wsp:rsid wsp:val=&quot;32D978AB&quot;/&gt;&lt;wsp:rsid wsp:val=&quot;32DA370D&quot;/&gt;&lt;wsp:rsid wsp:val=&quot;32DC622C&quot;/&gt;&lt;wsp:rsid wsp:val=&quot;32DC7485&quot;/&gt;&lt;wsp:rsid wsp:val=&quot;32DC7BA4&quot;/&gt;&lt;wsp:rsid wsp:val=&quot;32DD4FAB&quot;/&gt;&lt;wsp:rsid wsp:val=&quot;32DD69CE&quot;/&gt;&lt;wsp:rsid wsp:val=&quot;32DF0D23&quot;/&gt;&lt;wsp:rsid wsp:val=&quot;32DF371D&quot;/&gt;&lt;wsp:rsid wsp:val=&quot;32E14A9C&quot;/&gt;&lt;wsp:rsid wsp:val=&quot;32E20814&quot;/&gt;&lt;wsp:rsid wsp:val=&quot;32E34B0D&quot;/&gt;&lt;wsp:rsid wsp:val=&quot;32E4458C&quot;/&gt;&lt;wsp:rsid wsp:val=&quot;32E60304&quot;/&gt;&lt;wsp:rsid wsp:val=&quot;32E620B2&quot;/&gt;&lt;wsp:rsid wsp:val=&quot;32E77BD8&quot;/&gt;&lt;wsp:rsid wsp:val=&quot;32EB1CC0&quot;/&gt;&lt;wsp:rsid wsp:val=&quot;32EB3B6C&quot;/&gt;&lt;wsp:rsid wsp:val=&quot;32EB76C8&quot;/&gt;&lt;wsp:rsid wsp:val=&quot;32EC3440&quot;/&gt;&lt;wsp:rsid wsp:val=&quot;32EC51EE&quot;/&gt;&lt;wsp:rsid wsp:val=&quot;32EE71B8&quot;/&gt;&lt;wsp:rsid wsp:val=&quot;32EF5865&quot;/&gt;&lt;wsp:rsid wsp:val=&quot;32F02F31&quot;/&gt;&lt;wsp:rsid wsp:val=&quot;32F12805&quot;/&gt;&lt;wsp:rsid wsp:val=&quot;32F15B31&quot;/&gt;&lt;wsp:rsid wsp:val=&quot;32F26CA9&quot;/&gt;&lt;wsp:rsid wsp:val=&quot;32F43417&quot;/&gt;&lt;wsp:rsid wsp:val=&quot;32F50547&quot;/&gt;&lt;wsp:rsid wsp:val=&quot;32F6606D&quot;/&gt;&lt;wsp:rsid wsp:val=&quot;32F66DD2&quot;/&gt;&lt;wsp:rsid wsp:val=&quot;32F95AD3&quot;/&gt;&lt;wsp:rsid wsp:val=&quot;32FA3DAF&quot;/&gt;&lt;wsp:rsid wsp:val=&quot;32FB467E&quot;/&gt;&lt;wsp:rsid wsp:val=&quot;32FC18D5&quot;/&gt;&lt;wsp:rsid wsp:val=&quot;32FD05B3&quot;/&gt;&lt;wsp:rsid wsp:val=&quot;32FE0135&quot;/&gt;&lt;wsp:rsid wsp:val=&quot;32FF13C6&quot;/&gt;&lt;wsp:rsid wsp:val=&quot;32FF69F4&quot;/&gt;&lt;wsp:rsid wsp:val=&quot;3300527E&quot;/&gt;&lt;wsp:rsid wsp:val=&quot;3300608A&quot;/&gt;&lt;wsp:rsid wsp:val=&quot;330144FD&quot;/&gt;&lt;wsp:rsid wsp:val=&quot;3301513E&quot;/&gt;&lt;wsp:rsid wsp:val=&quot;33016EEC&quot;/&gt;&lt;wsp:rsid wsp:val=&quot;33022C64&quot;/&gt;&lt;wsp:rsid wsp:val=&quot;33024A12&quot;/&gt;&lt;wsp:rsid wsp:val=&quot;33027F46&quot;/&gt;&lt;wsp:rsid wsp:val=&quot;33055437&quot;/&gt;&lt;wsp:rsid wsp:val=&quot;33063E70&quot;/&gt;&lt;wsp:rsid wsp:val=&quot;33072028&quot;/&gt;&lt;wsp:rsid wsp:val=&quot;33072578&quot;/&gt;&lt;wsp:rsid wsp:val=&quot;33092244&quot;/&gt;&lt;wsp:rsid wsp:val=&quot;33097BA2&quot;/&gt;&lt;wsp:rsid wsp:val=&quot;330A66D8&quot;/&gt;&lt;wsp:rsid wsp:val=&quot;330E33B7&quot;/&gt;&lt;wsp:rsid wsp:val=&quot;33134E71&quot;/&gt;&lt;wsp:rsid wsp:val=&quot;33154745&quot;/&gt;&lt;wsp:rsid wsp:val=&quot;3317670F&quot;/&gt;&lt;wsp:rsid wsp:val=&quot;33185FE3&quot;/&gt;&lt;wsp:rsid wsp:val=&quot;3319216C&quot;/&gt;&lt;wsp:rsid wsp:val=&quot;331A61FF&quot;/&gt;&lt;wsp:rsid wsp:val=&quot;331C3D26&quot;/&gt;&lt;wsp:rsid wsp:val=&quot;331D184C&quot;/&gt;&lt;wsp:rsid wsp:val=&quot;331D35FA&quot;/&gt;&lt;wsp:rsid wsp:val=&quot;332008FE&quot;/&gt;&lt;wsp:rsid wsp:val=&quot;332115EC&quot;/&gt;&lt;wsp:rsid wsp:val=&quot;3321758E&quot;/&gt;&lt;wsp:rsid wsp:val=&quot;3322087E&quot;/&gt;&lt;wsp:rsid wsp:val=&quot;33227393&quot;/&gt;&lt;wsp:rsid wsp:val=&quot;332350B4&quot;/&gt;&lt;wsp:rsid wsp:val=&quot;33242BDA&quot;/&gt;&lt;wsp:rsid wsp:val=&quot;33244988&quot;/&gt;&lt;wsp:rsid wsp:val=&quot;33260700&quot;/&gt;&lt;wsp:rsid wsp:val=&quot;33264BA4&quot;/&gt;&lt;wsp:rsid wsp:val=&quot;33265787&quot;/&gt;&lt;wsp:rsid wsp:val=&quot;33266952&quot;/&gt;&lt;wsp:rsid wsp:val=&quot;3328091C&quot;/&gt;&lt;wsp:rsid wsp:val=&quot;332901F1&quot;/&gt;&lt;wsp:rsid wsp:val=&quot;33292712&quot;/&gt;&lt;wsp:rsid wsp:val=&quot;332B1C2F&quot;/&gt;&lt;wsp:rsid wsp:val=&quot;332C1A8F&quot;/&gt;&lt;wsp:rsid wsp:val=&quot;332D7CE1&quot;/&gt;&lt;wsp:rsid wsp:val=&quot;332E5807&quot;/&gt;&lt;wsp:rsid wsp:val=&quot;3330157F&quot;/&gt;&lt;wsp:rsid wsp:val=&quot;333015F2&quot;/&gt;&lt;wsp:rsid wsp:val=&quot;33332E1D&quot;/&gt;&lt;wsp:rsid wsp:val=&quot;33352DD5&quot;/&gt;&lt;wsp:rsid wsp:val=&quot;33353039&quot;/&gt;&lt;wsp:rsid wsp:val=&quot;33371083&quot;/&gt;&lt;wsp:rsid wsp:val=&quot;333756F5&quot;/&gt;&lt;wsp:rsid wsp:val=&quot;33386686&quot;/&gt;&lt;wsp:rsid wsp:val=&quot;333A0650&quot;/&gt;&lt;wsp:rsid wsp:val=&quot;333C2987&quot;/&gt;&lt;wsp:rsid wsp:val=&quot;333C6176&quot;/&gt;&lt;wsp:rsid wsp:val=&quot;333F7A14&quot;/&gt;&lt;wsp:rsid wsp:val=&quot;334109B7&quot;/&gt;&lt;wsp:rsid wsp:val=&quot;334119DE&quot;/&gt;&lt;wsp:rsid wsp:val=&quot;33412F5E&quot;/&gt;&lt;wsp:rsid wsp:val=&quot;33423060&quot;/&gt;&lt;wsp:rsid wsp:val=&quot;33435756&quot;/&gt;&lt;wsp:rsid wsp:val=&quot;33466FF4&quot;/&gt;&lt;wsp:rsid wsp:val=&quot;33482D6D&quot;/&gt;&lt;wsp:rsid wsp:val=&quot;33492641&quot;/&gt;&lt;wsp:rsid wsp:val=&quot;334943EF&quot;/&gt;&lt;wsp:rsid wsp:val=&quot;334B6320&quot;/&gt;&lt;wsp:rsid wsp:val=&quot;334C6678&quot;/&gt;&lt;wsp:rsid wsp:val=&quot;3353526D&quot;/&gt;&lt;wsp:rsid wsp:val=&quot;33550C7E&quot;/&gt;&lt;wsp:rsid wsp:val=&quot;33550FE6&quot;/&gt;&lt;wsp:rsid wsp:val=&quot;33557238&quot;/&gt;&lt;wsp:rsid wsp:val=&quot;33572FB0&quot;/&gt;&lt;wsp:rsid wsp:val=&quot;33582884&quot;/&gt;&lt;wsp:rsid wsp:val=&quot;335A2AA0&quot;/&gt;&lt;wsp:rsid wsp:val=&quot;335A65FC&quot;/&gt;&lt;wsp:rsid wsp:val=&quot;335C5F80&quot;/&gt;&lt;wsp:rsid wsp:val=&quot;335C671B&quot;/&gt;&lt;wsp:rsid wsp:val=&quot;335D7EF6&quot;/&gt;&lt;wsp:rsid wsp:val=&quot;335F1E64&quot;/&gt;&lt;wsp:rsid wsp:val=&quot;335F3C12&quot;/&gt;&lt;wsp:rsid wsp:val=&quot;33613D3A&quot;/&gt;&lt;wsp:rsid wsp:val=&quot;3361798A&quot;/&gt;&lt;wsp:rsid wsp:val=&quot;33621533&quot;/&gt;&lt;wsp:rsid wsp:val=&quot;33623A54&quot;/&gt;&lt;wsp:rsid wsp:val=&quot;33661445&quot;/&gt;&lt;wsp:rsid wsp:val=&quot;3366334E&quot;/&gt;&lt;wsp:rsid wsp:val=&quot;336851BD&quot;/&gt;&lt;wsp:rsid wsp:val=&quot;33686F6B&quot;/&gt;&lt;wsp:rsid wsp:val=&quot;33694A91&quot;/&gt;&lt;wsp:rsid wsp:val=&quot;3369683F&quot;/&gt;&lt;wsp:rsid wsp:val=&quot;336A463A&quot;/&gt;&lt;wsp:rsid wsp:val=&quot;336B6A5B&quot;/&gt;&lt;wsp:rsid wsp:val=&quot;336F654B&quot;/&gt;&lt;wsp:rsid wsp:val=&quot;33705886&quot;/&gt;&lt;wsp:rsid wsp:val=&quot;33707BCD&quot;/&gt;&lt;wsp:rsid wsp:val=&quot;33723946&quot;/&gt;&lt;wsp:rsid wsp:val=&quot;33727DEA&quot;/&gt;&lt;wsp:rsid wsp:val=&quot;33753436&quot;/&gt;&lt;wsp:rsid wsp:val=&quot;33753AAD&quot;/&gt;&lt;wsp:rsid wsp:val=&quot;337551E4&quot;/&gt;&lt;wsp:rsid wsp:val=&quot;33770F5C&quot;/&gt;&lt;wsp:rsid wsp:val=&quot;33775400&quot;/&gt;&lt;wsp:rsid wsp:val=&quot;337771AE&quot;/&gt;&lt;wsp:rsid wsp:val=&quot;33784CD4&quot;/&gt;&lt;wsp:rsid wsp:val=&quot;33785759&quot;/&gt;&lt;wsp:rsid wsp:val=&quot;33791178&quot;/&gt;&lt;wsp:rsid wsp:val=&quot;337A0A4C&quot;/&gt;&lt;wsp:rsid wsp:val=&quot;337E053C&quot;/&gt;&lt;wsp:rsid wsp:val=&quot;337E678E&quot;/&gt;&lt;wsp:rsid wsp:val=&quot;337E715C&quot;/&gt;&lt;wsp:rsid wsp:val=&quot;33802506&quot;/&gt;&lt;wsp:rsid wsp:val=&quot;33813B89&quot;/&gt;&lt;wsp:rsid wsp:val=&quot;33833DA5&quot;/&gt;&lt;wsp:rsid wsp:val=&quot;33835B53&quot;/&gt;&lt;wsp:rsid wsp:val=&quot;33837C74&quot;/&gt;&lt;wsp:rsid wsp:val=&quot;33843121&quot;/&gt;&lt;wsp:rsid wsp:val=&quot;33843679&quot;/&gt;&lt;wsp:rsid wsp:val=&quot;338611ED&quot;/&gt;&lt;wsp:rsid wsp:val=&quot;338701BF&quot;/&gt;&lt;wsp:rsid wsp:val=&quot;33872D14&quot;/&gt;&lt;wsp:rsid wsp:val=&quot;33890C8F&quot;/&gt;&lt;wsp:rsid wsp:val=&quot;338A5133&quot;/&gt;&lt;wsp:rsid wsp:val=&quot;338B2C59&quot;/&gt;&lt;wsp:rsid wsp:val=&quot;338B3428&quot;/&gt;&lt;wsp:rsid wsp:val=&quot;338B4A07&quot;/&gt;&lt;wsp:rsid wsp:val=&quot;338C2B83&quot;/&gt;&lt;wsp:rsid wsp:val=&quot;338F44F8&quot;/&gt;&lt;wsp:rsid wsp:val=&quot;339064C2&quot;/&gt;&lt;wsp:rsid wsp:val=&quot;33945FB2&quot;/&gt;&lt;wsp:rsid wsp:val=&quot;33955886&quot;/&gt;&lt;wsp:rsid wsp:val=&quot;33957634&quot;/&gt;&lt;wsp:rsid wsp:val=&quot;33977850&quot;/&gt;&lt;wsp:rsid wsp:val=&quot;339A10EE&quot;/&gt;&lt;wsp:rsid wsp:val=&quot;339C2DF7&quot;/&gt;&lt;wsp:rsid wsp:val=&quot;339C6C14&quot;/&gt;&lt;wsp:rsid wsp:val=&quot;339F04B3&quot;/&gt;&lt;wsp:rsid wsp:val=&quot;33A04957&quot;/&gt;&lt;wsp:rsid wsp:val=&quot;33A1422B&quot;/&gt;&lt;wsp:rsid wsp:val=&quot;33A146B4&quot;/&gt;&lt;wsp:rsid wsp:val=&quot;33A15FD9&quot;/&gt;&lt;wsp:rsid wsp:val=&quot;33A3249C&quot;/&gt;&lt;wsp:rsid wsp:val=&quot;33A45AC9&quot;/&gt;&lt;wsp:rsid wsp:val=&quot;33A51F6D&quot;/&gt;&lt;wsp:rsid wsp:val=&quot;33A65CE5&quot;/&gt;&lt;wsp:rsid wsp:val=&quot;33A70526&quot;/&gt;&lt;wsp:rsid wsp:val=&quot;33A855B9&quot;/&gt;&lt;wsp:rsid wsp:val=&quot;33A871B4&quot;/&gt;&lt;wsp:rsid wsp:val=&quot;33AA3B64&quot;/&gt;&lt;wsp:rsid wsp:val=&quot;33AB50A9&quot;/&gt;&lt;wsp:rsid wsp:val=&quot;33AD0E22&quot;/&gt;&lt;wsp:rsid wsp:val=&quot;33AD2D2F&quot;/&gt;&lt;wsp:rsid wsp:val=&quot;33AD7074&quot;/&gt;&lt;wsp:rsid wsp:val=&quot;33AF0D6E&quot;/&gt;&lt;wsp:rsid wsp:val=&quot;33AF6948&quot;/&gt;&lt;wsp:rsid wsp:val=&quot;33B026C0&quot;/&gt;&lt;wsp:rsid wsp:val=&quot;33B0446E&quot;/&gt;&lt;wsp:rsid wsp:val=&quot;33B15C85&quot;/&gt;&lt;wsp:rsid wsp:val=&quot;33B26438&quot;/&gt;&lt;wsp:rsid wsp:val=&quot;33B3020A&quot;/&gt;&lt;wsp:rsid wsp:val=&quot;33B421B0&quot;/&gt;&lt;wsp:rsid wsp:val=&quot;33B51A84&quot;/&gt;&lt;wsp:rsid wsp:val=&quot;33B73A4E&quot;/&gt;&lt;wsp:rsid wsp:val=&quot;33B757FC&quot;/&gt;&lt;wsp:rsid wsp:val=&quot;33B95A18&quot;/&gt;&lt;wsp:rsid wsp:val=&quot;33BC2E13&quot;/&gt;&lt;wsp:rsid wsp:val=&quot;33BC72B7&quot;/&gt;&lt;wsp:rsid wsp:val=&quot;33BF4552&quot;/&gt;&lt;wsp:rsid wsp:val=&quot;33C300CE&quot;/&gt;&lt;wsp:rsid wsp:val=&quot;33C47F8B&quot;/&gt;&lt;wsp:rsid wsp:val=&quot;33C543BD&quot;/&gt;&lt;wsp:rsid wsp:val=&quot;33C63C91&quot;/&gt;&lt;wsp:rsid wsp:val=&quot;33C77B10&quot;/&gt;&lt;wsp:rsid wsp:val=&quot;33CA19D4&quot;/&gt;&lt;wsp:rsid wsp:val=&quot;33CB48B5&quot;/&gt;&lt;wsp:rsid wsp:val=&quot;33CC574C&quot;/&gt;&lt;wsp:rsid wsp:val=&quot;33CD6DCE&quot;/&gt;&lt;wsp:rsid wsp:val=&quot;33CF73DF&quot;/&gt;&lt;wsp:rsid wsp:val=&quot;33D01842&quot;/&gt;&lt;wsp:rsid wsp:val=&quot;33D01E45&quot;/&gt;&lt;wsp:rsid wsp:val=&quot;33D068BE&quot;/&gt;&lt;wsp:rsid wsp:val=&quot;33D12D62&quot;/&gt;&lt;wsp:rsid wsp:val=&quot;33D22636&quot;/&gt;&lt;wsp:rsid wsp:val=&quot;33D4015C&quot;/&gt;&lt;wsp:rsid wsp:val=&quot;33D535A4&quot;/&gt;&lt;wsp:rsid wsp:val=&quot;33D60378&quot;/&gt;&lt;wsp:rsid wsp:val=&quot;33D740F0&quot;/&gt;&lt;wsp:rsid wsp:val=&quot;33D75E9F&quot;/&gt;&lt;wsp:rsid wsp:val=&quot;33D75EC4&quot;/&gt;&lt;wsp:rsid wsp:val=&quot;33D77C4D&quot;/&gt;&lt;wsp:rsid wsp:val=&quot;33D87354&quot;/&gt;&lt;wsp:rsid wsp:val=&quot;33D87904&quot;/&gt;&lt;wsp:rsid wsp:val=&quot;33D934D4&quot;/&gt;&lt;wsp:rsid wsp:val=&quot;33D97E69&quot;/&gt;&lt;wsp:rsid wsp:val=&quot;33DC1707&quot;/&gt;&lt;wsp:rsid wsp:val=&quot;33DC34B5&quot;/&gt;&lt;wsp:rsid wsp:val=&quot;33DD2188&quot;/&gt;&lt;wsp:rsid wsp:val=&quot;33DE0FDB&quot;/&gt;&lt;wsp:rsid wsp:val=&quot;33DE23AA&quot;/&gt;&lt;wsp:rsid wsp:val=&quot;33E0214E&quot;/&gt;&lt;wsp:rsid wsp:val=&quot;33E04D53&quot;/&gt;&lt;wsp:rsid wsp:val=&quot;33E2081F&quot;/&gt;&lt;wsp:rsid wsp:val=&quot;33E273C6&quot;/&gt;&lt;wsp:rsid wsp:val=&quot;33E34843&quot;/&gt;&lt;wsp:rsid wsp:val=&quot;33E5680D&quot;/&gt;&lt;wsp:rsid wsp:val=&quot;33E660E2&quot;/&gt;&lt;wsp:rsid wsp:val=&quot;33E8451E&quot;/&gt;&lt;wsp:rsid wsp:val=&quot;33EA060C&quot;/&gt;&lt;wsp:rsid wsp:val=&quot;33EC2188&quot;/&gt;&lt;wsp:rsid wsp:val=&quot;33EC2A6C&quot;/&gt;&lt;wsp:rsid wsp:val=&quot;33EC6C5A&quot;/&gt;&lt;wsp:rsid wsp:val=&quot;33F16241&quot;/&gt;&lt;wsp:rsid wsp:val=&quot;33F26834&quot;/&gt;&lt;wsp:rsid wsp:val=&quot;33F46A50&quot;/&gt;&lt;wsp:rsid wsp:val=&quot;33F56325&quot;/&gt;&lt;wsp:rsid wsp:val=&quot;33FA125E&quot;/&gt;&lt;wsp:rsid wsp:val=&quot;33FB393B&quot;/&gt;&lt;wsp:rsid wsp:val=&quot;33FB7DDF&quot;/&gt;&lt;wsp:rsid wsp:val=&quot;33FD3B57&quot;/&gt;&lt;wsp:rsid wsp:val=&quot;33FE2F6A&quot;/&gt;&lt;wsp:rsid wsp:val=&quot;33FE342B&quot;/&gt;&lt;wsp:rsid wsp:val=&quot;34000F51&quot;/&gt;&lt;wsp:rsid wsp:val=&quot;34001345&quot;/&gt;&lt;wsp:rsid wsp:val=&quot;34034EE6&quot;/&gt;&lt;wsp:rsid wsp:val=&quot;34043352&quot;/&gt;&lt;wsp:rsid wsp:val=&quot;34044EE1&quot;/&gt;&lt;wsp:rsid wsp:val=&quot;34052A0C&quot;/&gt;&lt;wsp:rsid wsp:val=&quot;340547BA&quot;/&gt;&lt;wsp:rsid wsp:val=&quot;34060532&quot;/&gt;&lt;wsp:rsid wsp:val=&quot;34076784&quot;/&gt;&lt;wsp:rsid wsp:val=&quot;34081665&quot;/&gt;&lt;wsp:rsid wsp:val=&quot;340A0022&quot;/&gt;&lt;wsp:rsid wsp:val=&quot;340A1DD0&quot;/&gt;&lt;wsp:rsid wsp:val=&quot;340A6274&quot;/&gt;&lt;wsp:rsid wsp:val=&quot;340B78F6&quot;/&gt;&lt;wsp:rsid wsp:val=&quot;340E07E5&quot;/&gt;&lt;wsp:rsid wsp:val=&quot;340F388A&quot;/&gt;&lt;wsp:rsid wsp:val=&quot;340F5638&quot;/&gt;&lt;wsp:rsid wsp:val=&quot;34104BC5&quot;/&gt;&lt;wsp:rsid wsp:val=&quot;34110C26&quot;/&gt;&lt;wsp:rsid wsp:val=&quot;3411315F&quot;/&gt;&lt;wsp:rsid wsp:val=&quot;34117602&quot;/&gt;&lt;wsp:rsid wsp:val=&quot;34122977&quot;/&gt;&lt;wsp:rsid wsp:val=&quot;34140EA1&quot;/&gt;&lt;wsp:rsid wsp:val=&quot;34173357&quot;/&gt;&lt;wsp:rsid wsp:val=&quot;34180991&quot;/&gt;&lt;wsp:rsid wsp:val=&quot;34183C16&quot;/&gt;&lt;wsp:rsid wsp:val=&quot;341964B7&quot;/&gt;&lt;wsp:rsid wsp:val=&quot;341A0848&quot;/&gt;&lt;wsp:rsid wsp:val=&quot;341A39D8&quot;/&gt;&lt;wsp:rsid wsp:val=&quot;341D6847&quot;/&gt;&lt;wsp:rsid wsp:val=&quot;341E1D1F&quot;/&gt;&lt;wsp:rsid wsp:val=&quot;341F4EED&quot;/&gt;&lt;wsp:rsid wsp:val=&quot;342033A2&quot;/&gt;&lt;wsp:rsid wsp:val=&quot;34204CF4&quot;/&gt;&lt;wsp:rsid wsp:val=&quot;342127BC&quot;/&gt;&lt;wsp:rsid wsp:val=&quot;342310E4&quot;/&gt;&lt;wsp:rsid wsp:val=&quot;34235B30&quot;/&gt;&lt;wsp:rsid wsp:val=&quot;34235BF7&quot;/&gt;&lt;wsp:rsid wsp:val=&quot;342509B8&quot;/&gt;&lt;wsp:rsid wsp:val=&quot;34254E5C&quot;/&gt;&lt;wsp:rsid wsp:val=&quot;3425595B&quot;/&gt;&lt;wsp:rsid wsp:val=&quot;34270BD4&quot;/&gt;&lt;wsp:rsid wsp:val=&quot;342819A5&quot;/&gt;&lt;wsp:rsid wsp:val=&quot;342829A7&quot;/&gt;&lt;wsp:rsid wsp:val=&quot;3428494C&quot;/&gt;&lt;wsp:rsid wsp:val=&quot;3428577F&quot;/&gt;&lt;wsp:rsid wsp:val=&quot;342A2472&quot;/&gt;&lt;wsp:rsid wsp:val=&quot;342A4220&quot;/&gt;&lt;wsp:rsid wsp:val=&quot;342B407E&quot;/&gt;&lt;wsp:rsid wsp:val=&quot;342B71E2&quot;/&gt;&lt;wsp:rsid wsp:val=&quot;342C0EC1&quot;/&gt;&lt;wsp:rsid wsp:val=&quot;342D3D10&quot;/&gt;&lt;wsp:rsid wsp:val=&quot;342D5ABF&quot;/&gt;&lt;wsp:rsid wsp:val=&quot;342D6CBE&quot;/&gt;&lt;wsp:rsid wsp:val=&quot;34311A53&quot;/&gt;&lt;wsp:rsid wsp:val=&quot;34313801&quot;/&gt;&lt;wsp:rsid wsp:val=&quot;34321327&quot;/&gt;&lt;wsp:rsid wsp:val=&quot;34360E17&quot;/&gt;&lt;wsp:rsid wsp:val=&quot;34362BC5&quot;/&gt;&lt;wsp:rsid wsp:val=&quot;343668E0&quot;/&gt;&lt;wsp:rsid wsp:val=&quot;34390907&quot;/&gt;&lt;wsp:rsid wsp:val=&quot;343B467F&quot;/&gt;&lt;wsp:rsid wsp:val=&quot;343B642D&quot;/&gt;&lt;wsp:rsid wsp:val=&quot;343B6886&quot;/&gt;&lt;wsp:rsid wsp:val=&quot;343C1A77&quot;/&gt;&lt;wsp:rsid wsp:val=&quot;343C4012&quot;/&gt;&lt;wsp:rsid wsp:val=&quot;343D21A6&quot;/&gt;&lt;wsp:rsid wsp:val=&quot;343E1A7A&quot;/&gt;&lt;wsp:rsid wsp:val=&quot;343F3CA4&quot;/&gt;&lt;wsp:rsid wsp:val=&quot;34433534&quot;/&gt;&lt;wsp:rsid wsp:val=&quot;3445105A&quot;/&gt;&lt;wsp:rsid wsp:val=&quot;34474DD2&quot;/&gt;&lt;wsp:rsid wsp:val=&quot;34476B80&quot;/&gt;&lt;wsp:rsid wsp:val=&quot;34480B4A&quot;/&gt;&lt;wsp:rsid wsp:val=&quot;344828F8&quot;/&gt;&lt;wsp:rsid wsp:val=&quot;34494D56&quot;/&gt;&lt;wsp:rsid wsp:val=&quot;344A2B14&quot;/&gt;&lt;wsp:rsid wsp:val=&quot;344C063B&quot;/&gt;&lt;wsp:rsid wsp:val=&quot;344D3C74&quot;/&gt;&lt;wsp:rsid wsp:val=&quot;344D6161&quot;/&gt;&lt;wsp:rsid wsp:val=&quot;344D6FBB&quot;/&gt;&lt;wsp:rsid wsp:val=&quot;344E43B3&quot;/&gt;&lt;wsp:rsid wsp:val=&quot;344F012B&quot;/&gt;&lt;wsp:rsid wsp:val=&quot;344F0BC8&quot;/&gt;&lt;wsp:rsid wsp:val=&quot;344F3C87&quot;/&gt;&lt;wsp:rsid wsp:val=&quot;34513182&quot;/&gt;&lt;wsp:rsid wsp:val=&quot;345179FF&quot;/&gt;&lt;wsp:rsid wsp:val=&quot;34525525&quot;/&gt;&lt;wsp:rsid wsp:val=&quot;345319C9&quot;/&gt;&lt;wsp:rsid wsp:val=&quot;34533777&quot;/&gt;&lt;wsp:rsid wsp:val=&quot;34544A3A&quot;/&gt;&lt;wsp:rsid wsp:val=&quot;34576638&quot;/&gt;&lt;wsp:rsid wsp:val=&quot;34592D57&quot;/&gt;&lt;wsp:rsid wsp:val=&quot;345968B4&quot;/&gt;&lt;wsp:rsid wsp:val=&quot;345A624E&quot;/&gt;&lt;wsp:rsid wsp:val=&quot;345B6AD0&quot;/&gt;&lt;wsp:rsid wsp:val=&quot;345D3948&quot;/&gt;&lt;wsp:rsid wsp:val=&quot;345E3ECA&quot;/&gt;&lt;wsp:rsid wsp:val=&quot;34607C42&quot;/&gt;&lt;wsp:rsid wsp:val=&quot;3461254A&quot;/&gt;&lt;wsp:rsid wsp:val=&quot;34613160&quot;/&gt;&lt;wsp:rsid wsp:val=&quot;34621C0C&quot;/&gt;&lt;wsp:rsid wsp:val=&quot;346239BA&quot;/&gt;&lt;wsp:rsid wsp:val=&quot;34627E5E&quot;/&gt;&lt;wsp:rsid wsp:val=&quot;3464452F&quot;/&gt;&lt;wsp:rsid wsp:val=&quot;34645984&quot;/&gt;&lt;wsp:rsid wsp:val=&quot;34655258&quot;/&gt;&lt;wsp:rsid wsp:val=&quot;34670FD0&quot;/&gt;&lt;wsp:rsid wsp:val=&quot;34675474&quot;/&gt;&lt;wsp:rsid wsp:val=&quot;34677222&quot;/&gt;&lt;wsp:rsid wsp:val=&quot;34684D49&quot;/&gt;&lt;wsp:rsid wsp:val=&quot;346A0AC1&quot;/&gt;&lt;wsp:rsid wsp:val=&quot;346B6CBF&quot;/&gt;&lt;wsp:rsid wsp:val=&quot;346C4839&quot;/&gt;&lt;wsp:rsid wsp:val=&quot;346E05B1&quot;/&gt;&lt;wsp:rsid wsp:val=&quot;346E6803&quot;/&gt;&lt;wsp:rsid wsp:val=&quot;34711E4F&quot;/&gt;&lt;wsp:rsid wsp:val=&quot;34714439&quot;/&gt;&lt;wsp:rsid wsp:val=&quot;34717457&quot;/&gt;&lt;wsp:rsid wsp:val=&quot;347559B3&quot;/&gt;&lt;wsp:rsid wsp:val=&quot;34763D72&quot;/&gt;&lt;wsp:rsid wsp:val=&quot;347676D7&quot;/&gt;&lt;wsp:rsid wsp:val=&quot;347831DE&quot;/&gt;&lt;wsp:rsid wsp:val=&quot;34790D04&quot;/&gt;&lt;wsp:rsid wsp:val=&quot;347B4A7C&quot;/&gt;&lt;wsp:rsid wsp:val=&quot;347D25A2&quot;/&gt;&lt;wsp:rsid wsp:val=&quot;34806536&quot;/&gt;&lt;wsp:rsid wsp:val=&quot;3482405C&quot;/&gt;&lt;wsp:rsid wsp:val=&quot;34853B4C&quot;/&gt;&lt;wsp:rsid wsp:val=&quot;348558FB&quot;/&gt;&lt;wsp:rsid wsp:val=&quot;34863867&quot;/&gt;&lt;wsp:rsid wsp:val=&quot;34872C8E&quot;/&gt;&lt;wsp:rsid wsp:val=&quot;34880F47&quot;/&gt;&lt;wsp:rsid wsp:val=&quot;34894B89&quot;/&gt;&lt;wsp:rsid wsp:val=&quot;348A2F11&quot;/&gt;&lt;wsp:rsid wsp:val=&quot;348A4CBF&quot;/&gt;&lt;wsp:rsid wsp:val=&quot;348A615B&quot;/&gt;&lt;wsp:rsid wsp:val=&quot;348C4BEA&quot;/&gt;&lt;wsp:rsid wsp:val=&quot;348C4EDB&quot;/&gt;&lt;wsp:rsid wsp:val=&quot;348C6C89&quot;/&gt;&lt;wsp:rsid wsp:val=&quot;348E2A01&quot;/&gt;&lt;wsp:rsid wsp:val=&quot;348F22D5&quot;/&gt;&lt;wsp:rsid wsp:val=&quot;3490732E&quot;/&gt;&lt;wsp:rsid wsp:val=&quot;34911E0A&quot;/&gt;&lt;wsp:rsid wsp:val=&quot;3491429F&quot;/&gt;&lt;wsp:rsid wsp:val=&quot;3492329A&quot;/&gt;&lt;wsp:rsid wsp:val=&quot;34931DC5&quot;/&gt;&lt;wsp:rsid wsp:val=&quot;34945B3E&quot;/&gt;&lt;wsp:rsid wsp:val=&quot;349670D1&quot;/&gt;&lt;wsp:rsid wsp:val=&quot;34983880&quot;/&gt;&lt;wsp:rsid wsp:val=&quot;3498562E&quot;/&gt;&lt;wsp:rsid wsp:val=&quot;349A13A6&quot;/&gt;&lt;wsp:rsid wsp:val=&quot;349A586E&quot;/&gt;&lt;wsp:rsid wsp:val=&quot;349B3370&quot;/&gt;&lt;wsp:rsid wsp:val=&quot;349B6ECC&quot;/&gt;&lt;wsp:rsid wsp:val=&quot;349D2C44&quot;/&gt;&lt;wsp:rsid wsp:val=&quot;349D49F2&quot;/&gt;&lt;wsp:rsid wsp:val=&quot;349E076A&quot;/&gt;&lt;wsp:rsid wsp:val=&quot;349E64E4&quot;/&gt;&lt;wsp:rsid wsp:val=&quot;34A00986&quot;/&gt;&lt;wsp:rsid wsp:val=&quot;34A044E2&quot;/&gt;&lt;wsp:rsid wsp:val=&quot;34A23D01&quot;/&gt;&lt;wsp:rsid wsp:val=&quot;34A2408A&quot;/&gt;&lt;wsp:rsid wsp:val=&quot;34A35D81&quot;/&gt;&lt;wsp:rsid wsp:val=&quot;34A405FC&quot;/&gt;&lt;wsp:rsid wsp:val=&quot;34A43FD3&quot;/&gt;&lt;wsp:rsid wsp:val=&quot;34A51AF9&quot;/&gt;&lt;wsp:rsid wsp:val=&quot;34A55F9D&quot;/&gt;&lt;wsp:rsid wsp:val=&quot;34A6665F&quot;/&gt;&lt;wsp:rsid wsp:val=&quot;34AA5361&quot;/&gt;&lt;wsp:rsid wsp:val=&quot;34AB35B3&quot;/&gt;&lt;wsp:rsid wsp:val=&quot;34AC10D9&quot;/&gt;&lt;wsp:rsid wsp:val=&quot;34AC2E87&quot;/&gt;&lt;wsp:rsid wsp:val=&quot;34AE2A73&quot;/&gt;&lt;wsp:rsid wsp:val=&quot;34AF4725&quot;/&gt;&lt;wsp:rsid wsp:val=&quot;34B04487&quot;/&gt;&lt;wsp:rsid wsp:val=&quot;34B166F0&quot;/&gt;&lt;wsp:rsid wsp:val=&quot;34B26104&quot;/&gt;&lt;wsp:rsid wsp:val=&quot;34B32468&quot;/&gt;&lt;wsp:rsid wsp:val=&quot;34B47F8E&quot;/&gt;&lt;wsp:rsid wsp:val=&quot;34B561E0&quot;/&gt;&lt;wsp:rsid wsp:val=&quot;34B61205&quot;/&gt;&lt;wsp:rsid wsp:val=&quot;34B8182C&quot;/&gt;&lt;wsp:rsid wsp:val=&quot;34B87A7E&quot;/&gt;&lt;wsp:rsid wsp:val=&quot;34BA1A48&quot;/&gt;&lt;wsp:rsid wsp:val=&quot;34BA2757&quot;/&gt;&lt;wsp:rsid wsp:val=&quot;34BC4A49&quot;/&gt;&lt;wsp:rsid wsp:val=&quot;34BD32E6&quot;/&gt;&lt;wsp:rsid wsp:val=&quot;34BD62A8&quot;/&gt;&lt;wsp:rsid wsp:val=&quot;34BE0E27&quot;/&gt;&lt;wsp:rsid wsp:val=&quot;34C12DD7&quot;/&gt;&lt;wsp:rsid wsp:val=&quot;34C226AB&quot;/&gt;&lt;wsp:rsid wsp:val=&quot;34C27960&quot;/&gt;&lt;wsp:rsid wsp:val=&quot;34C401D1&quot;/&gt;&lt;wsp:rsid wsp:val=&quot;34C44675&quot;/&gt;&lt;wsp:rsid wsp:val=&quot;34C46423&quot;/&gt;&lt;wsp:rsid wsp:val=&quot;34C56129&quot;/&gt;&lt;wsp:rsid wsp:val=&quot;34C6218A&quot;/&gt;&lt;wsp:rsid wsp:val=&quot;34CA0B0B&quot;/&gt;&lt;wsp:rsid wsp:val=&quot;34CB5A03&quot;/&gt;&lt;wsp:rsid wsp:val=&quot;34CC4428&quot;/&gt;&lt;wsp:rsid wsp:val=&quot;34CC52D7&quot;/&gt;&lt;wsp:rsid wsp:val=&quot;34CE091C&quot;/&gt;&lt;wsp:rsid wsp:val=&quot;34CE1050&quot;/&gt;&lt;wsp:rsid wsp:val=&quot;34CE2DFE&quot;/&gt;&lt;wsp:rsid wsp:val=&quot;34CE72A2&quot;/&gt;&lt;wsp:rsid wsp:val=&quot;34D10B40&quot;/&gt;&lt;wsp:rsid wsp:val=&quot;34D32B0A&quot;/&gt;&lt;wsp:rsid wsp:val=&quot;34D36666&quot;/&gt;&lt;wsp:rsid wsp:val=&quot;34D412B5&quot;/&gt;&lt;wsp:rsid wsp:val=&quot;34D67F04&quot;/&gt;&lt;wsp:rsid wsp:val=&quot;34D81ECE&quot;/&gt;&lt;wsp:rsid wsp:val=&quot;34D97104&quot;/&gt;&lt;wsp:rsid wsp:val=&quot;34DA3E98&quot;/&gt;&lt;wsp:rsid wsp:val=&quot;34DA5C46&quot;/&gt;&lt;wsp:rsid wsp:val=&quot;34DC2F20&quot;/&gt;&lt;wsp:rsid wsp:val=&quot;34DD74E5&quot;/&gt;&lt;wsp:rsid wsp:val=&quot;34DF500B&quot;/&gt;&lt;wsp:rsid wsp:val=&quot;34E00D83&quot;/&gt;&lt;wsp:rsid wsp:val=&quot;34E15813&quot;/&gt;&lt;wsp:rsid wsp:val=&quot;34E22105&quot;/&gt;&lt;wsp:rsid wsp:val=&quot;34E22D4D&quot;/&gt;&lt;wsp:rsid wsp:val=&quot;34E23F87&quot;/&gt;&lt;wsp:rsid wsp:val=&quot;34E40873&quot;/&gt;&lt;wsp:rsid wsp:val=&quot;34E46AC5&quot;/&gt;&lt;wsp:rsid wsp:val=&quot;34E940DB&quot;/&gt;&lt;wsp:rsid wsp:val=&quot;34EA39B0&quot;/&gt;&lt;wsp:rsid wsp:val=&quot;34EB1585&quot;/&gt;&lt;wsp:rsid wsp:val=&quot;34EB1C02&quot;/&gt;&lt;wsp:rsid wsp:val=&quot;34EB7E44&quot;/&gt;&lt;wsp:rsid wsp:val=&quot;34EC3231&quot;/&gt;&lt;wsp:rsid wsp:val=&quot;34EC3BCC&quot;/&gt;&lt;wsp:rsid wsp:val=&quot;34EC7728&quot;/&gt;&lt;wsp:rsid wsp:val=&quot;34EE7F06&quot;/&gt;&lt;wsp:rsid wsp:val=&quot;34F01FCB&quot;/&gt;&lt;wsp:rsid wsp:val=&quot;34F14D3E&quot;/&gt;&lt;wsp:rsid wsp:val=&quot;34F27F15&quot;/&gt;&lt;wsp:rsid wsp:val=&quot;34F32864&quot;/&gt;&lt;wsp:rsid wsp:val=&quot;34F32E56&quot;/&gt;&lt;wsp:rsid wsp:val=&quot;34F462AA&quot;/&gt;&lt;wsp:rsid wsp:val=&quot;34F5482E&quot;/&gt;&lt;wsp:rsid wsp:val=&quot;34F74B86&quot;/&gt;&lt;wsp:rsid wsp:val=&quot;34F767F8&quot;/&gt;&lt;wsp:rsid wsp:val=&quot;34FA1E45&quot;/&gt;&lt;wsp:rsid wsp:val=&quot;34FB796B&quot;/&gt;&lt;wsp:rsid wsp:val=&quot;34FD7B87&quot;/&gt;&lt;wsp:rsid wsp:val=&quot;34FF38FF&quot;/&gt;&lt;wsp:rsid wsp:val=&quot;350031D3&quot;/&gt;&lt;wsp:rsid wsp:val=&quot;35011425&quot;/&gt;&lt;wsp:rsid wsp:val=&quot;35026F4B&quot;/&gt;&lt;wsp:rsid wsp:val=&quot;35042CC3&quot;/&gt;&lt;wsp:rsid wsp:val=&quot;35066A3B&quot;/&gt;&lt;wsp:rsid wsp:val=&quot;35076034&quot;/&gt;&lt;wsp:rsid wsp:val=&quot;35085F28&quot;/&gt;&lt;wsp:rsid wsp:val=&quot;350A6CA2&quot;/&gt;&lt;wsp:rsid wsp:val=&quot;350B22A4&quot;/&gt;&lt;wsp:rsid wsp:val=&quot;350E58F0&quot;/&gt;&lt;wsp:rsid wsp:val=&quot;350E769E&quot;/&gt;&lt;wsp:rsid wsp:val=&quot;35101D41&quot;/&gt;&lt;wsp:rsid wsp:val=&quot;351078BA&quot;/&gt;&lt;wsp:rsid wsp:val=&quot;351142FA&quot;/&gt;&lt;wsp:rsid wsp:val=&quot;35125950&quot;/&gt;&lt;wsp:rsid wsp:val=&quot;35151850&quot;/&gt;&lt;wsp:rsid wsp:val=&quot;35154ED0&quot;/&gt;&lt;wsp:rsid wsp:val=&quot;35166D02&quot;/&gt;&lt;wsp:rsid wsp:val=&quot;351729F7&quot;/&gt;&lt;wsp:rsid wsp:val=&quot;3518051D&quot;/&gt;&lt;wsp:rsid wsp:val=&quot;351849C1&quot;/&gt;&lt;wsp:rsid wsp:val=&quot;351A24E7&quot;/&gt;&lt;wsp:rsid wsp:val=&quot;351A4352&quot;/&gt;&lt;wsp:rsid wsp:val=&quot;351A5A93&quot;/&gt;&lt;wsp:rsid wsp:val=&quot;351B6F23&quot;/&gt;&lt;wsp:rsid wsp:val=&quot;351C03B3&quot;/&gt;&lt;wsp:rsid wsp:val=&quot;351C625F&quot;/&gt;&lt;wsp:rsid wsp:val=&quot;351E44B9&quot;/&gt;&lt;wsp:rsid wsp:val=&quot;351F18AB&quot;/&gt;&lt;wsp:rsid wsp:val=&quot;351F7AFD&quot;/&gt;&lt;wsp:rsid wsp:val=&quot;35203BE3&quot;/&gt;&lt;wsp:rsid wsp:val=&quot;35230286&quot;/&gt;&lt;wsp:rsid wsp:val=&quot;352549E8&quot;/&gt;&lt;wsp:rsid wsp:val=&quot;35264036&quot;/&gt;&lt;wsp:rsid wsp:val=&quot;35264236&quot;/&gt;&lt;wsp:rsid wsp:val=&quot;35270760&quot;/&gt;&lt;wsp:rsid wsp:val=&quot;352A3E47&quot;/&gt;&lt;wsp:rsid wsp:val=&quot;352A5588&quot;/&gt;&lt;wsp:rsid wsp:val=&quot;352B0250&quot;/&gt;&lt;wsp:rsid wsp:val=&quot;352B04F3&quot;/&gt;&lt;wsp:rsid wsp:val=&quot;352B70C1&quot;/&gt;&lt;wsp:rsid wsp:val=&quot;352C5D76&quot;/&gt;&lt;wsp:rsid wsp:val=&quot;35303AB8&quot;/&gt;&lt;wsp:rsid wsp:val=&quot;35307911&quot;/&gt;&lt;wsp:rsid wsp:val=&quot;35313D1A&quot;/&gt;&lt;wsp:rsid wsp:val=&quot;35374790&quot;/&gt;&lt;wsp:rsid wsp:val=&quot;35382942&quot;/&gt;&lt;wsp:rsid wsp:val=&quot;353978DB&quot;/&gt;&lt;wsp:rsid wsp:val=&quot;353A0493&quot;/&gt;&lt;wsp:rsid wsp:val=&quot;353A3B27&quot;/&gt;&lt;wsp:rsid wsp:val=&quot;353A66E5&quot;/&gt;&lt;wsp:rsid wsp:val=&quot;353A782C&quot;/&gt;&lt;wsp:rsid wsp:val=&quot;353C06AF&quot;/&gt;&lt;wsp:rsid wsp:val=&quot;353F42E9&quot;/&gt;&lt;wsp:rsid wsp:val=&quot;3542559A&quot;/&gt;&lt;wsp:rsid wsp:val=&quot;3543355E&quot;/&gt;&lt;wsp:rsid wsp:val=&quot;35447E07&quot;/&gt;&lt;wsp:rsid wsp:val=&quot;3545606E&quot;/&gt;&lt;wsp:rsid wsp:val=&quot;35457D22&quot;/&gt;&lt;wsp:rsid wsp:val=&quot;35470E02&quot;/&gt;&lt;wsp:rsid wsp:val=&quot;35492DCC&quot;/&gt;&lt;wsp:rsid wsp:val=&quot;35494B7A&quot;/&gt;&lt;wsp:rsid wsp:val=&quot;35496928&quot;/&gt;&lt;wsp:rsid wsp:val=&quot;354B5DA0&quot;/&gt;&lt;wsp:rsid wsp:val=&quot;354E2190&quot;/&gt;&lt;wsp:rsid wsp:val=&quot;354F21C3&quot;/&gt;&lt;wsp:rsid wsp:val=&quot;35527ED3&quot;/&gt;&lt;wsp:rsid wsp:val=&quot;35531555&quot;/&gt;&lt;wsp:rsid wsp:val=&quot;355359F9&quot;/&gt;&lt;wsp:rsid wsp:val=&quot;35560E8C&quot;/&gt;&lt;wsp:rsid wsp:val=&quot;35572E64&quot;/&gt;&lt;wsp:rsid wsp:val=&quot;355754E9&quot;/&gt;&lt;wsp:rsid wsp:val=&quot;35577297&quot;/&gt;&lt;wsp:rsid wsp:val=&quot;355808F5&quot;/&gt;&lt;wsp:rsid wsp:val=&quot;355A0B35&quot;/&gt;&lt;wsp:rsid wsp:val=&quot;355B7EB7&quot;/&gt;&lt;wsp:rsid wsp:val=&quot;355C665B&quot;/&gt;&lt;wsp:rsid wsp:val=&quot;355D4A8E&quot;/&gt;&lt;wsp:rsid wsp:val=&quot;355E0625&quot;/&gt;&lt;wsp:rsid wsp:val=&quot;355E12E1&quot;/&gt;&lt;wsp:rsid wsp:val=&quot;355E7296&quot;/&gt;&lt;wsp:rsid wsp:val=&quot;355F614C&quot;/&gt;&lt;wsp:rsid wsp:val=&quot;355F7EFA&quot;/&gt;&lt;wsp:rsid wsp:val=&quot;3562552D&quot;/&gt;&lt;wsp:rsid wsp:val=&quot;356279A2&quot;/&gt;&lt;wsp:rsid wsp:val=&quot;35633E8E&quot;/&gt;&lt;wsp:rsid wsp:val=&quot;35661288&quot;/&gt;&lt;wsp:rsid wsp:val=&quot;3566572C&quot;/&gt;&lt;wsp:rsid wsp:val=&quot;35675000&quot;/&gt;&lt;wsp:rsid wsp:val=&quot;356822B0&quot;/&gt;&lt;wsp:rsid wsp:val=&quot;35683252&quot;/&gt;&lt;wsp:rsid wsp:val=&quot;356833E9&quot;/&gt;&lt;wsp:rsid wsp:val=&quot;356B689E&quot;/&gt;&lt;wsp:rsid wsp:val=&quot;356C2617&quot;/&gt;&lt;wsp:rsid wsp:val=&quot;356D0868&quot;/&gt;&lt;wsp:rsid wsp:val=&quot;356D6ABA&quot;/&gt;&lt;wsp:rsid wsp:val=&quot;356E2833&quot;/&gt;&lt;wsp:rsid wsp:val=&quot;356E45E1&quot;/&gt;&lt;wsp:rsid wsp:val=&quot;356E638F&quot;/&gt;&lt;wsp:rsid wsp:val=&quot;35704BDF&quot;/&gt;&lt;wsp:rsid wsp:val=&quot;357339A5&quot;/&gt;&lt;wsp:rsid wsp:val=&quot;35773495&quot;/&gt;&lt;wsp:rsid wsp:val=&quot;35777939&quot;/&gt;&lt;wsp:rsid wsp:val=&quot;35792986&quot;/&gt;&lt;wsp:rsid wsp:val=&quot;35795557&quot;/&gt;&lt;wsp:rsid wsp:val=&quot;35796F70&quot;/&gt;&lt;wsp:rsid wsp:val=&quot;357C36EF&quot;/&gt;&lt;wsp:rsid wsp:val=&quot;357C4F4F&quot;/&gt;&lt;wsp:rsid wsp:val=&quot;357C6CFE&quot;/&gt;&lt;wsp:rsid wsp:val=&quot;357D4824&quot;/&gt;&lt;wsp:rsid wsp:val=&quot;357F059C&quot;/&gt;&lt;wsp:rsid wsp:val=&quot;357F234A&quot;/&gt;&lt;wsp:rsid wsp:val=&quot;35815504&quot;/&gt;&lt;wsp:rsid wsp:val=&quot;35845BB2&quot;/&gt;&lt;wsp:rsid wsp:val=&quot;3586192A&quot;/&gt;&lt;wsp:rsid wsp:val=&quot;358833D3&quot;/&gt;&lt;wsp:rsid wsp:val=&quot;3588605C&quot;/&gt;&lt;wsp:rsid wsp:val=&quot;358A766C&quot;/&gt;&lt;wsp:rsid wsp:val=&quot;358B6DBD&quot;/&gt;&lt;wsp:rsid wsp:val=&quot;358C5FA8&quot;/&gt;&lt;wsp:rsid wsp:val=&quot;358E07DF&quot;/&gt;&lt;wsp:rsid wsp:val=&quot;358F1B65&quot;/&gt;&lt;wsp:rsid wsp:val=&quot;358F4C83&quot;/&gt;&lt;wsp:rsid wsp:val=&quot;359009FB&quot;/&gt;&lt;wsp:rsid wsp:val=&quot;35906305&quot;/&gt;&lt;wsp:rsid wsp:val=&quot;359202CF&quot;/&gt;&lt;wsp:rsid wsp:val=&quot;35942299&quot;/&gt;&lt;wsp:rsid wsp:val=&quot;35977693&quot;/&gt;&lt;wsp:rsid wsp:val=&quot;359823FA&quot;/&gt;&lt;wsp:rsid wsp:val=&quot;3598340C&quot;/&gt;&lt;wsp:rsid wsp:val=&quot;359A3628&quot;/&gt;&lt;wsp:rsid wsp:val=&quot;359A53D6&quot;/&gt;&lt;wsp:rsid wsp:val=&quot;359A7184&quot;/&gt;&lt;wsp:rsid wsp:val=&quot;359D6D3A&quot;/&gt;&lt;wsp:rsid wsp:val=&quot;359E4EC6&quot;/&gt;&lt;wsp:rsid wsp:val=&quot;359E55F9&quot;/&gt;&lt;wsp:rsid wsp:val=&quot;359E6C74&quot;/&gt;&lt;wsp:rsid wsp:val=&quot;35A10512&quot;/&gt;&lt;wsp:rsid wsp:val=&quot;35A324DC&quot;/&gt;&lt;wsp:rsid wsp:val=&quot;35A46254&quot;/&gt;&lt;wsp:rsid wsp:val=&quot;35A61FCC&quot;/&gt;&lt;wsp:rsid wsp:val=&quot;35A65B28&quot;/&gt;&lt;wsp:rsid wsp:val=&quot;35A71D1B&quot;/&gt;&lt;wsp:rsid wsp:val=&quot;35A7240B&quot;/&gt;&lt;wsp:rsid wsp:val=&quot;35A77DEC&quot;/&gt;&lt;wsp:rsid wsp:val=&quot;35A818A1&quot;/&gt;&lt;wsp:rsid wsp:val=&quot;35A973C7&quot;/&gt;&lt;wsp:rsid wsp:val=&quot;35AC2828&quot;/&gt;&lt;wsp:rsid wsp:val=&quot;35AE2B8C&quot;/&gt;&lt;wsp:rsid wsp:val=&quot;35AE68B5&quot;/&gt;&lt;wsp:rsid wsp:val=&quot;35B45823&quot;/&gt;&lt;wsp:rsid wsp:val=&quot;35B46497&quot;/&gt;&lt;wsp:rsid wsp:val=&quot;35B50461&quot;/&gt;&lt;wsp:rsid wsp:val=&quot;35B53880&quot;/&gt;&lt;wsp:rsid wsp:val=&quot;35B778E1&quot;/&gt;&lt;wsp:rsid wsp:val=&quot;35B93AAE&quot;/&gt;&lt;wsp:rsid wsp:val=&quot;35B9585C&quot;/&gt;&lt;wsp:rsid wsp:val=&quot;35BB1907&quot;/&gt;&lt;wsp:rsid wsp:val=&quot;35BC359E&quot;/&gt;&lt;wsp:rsid wsp:val=&quot;35BC534C&quot;/&gt;&lt;wsp:rsid wsp:val=&quot;35BF6BEA&quot;/&gt;&lt;wsp:rsid wsp:val=&quot;35C15DF1&quot;/&gt;&lt;wsp:rsid wsp:val=&quot;35C16E06&quot;/&gt;&lt;wsp:rsid wsp:val=&quot;35C30488&quot;/&gt;&lt;wsp:rsid wsp:val=&quot;35C42453&quot;/&gt;&lt;wsp:rsid wsp:val=&quot;35C44201&quot;/&gt;&lt;wsp:rsid wsp:val=&quot;35C6441D&quot;/&gt;&lt;wsp:rsid wsp:val=&quot;35C80195&quot;/&gt;&lt;wsp:rsid wsp:val=&quot;35C80866&quot;/&gt;&lt;wsp:rsid wsp:val=&quot;35C96E26&quot;/&gt;&lt;wsp:rsid wsp:val=&quot;35CA5CBB&quot;/&gt;&lt;wsp:rsid wsp:val=&quot;35CB1ADD&quot;/&gt;&lt;wsp:rsid wsp:val=&quot;35CC3248&quot;/&gt;&lt;wsp:rsid wsp:val=&quot;35CD57AB&quot;/&gt;&lt;wsp:rsid wsp:val=&quot;35CE2F97&quot;/&gt;&lt;wsp:rsid wsp:val=&quot;35D02BA5&quot;/&gt;&lt;wsp:rsid wsp:val=&quot;35D244E9&quot;/&gt;&lt;wsp:rsid wsp:val=&quot;35D40299&quot;/&gt;&lt;wsp:rsid wsp:val=&quot;35D408E8&quot;/&gt;&lt;wsp:rsid wsp:val=&quot;35D42696&quot;/&gt;&lt;wsp:rsid wsp:val=&quot;35D45AC1&quot;/&gt;&lt;wsp:rsid wsp:val=&quot;35D46C6E&quot;/&gt;&lt;wsp:rsid wsp:val=&quot;35D54660&quot;/&gt;&lt;wsp:rsid wsp:val=&quot;35D5640E&quot;/&gt;&lt;wsp:rsid wsp:val=&quot;35D703D8&quot;/&gt;&lt;wsp:rsid wsp:val=&quot;35D73F34&quot;/&gt;&lt;wsp:rsid wsp:val=&quot;35D77BA3&quot;/&gt;&lt;wsp:rsid wsp:val=&quot;35D8035B&quot;/&gt;&lt;wsp:rsid wsp:val=&quot;35D94150&quot;/&gt;&lt;wsp:rsid wsp:val=&quot;35DC59EE&quot;/&gt;&lt;wsp:rsid wsp:val=&quot;35DC779C&quot;/&gt;&lt;wsp:rsid wsp:val=&quot;35DF717A&quot;/&gt;&lt;wsp:rsid wsp:val=&quot;35E0728C&quot;/&gt;&lt;wsp:rsid wsp:val=&quot;35E07D68&quot;/&gt;&lt;wsp:rsid wsp:val=&quot;35E13004&quot;/&gt;&lt;wsp:rsid wsp:val=&quot;35E21E89&quot;/&gt;&lt;wsp:rsid wsp:val=&quot;35E228B3&quot;/&gt;&lt;wsp:rsid wsp:val=&quot;35E25ABC&quot;/&gt;&lt;wsp:rsid wsp:val=&quot;35E34738&quot;/&gt;&lt;wsp:rsid wsp:val=&quot;35E36D7D&quot;/&gt;&lt;wsp:rsid wsp:val=&quot;35E62D20&quot;/&gt;&lt;wsp:rsid wsp:val=&quot;35E825E5&quot;/&gt;&lt;wsp:rsid wsp:val=&quot;35E84393&quot;/&gt;&lt;wsp:rsid wsp:val=&quot;35EA664E&quot;/&gt;&lt;wsp:rsid wsp:val=&quot;35EA79B1&quot;/&gt;&lt;wsp:rsid wsp:val=&quot;35EB5C31&quot;/&gt;&lt;wsp:rsid wsp:val=&quot;35EB7B67&quot;/&gt;&lt;wsp:rsid wsp:val=&quot;35ED19A9&quot;/&gt;&lt;wsp:rsid wsp:val=&quot;35ED7BFB&quot;/&gt;&lt;wsp:rsid wsp:val=&quot;35EF3A10&quot;/&gt;&lt;wsp:rsid wsp:val=&quot;35EF5721&quot;/&gt;&lt;wsp:rsid wsp:val=&quot;35F434A9&quot;/&gt;&lt;wsp:rsid wsp:val=&quot;35F5085E&quot;/&gt;&lt;wsp:rsid wsp:val=&quot;35F54B06&quot;/&gt;&lt;wsp:rsid wsp:val=&quot;35F745D6&quot;/&gt;&lt;wsp:rsid wsp:val=&quot;35F80DD4&quot;/&gt;&lt;wsp:rsid wsp:val=&quot;35F9034E&quot;/&gt;&lt;wsp:rsid wsp:val=&quot;35F90AD9&quot;/&gt;&lt;wsp:rsid wsp:val=&quot;35F920FC&quot;/&gt;&lt;wsp:rsid wsp:val=&quot;35F93D60&quot;/&gt;&lt;wsp:rsid wsp:val=&quot;35F965A0&quot;/&gt;&lt;wsp:rsid wsp:val=&quot;35FC1BEC&quot;/&gt;&lt;wsp:rsid wsp:val=&quot;35FD36D6&quot;/&gt;&lt;wsp:rsid wsp:val=&quot;36010FB1&quot;/&gt;&lt;wsp:rsid wsp:val=&quot;36017203&quot;/&gt;&lt;wsp:rsid wsp:val=&quot;36024A57&quot;/&gt;&lt;wsp:rsid wsp:val=&quot;360311CD&quot;/&gt;&lt;wsp:rsid wsp:val=&quot;36035EE7&quot;/&gt;&lt;wsp:rsid wsp:val=&quot;36050807&quot;/&gt;&lt;wsp:rsid wsp:val=&quot;36050AA1&quot;/&gt;&lt;wsp:rsid wsp:val=&quot;36054F45&quot;/&gt;&lt;wsp:rsid wsp:val=&quot;36074A7F&quot;/&gt;&lt;wsp:rsid wsp:val=&quot;360867E3&quot;/&gt;&lt;wsp:rsid wsp:val=&quot;360A255B&quot;/&gt;&lt;wsp:rsid wsp:val=&quot;360B0081&quot;/&gt;&lt;wsp:rsid wsp:val=&quot;360B1E2F&quot;/&gt;&lt;wsp:rsid wsp:val=&quot;360D3DFA&quot;/&gt;&lt;wsp:rsid wsp:val=&quot;360F37B0&quot;/&gt;&lt;wsp:rsid wsp:val=&quot;360F461D&quot;/&gt;&lt;wsp:rsid wsp:val=&quot;3611037B&quot;/&gt;&lt;wsp:rsid wsp:val=&quot;36136865&quot;/&gt;&lt;wsp:rsid wsp:val=&quot;36136ED2&quot;/&gt;&lt;wsp:rsid wsp:val=&quot;36145188&quot;/&gt;&lt;wsp:rsid wsp:val=&quot;36154A5C&quot;/&gt;&lt;wsp:rsid wsp:val=&quot;36160F00&quot;/&gt;&lt;wsp:rsid wsp:val=&quot;36174C78&quot;/&gt;&lt;wsp:rsid wsp:val=&quot;36176A26&quot;/&gt;&lt;wsp:rsid wsp:val=&quot;3619279E&quot;/&gt;&lt;wsp:rsid wsp:val=&quot;36192E2B&quot;/&gt;&lt;wsp:rsid wsp:val=&quot;361B6516&quot;/&gt;&lt;wsp:rsid wsp:val=&quot;361C228F&quot;/&gt;&lt;wsp:rsid wsp:val=&quot;361C5DEB&quot;/&gt;&lt;wsp:rsid wsp:val=&quot;361D1957&quot;/&gt;&lt;wsp:rsid wsp:val=&quot;361E1B63&quot;/&gt;&lt;wsp:rsid wsp:val=&quot;361E7DB5&quot;/&gt;&lt;wsp:rsid wsp:val=&quot;362058DB&quot;/&gt;&lt;wsp:rsid wsp:val=&quot;36215DD4&quot;/&gt;&lt;wsp:rsid wsp:val=&quot;36252EF1&quot;/&gt;&lt;wsp:rsid wsp:val=&quot;36280AEC&quot;/&gt;&lt;wsp:rsid wsp:val=&quot;362829E1&quot;/&gt;&lt;wsp:rsid wsp:val=&quot;3628478F&quot;/&gt;&lt;wsp:rsid wsp:val=&quot;362941D9&quot;/&gt;&lt;wsp:rsid wsp:val=&quot;362C0487&quot;/&gt;&lt;wsp:rsid wsp:val=&quot;362C0724&quot;/&gt;&lt;wsp:rsid wsp:val=&quot;362C4585&quot;/&gt;&lt;wsp:rsid wsp:val=&quot;362D7FF8&quot;/&gt;&lt;wsp:rsid wsp:val=&quot;362F1394&quot;/&gt;&lt;wsp:rsid wsp:val=&quot;362F3A74&quot;/&gt;&lt;wsp:rsid wsp:val=&quot;362F3D70&quot;/&gt;&lt;wsp:rsid wsp:val=&quot;36317AE8&quot;/&gt;&lt;wsp:rsid wsp:val=&quot;36341386&quot;/&gt;&lt;wsp:rsid wsp:val=&quot;363475D8&quot;/&gt;&lt;wsp:rsid wsp:val=&quot;363870C8&quot;/&gt;&lt;wsp:rsid wsp:val=&quot;36394BEF&quot;/&gt;&lt;wsp:rsid wsp:val=&quot;363B2715&quot;/&gt;&lt;wsp:rsid wsp:val=&quot;363B44C3&quot;/&gt;&lt;wsp:rsid wsp:val=&quot;363C023B&quot;/&gt;&lt;wsp:rsid wsp:val=&quot;363E0457&quot;/&gt;&lt;wsp:rsid wsp:val=&quot;363E2205&quot;/&gt;&lt;wsp:rsid wsp:val=&quot;36402219&quot;/&gt;&lt;wsp:rsid wsp:val=&quot;364041CF&quot;/&gt;&lt;wsp:rsid wsp:val=&quot;36414748&quot;/&gt;&lt;wsp:rsid wsp:val=&quot;36415851&quot;/&gt;&lt;wsp:rsid wsp:val=&quot;36416B0C&quot;/&gt;&lt;wsp:rsid wsp:val=&quot;364315C9&quot;/&gt;&lt;wsp:rsid wsp:val=&quot;3644480A&quot;/&gt;&lt;wsp:rsid wsp:val=&quot;364517E5&quot;/&gt;&lt;wsp:rsid wsp:val=&quot;364610BA&quot;/&gt;&lt;wsp:rsid wsp:val=&quot;364705BA&quot;/&gt;&lt;wsp:rsid wsp:val=&quot;36485A5A&quot;/&gt;&lt;wsp:rsid wsp:val=&quot;364C2B74&quot;/&gt;&lt;wsp:rsid wsp:val=&quot;364D46C5&quot;/&gt;&lt;wsp:rsid wsp:val=&quot;364F50F5&quot;/&gt;&lt;wsp:rsid wsp:val=&quot;36525CB0&quot;/&gt;&lt;wsp:rsid wsp:val=&quot;36564428&quot;/&gt;&lt;wsp:rsid wsp:val=&quot;365657A0&quot;/&gt;&lt;wsp:rsid wsp:val=&quot;36581519&quot;/&gt;&lt;wsp:rsid wsp:val=&quot;36590DED&quot;/&gt;&lt;wsp:rsid wsp:val=&quot;36592B9B&quot;/&gt;&lt;wsp:rsid wsp:val=&quot;365B2DB7&quot;/&gt;&lt;wsp:rsid wsp:val=&quot;365D08DD&quot;/&gt;&lt;wsp:rsid wsp:val=&quot;365E4655&quot;/&gt;&lt;wsp:rsid wsp:val=&quot;365E6403&quot;/&gt;&lt;wsp:rsid wsp:val=&quot;3661600C&quot;/&gt;&lt;wsp:rsid wsp:val=&quot;36617B8A&quot;/&gt;&lt;wsp:rsid wsp:val=&quot;36620180&quot;/&gt;&lt;wsp:rsid wsp:val=&quot;36624145&quot;/&gt;&lt;wsp:rsid wsp:val=&quot;36632CA7&quot;/&gt;&lt;wsp:rsid wsp:val=&quot;36633A19&quot;/&gt;&lt;wsp:rsid wsp:val=&quot;36637EBD&quot;/&gt;&lt;wsp:rsid wsp:val=&quot;366539A2&quot;/&gt;&lt;wsp:rsid wsp:val=&quot;36657792&quot;/&gt;&lt;wsp:rsid wsp:val=&quot;3667350A&quot;/&gt;&lt;wsp:rsid wsp:val=&quot;36681030&quot;/&gt;&lt;wsp:rsid wsp:val=&quot;3669402C&quot;/&gt;&lt;wsp:rsid wsp:val=&quot;366B28CE&quot;/&gt;&lt;wsp:rsid wsp:val=&quot;366C4FC4&quot;/&gt;&lt;wsp:rsid wsp:val=&quot;366D4898&quot;/&gt;&lt;wsp:rsid wsp:val=&quot;366D6646&quot;/&gt;&lt;wsp:rsid wsp:val=&quot;366F23BE&quot;/&gt;&lt;wsp:rsid wsp:val=&quot;366F6862&quot;/&gt;&lt;wsp:rsid wsp:val=&quot;367125DA&quot;/&gt;&lt;wsp:rsid wsp:val=&quot;36721EAF&quot;/&gt;&lt;wsp:rsid wsp:val=&quot;36731F4F&quot;/&gt;&lt;wsp:rsid wsp:val=&quot;36745C27&quot;/&gt;&lt;wsp:rsid wsp:val=&quot;367479D5&quot;/&gt;&lt;wsp:rsid wsp:val=&quot;367774C5&quot;/&gt;&lt;wsp:rsid wsp:val=&quot;36783969&quot;/&gt;&lt;wsp:rsid wsp:val=&quot;36787A25&quot;/&gt;&lt;wsp:rsid wsp:val=&quot;36794FEB&quot;/&gt;&lt;wsp:rsid wsp:val=&quot;367B0D63&quot;/&gt;&lt;wsp:rsid wsp:val=&quot;367B26F5&quot;/&gt;&lt;wsp:rsid wsp:val=&quot;367E0853&quot;/&gt;&lt;wsp:rsid wsp:val=&quot;367E2601&quot;/&gt;&lt;wsp:rsid wsp:val=&quot;367F1E99&quot;/&gt;&lt;wsp:rsid wsp:val=&quot;3680281D&quot;/&gt;&lt;wsp:rsid wsp:val=&quot;36820344&quot;/&gt;&lt;wsp:rsid wsp:val=&quot;36841C9D&quot;/&gt;&lt;wsp:rsid wsp:val=&quot;36851BE2&quot;/&gt;&lt;wsp:rsid wsp:val=&quot;36877708&quot;/&gt;&lt;wsp:rsid wsp:val=&quot;368816D2&quot;/&gt;&lt;wsp:rsid wsp:val=&quot;36883480&quot;/&gt;&lt;wsp:rsid wsp:val=&quot;36884365&quot;/&gt;&lt;wsp:rsid wsp:val=&quot;368A369C&quot;/&gt;&lt;wsp:rsid wsp:val=&quot;368C11C2&quot;/&gt;&lt;wsp:rsid wsp:val=&quot;368D7DBF&quot;/&gt;&lt;wsp:rsid wsp:val=&quot;368E4F3A&quot;/&gt;&lt;wsp:rsid wsp:val=&quot;368E6085&quot;/&gt;&lt;wsp:rsid wsp:val=&quot;36906B2F&quot;/&gt;&lt;wsp:rsid wsp:val=&quot;369167D9&quot;/&gt;&lt;wsp:rsid wsp:val=&quot;36922B60&quot;/&gt;&lt;wsp:rsid wsp:val=&quot;36923549&quot;/&gt;&lt;wsp:rsid wsp:val=&quot;36952C22&quot;/&gt;&lt;wsp:rsid wsp:val=&quot;36956164&quot;/&gt;&lt;wsp:rsid wsp:val=&quot;36962041&quot;/&gt;&lt;wsp:rsid wsp:val=&quot;36963DEF&quot;/&gt;&lt;wsp:rsid wsp:val=&quot;36977DA8&quot;/&gt;&lt;wsp:rsid wsp:val=&quot;3699568D&quot;/&gt;&lt;wsp:rsid wsp:val=&quot;369E0EF6&quot;/&gt;&lt;wsp:rsid wsp:val=&quot;369E310A&quot;/&gt;&lt;wsp:rsid wsp:val=&quot;369F3478&quot;/&gt;&lt;wsp:rsid wsp:val=&quot;36A007CA&quot;/&gt;&lt;wsp:rsid wsp:val=&quot;36A07989&quot;/&gt;&lt;wsp:rsid wsp:val=&quot;36A24542&quot;/&gt;&lt;wsp:rsid wsp:val=&quot;36A3230F&quot;/&gt;&lt;wsp:rsid wsp:val=&quot;36A36510&quot;/&gt;&lt;wsp:rsid wsp:val=&quot;36A4650C&quot;/&gt;&lt;wsp:rsid wsp:val=&quot;36A55DE0&quot;/&gt;&lt;wsp:rsid wsp:val=&quot;36A738F6&quot;/&gt;&lt;wsp:rsid wsp:val=&quot;36AA1648&quot;/&gt;&lt;wsp:rsid wsp:val=&quot;36AA5156&quot;/&gt;&lt;wsp:rsid wsp:val=&quot;36AA5AEC&quot;/&gt;&lt;wsp:rsid wsp:val=&quot;36AA64F4&quot;/&gt;&lt;wsp:rsid wsp:val=&quot;36AA789A&quot;/&gt;&lt;wsp:rsid wsp:val=&quot;36AC3612&quot;/&gt;&lt;wsp:rsid wsp:val=&quot;36AC53C0&quot;/&gt;&lt;wsp:rsid wsp:val=&quot;36AE1139&quot;/&gt;&lt;wsp:rsid wsp:val=&quot;36AE40D9&quot;/&gt;&lt;wsp:rsid wsp:val=&quot;36AF3103&quot;/&gt;&lt;wsp:rsid wsp:val=&quot;36AF37C9&quot;/&gt;&lt;wsp:rsid wsp:val=&quot;36AF4EB1&quot;/&gt;&lt;wsp:rsid wsp:val=&quot;36B14785&quot;/&gt;&lt;wsp:rsid wsp:val=&quot;36B2214A&quot;/&gt;&lt;wsp:rsid wsp:val=&quot;36B349A1&quot;/&gt;&lt;wsp:rsid wsp:val=&quot;36B424C7&quot;/&gt;&lt;wsp:rsid wsp:val=&quot;36B64491&quot;/&gt;&lt;wsp:rsid wsp:val=&quot;36B67FED&quot;/&gt;&lt;wsp:rsid wsp:val=&quot;36B75FBF&quot;/&gt;&lt;wsp:rsid wsp:val=&quot;36B81FB7&quot;/&gt;&lt;wsp:rsid wsp:val=&quot;36B85FBC&quot;/&gt;&lt;wsp:rsid wsp:val=&quot;36B9188B&quot;/&gt;&lt;wsp:rsid wsp:val=&quot;36BB1AA7&quot;/&gt;&lt;wsp:rsid wsp:val=&quot;36BB3856&quot;/&gt;&lt;wsp:rsid wsp:val=&quot;36BD0C45&quot;/&gt;&lt;wsp:rsid wsp:val=&quot;36BD137C&quot;/&gt;&lt;wsp:rsid wsp:val=&quot;36BD5820&quot;/&gt;&lt;wsp:rsid wsp:val=&quot;36BE50F4&quot;/&gt;&lt;wsp:rsid wsp:val=&quot;36BE6EA2&quot;/&gt;&lt;wsp:rsid wsp:val=&quot;36BF32BE&quot;/&gt;&lt;wsp:rsid wsp:val=&quot;36BF3346&quot;/&gt;&lt;wsp:rsid wsp:val=&quot;36C02C1A&quot;/&gt;&lt;wsp:rsid wsp:val=&quot;36C13652&quot;/&gt;&lt;wsp:rsid wsp:val=&quot;36C26992&quot;/&gt;&lt;wsp:rsid wsp:val=&quot;36C344B8&quot;/&gt;&lt;wsp:rsid wsp:val=&quot;36C50230&quot;/&gt;&lt;wsp:rsid wsp:val=&quot;36C7044C&quot;/&gt;&lt;wsp:rsid wsp:val=&quot;36C73FA8&quot;/&gt;&lt;wsp:rsid wsp:val=&quot;36C928B7&quot;/&gt;&lt;wsp:rsid wsp:val=&quot;36C95800&quot;/&gt;&lt;wsp:rsid wsp:val=&quot;36C96F41&quot;/&gt;&lt;wsp:rsid wsp:val=&quot;36C97D20&quot;/&gt;&lt;wsp:rsid wsp:val=&quot;36CB0232&quot;/&gt;&lt;wsp:rsid wsp:val=&quot;36CB1861&quot;/&gt;&lt;wsp:rsid wsp:val=&quot;36CD2B09&quot;/&gt;&lt;wsp:rsid wsp:val=&quot;36D44B31&quot;/&gt;&lt;wsp:rsid wsp:val=&quot;36D474BE&quot;/&gt;&lt;wsp:rsid wsp:val=&quot;36D6243D&quot;/&gt;&lt;wsp:rsid wsp:val=&quot;36D641EB&quot;/&gt;&lt;wsp:rsid wsp:val=&quot;36D668E1&quot;/&gt;&lt;wsp:rsid wsp:val=&quot;36D81F7B&quot;/&gt;&lt;wsp:rsid wsp:val=&quot;36D84407&quot;/&gt;&lt;wsp:rsid wsp:val=&quot;36D94C2F&quot;/&gt;&lt;wsp:rsid wsp:val=&quot;36DB7A54&quot;/&gt;&lt;wsp:rsid wsp:val=&quot;36DD37CC&quot;/&gt;&lt;wsp:rsid wsp:val=&quot;36DD6847&quot;/&gt;&lt;wsp:rsid wsp:val=&quot;36E060E6&quot;/&gt;&lt;wsp:rsid wsp:val=&quot;36E42DAC&quot;/&gt;&lt;wsp:rsid wsp:val=&quot;36E508D2&quot;/&gt;&lt;wsp:rsid wsp:val=&quot;36E56B24&quot;/&gt;&lt;wsp:rsid wsp:val=&quot;36E763F9&quot;/&gt;&lt;wsp:rsid wsp:val=&quot;36E81A0D&quot;/&gt;&lt;wsp:rsid wsp:val=&quot;36E87269&quot;/&gt;&lt;wsp:rsid wsp:val=&quot;36E903C3&quot;/&gt;&lt;wsp:rsid wsp:val=&quot;36E94DEA&quot;/&gt;&lt;wsp:rsid wsp:val=&quot;36EA5EE9&quot;/&gt;&lt;wsp:rsid wsp:val=&quot;36EA7C97&quot;/&gt;&lt;wsp:rsid wsp:val=&quot;36EB413B&quot;/&gt;&lt;wsp:rsid wsp:val=&quot;36EB5449&quot;/&gt;&lt;wsp:rsid wsp:val=&quot;36EB70D6&quot;/&gt;&lt;wsp:rsid wsp:val=&quot;36F01751&quot;/&gt;&lt;wsp:rsid wsp:val=&quot;36F17277&quot;/&gt;&lt;wsp:rsid wsp:val=&quot;36F26843&quot;/&gt;&lt;wsp:rsid wsp:val=&quot;36F80606&quot;/&gt;&lt;wsp:rsid wsp:val=&quot;36F9612C&quot;/&gt;&lt;wsp:rsid wsp:val=&quot;36FA002A&quot;/&gt;&lt;wsp:rsid wsp:val=&quot;36FA437E&quot;/&gt;&lt;wsp:rsid wsp:val=&quot;36FC6348&quot;/&gt;&lt;wsp:rsid wsp:val=&quot;3701395E&quot;/&gt;&lt;wsp:rsid wsp:val=&quot;37021484&quot;/&gt;&lt;wsp:rsid wsp:val=&quot;37024FE0&quot;/&gt;&lt;wsp:rsid wsp:val=&quot;37030562&quot;/&gt;&lt;wsp:rsid wsp:val=&quot;370451FC&quot;/&gt;&lt;wsp:rsid wsp:val=&quot;37060F75&quot;/&gt;&lt;wsp:rsid wsp:val=&quot;37092813&quot;/&gt;&lt;wsp:rsid wsp:val=&quot;370945C1&quot;/&gt;&lt;wsp:rsid wsp:val=&quot;3709636F&quot;/&gt;&lt;wsp:rsid wsp:val=&quot;370A0339&quot;/&gt;&lt;wsp:rsid wsp:val=&quot;370A4123&quot;/&gt;&lt;wsp:rsid wsp:val=&quot;370C2303&quot;/&gt;&lt;wsp:rsid wsp:val=&quot;370E607B&quot;/&gt;&lt;wsp:rsid wsp:val=&quot;370F0072&quot;/&gt;&lt;wsp:rsid wsp:val=&quot;37102B66&quot;/&gt;&lt;wsp:rsid wsp:val=&quot;37113FF6&quot;/&gt;&lt;wsp:rsid wsp:val=&quot;37117919&quot;/&gt;&lt;wsp:rsid wsp:val=&quot;37117D67&quot;/&gt;&lt;wsp:rsid wsp:val=&quot;37135440&quot;/&gt;&lt;wsp:rsid wsp:val=&quot;37136916&quot;/&gt;&lt;wsp:rsid wsp:val=&quot;37152F66&quot;/&gt;&lt;wsp:rsid wsp:val=&quot;37160A8C&quot;/&gt;&lt;wsp:rsid wsp:val=&quot;37164F30&quot;/&gt;&lt;wsp:rsid wsp:val=&quot;37166CDE&quot;/&gt;&lt;wsp:rsid wsp:val=&quot;37171BA5&quot;/&gt;&lt;wsp:rsid wsp:val=&quot;3718034F&quot;/&gt;&lt;wsp:rsid wsp:val=&quot;37182A56&quot;/&gt;&lt;wsp:rsid wsp:val=&quot;371A057C&quot;/&gt;&lt;wsp:rsid wsp:val=&quot;371B42F4&quot;/&gt;&lt;wsp:rsid wsp:val=&quot;371B6954&quot;/&gt;&lt;wsp:rsid wsp:val=&quot;371F2036&quot;/&gt;&lt;wsp:rsid wsp:val=&quot;37205A14&quot;/&gt;&lt;wsp:rsid wsp:val=&quot;37223D14&quot;/&gt;&lt;wsp:rsid wsp:val=&quot;372638FC&quot;/&gt;&lt;wsp:rsid wsp:val=&quot;37265173&quot;/&gt;&lt;wsp:rsid wsp:val=&quot;37270EEB&quot;/&gt;&lt;wsp:rsid wsp:val=&quot;37272C99&quot;/&gt;&lt;wsp:rsid wsp:val=&quot;37275389&quot;/&gt;&lt;wsp:rsid wsp:val=&quot;372A45A8&quot;/&gt;&lt;wsp:rsid wsp:val=&quot;372B2789&quot;/&gt;&lt;wsp:rsid wsp:val=&quot;372C6501&quot;/&gt;&lt;wsp:rsid wsp:val=&quot;372D208E&quot;/&gt;&lt;wsp:rsid wsp:val=&quot;372E15D9&quot;/&gt;&lt;wsp:rsid wsp:val=&quot;372E2279&quot;/&gt;&lt;wsp:rsid wsp:val=&quot;372E4027&quot;/&gt;&lt;wsp:rsid wsp:val=&quot;372F1B4E&quot;/&gt;&lt;wsp:rsid wsp:val=&quot;37302B91&quot;/&gt;&lt;wsp:rsid wsp:val=&quot;37313B18&quot;/&gt;&lt;wsp:rsid wsp:val=&quot;3733163E&quot;/&gt;&lt;wsp:rsid wsp:val=&quot;37337890&quot;/&gt;&lt;wsp:rsid wsp:val=&quot;3736112E&quot;/&gt;&lt;wsp:rsid wsp:val=&quot;37362EDC&quot;/&gt;&lt;wsp:rsid wsp:val=&quot;37390D45&quot;/&gt;&lt;wsp:rsid wsp:val=&quot;373945F7&quot;/&gt;&lt;wsp:rsid wsp:val=&quot;373A0C1E&quot;/&gt;&lt;wsp:rsid wsp:val=&quot;373B1ADF&quot;/&gt;&lt;wsp:rsid wsp:val=&quot;373B4692&quot;/&gt;&lt;wsp:rsid wsp:val=&quot;373C0021&quot;/&gt;&lt;wsp:rsid wsp:val=&quot;373C4996&quot;/&gt;&lt;wsp:rsid wsp:val=&quot;373D24BC&quot;/&gt;&lt;wsp:rsid wsp:val=&quot;373D426B&quot;/&gt;&lt;wsp:rsid wsp:val=&quot;373E3439&quot;/&gt;&lt;wsp:rsid wsp:val=&quot;373F6235&quot;/&gt;&lt;wsp:rsid wsp:val=&quot;373F7FE3&quot;/&gt;&lt;wsp:rsid wsp:val=&quot;374101FF&quot;/&gt;&lt;wsp:rsid wsp:val=&quot;374126E0&quot;/&gt;&lt;wsp:rsid wsp:val=&quot;37425D25&quot;/&gt;&lt;wsp:rsid wsp:val=&quot;37427AD3&quot;/&gt;&lt;wsp:rsid wsp:val=&quot;37450315&quot;/&gt;&lt;wsp:rsid wsp:val=&quot;37461371&quot;/&gt;&lt;wsp:rsid wsp:val=&quot;374750E9&quot;/&gt;&lt;wsp:rsid wsp:val=&quot;37475D5C&quot;/&gt;&lt;wsp:rsid wsp:val=&quot;37490E61&quot;/&gt;&lt;wsp:rsid wsp:val=&quot;37492C8F&quot;/&gt;&lt;wsp:rsid wsp:val=&quot;374B4BD9&quot;/&gt;&lt;wsp:rsid wsp:val=&quot;374C5617&quot;/&gt;&lt;wsp:rsid wsp:val=&quot;374E0226&quot;/&gt;&lt;wsp:rsid wsp:val=&quot;374F3F98&quot;/&gt;&lt;wsp:rsid wsp:val=&quot;37503F9E&quot;/&gt;&lt;wsp:rsid wsp:val=&quot;37517D16&quot;/&gt;&lt;wsp:rsid wsp:val=&quot;375241BA&quot;/&gt;&lt;wsp:rsid wsp:val=&quot;37537F32&quot;/&gt;&lt;wsp:rsid wsp:val=&quot;375515B4&quot;/&gt;&lt;wsp:rsid wsp:val=&quot;37555A58&quot;/&gt;&lt;wsp:rsid wsp:val=&quot;37557806&quot;/&gt;&lt;wsp:rsid wsp:val=&quot;37570D4C&quot;/&gt;&lt;wsp:rsid wsp:val=&quot;375712CB&quot;/&gt;&lt;wsp:rsid wsp:val=&quot;375810A4&quot;/&gt;&lt;wsp:rsid wsp:val=&quot;375872F6&quot;/&gt;&lt;wsp:rsid wsp:val=&quot;375A12C0&quot;/&gt;&lt;wsp:rsid wsp:val=&quot;375C0B95&quot;/&gt;&lt;wsp:rsid wsp:val=&quot;375C6DE7&quot;/&gt;&lt;wsp:rsid wsp:val=&quot;375D490D&quot;/&gt;&lt;wsp:rsid wsp:val=&quot;375D66BB&quot;/&gt;&lt;wsp:rsid wsp:val=&quot;37607F59&quot;/&gt;&lt;wsp:rsid wsp:val=&quot;37621F23&quot;/&gt;&lt;wsp:rsid wsp:val=&quot;37636BC6&quot;/&gt;&lt;wsp:rsid wsp:val=&quot;37643EED&quot;/&gt;&lt;wsp:rsid wsp:val=&quot;37660868&quot;/&gt;&lt;wsp:rsid wsp:val=&quot;3768578B&quot;/&gt;&lt;wsp:rsid wsp:val=&quot;37695060&quot;/&gt;&lt;wsp:rsid wsp:val=&quot;376E08C8&quot;/&gt;&lt;wsp:rsid wsp:val=&quot;376E7052&quot;/&gt;&lt;wsp:rsid wsp:val=&quot;37702892&quot;/&gt;&lt;wsp:rsid wsp:val=&quot;37721F02&quot;/&gt;&lt;wsp:rsid wsp:val=&quot;37724BC9&quot;/&gt;&lt;wsp:rsid wsp:val=&quot;37733392&quot;/&gt;&lt;wsp:rsid wsp:val=&quot;3776777C&quot;/&gt;&lt;wsp:rsid wsp:val=&quot;37773C20&quot;/&gt;&lt;wsp:rsid wsp:val=&quot;377A488F&quot;/&gt;&lt;wsp:rsid wsp:val=&quot;377A726D&quot;/&gt;&lt;wsp:rsid wsp:val=&quot;377C1237&quot;/&gt;&lt;wsp:rsid wsp:val=&quot;377F0D27&quot;/&gt;&lt;wsp:rsid wsp:val=&quot;37804506&quot;/&gt;&lt;wsp:rsid wsp:val=&quot;378105FB&quot;/&gt;&lt;wsp:rsid wsp:val=&quot;378202B6&quot;/&gt;&lt;wsp:rsid wsp:val=&quot;37824373&quot;/&gt;&lt;wsp:rsid wsp:val=&quot;378404AE&quot;/&gt;&lt;wsp:rsid wsp:val=&quot;37865C12&quot;/&gt;&lt;wsp:rsid wsp:val=&quot;37873738&quot;/&gt;&lt;wsp:rsid wsp:val=&quot;37893954&quot;/&gt;&lt;wsp:rsid wsp:val=&quot;37895702&quot;/&gt;&lt;wsp:rsid wsp:val=&quot;37896CF9&quot;/&gt;&lt;wsp:rsid wsp:val=&quot;378974B0&quot;/&gt;&lt;wsp:rsid wsp:val=&quot;378B3228&quot;/&gt;&lt;wsp:rsid wsp:val=&quot;37920A5A&quot;/&gt;&lt;wsp:rsid wsp:val=&quot;3793032E&quot;/&gt;&lt;wsp:rsid wsp:val=&quot;37943E0C&quot;/&gt;&lt;wsp:rsid wsp:val=&quot;379522F8&quot;/&gt;&lt;wsp:rsid wsp:val=&quot;379540A7&quot;/&gt;&lt;wsp:rsid wsp:val=&quot;37963D3E&quot;/&gt;&lt;wsp:rsid wsp:val=&quot;37971BCD&quot;/&gt;&lt;wsp:rsid wsp:val=&quot;37991DE9&quot;/&gt;&lt;wsp:rsid wsp:val=&quot;379A44BE&quot;/&gt;&lt;wsp:rsid wsp:val=&quot;379A790F&quot;/&gt;&lt;wsp:rsid wsp:val=&quot;379B110E&quot;/&gt;&lt;wsp:rsid wsp:val=&quot;379B425F&quot;/&gt;&lt;wsp:rsid wsp:val=&quot;379C0E5D&quot;/&gt;&lt;wsp:rsid wsp:val=&quot;379D2F5B&quot;/&gt;&lt;wsp:rsid wsp:val=&quot;379D5254&quot;/&gt;&lt;wsp:rsid wsp:val=&quot;379D5444&quot;/&gt;&lt;wsp:rsid wsp:val=&quot;379E11AD&quot;/&gt;&lt;wsp:rsid wsp:val=&quot;379E73FF&quot;/&gt;&lt;wsp:rsid wsp:val=&quot;37A03134&quot;/&gt;&lt;wsp:rsid wsp:val=&quot;37A147F9&quot;/&gt;&lt;wsp:rsid wsp:val=&quot;37A34A15&quot;/&gt;&lt;wsp:rsid wsp:val=&quot;37A4078E&quot;/&gt;&lt;wsp:rsid wsp:val=&quot;37A4253C&quot;/&gt;&lt;wsp:rsid wsp:val=&quot;37A442EA&quot;/&gt;&lt;wsp:rsid wsp:val=&quot;37A464EF&quot;/&gt;&lt;wsp:rsid wsp:val=&quot;37A47026&quot;/&gt;&lt;wsp:rsid wsp:val=&quot;37A662B4&quot;/&gt;&lt;wsp:rsid wsp:val=&quot;37A9436D&quot;/&gt;&lt;wsp:rsid wsp:val=&quot;37A95DA4&quot;/&gt;&lt;wsp:rsid wsp:val=&quot;37AC319E&quot;/&gt;&lt;wsp:rsid wsp:val=&quot;37AC3523&quot;/&gt;&lt;wsp:rsid wsp:val=&quot;37AE5168&quot;/&gt;&lt;wsp:rsid wsp:val=&quot;37AE5E43&quot;/&gt;&lt;wsp:rsid wsp:val=&quot;37AF7904&quot;/&gt;&lt;wsp:rsid wsp:val=&quot;37B00763&quot;/&gt;&lt;wsp:rsid wsp:val=&quot;37B22EAA&quot;/&gt;&lt;wsp:rsid wsp:val=&quot;37B24C58&quot;/&gt;&lt;wsp:rsid wsp:val=&quot;37B46AF7&quot;/&gt;&lt;wsp:rsid wsp:val=&quot;37B47EDC&quot;/&gt;&lt;wsp:rsid wsp:val=&quot;37B66669&quot;/&gt;&lt;wsp:rsid wsp:val=&quot;37B704C1&quot;/&gt;&lt;wsp:rsid wsp:val=&quot;37BA5308&quot;/&gt;&lt;wsp:rsid wsp:val=&quot;37BA58BB&quot;/&gt;&lt;wsp:rsid wsp:val=&quot;37BA70D1&quot;/&gt;&lt;wsp:rsid wsp:val=&quot;37BC7885&quot;/&gt;&lt;wsp:rsid wsp:val=&quot;37BD53AB&quot;/&gt;&lt;wsp:rsid wsp:val=&quot;37BE184F&quot;/&gt;&lt;wsp:rsid wsp:val=&quot;37BF0F9F&quot;/&gt;&lt;wsp:rsid wsp:val=&quot;37C31F61&quot;/&gt;&lt;wsp:rsid wsp:val=&quot;37C41F7E&quot;/&gt;&lt;wsp:rsid wsp:val=&quot;37C4498C&quot;/&gt;&lt;wsp:rsid wsp:val=&quot;37C63D34&quot;/&gt;&lt;wsp:rsid wsp:val=&quot;37C8622A&quot;/&gt;&lt;wsp:rsid wsp:val=&quot;37C9041E&quot;/&gt;&lt;wsp:rsid wsp:val=&quot;37C92A4B&quot;/&gt;&lt;wsp:rsid wsp:val=&quot;37CB536B&quot;/&gt;&lt;wsp:rsid wsp:val=&quot;37CD1A92&quot;/&gt;&lt;wsp:rsid wsp:val=&quot;37CE2D3B&quot;/&gt;&lt;wsp:rsid wsp:val=&quot;37CF74A2&quot;/&gt;&lt;wsp:rsid wsp:val=&quot;37D2266D&quot;/&gt;&lt;wsp:rsid wsp:val=&quot;37D4129F&quot;/&gt;&lt;wsp:rsid wsp:val=&quot;37D42E21&quot;/&gt;&lt;wsp:rsid wsp:val=&quot;37D44BCF&quot;/&gt;&lt;wsp:rsid wsp:val=&quot;37D63BBF&quot;/&gt;&lt;wsp:rsid wsp:val=&quot;37D72911&quot;/&gt;&lt;wsp:rsid wsp:val=&quot;37D848AC&quot;/&gt;&lt;wsp:rsid wsp:val=&quot;37D864DF&quot;/&gt;&lt;wsp:rsid wsp:val=&quot;37D921E5&quot;/&gt;&lt;wsp:rsid wsp:val=&quot;37DA41AF&quot;/&gt;&lt;wsp:rsid wsp:val=&quot;37DC1CD5&quot;/&gt;&lt;wsp:rsid wsp:val=&quot;37DF17C6&quot;/&gt;&lt;wsp:rsid wsp:val=&quot;37DF3574&quot;/&gt;&lt;wsp:rsid wsp:val=&quot;37DF63B2&quot;/&gt;&lt;wsp:rsid wsp:val=&quot;37E00298&quot;/&gt;&lt;wsp:rsid wsp:val=&quot;37E04580&quot;/&gt;&lt;wsp:rsid wsp:val=&quot;37E172EC&quot;/&gt;&lt;wsp:rsid wsp:val=&quot;37E33064&quot;/&gt;&lt;wsp:rsid wsp:val=&quot;37E42938&quot;/&gt;&lt;wsp:rsid wsp:val=&quot;37E64902&quot;/&gt;&lt;wsp:rsid wsp:val=&quot;37E666B0&quot;/&gt;&lt;wsp:rsid wsp:val=&quot;37E908F4&quot;/&gt;&lt;wsp:rsid wsp:val=&quot;37EB23AA&quot;/&gt;&lt;wsp:rsid wsp:val=&quot;37ED3EE3&quot;/&gt;&lt;wsp:rsid wsp:val=&quot;37ED7A3F&quot;/&gt;&lt;wsp:rsid wsp:val=&quot;37EE37B7&quot;/&gt;&lt;wsp:rsid wsp:val=&quot;37EF1A09&quot;/&gt;&lt;wsp:rsid wsp:val=&quot;37EF5EA7&quot;/&gt;&lt;wsp:rsid wsp:val=&quot;37F039D3&quot;/&gt;&lt;wsp:rsid wsp:val=&quot;37F214F9&quot;/&gt;&lt;wsp:rsid wsp:val=&quot;37F25055&quot;/&gt;&lt;wsp:rsid wsp:val=&quot;37F330E7&quot;/&gt;&lt;wsp:rsid wsp:val=&quot;37F45271&quot;/&gt;&lt;wsp:rsid wsp:val=&quot;37F4701F&quot;/&gt;&lt;wsp:rsid wsp:val=&quot;37F52D97&quot;/&gt;&lt;wsp:rsid wsp:val=&quot;37F54EF7&quot;/&gt;&lt;wsp:rsid wsp:val=&quot;37F65BD2&quot;/&gt;&lt;wsp:rsid wsp:val=&quot;37F7266B&quot;/&gt;&lt;wsp:rsid wsp:val=&quot;37F83D4F&quot;/&gt;&lt;wsp:rsid wsp:val=&quot;37F871F5&quot;/&gt;&lt;wsp:rsid wsp:val=&quot;37FA0E55&quot;/&gt;&lt;wsp:rsid wsp:val=&quot;37FB65FF&quot;/&gt;&lt;wsp:rsid wsp:val=&quot;37FC4126&quot;/&gt;&lt;wsp:rsid wsp:val=&quot;37FC58DA&quot;/&gt;&lt;wsp:rsid wsp:val=&quot;37FC5ED4&quot;/&gt;&lt;wsp:rsid wsp:val=&quot;37FE39FA&quot;/&gt;&lt;wsp:rsid wsp:val=&quot;38001AA6&quot;/&gt;&lt;wsp:rsid wsp:val=&quot;38012567&quot;/&gt;&lt;wsp:rsid wsp:val=&quot;380134EA&quot;/&gt;&lt;wsp:rsid wsp:val=&quot;38037262&quot;/&gt;&lt;wsp:rsid wsp:val=&quot;38064FA4&quot;/&gt;&lt;wsp:rsid wsp:val=&quot;38084878&quot;/&gt;&lt;wsp:rsid wsp:val=&quot;380A30F5&quot;/&gt;&lt;wsp:rsid wsp:val=&quot;380B25BB&quot;/&gt;&lt;wsp:rsid wsp:val=&quot;380B6117&quot;/&gt;&lt;wsp:rsid wsp:val=&quot;380B6EA8&quot;/&gt;&lt;wsp:rsid wsp:val=&quot;380D685F&quot;/&gt;&lt;wsp:rsid wsp:val=&quot;380F7A5F&quot;/&gt;&lt;wsp:rsid wsp:val=&quot;3810197F&quot;/&gt;&lt;wsp:rsid wsp:val=&quot;38142318&quot;/&gt;&lt;wsp:rsid wsp:val=&quot;38156F95&quot;/&gt;&lt;wsp:rsid wsp:val=&quot;38163439&quot;/&gt;&lt;wsp:rsid wsp:val=&quot;38172D0E&quot;/&gt;&lt;wsp:rsid wsp:val=&quot;38174ABC&quot;/&gt;&lt;wsp:rsid wsp:val=&quot;381B3A34&quot;/&gt;&lt;wsp:rsid wsp:val=&quot;381C0324&quot;/&gt;&lt;wsp:rsid wsp:val=&quot;381F1BC2&quot;/&gt;&lt;wsp:rsid wsp:val=&quot;3821593A&quot;/&gt;&lt;wsp:rsid wsp:val=&quot;382316B2&quot;/&gt;&lt;wsp:rsid wsp:val=&quot;38233460&quot;/&gt;&lt;wsp:rsid wsp:val=&quot;3825644C&quot;/&gt;&lt;wsp:rsid wsp:val=&quot;38272B03&quot;/&gt;&lt;wsp:rsid wsp:val=&quot;38283467&quot;/&gt;&lt;wsp:rsid wsp:val=&quot;38286CC9&quot;/&gt;&lt;wsp:rsid wsp:val=&quot;38287B99&quot;/&gt;&lt;wsp:rsid wsp:val=&quot;382B3BE6&quot;/&gt;&lt;wsp:rsid wsp:val=&quot;382B67B9&quot;/&gt;&lt;wsp:rsid wsp:val=&quot;382C4A0B&quot;/&gt;&lt;wsp:rsid wsp:val=&quot;382C5E49&quot;/&gt;&lt;wsp:rsid wsp:val=&quot;382F0057&quot;/&gt;&lt;wsp:rsid wsp:val=&quot;38303DCF&quot;/&gt;&lt;wsp:rsid wsp:val=&quot;38312021&quot;/&gt;&lt;wsp:rsid wsp:val=&quot;38327B47&quot;/&gt;&lt;wsp:rsid wsp:val=&quot;3833774F&quot;/&gt;&lt;wsp:rsid wsp:val=&quot;3836588A&quot;/&gt;&lt;wsp:rsid wsp:val=&quot;38366EFB&quot;/&gt;&lt;wsp:rsid wsp:val=&quot;38390ED6&quot;/&gt;&lt;wsp:rsid wsp:val=&quot;383C4522&quot;/&gt;&lt;wsp:rsid wsp:val=&quot;383D6DCE&quot;/&gt;&lt;wsp:rsid wsp:val=&quot;383E473E&quot;/&gt;&lt;wsp:rsid wsp:val=&quot;383E64EC&quot;/&gt;&lt;wsp:rsid wsp:val=&quot;383F6DF1&quot;/&gt;&lt;wsp:rsid wsp:val=&quot;38402B7E&quot;/&gt;&lt;wsp:rsid wsp:val=&quot;38415ABB&quot;/&gt;&lt;wsp:rsid wsp:val=&quot;384348A8&quot;/&gt;&lt;wsp:rsid wsp:val=&quot;384358B1&quot;/&gt;&lt;wsp:rsid wsp:val=&quot;38463A7C&quot;/&gt;&lt;wsp:rsid wsp:val=&quot;38472A51&quot;/&gt;&lt;wsp:rsid wsp:val=&quot;38481119&quot;/&gt;&lt;wsp:rsid wsp:val=&quot;384A6C3F&quot;/&gt;&lt;wsp:rsid wsp:val=&quot;384B0C09&quot;/&gt;&lt;wsp:rsid wsp:val=&quot;384D4981&quot;/&gt;&lt;wsp:rsid wsp:val=&quot;384D672F&quot;/&gt;&lt;wsp:rsid wsp:val=&quot;384F06F9&quot;/&gt;&lt;wsp:rsid wsp:val=&quot;38507FCD&quot;/&gt;&lt;wsp:rsid wsp:val=&quot;38513DBE&quot;/&gt;&lt;wsp:rsid wsp:val=&quot;38521E38&quot;/&gt;&lt;wsp:rsid wsp:val=&quot;38521F98&quot;/&gt;&lt;wsp:rsid wsp:val=&quot;38523D46&quot;/&gt;&lt;wsp:rsid wsp:val=&quot;385351A0&quot;/&gt;&lt;wsp:rsid wsp:val=&quot;38543F62&quot;/&gt;&lt;wsp:rsid wsp:val=&quot;38545D10&quot;/&gt;&lt;wsp:rsid wsp:val=&quot;385555E4&quot;/&gt;&lt;wsp:rsid wsp:val=&quot;38575800&quot;/&gt;&lt;wsp:rsid wsp:val=&quot;385775AE&quot;/&gt;&lt;wsp:rsid wsp:val=&quot;385B43FD&quot;/&gt;&lt;wsp:rsid wsp:val=&quot;385B709E&quot;/&gt;&lt;wsp:rsid wsp:val=&quot;385C2E16&quot;/&gt;&lt;wsp:rsid wsp:val=&quot;385D255A&quot;/&gt;&lt;wsp:rsid wsp:val=&quot;385F1B63&quot;/&gt;&lt;wsp:rsid wsp:val=&quot;386121DB&quot;/&gt;&lt;wsp:rsid wsp:val=&quot;3862042D&quot;/&gt;&lt;wsp:rsid wsp:val=&quot;38621BE4&quot;/&gt;&lt;wsp:rsid wsp:val=&quot;38635F53&quot;/&gt;&lt;wsp:rsid wsp:val=&quot;38637D01&quot;/&gt;&lt;wsp:rsid wsp:val=&quot;38673C95&quot;/&gt;&lt;wsp:rsid wsp:val=&quot;38680BB0&quot;/&gt;&lt;wsp:rsid wsp:val=&quot;386817BB&quot;/&gt;&lt;wsp:rsid wsp:val=&quot;38683569&quot;/&gt;&lt;wsp:rsid wsp:val=&quot;386D5023&quot;/&gt;&lt;wsp:rsid wsp:val=&quot;386F47D8&quot;/&gt;&lt;wsp:rsid wsp:val=&quot;38710670&quot;/&gt;&lt;wsp:rsid wsp:val=&quot;387129B4&quot;/&gt;&lt;wsp:rsid wsp:val=&quot;387168C2&quot;/&gt;&lt;wsp:rsid wsp:val=&quot;3872263A&quot;/&gt;&lt;wsp:rsid wsp:val=&quot;38741A6E&quot;/&gt;&lt;wsp:rsid wsp:val=&quot;387719FE&quot;/&gt;&lt;wsp:rsid wsp:val=&quot;387839B1&quot;/&gt;&lt;wsp:rsid wsp:val=&quot;38795776&quot;/&gt;&lt;wsp:rsid wsp:val=&quot;387B329C&quot;/&gt;&lt;wsp:rsid wsp:val=&quot;387C0DC3&quot;/&gt;&lt;wsp:rsid wsp:val=&quot;387C7014&quot;/&gt;&lt;wsp:rsid wsp:val=&quot;387D5266&quot;/&gt;&lt;wsp:rsid wsp:val=&quot;387E1DB5&quot;/&gt;&lt;wsp:rsid wsp:val=&quot;387E4B3B&quot;/&gt;&lt;wsp:rsid wsp:val=&quot;387E56F1&quot;/&gt;&lt;wsp:rsid wsp:val=&quot;38804D57&quot;/&gt;&lt;wsp:rsid wsp:val=&quot;38822931&quot;/&gt;&lt;wsp:rsid wsp:val=&quot;38860C60&quot;/&gt;&lt;wsp:rsid wsp:val=&quot;38874CB5&quot;/&gt;&lt;wsp:rsid wsp:val=&quot;388760E5&quot;/&gt;&lt;wsp:rsid wsp:val=&quot;38883C0B&quot;/&gt;&lt;wsp:rsid wsp:val=&quot;388872E7&quot;/&gt;&lt;wsp:rsid wsp:val=&quot;38887767&quot;/&gt;&lt;wsp:rsid wsp:val=&quot;388A1731&quot;/&gt;&lt;wsp:rsid wsp:val=&quot;388A7983&quot;/&gt;&lt;wsp:rsid wsp:val=&quot;388B6865&quot;/&gt;&lt;wsp:rsid wsp:val=&quot;388C54AA&quot;/&gt;&lt;wsp:rsid wsp:val=&quot;388C7258&quot;/&gt;&lt;wsp:rsid wsp:val=&quot;388D2FD0&quot;/&gt;&lt;wsp:rsid wsp:val=&quot;38910D12&quot;/&gt;&lt;wsp:rsid wsp:val=&quot;38912AC0&quot;/&gt;&lt;wsp:rsid wsp:val=&quot;38924FF7&quot;/&gt;&lt;wsp:rsid wsp:val=&quot;38926838&quot;/&gt;&lt;wsp:rsid wsp:val=&quot;38932E51&quot;/&gt;&lt;wsp:rsid wsp:val=&quot;389425B0&quot;/&gt;&lt;wsp:rsid wsp:val=&quot;3894610C&quot;/&gt;&lt;wsp:rsid wsp:val=&quot;389600D6&quot;/&gt;&lt;wsp:rsid wsp:val=&quot;38966328&quot;/&gt;&lt;wsp:rsid wsp:val=&quot;38983E4E&quot;/&gt;&lt;wsp:rsid wsp:val=&quot;38991974&quot;/&gt;&lt;wsp:rsid wsp:val=&quot;389A7B4F&quot;/&gt;&lt;wsp:rsid wsp:val=&quot;389B393F&quot;/&gt;&lt;wsp:rsid wsp:val=&quot;389D76B7&quot;/&gt;&lt;wsp:rsid wsp:val=&quot;389E09C9&quot;/&gt;&lt;wsp:rsid wsp:val=&quot;389E6F8B&quot;/&gt;&lt;wsp:rsid wsp:val=&quot;38A00F55&quot;/&gt;&lt;wsp:rsid wsp:val=&quot;38A24CCD&quot;/&gt;&lt;wsp:rsid wsp:val=&quot;38A345A1&quot;/&gt;&lt;wsp:rsid wsp:val=&quot;38A4740C&quot;/&gt;&lt;wsp:rsid wsp:val=&quot;38A547BD&quot;/&gt;&lt;wsp:rsid wsp:val=&quot;38A5656B&quot;/&gt;&lt;wsp:rsid wsp:val=&quot;38A65E3F&quot;/&gt;&lt;wsp:rsid wsp:val=&quot;38A87E0A&quot;/&gt;&lt;wsp:rsid wsp:val=&quot;38AA1DD4&quot;/&gt;&lt;wsp:rsid wsp:val=&quot;38AB2FCD&quot;/&gt;&lt;wsp:rsid wsp:val=&quot;38AC5B4C&quot;/&gt;&lt;wsp:rsid wsp:val=&quot;38AD5420&quot;/&gt;&lt;wsp:rsid wsp:val=&quot;38AD71CE&quot;/&gt;&lt;wsp:rsid wsp:val=&quot;38AE3672&quot;/&gt;&lt;wsp:rsid wsp:val=&quot;38AF194E&quot;/&gt;&lt;wsp:rsid wsp:val=&quot;38AF451F&quot;/&gt;&lt;wsp:rsid wsp:val=&quot;38B042E6&quot;/&gt;&lt;wsp:rsid wsp:val=&quot;38B13162&quot;/&gt;&lt;wsp:rsid wsp:val=&quot;38B14F10&quot;/&gt;&lt;wsp:rsid wsp:val=&quot;38B302F9&quot;/&gt;&lt;wsp:rsid wsp:val=&quot;38B4055C&quot;/&gt;&lt;wsp:rsid wsp:val=&quot;38B62526&quot;/&gt;&lt;wsp:rsid wsp:val=&quot;38B8629F&quot;/&gt;&lt;wsp:rsid wsp:val=&quot;38B95B73&quot;/&gt;&lt;wsp:rsid wsp:val=&quot;38BA2A4A&quot;/&gt;&lt;wsp:rsid wsp:val=&quot;38BB5D8F&quot;/&gt;&lt;wsp:rsid wsp:val=&quot;38BE13DB&quot;/&gt;&lt;wsp:rsid wsp:val=&quot;38BF587F&quot;/&gt;&lt;wsp:rsid wsp:val=&quot;38C20ECB&quot;/&gt;&lt;wsp:rsid wsp:val=&quot;38C22C79&quot;/&gt;&lt;wsp:rsid wsp:val=&quot;38C42E95&quot;/&gt;&lt;wsp:rsid wsp:val=&quot;38C5276A&quot;/&gt;&lt;wsp:rsid wsp:val=&quot;38C57E86&quot;/&gt;&lt;wsp:rsid wsp:val=&quot;38C67BD5&quot;/&gt;&lt;wsp:rsid wsp:val=&quot;38C74734&quot;/&gt;&lt;wsp:rsid wsp:val=&quot;38C764E2&quot;/&gt;&lt;wsp:rsid wsp:val=&quot;38CA3FBC&quot;/&gt;&lt;wsp:rsid wsp:val=&quot;38CC7FAC&quot;/&gt;&lt;wsp:rsid wsp:val=&quot;38CD7870&quot;/&gt;&lt;wsp:rsid wsp:val=&quot;38CF183A&quot;/&gt;&lt;wsp:rsid wsp:val=&quot;38CF5396&quot;/&gt;&lt;wsp:rsid wsp:val=&quot;38D155B2&quot;/&gt;&lt;wsp:rsid wsp:val=&quot;38D34E86&quot;/&gt;&lt;wsp:rsid wsp:val=&quot;38D44DA9&quot;/&gt;&lt;wsp:rsid wsp:val=&quot;38D46E50&quot;/&gt;&lt;wsp:rsid wsp:val=&quot;38D56239&quot;/&gt;&lt;wsp:rsid wsp:val=&quot;38D62BC9&quot;/&gt;&lt;wsp:rsid wsp:val=&quot;38D86941&quot;/&gt;&lt;wsp:rsid wsp:val=&quot;38D94467&quot;/&gt;&lt;wsp:rsid wsp:val=&quot;38DB1F8D&quot;/&gt;&lt;wsp:rsid wsp:val=&quot;38DD5D05&quot;/&gt;&lt;wsp:rsid wsp:val=&quot;38E075A3&quot;/&gt;&lt;wsp:rsid wsp:val=&quot;38E2156D&quot;/&gt;&lt;wsp:rsid wsp:val=&quot;38E2331B&quot;/&gt;&lt;wsp:rsid wsp:val=&quot;38E250CA&quot;/&gt;&lt;wsp:rsid wsp:val=&quot;38E67EE2&quot;/&gt;&lt;wsp:rsid wsp:val=&quot;38E86458&quot;/&gt;&lt;wsp:rsid wsp:val=&quot;38EC7CF6&quot;/&gt;&lt;wsp:rsid wsp:val=&quot;38F06B94&quot;/&gt;&lt;wsp:rsid wsp:val=&quot;38F10544&quot;/&gt;&lt;wsp:rsid wsp:val=&quot;38F12CD3&quot;/&gt;&lt;wsp:rsid wsp:val=&quot;38F372D7&quot;/&gt;&lt;wsp:rsid wsp:val=&quot;38F4304F&quot;/&gt;&lt;wsp:rsid wsp:val=&quot;38F60B75&quot;/&gt;&lt;wsp:rsid wsp:val=&quot;38F7443E&quot;/&gt;&lt;wsp:rsid wsp:val=&quot;38F82D14&quot;/&gt;&lt;wsp:rsid wsp:val=&quot;38F94775&quot;/&gt;&lt;wsp:rsid wsp:val=&quot;38FA0FB5&quot;/&gt;&lt;wsp:rsid wsp:val=&quot;38FA41FB&quot;/&gt;&lt;wsp:rsid wsp:val=&quot;38FB43DD&quot;/&gt;&lt;wsp:rsid wsp:val=&quot;38FC13E4&quot;/&gt;&lt;wsp:rsid wsp:val=&quot;38FE0016&quot;/&gt;&lt;wsp:rsid wsp:val=&quot;38FE686D&quot;/&gt;&lt;wsp:rsid wsp:val=&quot;390019F4&quot;/&gt;&lt;wsp:rsid wsp:val=&quot;390239BE&quot;/&gt;&lt;wsp:rsid wsp:val=&quot;3905525C&quot;/&gt;&lt;wsp:rsid wsp:val=&quot;39060070&quot;/&gt;&lt;wsp:rsid wsp:val=&quot;39062BB4&quot;/&gt;&lt;wsp:rsid wsp:val=&quot;39094D4C&quot;/&gt;&lt;wsp:rsid wsp:val=&quot;390A4523&quot;/&gt;&lt;wsp:rsid wsp:val=&quot;390B7A49&quot;/&gt;&lt;wsp:rsid wsp:val=&quot;390E4110&quot;/&gt;&lt;wsp:rsid wsp:val=&quot;390F0F9B&quot;/&gt;&lt;wsp:rsid wsp:val=&quot;390F4B3F&quot;/&gt;&lt;wsp:rsid wsp:val=&quot;39111E53&quot;/&gt;&lt;wsp:rsid wsp:val=&quot;391159AF&quot;/&gt;&lt;wsp:rsid wsp:val=&quot;3914724D&quot;/&gt;&lt;wsp:rsid wsp:val=&quot;391835B0&quot;/&gt;&lt;wsp:rsid wsp:val=&quot;39191B60&quot;/&gt;&lt;wsp:rsid wsp:val=&quot;39195BD6&quot;/&gt;&lt;wsp:rsid wsp:val=&quot;391B04A7&quot;/&gt;&lt;wsp:rsid wsp:val=&quot;391B05DB&quot;/&gt;&lt;wsp:rsid wsp:val=&quot;391D1E5E&quot;/&gt;&lt;wsp:rsid wsp:val=&quot;391D4354&quot;/&gt;&lt;wsp:rsid wsp:val=&quot;391F2DAA&quot;/&gt;&lt;wsp:rsid wsp:val=&quot;39205BF2&quot;/&gt;&lt;wsp:rsid wsp:val=&quot;392334FC&quot;/&gt;&lt;wsp:rsid wsp:val=&quot;39241B86&quot;/&gt;&lt;wsp:rsid wsp:val=&quot;392576AC&quot;/&gt;&lt;wsp:rsid wsp:val=&quot;392751D2&quot;/&gt;&lt;wsp:rsid wsp:val=&quot;392971ED&quot;/&gt;&lt;wsp:rsid wsp:val=&quot;392B4462&quot;/&gt;&lt;wsp:rsid wsp:val=&quot;392F4087&quot;/&gt;&lt;wsp:rsid wsp:val=&quot;39306E52&quot;/&gt;&lt;wsp:rsid wsp:val=&quot;39307317&quot;/&gt;&lt;wsp:rsid wsp:val=&quot;39311BAD&quot;/&gt;&lt;wsp:rsid wsp:val=&quot;39316051&quot;/&gt;&lt;wsp:rsid wsp:val=&quot;39316DD0&quot;/&gt;&lt;wsp:rsid wsp:val=&quot;39325651&quot;/&gt;&lt;wsp:rsid wsp:val=&quot;39335925&quot;/&gt;&lt;wsp:rsid wsp:val=&quot;39341601&quot;/&gt;&lt;wsp:rsid wsp:val=&quot;3934169D&quot;/&gt;&lt;wsp:rsid wsp:val=&quot;393578EF&quot;/&gt;&lt;wsp:rsid wsp:val=&quot;393671C3&quot;/&gt;&lt;wsp:rsid wsp:val=&quot;39382F3B&quot;/&gt;&lt;wsp:rsid wsp:val=&quot;39383970&quot;/&gt;&lt;wsp:rsid wsp:val=&quot;3939544D&quot;/&gt;&lt;wsp:rsid wsp:val=&quot;393A3157&quot;/&gt;&lt;wsp:rsid wsp:val=&quot;393A4F06&quot;/&gt;&lt;wsp:rsid wsp:val=&quot;393D0C91&quot;/&gt;&lt;wsp:rsid wsp:val=&quot;393D49F6&quot;/&gt;&lt;wsp:rsid wsp:val=&quot;393D67A4&quot;/&gt;&lt;wsp:rsid wsp:val=&quot;393F251C&quot;/&gt;&lt;wsp:rsid wsp:val=&quot;39404092&quot;/&gt;&lt;wsp:rsid wsp:val=&quot;39406294&quot;/&gt;&lt;wsp:rsid wsp:val=&quot;394151DB&quot;/&gt;&lt;wsp:rsid wsp:val=&quot;39423DBA&quot;/&gt;&lt;wsp:rsid wsp:val=&quot;39427A81&quot;/&gt;&lt;wsp:rsid wsp:val=&quot;39445009&quot;/&gt;&lt;wsp:rsid wsp:val=&quot;39445D84&quot;/&gt;&lt;wsp:rsid wsp:val=&quot;39455658&quot;/&gt;&lt;wsp:rsid wsp:val=&quot;39475A91&quot;/&gt;&lt;wsp:rsid wsp:val=&quot;39477622&quot;/&gt;&lt;wsp:rsid wsp:val=&quot;39484534&quot;/&gt;&lt;wsp:rsid wsp:val=&quot;394915ED&quot;/&gt;&lt;wsp:rsid wsp:val=&quot;394A0EC1&quot;/&gt;&lt;wsp:rsid wsp:val=&quot;394A3540&quot;/&gt;&lt;wsp:rsid wsp:val=&quot;394C4C39&quot;/&gt;&lt;wsp:rsid wsp:val=&quot;394F0285&quot;/&gt;&lt;wsp:rsid wsp:val=&quot;395104A1&quot;/&gt;&lt;wsp:rsid wsp:val=&quot;395313F4&quot;/&gt;&lt;wsp:rsid wsp:val=&quot;39535FC7&quot;/&gt;&lt;wsp:rsid wsp:val=&quot;39551D3F&quot;/&gt;&lt;wsp:rsid wsp:val=&quot;39553AED&quot;/&gt;&lt;wsp:rsid wsp:val=&quot;39557F91&quot;/&gt;&lt;wsp:rsid wsp:val=&quot;39561614&quot;/&gt;&lt;wsp:rsid wsp:val=&quot;395D6E46&quot;/&gt;&lt;wsp:rsid wsp:val=&quot;39643D30&quot;/&gt;&lt;wsp:rsid wsp:val=&quot;39650654&quot;/&gt;&lt;wsp:rsid wsp:val=&quot;39656F67&quot;/&gt;&lt;wsp:rsid wsp:val=&quot;39665CFB&quot;/&gt;&lt;wsp:rsid wsp:val=&quot;39667EF3&quot;/&gt;&lt;wsp:rsid wsp:val=&quot;39673821&quot;/&gt;&lt;wsp:rsid wsp:val=&quot;39677CC5&quot;/&gt;&lt;wsp:rsid wsp:val=&quot;396957EB&quot;/&gt;&lt;wsp:rsid wsp:val=&quot;396A50BF&quot;/&gt;&lt;wsp:rsid wsp:val=&quot;396C0E37&quot;/&gt;&lt;wsp:rsid wsp:val=&quot;396F26D5&quot;/&gt;&lt;wsp:rsid wsp:val=&quot;39700927&quot;/&gt;&lt;wsp:rsid wsp:val=&quot;39702384&quot;/&gt;&lt;wsp:rsid wsp:val=&quot;3971644D&quot;/&gt;&lt;wsp:rsid wsp:val=&quot;397228F1&quot;/&gt;&lt;wsp:rsid wsp:val=&quot;39736669&quot;/&gt;&lt;wsp:rsid wsp:val=&quot;39761CC4&quot;/&gt;&lt;wsp:rsid wsp:val=&quot;39777F08&quot;/&gt;&lt;wsp:rsid wsp:val=&quot;397A3554&quot;/&gt;&lt;wsp:rsid wsp:val=&quot;397A79F8&quot;/&gt;&lt;wsp:rsid wsp:val=&quot;397C1E1E&quot;/&gt;&lt;wsp:rsid wsp:val=&quot;397C551E&quot;/&gt;&lt;wsp:rsid wsp:val=&quot;397D1296&quot;/&gt;&lt;wsp:rsid wsp:val=&quot;397D3044&quot;/&gt;&lt;wsp:rsid wsp:val=&quot;397D5501&quot;/&gt;&lt;wsp:rsid wsp:val=&quot;397E6971&quot;/&gt;&lt;wsp:rsid wsp:val=&quot;397E7B4D&quot;/&gt;&lt;wsp:rsid wsp:val=&quot;397F6DBC&quot;/&gt;&lt;wsp:rsid wsp:val=&quot;39803F30&quot;/&gt;&lt;wsp:rsid wsp:val=&quot;39842625&quot;/&gt;&lt;wsp:rsid wsp:val=&quot;3986014B&quot;/&gt;&lt;wsp:rsid wsp:val=&quot;398610CE&quot;/&gt;&lt;wsp:rsid wsp:val=&quot;39872A47&quot;/&gt;&lt;wsp:rsid wsp:val=&quot;398B750F&quot;/&gt;&lt;wsp:rsid wsp:val=&quot;398D1190&quot;/&gt;&lt;wsp:rsid wsp:val=&quot;398E34A3&quot;/&gt;&lt;wsp:rsid wsp:val=&quot;398E7860&quot;/&gt;&lt;wsp:rsid wsp:val=&quot;39902D77&quot;/&gt;&lt;wsp:rsid wsp:val=&quot;39904B26&quot;/&gt;&lt;wsp:rsid wsp:val=&quot;39916AF0&quot;/&gt;&lt;wsp:rsid wsp:val=&quot;399239C7&quot;/&gt;&lt;wsp:rsid wsp:val=&quot;39927671&quot;/&gt;&lt;wsp:rsid wsp:val=&quot;39930ABA&quot;/&gt;&lt;wsp:rsid wsp:val=&quot;399436D2&quot;/&gt;&lt;wsp:rsid wsp:val=&quot;399565E0&quot;/&gt;&lt;wsp:rsid wsp:val=&quot;39964993&quot;/&gt;&lt;wsp:rsid wsp:val=&quot;3996700F&quot;/&gt;&lt;wsp:rsid wsp:val=&quot;39970912&quot;/&gt;&lt;wsp:rsid wsp:val=&quot;39972358&quot;/&gt;&lt;wsp:rsid wsp:val=&quot;39990BFA&quot;/&gt;&lt;wsp:rsid wsp:val=&quot;399B34CA&quot;/&gt;&lt;wsp:rsid wsp:val=&quot;399C171C&quot;/&gt;&lt;wsp:rsid wsp:val=&quot;399E6185&quot;/&gt;&lt;wsp:rsid wsp:val=&quot;399F745E&quot;/&gt;&lt;wsp:rsid wsp:val=&quot;39A131D7&quot;/&gt;&lt;wsp:rsid wsp:val=&quot;39A14595&quot;/&gt;&lt;wsp:rsid wsp:val=&quot;39A14F85&quot;/&gt;&lt;wsp:rsid wsp:val=&quot;39A30504&quot;/&gt;&lt;wsp:rsid wsp:val=&quot;39A44657&quot;/&gt;&lt;wsp:rsid wsp:val=&quot;39A46823&quot;/&gt;&lt;wsp:rsid wsp:val=&quot;39A607ED&quot;/&gt;&lt;wsp:rsid wsp:val=&quot;39A9208B&quot;/&gt;&lt;wsp:rsid wsp:val=&quot;39A95BE7&quot;/&gt;&lt;wsp:rsid wsp:val=&quot;39AB195F&quot;/&gt;&lt;wsp:rsid wsp:val=&quot;39AF63D9&quot;/&gt;&lt;wsp:rsid wsp:val=&quot;39B051C8&quot;/&gt;&lt;wsp:rsid wsp:val=&quot;39B12CEE&quot;/&gt;&lt;wsp:rsid wsp:val=&quot;39B20F40&quot;/&gt;&lt;wsp:rsid wsp:val=&quot;39B27192&quot;/&gt;&lt;wsp:rsid wsp:val=&quot;39B742F7&quot;/&gt;&lt;wsp:rsid wsp:val=&quot;39B8138C&quot;/&gt;&lt;wsp:rsid wsp:val=&quot;39B8407C&quot;/&gt;&lt;wsp:rsid wsp:val=&quot;39B90520&quot;/&gt;&lt;wsp:rsid wsp:val=&quot;39BA4298&quot;/&gt;&lt;wsp:rsid wsp:val=&quot;39BA7DF4&quot;/&gt;&lt;wsp:rsid wsp:val=&quot;39BC591B&quot;/&gt;&lt;wsp:rsid wsp:val=&quot;39BD78E5&quot;/&gt;&lt;wsp:rsid wsp:val=&quot;39BF18AF&quot;/&gt;&lt;wsp:rsid wsp:val=&quot;39C173D5&quot;/&gt;&lt;wsp:rsid wsp:val=&quot;39C3314D&quot;/&gt;&lt;wsp:rsid wsp:val=&quot;39C4792F&quot;/&gt;&lt;wsp:rsid wsp:val=&quot;39C62C3D&quot;/&gt;&lt;wsp:rsid wsp:val=&quot;39C63F54&quot;/&gt;&lt;wsp:rsid wsp:val=&quot;39C80763&quot;/&gt;&lt;wsp:rsid wsp:val=&quot;39C87DCA&quot;/&gt;&lt;wsp:rsid wsp:val=&quot;39CE38A0&quot;/&gt;&lt;wsp:rsid wsp:val=&quot;39CE564E&quot;/&gt;&lt;wsp:rsid wsp:val=&quot;39D013C6&quot;/&gt;&lt;wsp:rsid wsp:val=&quot;39D07618&quot;/&gt;&lt;wsp:rsid wsp:val=&quot;39D215E2&quot;/&gt;&lt;wsp:rsid wsp:val=&quot;39D2513E&quot;/&gt;&lt;wsp:rsid wsp:val=&quot;39D76BF8&quot;/&gt;&lt;wsp:rsid wsp:val=&quot;39DA2245&quot;/&gt;&lt;wsp:rsid wsp:val=&quot;39DC420F&quot;/&gt;&lt;wsp:rsid wsp:val=&quot;39DC5FBD&quot;/&gt;&lt;wsp:rsid wsp:val=&quot;39DE7F87&quot;/&gt;&lt;wsp:rsid wsp:val=&quot;39DF3CFF&quot;/&gt;&lt;wsp:rsid wsp:val=&quot;39DF5C78&quot;/&gt;&lt;wsp:rsid wsp:val=&quot;39DF785B&quot;/&gt;&lt;wsp:rsid wsp:val=&quot;39E15381&quot;/&gt;&lt;wsp:rsid wsp:val=&quot;39E3574B&quot;/&gt;&lt;wsp:rsid wsp:val=&quot;39E3734B&quot;/&gt;&lt;wsp:rsid wsp:val=&quot;39E60BE9&quot;/&gt;&lt;wsp:rsid wsp:val=&quot;39E62997&quot;/&gt;&lt;wsp:rsid wsp:val=&quot;39E6440A&quot;/&gt;&lt;wsp:rsid wsp:val=&quot;39E6508D&quot;/&gt;&lt;wsp:rsid wsp:val=&quot;39E76710&quot;/&gt;&lt;wsp:rsid wsp:val=&quot;39E84962&quot;/&gt;&lt;wsp:rsid wsp:val=&quot;39E906DA&quot;/&gt;&lt;wsp:rsid wsp:val=&quot;39EB091C&quot;/&gt;&lt;wsp:rsid wsp:val=&quot;39ED01CA&quot;/&gt;&lt;wsp:rsid wsp:val=&quot;39EE7A9E&quot;/&gt;&lt;wsp:rsid wsp:val=&quot;39EF3F42&quot;/&gt;&lt;wsp:rsid wsp:val=&quot;39F01A68&quot;/&gt;&lt;wsp:rsid wsp:val=&quot;39F257E0&quot;/&gt;&lt;wsp:rsid wsp:val=&quot;39F2758E&quot;/&gt;&lt;wsp:rsid wsp:val=&quot;39F32179&quot;/&gt;&lt;wsp:rsid wsp:val=&quot;39F33306&quot;/&gt;&lt;wsp:rsid wsp:val=&quot;39F477B4&quot;/&gt;&lt;wsp:rsid wsp:val=&quot;39F71049&quot;/&gt;&lt;wsp:rsid wsp:val=&quot;39F74BA5&quot;/&gt;&lt;wsp:rsid wsp:val=&quot;39F83C4E&quot;/&gt;&lt;wsp:rsid wsp:val=&quot;39F94DC1&quot;/&gt;&lt;wsp:rsid wsp:val=&quot;39F96B6F&quot;/&gt;&lt;wsp:rsid wsp:val=&quot;39FA28E7&quot;/&gt;&lt;wsp:rsid wsp:val=&quot;39FE0F50&quot;/&gt;&lt;wsp:rsid wsp:val=&quot;39FE4185&quot;/&gt;&lt;wsp:rsid wsp:val=&quot;39FF3A59&quot;/&gt;&lt;wsp:rsid wsp:val=&quot;3A013C75&quot;/&gt;&lt;wsp:rsid wsp:val=&quot;3A033549&quot;/&gt;&lt;wsp:rsid wsp:val=&quot;3A0472C2&quot;/&gt;&lt;wsp:rsid wsp:val=&quot;3A06303A&quot;/&gt;&lt;wsp:rsid wsp:val=&quot;3A064DE8&quot;/&gt;&lt;wsp:rsid wsp:val=&quot;3A07786C&quot;/&gt;&lt;wsp:rsid wsp:val=&quot;3A080B60&quot;/&gt;&lt;wsp:rsid wsp:val=&quot;3A0B0650&quot;/&gt;&lt;wsp:rsid wsp:val=&quot;3A0B1FE4&quot;/&gt;&lt;wsp:rsid wsp:val=&quot;3A0D43C8&quot;/&gt;&lt;wsp:rsid wsp:val=&quot;3A10210A&quot;/&gt;&lt;wsp:rsid wsp:val=&quot;3A103EB8&quot;/&gt;&lt;wsp:rsid wsp:val=&quot;3A12378C&quot;/&gt;&lt;wsp:rsid wsp:val=&quot;3A127C30&quot;/&gt;&lt;wsp:rsid wsp:val=&quot;3A137505&quot;/&gt;&lt;wsp:rsid wsp:val=&quot;3A1439A9&quot;/&gt;&lt;wsp:rsid wsp:val=&quot;3A1514CF&quot;/&gt;&lt;wsp:rsid wsp:val=&quot;3A15327D&quot;/&gt;&lt;wsp:rsid wsp:val=&quot;3A155D47&quot;/&gt;&lt;wsp:rsid wsp:val=&quot;3A173499&quot;/&gt;&lt;wsp:rsid wsp:val=&quot;3A175247&quot;/&gt;&lt;wsp:rsid wsp:val=&quot;3A176FF5&quot;/&gt;&lt;wsp:rsid wsp:val=&quot;3A185C7A&quot;/&gt;&lt;wsp:rsid wsp:val=&quot;3A1A0893&quot;/&gt;&lt;wsp:rsid wsp:val=&quot;3A1A679C&quot;/&gt;&lt;wsp:rsid wsp:val=&quot;3A1B1BB9&quot;/&gt;&lt;wsp:rsid wsp:val=&quot;3A1C460B&quot;/&gt;&lt;wsp:rsid wsp:val=&quot;3A1D44D9&quot;/&gt;&lt;wsp:rsid wsp:val=&quot;3A233BEC&quot;/&gt;&lt;wsp:rsid wsp:val=&quot;3A241712&quot;/&gt;&lt;wsp:rsid wsp:val=&quot;3A245469&quot;/&gt;&lt;wsp:rsid wsp:val=&quot;3A25040D&quot;/&gt;&lt;wsp:rsid wsp:val=&quot;3A255BB6&quot;/&gt;&lt;wsp:rsid wsp:val=&quot;3A2619FB&quot;/&gt;&lt;wsp:rsid wsp:val=&quot;3A26548A&quot;/&gt;&lt;wsp:rsid wsp:val=&quot;3A282FB0&quot;/&gt;&lt;wsp:rsid wsp:val=&quot;3A296D28&quot;/&gt;&lt;wsp:rsid wsp:val=&quot;3A2A31CC&quot;/&gt;&lt;wsp:rsid wsp:val=&quot;3A2A4F7A&quot;/&gt;&lt;wsp:rsid wsp:val=&quot;3A2B2AA0&quot;/&gt;&lt;wsp:rsid wsp:val=&quot;3A2C570F&quot;/&gt;&lt;wsp:rsid wsp:val=&quot;3A2E2C61&quot;/&gt;&lt;wsp:rsid wsp:val=&quot;3A2F07E2&quot;/&gt;&lt;wsp:rsid wsp:val=&quot;3A2F2590&quot;/&gt;&lt;wsp:rsid wsp:val=&quot;3A2F25D4&quot;/&gt;&lt;wsp:rsid wsp:val=&quot;3A2F628B&quot;/&gt;&lt;wsp:rsid wsp:val=&quot;3A311201&quot;/&gt;&lt;wsp:rsid wsp:val=&quot;3A323FC3&quot;/&gt;&lt;wsp:rsid wsp:val=&quot;3A331955&quot;/&gt;&lt;wsp:rsid wsp:val=&quot;3A347BA7&quot;/&gt;&lt;wsp:rsid wsp:val=&quot;3A355331&quot;/&gt;&lt;wsp:rsid wsp:val=&quot;3A3556CD&quot;/&gt;&lt;wsp:rsid wsp:val=&quot;3A361B71&quot;/&gt;&lt;wsp:rsid wsp:val=&quot;3A3A2CE3&quot;/&gt;&lt;wsp:rsid wsp:val=&quot;3A3C2EFF&quot;/&gt;&lt;wsp:rsid wsp:val=&quot;3A4019E9&quot;/&gt;&lt;wsp:rsid wsp:val=&quot;3A410DCE&quot;/&gt;&lt;wsp:rsid wsp:val=&quot;3A4122C4&quot;/&gt;&lt;wsp:rsid wsp:val=&quot;3A414072&quot;/&gt;&lt;wsp:rsid wsp:val=&quot;3A437DEA&quot;/&gt;&lt;wsp:rsid wsp:val=&quot;3A44036E&quot;/&gt;&lt;wsp:rsid wsp:val=&quot;3A461688&quot;/&gt;&lt;wsp:rsid wsp:val=&quot;3A465B2C&quot;/&gt;&lt;wsp:rsid wsp:val=&quot;3A466755&quot;/&gt;&lt;wsp:rsid wsp:val=&quot;3A4818A4&quot;/&gt;&lt;wsp:rsid wsp:val=&quot;3A4A73CA&quot;/&gt;&lt;wsp:rsid wsp:val=&quot;3A4B4EF0&quot;/&gt;&lt;wsp:rsid wsp:val=&quot;3A4C3887&quot;/&gt;&lt;wsp:rsid wsp:val=&quot;3A4D4A47&quot;/&gt;&lt;wsp:rsid wsp:val=&quot;3A4F4F2D&quot;/&gt;&lt;wsp:rsid wsp:val=&quot;3A5169AB&quot;/&gt;&lt;wsp:rsid wsp:val=&quot;3A51788C&quot;/&gt;&lt;wsp:rsid wsp:val=&quot;3A541FF7&quot;/&gt;&lt;wsp:rsid wsp:val=&quot;3A543DA5&quot;/&gt;&lt;wsp:rsid wsp:val=&quot;3A575643&quot;/&gt;&lt;wsp:rsid wsp:val=&quot;3A5913BB&quot;/&gt;&lt;wsp:rsid wsp:val=&quot;3A5A447A&quot;/&gt;&lt;wsp:rsid wsp:val=&quot;3A5B3385&quot;/&gt;&lt;wsp:rsid wsp:val=&quot;3A5B574A&quot;/&gt;&lt;wsp:rsid wsp:val=&quot;3A5D6AE5&quot;/&gt;&lt;wsp:rsid wsp:val=&quot;3A5E4C24&quot;/&gt;&lt;wsp:rsid wsp:val=&quot;3A5E69D2&quot;/&gt;&lt;wsp:rsid wsp:val=&quot;3A5F274A&quot;/&gt;&lt;wsp:rsid wsp:val=&quot;3A606BEE&quot;/&gt;&lt;wsp:rsid wsp:val=&quot;3A612966&quot;/&gt;&lt;wsp:rsid wsp:val=&quot;3A63223A&quot;/&gt;&lt;wsp:rsid wsp:val=&quot;3A636C6D&quot;/&gt;&lt;wsp:rsid wsp:val=&quot;3A647D60&quot;/&gt;&lt;wsp:rsid wsp:val=&quot;3A663EE1&quot;/&gt;&lt;wsp:rsid wsp:val=&quot;3A667F7C&quot;/&gt;&lt;wsp:rsid wsp:val=&quot;3A687850&quot;/&gt;&lt;wsp:rsid wsp:val=&quot;3A6A35C8&quot;/&gt;&lt;wsp:rsid wsp:val=&quot;3A6B24B9&quot;/&gt;&lt;wsp:rsid wsp:val=&quot;3A6B5F4D&quot;/&gt;&lt;wsp:rsid wsp:val=&quot;3A6B7341&quot;/&gt;&lt;wsp:rsid wsp:val=&quot;3A6C5593&quot;/&gt;&lt;wsp:rsid wsp:val=&quot;3A707DE1&quot;/&gt;&lt;wsp:rsid wsp:val=&quot;3A72452B&quot;/&gt;&lt;wsp:rsid wsp:val=&quot;3A757B75&quot;/&gt;&lt;wsp:rsid wsp:val=&quot;3A763C53&quot;/&gt;&lt;wsp:rsid wsp:val=&quot;3A784304&quot;/&gt;&lt;wsp:rsid wsp:val=&quot;3A79202A&quot;/&gt;&lt;wsp:rsid wsp:val=&quot;3A79380C&quot;/&gt;&lt;wsp:rsid wsp:val=&quot;3A7A3A64&quot;/&gt;&lt;wsp:rsid wsp:val=&quot;3A7E7074&quot;/&gt;&lt;wsp:rsid wsp:val=&quot;3A7E7310&quot;/&gt;&lt;wsp:rsid wsp:val=&quot;3A802DEC&quot;/&gt;&lt;wsp:rsid wsp:val=&quot;3A810912&quot;/&gt;&lt;wsp:rsid wsp:val=&quot;3A816B64&quot;/&gt;&lt;wsp:rsid wsp:val=&quot;3A8328DC&quot;/&gt;&lt;wsp:rsid wsp:val=&quot;3A856654&quot;/&gt;&lt;wsp:rsid wsp:val=&quot;3A86417A&quot;/&gt;&lt;wsp:rsid wsp:val=&quot;3A872856&quot;/&gt;&lt;wsp:rsid wsp:val=&quot;3A884996&quot;/&gt;&lt;wsp:rsid wsp:val=&quot;3A8A77C7&quot;/&gt;&lt;wsp:rsid wsp:val=&quot;3A8B75BA&quot;/&gt;&lt;wsp:rsid wsp:val=&quot;3A8F74D3&quot;/&gt;&lt;wsp:rsid wsp:val=&quot;3A9028D6&quot;/&gt;&lt;wsp:rsid wsp:val=&quot;3A914FF9&quot;/&gt;&lt;wsp:rsid wsp:val=&quot;3A9248CD&quot;/&gt;&lt;wsp:rsid wsp:val=&quot;3A941DDB&quot;/&gt;&lt;wsp:rsid wsp:val=&quot;3A943F6D&quot;/&gt;&lt;wsp:rsid wsp:val=&quot;3A9643BE&quot;/&gt;&lt;wsp:rsid wsp:val=&quot;3A976388&quot;/&gt;&lt;wsp:rsid wsp:val=&quot;3A992100&quot;/&gt;&lt;wsp:rsid wsp:val=&quot;3A9B5E78&quot;/&gt;&lt;wsp:rsid wsp:val=&quot;3A9B7C26&quot;/&gt;&lt;wsp:rsid wsp:val=&quot;3A9C574C&quot;/&gt;&lt;wsp:rsid wsp:val=&quot;3A9E028E&quot;/&gt;&lt;wsp:rsid wsp:val=&quot;3AA30888&quot;/&gt;&lt;wsp:rsid wsp:val=&quot;3AA33889&quot;/&gt;&lt;wsp:rsid wsp:val=&quot;3AA34D2C&quot;/&gt;&lt;wsp:rsid wsp:val=&quot;3AA54601&quot;/&gt;&lt;wsp:rsid wsp:val=&quot;3AA80595&quot;/&gt;&lt;wsp:rsid wsp:val=&quot;3AA84F4E&quot;/&gt;&lt;wsp:rsid wsp:val=&quot;3AAA60BB&quot;/&gt;&lt;wsp:rsid wsp:val=&quot;3AAD14C4&quot;/&gt;&lt;wsp:rsid wsp:val=&quot;3AB02FA5&quot;/&gt;&lt;wsp:rsid wsp:val=&quot;3AB115D7&quot;/&gt;&lt;wsp:rsid wsp:val=&quot;3AB24F6F&quot;/&gt;&lt;wsp:rsid wsp:val=&quot;3AB4781F&quot;/&gt;&lt;wsp:rsid wsp:val=&quot;3AB64A60&quot;/&gt;&lt;wsp:rsid wsp:val=&quot;3AB6680E&quot;/&gt;&lt;wsp:rsid wsp:val=&quot;3AB962FE&quot;/&gt;&lt;wsp:rsid wsp:val=&quot;3ABB2076&quot;/&gt;&lt;wsp:rsid wsp:val=&quot;3ABB3E24&quot;/&gt;&lt;wsp:rsid wsp:val=&quot;3AC0143A&quot;/&gt;&lt;wsp:rsid wsp:val=&quot;3AC0768C&quot;/&gt;&lt;wsp:rsid wsp:val=&quot;3AC132B4&quot;/&gt;&lt;wsp:rsid wsp:val=&quot;3AC25823&quot;/&gt;&lt;wsp:rsid wsp:val=&quot;3AC30F2B&quot;/&gt;&lt;wsp:rsid wsp:val=&quot;3AC3717D&quot;/&gt;&lt;wsp:rsid wsp:val=&quot;3AC54CA3&quot;/&gt;&lt;wsp:rsid wsp:val=&quot;3AC834FB&quot;/&gt;&lt;wsp:rsid wsp:val=&quot;3AC86541&quot;/&gt;&lt;wsp:rsid wsp:val=&quot;3AC96ADB&quot;/&gt;&lt;wsp:rsid wsp:val=&quot;3ACA4067&quot;/&gt;&lt;wsp:rsid wsp:val=&quot;3ACB24DB&quot;/&gt;&lt;wsp:rsid wsp:val=&quot;3ACC4283&quot;/&gt;&lt;wsp:rsid wsp:val=&quot;3ACC6031&quot;/&gt;&lt;wsp:rsid wsp:val=&quot;3ACC7DDF&quot;/&gt;&lt;wsp:rsid wsp:val=&quot;3ACF167E&quot;/&gt;&lt;wsp:rsid wsp:val=&quot;3ACF78CF&quot;/&gt;&lt;wsp:rsid wsp:val=&quot;3AD35612&quot;/&gt;&lt;wsp:rsid wsp:val=&quot;3AD71C07&quot;/&gt;&lt;wsp:rsid wsp:val=&quot;3AD76784&quot;/&gt;&lt;wsp:rsid wsp:val=&quot;3AD818AF&quot;/&gt;&lt;wsp:rsid wsp:val=&quot;3AD82C28&quot;/&gt;&lt;wsp:rsid wsp:val=&quot;3ADC3D9A&quot;/&gt;&lt;wsp:rsid wsp:val=&quot;3ADD023E&quot;/&gt;&lt;wsp:rsid wsp:val=&quot;3ADD1FEC&quot;/&gt;&lt;wsp:rsid wsp:val=&quot;3ADE3FB6&quot;/&gt;&lt;wsp:rsid wsp:val=&quot;3ADE5D64&quot;/&gt;&lt;wsp:rsid wsp:val=&quot;3AE0388B&quot;/&gt;&lt;wsp:rsid wsp:val=&quot;3AE2555B&quot;/&gt;&lt;wsp:rsid wsp:val=&quot;3AE31593&quot;/&gt;&lt;wsp:rsid wsp:val=&quot;3AE35129&quot;/&gt;&lt;wsp:rsid wsp:val=&quot;3AE461D5&quot;/&gt;&lt;wsp:rsid wsp:val=&quot;3AE52BFA&quot;/&gt;&lt;wsp:rsid wsp:val=&quot;3AE71BE5&quot;/&gt;&lt;wsp:rsid wsp:val=&quot;3AE84EDD&quot;/&gt;&lt;wsp:rsid wsp:val=&quot;3AE96BE3&quot;/&gt;&lt;wsp:rsid wsp:val=&quot;3AEA295B&quot;/&gt;&lt;wsp:rsid wsp:val=&quot;3AEA40B8&quot;/&gt;&lt;wsp:rsid wsp:val=&quot;3AEA64B7&quot;/&gt;&lt;wsp:rsid wsp:val=&quot;3AEC0481&quot;/&gt;&lt;wsp:rsid wsp:val=&quot;3AEC7B7A&quot;/&gt;&lt;wsp:rsid wsp:val=&quot;3AED5FA8&quot;/&gt;&lt;wsp:rsid wsp:val=&quot;3AEE244B&quot;/&gt;&lt;wsp:rsid wsp:val=&quot;3AEF7F72&quot;/&gt;&lt;wsp:rsid wsp:val=&quot;3AF02707&quot;/&gt;&lt;wsp:rsid wsp:val=&quot;3AF25027&quot;/&gt;&lt;wsp:rsid wsp:val=&quot;3AF410E4&quot;/&gt;&lt;wsp:rsid wsp:val=&quot;3AF61300&quot;/&gt;&lt;wsp:rsid wsp:val=&quot;3AF64E5C&quot;/&gt;&lt;wsp:rsid wsp:val=&quot;3AF70BD4&quot;/&gt;&lt;wsp:rsid wsp:val=&quot;3AF76FF8&quot;/&gt;&lt;wsp:rsid wsp:val=&quot;3AFA0DF0&quot;/&gt;&lt;wsp:rsid wsp:val=&quot;3AFC23EB&quot;/&gt;&lt;wsp:rsid wsp:val=&quot;3AFD4CED&quot;/&gt;&lt;wsp:rsid wsp:val=&quot;3AFF0E7D&quot;/&gt;&lt;wsp:rsid wsp:val=&quot;3AFF6407&quot;/&gt;&lt;wsp:rsid wsp:val=&quot;3B007A89&quot;/&gt;&lt;wsp:rsid wsp:val=&quot;3B021A53&quot;/&gt;&lt;wsp:rsid wsp:val=&quot;3B051543&quot;/&gt;&lt;wsp:rsid wsp:val=&quot;3B053A83&quot;/&gt;&lt;wsp:rsid wsp:val=&quot;3B057795&quot;/&gt;&lt;wsp:rsid wsp:val=&quot;3B084B8F&quot;/&gt;&lt;wsp:rsid wsp:val=&quot;3B091033&quot;/&gt;&lt;wsp:rsid wsp:val=&quot;3B0A1C96&quot;/&gt;&lt;wsp:rsid wsp:val=&quot;3B0A2042&quot;/&gt;&lt;wsp:rsid wsp:val=&quot;3B0A5E7F&quot;/&gt;&lt;wsp:rsid wsp:val=&quot;3B0A6C5F&quot;/&gt;&lt;wsp:rsid wsp:val=&quot;3B0C4680&quot;/&gt;&lt;wsp:rsid wsp:val=&quot;3B0D1C2F&quot;/&gt;&lt;wsp:rsid wsp:val=&quot;3B0E03F8&quot;/&gt;&lt;wsp:rsid wsp:val=&quot;3B0E263C&quot;/&gt;&lt;wsp:rsid wsp:val=&quot;3B141B02&quot;/&gt;&lt;wsp:rsid wsp:val=&quot;3B143534&quot;/&gt;&lt;wsp:rsid wsp:val=&quot;3B1479D8&quot;/&gt;&lt;wsp:rsid wsp:val=&quot;3B196D9D&quot;/&gt;&lt;wsp:rsid wsp:val=&quot;3B1B2B15&quot;/&gt;&lt;wsp:rsid wsp:val=&quot;3B1B48C3&quot;/&gt;&lt;wsp:rsid wsp:val=&quot;3B1B6E04&quot;/&gt;&lt;wsp:rsid wsp:val=&quot;3B1D1699&quot;/&gt;&lt;wsp:rsid wsp:val=&quot;3B1D688D&quot;/&gt;&lt;wsp:rsid wsp:val=&quot;3B1E43B3&quot;/&gt;&lt;wsp:rsid wsp:val=&quot;3B20637D&quot;/&gt;&lt;wsp:rsid wsp:val=&quot;3B211535&quot;/&gt;&lt;wsp:rsid wsp:val=&quot;3B2229C5&quot;/&gt;&lt;wsp:rsid wsp:val=&quot;3B2306F7&quot;/&gt;&lt;wsp:rsid wsp:val=&quot;3B2319C9&quot;/&gt;&lt;wsp:rsid wsp:val=&quot;3B24625C&quot;/&gt;&lt;wsp:rsid wsp:val=&quot;3B29048F&quot;/&gt;&lt;wsp:rsid wsp:val=&quot;3B2A2D58&quot;/&gt;&lt;wsp:rsid wsp:val=&quot;3B2C2F74&quot;/&gt;&lt;wsp:rsid wsp:val=&quot;3B2E2848&quot;/&gt;&lt;wsp:rsid wsp:val=&quot;3B312338&quot;/&gt;&lt;wsp:rsid wsp:val=&quot;3B3140E6&quot;/&gt;&lt;wsp:rsid wsp:val=&quot;3B334302&quot;/&gt;&lt;wsp:rsid wsp:val=&quot;3B33508B&quot;/&gt;&lt;wsp:rsid wsp:val=&quot;3B3360B0&quot;/&gt;&lt;wsp:rsid wsp:val=&quot;3B345984&quot;/&gt;&lt;wsp:rsid wsp:val=&quot;3B347B68&quot;/&gt;&lt;wsp:rsid wsp:val=&quot;3B36794F&quot;/&gt;&lt;wsp:rsid wsp:val=&quot;3B3763D1&quot;/&gt;&lt;wsp:rsid wsp:val=&quot;3B381919&quot;/&gt;&lt;wsp:rsid wsp:val=&quot;3B3836C7&quot;/&gt;&lt;wsp:rsid wsp:val=&quot;3B385475&quot;/&gt;&lt;wsp:rsid wsp:val=&quot;3B3911ED&quot;/&gt;&lt;wsp:rsid wsp:val=&quot;3B3B31B7&quot;/&gt;&lt;wsp:rsid wsp:val=&quot;3B3B6D13&quot;/&gt;&lt;wsp:rsid wsp:val=&quot;3B3E6803&quot;/&gt;&lt;wsp:rsid wsp:val=&quot;3B40257B&quot;/&gt;&lt;wsp:rsid wsp:val=&quot;3B404329&quot;/&gt;&lt;wsp:rsid wsp:val=&quot;3B410B1F&quot;/&gt;&lt;wsp:rsid wsp:val=&quot;3B424545&quot;/&gt;&lt;wsp:rsid wsp:val=&quot;3B455DE4&quot;/&gt;&lt;wsp:rsid wsp:val=&quot;3B462D16&quot;/&gt;&lt;wsp:rsid wsp:val=&quot;3B47368F&quot;/&gt;&lt;wsp:rsid wsp:val=&quot;3B47390A&quot;/&gt;&lt;wsp:rsid wsp:val=&quot;3B491430&quot;/&gt;&lt;wsp:rsid wsp:val=&quot;3B4B758E&quot;/&gt;&lt;wsp:rsid wsp:val=&quot;3B4E0FE9&quot;/&gt;&lt;wsp:rsid wsp:val=&quot;3B4E2EEA&quot;/&gt;&lt;wsp:rsid wsp:val=&quot;3B4F6010&quot;/&gt;&lt;wsp:rsid wsp:val=&quot;3B510614&quot;/&gt;&lt;wsp:rsid wsp:val=&quot;3B512721&quot;/&gt;&lt;wsp:rsid wsp:val=&quot;3B516536&quot;/&gt;&lt;wsp:rsid wsp:val=&quot;3B530501&quot;/&gt;&lt;wsp:rsid wsp:val=&quot;3B53405D&quot;/&gt;&lt;wsp:rsid wsp:val=&quot;3B546F95&quot;/&gt;&lt;wsp:rsid wsp:val=&quot;3B547DD5&quot;/&gt;&lt;wsp:rsid wsp:val=&quot;3B572D45&quot;/&gt;&lt;wsp:rsid wsp:val=&quot;3B585B17&quot;/&gt;&lt;wsp:rsid wsp:val=&quot;3B5A16C6&quot;/&gt;&lt;wsp:rsid wsp:val=&quot;3B5A363D&quot;/&gt;&lt;wsp:rsid wsp:val=&quot;3B5B1163&quot;/&gt;&lt;wsp:rsid wsp:val=&quot;3B5B73B5&quot;/&gt;&lt;wsp:rsid wsp:val=&quot;3B5D137F&quot;/&gt;&lt;wsp:rsid wsp:val=&quot;3B5D256D&quot;/&gt;&lt;wsp:rsid wsp:val=&quot;3B5D312D&quot;/&gt;&lt;wsp:rsid wsp:val=&quot;3B5D4EDB&quot;/&gt;&lt;wsp:rsid wsp:val=&quot;3B5F0C53&quot;/&gt;&lt;wsp:rsid wsp:val=&quot;3B5F14D7&quot;/&gt;&lt;wsp:rsid wsp:val=&quot;3B5F6EA5&quot;/&gt;&lt;wsp:rsid wsp:val=&quot;3B602C1D&quot;/&gt;&lt;wsp:rsid wsp:val=&quot;3B6224F2&quot;/&gt;&lt;wsp:rsid wsp:val=&quot;3B643EB9&quot;/&gt;&lt;wsp:rsid wsp:val=&quot;3B6463EC&quot;/&gt;&lt;wsp:rsid wsp:val=&quot;3B651FE2&quot;/&gt;&lt;wsp:rsid wsp:val=&quot;3B6577A0&quot;/&gt;&lt;wsp:rsid wsp:val=&quot;3B697D24&quot;/&gt;&lt;wsp:rsid wsp:val=&quot;3B6B3A9C&quot;/&gt;&lt;wsp:rsid wsp:val=&quot;3B6B584A&quot;/&gt;&lt;wsp:rsid wsp:val=&quot;3B6C15C2&quot;/&gt;&lt;wsp:rsid wsp:val=&quot;3B6C3370&quot;/&gt;&lt;wsp:rsid wsp:val=&quot;3B6E533A&quot;/&gt;&lt;wsp:rsid wsp:val=&quot;3B710987&quot;/&gt;&lt;wsp:rsid wsp:val=&quot;3B716BD9&quot;/&gt;&lt;wsp:rsid wsp:val=&quot;3B7346FF&quot;/&gt;&lt;wsp:rsid wsp:val=&quot;3B742225&quot;/&gt;&lt;wsp:rsid wsp:val=&quot;3B744E3E&quot;/&gt;&lt;wsp:rsid wsp:val=&quot;3B7753B5&quot;/&gt;&lt;wsp:rsid wsp:val=&quot;3B792A78&quot;/&gt;&lt;wsp:rsid wsp:val=&quot;3B794C4F&quot;/&gt;&lt;wsp:rsid wsp:val=&quot;3B7A06E1&quot;/&gt;&lt;wsp:rsid wsp:val=&quot;3B7A49D5&quot;/&gt;&lt;wsp:rsid wsp:val=&quot;3B7B1805&quot;/&gt;&lt;wsp:rsid wsp:val=&quot;3B7E5BB4&quot;/&gt;&lt;wsp:rsid wsp:val=&quot;3B7F4E52&quot;/&gt;&lt;wsp:rsid wsp:val=&quot;3B805322&quot;/&gt;&lt;wsp:rsid wsp:val=&quot;3B83709F&quot;/&gt;&lt;wsp:rsid wsp:val=&quot;3B8406BA&quot;/&gt;&lt;wsp:rsid wsp:val=&quot;3B841D62&quot;/&gt;&lt;wsp:rsid wsp:val=&quot;3B842468&quot;/&gt;&lt;wsp:rsid wsp:val=&quot;3B84690C&quot;/&gt;&lt;wsp:rsid wsp:val=&quot;3B853F89&quot;/&gt;&lt;wsp:rsid wsp:val=&quot;3B893F22&quot;/&gt;&lt;wsp:rsid wsp:val=&quot;3B8A37F6&quot;/&gt;&lt;wsp:rsid wsp:val=&quot;3B8B1A48&quot;/&gt;&lt;wsp:rsid wsp:val=&quot;3B8E1539&quot;/&gt;&lt;wsp:rsid wsp:val=&quot;3B912DD7&quot;/&gt;&lt;wsp:rsid wsp:val=&quot;3B916673&quot;/&gt;&lt;wsp:rsid wsp:val=&quot;3B93199A&quot;/&gt;&lt;wsp:rsid wsp:val=&quot;3B934DA1&quot;/&gt;&lt;wsp:rsid wsp:val=&quot;3B9823B7&quot;/&gt;&lt;wsp:rsid wsp:val=&quot;3B985F13&quot;/&gt;&lt;wsp:rsid wsp:val=&quot;3B9A612F&quot;/&gt;&lt;wsp:rsid wsp:val=&quot;3B9A7EDD&quot;/&gt;&lt;wsp:rsid wsp:val=&quot;3B9B676C&quot;/&gt;&lt;wsp:rsid wsp:val=&quot;3B9C138F&quot;/&gt;&lt;wsp:rsid wsp:val=&quot;3B9C1EA7&quot;/&gt;&lt;wsp:rsid wsp:val=&quot;3B9D352A&quot;/&gt;&lt;wsp:rsid wsp:val=&quot;3B9D6381&quot;/&gt;&lt;wsp:rsid wsp:val=&quot;3B9E00AB&quot;/&gt;&lt;wsp:rsid wsp:val=&quot;3B9F72A2&quot;/&gt;&lt;wsp:rsid wsp:val=&quot;3BA23236&quot;/&gt;&lt;wsp:rsid wsp:val=&quot;3BA26D92&quot;/&gt;&lt;wsp:rsid wsp:val=&quot;3BA31EEA&quot;/&gt;&lt;wsp:rsid wsp:val=&quot;3BA40D5C&quot;/&gt;&lt;wsp:rsid wsp:val=&quot;3BA448B8&quot;/&gt;&lt;wsp:rsid wsp:val=&quot;3BA64AD4&quot;/&gt;&lt;wsp:rsid wsp:val=&quot;3BA90120&quot;/&gt;&lt;wsp:rsid wsp:val=&quot;3BA945C4&quot;/&gt;&lt;wsp:rsid wsp:val=&quot;3BAA5C47&quot;/&gt;&lt;wsp:rsid wsp:val=&quot;3BAC7C11&quot;/&gt;&lt;wsp:rsid wsp:val=&quot;3BB00B62&quot;/&gt;&lt;wsp:rsid wsp:val=&quot;3BB05953&quot;/&gt;&lt;wsp:rsid wsp:val=&quot;3BB07701&quot;/&gt;&lt;wsp:rsid wsp:val=&quot;3BB16FD5&quot;/&gt;&lt;wsp:rsid wsp:val=&quot;3BB506E3&quot;/&gt;&lt;wsp:rsid wsp:val=&quot;3BB50897&quot;/&gt;&lt;wsp:rsid wsp:val=&quot;3BB56AC5&quot;/&gt;&lt;wsp:rsid wsp:val=&quot;3BB645EB&quot;/&gt;&lt;wsp:rsid wsp:val=&quot;3BB80364&quot;/&gt;&lt;wsp:rsid wsp:val=&quot;3BB91697&quot;/&gt;&lt;wsp:rsid wsp:val=&quot;3BBA232E&quot;/&gt;&lt;wsp:rsid wsp:val=&quot;3BBC42F8&quot;/&gt;&lt;wsp:rsid wsp:val=&quot;3BBC60A6&quot;/&gt;&lt;wsp:rsid wsp:val=&quot;3BBD3BCC&quot;/&gt;&lt;wsp:rsid wsp:val=&quot;3BBD597A&quot;/&gt;&lt;wsp:rsid wsp:val=&quot;3BBF5B96&quot;/&gt;&lt;wsp:rsid wsp:val=&quot;3BC1190E&quot;/&gt;&lt;wsp:rsid wsp:val=&quot;3BC145A2&quot;/&gt;&lt;wsp:rsid wsp:val=&quot;3BC1546A&quot;/&gt;&lt;wsp:rsid wsp:val=&quot;3BC211E2&quot;/&gt;&lt;wsp:rsid wsp:val=&quot;3BC23194&quot;/&gt;&lt;wsp:rsid wsp:val=&quot;3BC27434&quot;/&gt;&lt;wsp:rsid wsp:val=&quot;3BC6195C&quot;/&gt;&lt;wsp:rsid wsp:val=&quot;3BC767F9&quot;/&gt;&lt;wsp:rsid wsp:val=&quot;3BC92571&quot;/&gt;&lt;wsp:rsid wsp:val=&quot;3BC958A8&quot;/&gt;&lt;wsp:rsid wsp:val=&quot;3BC96A15&quot;/&gt;&lt;wsp:rsid wsp:val=&quot;3BCA5C37&quot;/&gt;&lt;wsp:rsid wsp:val=&quot;3BCC0557&quot;/&gt;&lt;wsp:rsid wsp:val=&quot;3BCC2061&quot;/&gt;&lt;wsp:rsid wsp:val=&quot;3BCC3E0F&quot;/&gt;&lt;wsp:rsid wsp:val=&quot;3BCE7B87&quot;/&gt;&lt;wsp:rsid wsp:val=&quot;3BD02172&quot;/&gt;&lt;wsp:rsid wsp:val=&quot;3BD056AD&quot;/&gt;&lt;wsp:rsid wsp:val=&quot;3BD3519D&quot;/&gt;&lt;wsp:rsid wsp:val=&quot;3BD66A3C&quot;/&gt;&lt;wsp:rsid wsp:val=&quot;3BD74C8E&quot;/&gt;&lt;wsp:rsid wsp:val=&quot;3BD776DA&quot;/&gt;&lt;wsp:rsid wsp:val=&quot;3BD80A06&quot;/&gt;&lt;wsp:rsid wsp:val=&quot;3BD827B4&quot;/&gt;&lt;wsp:rsid wsp:val=&quot;3BD86C58&quot;/&gt;&lt;wsp:rsid wsp:val=&quot;3BDB4052&quot;/&gt;&lt;wsp:rsid wsp:val=&quot;3BDC04F6&quot;/&gt;&lt;wsp:rsid wsp:val=&quot;3BDD601C&quot;/&gt;&lt;wsp:rsid wsp:val=&quot;3BDD7DCA&quot;/&gt;&lt;wsp:rsid wsp:val=&quot;3BDE2AC7&quot;/&gt;&lt;wsp:rsid wsp:val=&quot;3BDF36C0&quot;/&gt;&lt;wsp:rsid wsp:val=&quot;3BE112ED&quot;/&gt;&lt;wsp:rsid wsp:val=&quot;3BE1671C&quot;/&gt;&lt;wsp:rsid wsp:val=&quot;3BE23632&quot;/&gt;&lt;wsp:rsid wsp:val=&quot;3BE334BE&quot;/&gt;&lt;wsp:rsid wsp:val=&quot;3BE349CE&quot;/&gt;&lt;wsp:rsid wsp:val=&quot;3BE41159&quot;/&gt;&lt;wsp:rsid wsp:val=&quot;3BE473AB&quot;/&gt;&lt;wsp:rsid wsp:val=&quot;3BE61375&quot;/&gt;&lt;wsp:rsid wsp:val=&quot;3BE63CCF&quot;/&gt;&lt;wsp:rsid wsp:val=&quot;3BE66FC9&quot;/&gt;&lt;wsp:rsid wsp:val=&quot;3BE7089C&quot;/&gt;&lt;wsp:rsid wsp:val=&quot;3BE70C49&quot;/&gt;&lt;wsp:rsid wsp:val=&quot;3BE92C13&quot;/&gt;&lt;wsp:rsid wsp:val=&quot;3BE9676F&quot;/&gt;&lt;wsp:rsid wsp:val=&quot;3BEB005B&quot;/&gt;&lt;wsp:rsid wsp:val=&quot;3BEC625F&quot;/&gt;&lt;wsp:rsid wsp:val=&quot;3BED2703&quot;/&gt;&lt;wsp:rsid wsp:val=&quot;3BF07AFD&quot;/&gt;&lt;wsp:rsid wsp:val=&quot;3BF21AC7&quot;/&gt;&lt;wsp:rsid wsp:val=&quot;3BF27D19&quot;/&gt;&lt;wsp:rsid wsp:val=&quot;3BF33A92&quot;/&gt;&lt;wsp:rsid wsp:val=&quot;3BF375EE&quot;/&gt;&lt;wsp:rsid wsp:val=&quot;3BF55114&quot;/&gt;&lt;wsp:rsid wsp:val=&quot;3BF62E7B&quot;/&gt;&lt;wsp:rsid wsp:val=&quot;3BF910A8&quot;/&gt;&lt;wsp:rsid wsp:val=&quot;3BFC2946&quot;/&gt;&lt;wsp:rsid wsp:val=&quot;3BFC64A2&quot;/&gt;&lt;wsp:rsid wsp:val=&quot;3BFD221A&quot;/&gt;&lt;wsp:rsid wsp:val=&quot;3BFE66BE&quot;/&gt;&lt;wsp:rsid wsp:val=&quot;3BFE7989&quot;/&gt;&lt;wsp:rsid wsp:val=&quot;3BFF237D&quot;/&gt;&lt;wsp:rsid wsp:val=&quot;3BFF33E6&quot;/&gt;&lt;wsp:rsid wsp:val=&quot;3BFF5F92&quot;/&gt;&lt;wsp:rsid wsp:val=&quot;3C0178D1&quot;/&gt;&lt;wsp:rsid wsp:val=&quot;3C026603&quot;/&gt;&lt;wsp:rsid wsp:val=&quot;3C0417FB&quot;/&gt;&lt;wsp:rsid wsp:val=&quot;3C0435A9&quot;/&gt;&lt;wsp:rsid wsp:val=&quot;3C055B17&quot;/&gt;&lt;wsp:rsid wsp:val=&quot;3C065573&quot;/&gt;&lt;wsp:rsid wsp:val=&quot;3C067321&quot;/&gt;&lt;wsp:rsid wsp:val=&quot;3C0812EB&quot;/&gt;&lt;wsp:rsid wsp:val=&quot;3C08753D&quot;/&gt;&lt;wsp:rsid wsp:val=&quot;3C0A04F9&quot;/&gt;&lt;wsp:rsid wsp:val=&quot;3C0B455A&quot;/&gt;&lt;wsp:rsid wsp:val=&quot;3C0C5463&quot;/&gt;&lt;wsp:rsid wsp:val=&quot;3C0C59EA&quot;/&gt;&lt;wsp:rsid wsp:val=&quot;3C0E28B1&quot;/&gt;&lt;wsp:rsid wsp:val=&quot;3C101F4E&quot;/&gt;&lt;wsp:rsid wsp:val=&quot;3C12157C&quot;/&gt;&lt;wsp:rsid wsp:val=&quot;3C125CC6&quot;/&gt;&lt;wsp:rsid wsp:val=&quot;3C131A3E&quot;/&gt;&lt;wsp:rsid wsp:val=&quot;3C135E94&quot;/&gt;&lt;wsp:rsid wsp:val=&quot;3C14417C&quot;/&gt;&lt;wsp:rsid wsp:val=&quot;3C145487&quot;/&gt;&lt;wsp:rsid wsp:val=&quot;3C153A08&quot;/&gt;&lt;wsp:rsid wsp:val=&quot;3C1736E3&quot;/&gt;&lt;wsp:rsid wsp:val=&quot;3C177780&quot;/&gt;&lt;wsp:rsid wsp:val=&quot;3C1852A6&quot;/&gt;&lt;wsp:rsid wsp:val=&quot;3C1A101E&quot;/&gt;&lt;wsp:rsid wsp:val=&quot;3C1A2DCC&quot;/&gt;&lt;wsp:rsid wsp:val=&quot;3C1A67DC&quot;/&gt;&lt;wsp:rsid wsp:val=&quot;3C1A68AD&quot;/&gt;&lt;wsp:rsid wsp:val=&quot;3C1A7270&quot;/&gt;&lt;wsp:rsid wsp:val=&quot;3C1C18F8&quot;/&gt;&lt;wsp:rsid wsp:val=&quot;3C1C4D96&quot;/&gt;&lt;wsp:rsid wsp:val=&quot;3C1E0B0E&quot;/&gt;&lt;wsp:rsid wsp:val=&quot;3C1E28BD&quot;/&gt;&lt;wsp:rsid wsp:val=&quot;3C1F03E3&quot;/&gt;&lt;wsp:rsid wsp:val=&quot;3C20271F&quot;/&gt;&lt;wsp:rsid wsp:val=&quot;3C210428&quot;/&gt;&lt;wsp:rsid wsp:val=&quot;3C221C81&quot;/&gt;&lt;wsp:rsid wsp:val=&quot;3C243C4B&quot;/&gt;&lt;wsp:rsid wsp:val=&quot;3C2679C3&quot;/&gt;&lt;wsp:rsid wsp:val=&quot;3C277297&quot;/&gt;&lt;wsp:rsid wsp:val=&quot;3C294F12&quot;/&gt;&lt;wsp:rsid wsp:val=&quot;3C2974B3&quot;/&gt;&lt;wsp:rsid wsp:val=&quot;3C2B6D87&quot;/&gt;&lt;wsp:rsid wsp:val=&quot;3C2B7AFE&quot;/&gt;&lt;wsp:rsid wsp:val=&quot;3C2D0D52&quot;/&gt;&lt;wsp:rsid wsp:val=&quot;3C2D2B00&quot;/&gt;&lt;wsp:rsid wsp:val=&quot;3C2D6FA3&quot;/&gt;&lt;wsp:rsid wsp:val=&quot;3C2E0626&quot;/&gt;&lt;wsp:rsid wsp:val=&quot;3C2E7589&quot;/&gt;&lt;wsp:rsid wsp:val=&quot;3C2F4ACA&quot;/&gt;&lt;wsp:rsid wsp:val=&quot;3C2F6E1E&quot;/&gt;&lt;wsp:rsid wsp:val=&quot;3C320116&quot;/&gt;&lt;wsp:rsid wsp:val=&quot;3C3224E4&quot;/&gt;&lt;wsp:rsid wsp:val=&quot;3C345DD1&quot;/&gt;&lt;wsp:rsid wsp:val=&quot;3C352F86&quot;/&gt;&lt;wsp:rsid wsp:val=&quot;3C355E58&quot;/&gt;&lt;wsp:rsid wsp:val=&quot;3C387BE8&quot;/&gt;&lt;wsp:rsid wsp:val=&quot;3C3976F6&quot;/&gt;&lt;wsp:rsid wsp:val=&quot;3C3A6FCB&quot;/&gt;&lt;wsp:rsid wsp:val=&quot;3C3C0F95&quot;/&gt;&lt;wsp:rsid wsp:val=&quot;3C3E2F5F&quot;/&gt;&lt;wsp:rsid wsp:val=&quot;3C3F0648&quot;/&gt;&lt;wsp:rsid wsp:val=&quot;3C403B27&quot;/&gt;&lt;wsp:rsid wsp:val=&quot;3C406CD7&quot;/&gt;&lt;wsp:rsid wsp:val=&quot;3C4147FD&quot;/&gt;&lt;wsp:rsid wsp:val=&quot;3C4165AB&quot;/&gt;&lt;wsp:rsid wsp:val=&quot;3C41761B&quot;/&gt;&lt;wsp:rsid wsp:val=&quot;3C420004&quot;/&gt;&lt;wsp:rsid wsp:val=&quot;3C432323&quot;/&gt;&lt;wsp:rsid wsp:val=&quot;3C447E49&quot;/&gt;&lt;wsp:rsid wsp:val=&quot;3C460065&quot;/&gt;&lt;wsp:rsid wsp:val=&quot;3C461E13&quot;/&gt;&lt;wsp:rsid wsp:val=&quot;3C46443A&quot;/&gt;&lt;wsp:rsid wsp:val=&quot;3C495460&quot;/&gt;&lt;wsp:rsid wsp:val=&quot;3C4B567C&quot;/&gt;&lt;wsp:rsid wsp:val=&quot;3C4D6CFE&quot;/&gt;&lt;wsp:rsid wsp:val=&quot;3C4E2A76&quot;/&gt;&lt;wsp:rsid wsp:val=&quot;3C4F64BA&quot;/&gt;&lt;wsp:rsid wsp:val=&quot;3C5067EE&quot;/&gt;&lt;wsp:rsid wsp:val=&quot;3C526A0A&quot;/&gt;&lt;wsp:rsid wsp:val=&quot;3C53008C&quot;/&gt;&lt;wsp:rsid wsp:val=&quot;3C530193&quot;/&gt;&lt;wsp:rsid wsp:val=&quot;3C534C12&quot;/&gt;&lt;wsp:rsid wsp:val=&quot;3C544530&quot;/&gt;&lt;wsp:rsid wsp:val=&quot;3C5462DE&quot;/&gt;&lt;wsp:rsid wsp:val=&quot;3C547ECE&quot;/&gt;&lt;wsp:rsid wsp:val=&quot;3C577273&quot;/&gt;&lt;wsp:rsid wsp:val=&quot;3C591B47&quot;/&gt;&lt;wsp:rsid wsp:val=&quot;3C5938F5&quot;/&gt;&lt;wsp:rsid wsp:val=&quot;3C5C6BA4&quot;/&gt;&lt;wsp:rsid wsp:val=&quot;3C5E53AF&quot;/&gt;&lt;wsp:rsid wsp:val=&quot;3C5F2ED5&quot;/&gt;&lt;wsp:rsid wsp:val=&quot;3C5F6A31&quot;/&gt;&lt;wsp:rsid wsp:val=&quot;3C601127&quot;/&gt;&lt;wsp:rsid wsp:val=&quot;3C60496F&quot;/&gt;&lt;wsp:rsid wsp:val=&quot;3C616C4D&quot;/&gt;&lt;wsp:rsid wsp:val=&quot;3C6224D2&quot;/&gt;&lt;wsp:rsid wsp:val=&quot;3C6329C5&quot;/&gt;&lt;wsp:rsid wsp:val=&quot;3C636521&quot;/&gt;&lt;wsp:rsid wsp:val=&quot;3C642299&quot;/&gt;&lt;wsp:rsid wsp:val=&quot;3C6504EB&quot;/&gt;&lt;wsp:rsid wsp:val=&quot;3C666012&quot;/&gt;&lt;wsp:rsid wsp:val=&quot;3C680BB5&quot;/&gt;&lt;wsp:rsid wsp:val=&quot;3C683B38&quot;/&gt;&lt;wsp:rsid wsp:val=&quot;3C6D114E&quot;/&gt;&lt;wsp:rsid wsp:val=&quot;3C6D2D06&quot;/&gt;&lt;wsp:rsid wsp:val=&quot;3C6E4B61&quot;/&gt;&lt;wsp:rsid wsp:val=&quot;3C6F136A&quot;/&gt;&lt;wsp:rsid wsp:val=&quot;3C6F2411&quot;/&gt;&lt;wsp:rsid wsp:val=&quot;3C6F26D5&quot;/&gt;&lt;wsp:rsid wsp:val=&quot;3C6F3118&quot;/&gt;&lt;wsp:rsid wsp:val=&quot;3C723457&quot;/&gt;&lt;wsp:rsid wsp:val=&quot;3C752089&quot;/&gt;&lt;wsp:rsid wsp:val=&quot;3C77021F&quot;/&gt;&lt;wsp:rsid wsp:val=&quot;3C771FCD&quot;/&gt;&lt;wsp:rsid wsp:val=&quot;3C793F97&quot;/&gt;&lt;wsp:rsid wsp:val=&quot;3C795D45&quot;/&gt;&lt;wsp:rsid wsp:val=&quot;3C7E15AD&quot;/&gt;&lt;wsp:rsid wsp:val=&quot;3C7E335B&quot;/&gt;&lt;wsp:rsid wsp:val=&quot;3C7F0E81&quot;/&gt;&lt;wsp:rsid wsp:val=&quot;3C805325&quot;/&gt;&lt;wsp:rsid wsp:val=&quot;3C822F4C&quot;/&gt;&lt;wsp:rsid wsp:val=&quot;3C834E15&quot;/&gt;&lt;wsp:rsid wsp:val=&quot;3C835B1D&quot;/&gt;&lt;wsp:rsid wsp:val=&quot;3C8446EA&quot;/&gt;&lt;wsp:rsid wsp:val=&quot;3C88242C&quot;/&gt;&lt;wsp:rsid wsp:val=&quot;3C8A61A4&quot;/&gt;&lt;wsp:rsid wsp:val=&quot;3C8B4AF4&quot;/&gt;&lt;wsp:rsid wsp:val=&quot;3C8C1F1C&quot;/&gt;&lt;wsp:rsid wsp:val=&quot;3C8D56E2&quot;/&gt;&lt;wsp:rsid wsp:val=&quot;3C8F37BA&quot;/&gt;&lt;wsp:rsid wsp:val=&quot;3C8F7316&quot;/&gt;&lt;wsp:rsid wsp:val=&quot;3C9012E0&quot;/&gt;&lt;wsp:rsid wsp:val=&quot;3C90308E&quot;/&gt;&lt;wsp:rsid wsp:val=&quot;3C917532&quot;/&gt;&lt;wsp:rsid wsp:val=&quot;3C925059&quot;/&gt;&lt;wsp:rsid wsp:val=&quot;3C942B7F&quot;/&gt;&lt;wsp:rsid wsp:val=&quot;3C94492D&quot;/&gt;&lt;wsp:rsid wsp:val=&quot;3C9506A5&quot;/&gt;&lt;wsp:rsid wsp:val=&quot;3C964B49&quot;/&gt;&lt;wsp:rsid wsp:val=&quot;3C9708C1&quot;/&gt;&lt;wsp:rsid wsp:val=&quot;3C97266F&quot;/&gt;&lt;wsp:rsid wsp:val=&quot;3C991F43&quot;/&gt;&lt;wsp:rsid wsp:val=&quot;3C9B215F&quot;/&gt;&lt;wsp:rsid wsp:val=&quot;3C9B3F0D&quot;/&gt;&lt;wsp:rsid wsp:val=&quot;3C9C5234&quot;/&gt;&lt;wsp:rsid wsp:val=&quot;3C9E39FD&quot;/&gt;&lt;wsp:rsid wsp:val=&quot;3CA01523&quot;/&gt;&lt;wsp:rsid wsp:val=&quot;3CA07775&quot;/&gt;&lt;wsp:rsid wsp:val=&quot;3CA1704A&quot;/&gt;&lt;wsp:rsid wsp:val=&quot;3CA562E6&quot;/&gt;&lt;wsp:rsid wsp:val=&quot;3CA56B3A&quot;/&gt;&lt;wsp:rsid wsp:val=&quot;3CA628B2&quot;/&gt;&lt;wsp:rsid wsp:val=&quot;3CA8662A&quot;/&gt;&lt;wsp:rsid wsp:val=&quot;3CAA05F4&quot;/&gt;&lt;wsp:rsid wsp:val=&quot;3CAB1C76&quot;/&gt;&lt;wsp:rsid wsp:val=&quot;3CAB4D29&quot;/&gt;&lt;wsp:rsid wsp:val=&quot;3CAC35E8&quot;/&gt;&lt;wsp:rsid wsp:val=&quot;3CAD1E92&quot;/&gt;&lt;wsp:rsid wsp:val=&quot;3CAD3C40&quot;/&gt;&lt;wsp:rsid wsp:val=&quot;3CAE221A&quot;/&gt;&lt;wsp:rsid wsp:val=&quot;3CAE25AF&quot;/&gt;&lt;wsp:rsid wsp:val=&quot;3CAF1767&quot;/&gt;&lt;wsp:rsid wsp:val=&quot;3CB11983&quot;/&gt;&lt;wsp:rsid wsp:val=&quot;3CB2733A&quot;/&gt;&lt;wsp:rsid wsp:val=&quot;3CB2745A&quot;/&gt;&lt;wsp:rsid wsp:val=&quot;3CB274A9&quot;/&gt;&lt;wsp:rsid wsp:val=&quot;3CB44FCF&quot;/&gt;&lt;wsp:rsid wsp:val=&quot;3CB52AF5&quot;/&gt;&lt;wsp:rsid wsp:val=&quot;3CB72D11&quot;/&gt;&lt;wsp:rsid wsp:val=&quot;3CB732CC&quot;/&gt;&lt;wsp:rsid wsp:val=&quot;3CB76A42&quot;/&gt;&lt;wsp:rsid wsp:val=&quot;3CB837AC&quot;/&gt;&lt;wsp:rsid wsp:val=&quot;3CB90837&quot;/&gt;&lt;wsp:rsid wsp:val=&quot;3CBA010B&quot;/&gt;&lt;wsp:rsid wsp:val=&quot;3CBB630E&quot;/&gt;&lt;wsp:rsid wsp:val=&quot;3CBD0327&quot;/&gt;&lt;wsp:rsid wsp:val=&quot;3CBE19AA&quot;/&gt;&lt;wsp:rsid wsp:val=&quot;3CC176EC&quot;/&gt;&lt;wsp:rsid wsp:val=&quot;3CC316B6&quot;/&gt;&lt;wsp:rsid wsp:val=&quot;3CC33464&quot;/&gt;&lt;wsp:rsid wsp:val=&quot;3CC571DC&quot;/&gt;&lt;wsp:rsid wsp:val=&quot;3CC57E27&quot;/&gt;&lt;wsp:rsid wsp:val=&quot;3CC66AB0&quot;/&gt;&lt;wsp:rsid wsp:val=&quot;3CCA034E&quot;/&gt;&lt;wsp:rsid wsp:val=&quot;3CCA2A44&quot;/&gt;&lt;wsp:rsid wsp:val=&quot;3CCA65A0&quot;/&gt;&lt;wsp:rsid wsp:val=&quot;3CCB2319&quot;/&gt;&lt;wsp:rsid wsp:val=&quot;3CCB40C7&quot;/&gt;&lt;wsp:rsid wsp:val=&quot;3CCC056A&quot;/&gt;&lt;wsp:rsid wsp:val=&quot;3CCC471E&quot;/&gt;&lt;wsp:rsid wsp:val=&quot;3CCD14F4&quot;/&gt;&lt;wsp:rsid wsp:val=&quot;3CCD42E3&quot;/&gt;&lt;wsp:rsid wsp:val=&quot;3CCD7E3F&quot;/&gt;&lt;wsp:rsid wsp:val=&quot;3CCF1E09&quot;/&gt;&lt;wsp:rsid wsp:val=&quot;3CCF3BB7&quot;/&gt;&lt;wsp:rsid wsp:val=&quot;3CD13DD3&quot;/&gt;&lt;wsp:rsid wsp:val=&quot;3CD1792F&quot;/&gt;&lt;wsp:rsid wsp:val=&quot;3CD218F9&quot;/&gt;&lt;wsp:rsid wsp:val=&quot;3CD25455&quot;/&gt;&lt;wsp:rsid wsp:val=&quot;3CD270CE&quot;/&gt;&lt;wsp:rsid wsp:val=&quot;3CD27ED4&quot;/&gt;&lt;wsp:rsid wsp:val=&quot;3CD53C84&quot;/&gt;&lt;wsp:rsid wsp:val=&quot;3CD70CBD&quot;/&gt;&lt;wsp:rsid wsp:val=&quot;3CD92C87&quot;/&gt;&lt;wsp:rsid wsp:val=&quot;3CD94A35&quot;/&gt;&lt;wsp:rsid wsp:val=&quot;3CDA245A&quot;/&gt;&lt;wsp:rsid wsp:val=&quot;3CDA2E38&quot;/&gt;&lt;wsp:rsid wsp:val=&quot;3CDC0F86&quot;/&gt;&lt;wsp:rsid wsp:val=&quot;3CDE4963&quot;/&gt;&lt;wsp:rsid wsp:val=&quot;3CE04016&quot;/&gt;&lt;wsp:rsid wsp:val=&quot;3CE07B72&quot;/&gt;&lt;wsp:rsid wsp:val=&quot;3CE2168B&quot;/&gt;&lt;wsp:rsid wsp:val=&quot;3CE27D8E&quot;/&gt;&lt;wsp:rsid wsp:val=&quot;3CE358B4&quot;/&gt;&lt;wsp:rsid wsp:val=&quot;3CE47E75&quot;/&gt;&lt;wsp:rsid wsp:val=&quot;3CE533DA&quot;/&gt;&lt;wsp:rsid wsp:val=&quot;3CE60A40&quot;/&gt;&lt;wsp:rsid wsp:val=&quot;3CE82ECA&quot;/&gt;&lt;wsp:rsid wsp:val=&quot;3CE8383B&quot;/&gt;&lt;wsp:rsid wsp:val=&quot;3CEB3763&quot;/&gt;&lt;wsp:rsid wsp:val=&quot;3CED04E1&quot;/&gt;&lt;wsp:rsid wsp:val=&quot;3CED6733&quot;/&gt;&lt;wsp:rsid wsp:val=&quot;3CEE4EEF&quot;/&gt;&lt;wsp:rsid wsp:val=&quot;3CEF4259&quot;/&gt;&lt;wsp:rsid wsp:val=&quot;3CF03B2D&quot;/&gt;&lt;wsp:rsid wsp:val=&quot;3CF11D7F&quot;/&gt;&lt;wsp:rsid wsp:val=&quot;3CF17FD1&quot;/&gt;&lt;wsp:rsid wsp:val=&quot;3CF30BDC&quot;/&gt;&lt;wsp:rsid wsp:val=&quot;3CF4361D&quot;/&gt;&lt;wsp:rsid wsp:val=&quot;3CF61143&quot;/&gt;&lt;wsp:rsid wsp:val=&quot;3CF655E7&quot;/&gt;&lt;wsp:rsid wsp:val=&quot;3CF8135F&quot;/&gt;&lt;wsp:rsid wsp:val=&quot;3CFC0724&quot;/&gt;&lt;wsp:rsid wsp:val=&quot;3CFC24D2&quot;/&gt;&lt;wsp:rsid wsp:val=&quot;3CFC7B86&quot;/&gt;&lt;wsp:rsid wsp:val=&quot;3CFD6976&quot;/&gt;&lt;wsp:rsid wsp:val=&quot;3D015D3A&quot;/&gt;&lt;wsp:rsid wsp:val=&quot;3D031AB2&quot;/&gt;&lt;wsp:rsid wsp:val=&quot;3D033860&quot;/&gt;&lt;wsp:rsid wsp:val=&quot;3D053A7C&quot;/&gt;&lt;wsp:rsid wsp:val=&quot;3D053AAD&quot;/&gt;&lt;wsp:rsid wsp:val=&quot;3D08531B&quot;/&gt;&lt;wsp:rsid wsp:val=&quot;3D0A1093&quot;/&gt;&lt;wsp:rsid wsp:val=&quot;3D0A4BEF&quot;/&gt;&lt;wsp:rsid wsp:val=&quot;3D0C0967&quot;/&gt;&lt;wsp:rsid wsp:val=&quot;3D0E0B83&quot;/&gt;&lt;wsp:rsid wsp:val=&quot;3D0E5E2B&quot;/&gt;&lt;wsp:rsid wsp:val=&quot;3D0F66A9&quot;/&gt;&lt;wsp:rsid wsp:val=&quot;3D112421&quot;/&gt;&lt;wsp:rsid wsp:val=&quot;3D141F11&quot;/&gt;&lt;wsp:rsid wsp:val=&quot;3D143CBF&quot;/&gt;&lt;wsp:rsid wsp:val=&quot;3D145A6E&quot;/&gt;&lt;wsp:rsid wsp:val=&quot;3D147979&quot;/&gt;&lt;wsp:rsid wsp:val=&quot;3D1579D1&quot;/&gt;&lt;wsp:rsid wsp:val=&quot;3D167A38&quot;/&gt;&lt;wsp:rsid wsp:val=&quot;3D1811D9&quot;/&gt;&lt;wsp:rsid wsp:val=&quot;3D197528&quot;/&gt;&lt;wsp:rsid wsp:val=&quot;3D1C4922&quot;/&gt;&lt;wsp:rsid wsp:val=&quot;3D1C7B5A&quot;/&gt;&lt;wsp:rsid wsp:val=&quot;3D1D0FEA&quot;/&gt;&lt;wsp:rsid wsp:val=&quot;3D1E06B7&quot;/&gt;&lt;wsp:rsid wsp:val=&quot;3D1E68EC&quot;/&gt;&lt;wsp:rsid wsp:val=&quot;3D1F4D9A&quot;/&gt;&lt;wsp:rsid wsp:val=&quot;3D204412&quot;/&gt;&lt;wsp:rsid wsp:val=&quot;3D211F38&quot;/&gt;&lt;wsp:rsid wsp:val=&quot;3D22228B&quot;/&gt;&lt;wsp:rsid wsp:val=&quot;3D233F03&quot;/&gt;&lt;wsp:rsid wsp:val=&quot;3D243E9C&quot;/&gt;&lt;wsp:rsid wsp:val=&quot;3D247E6C&quot;/&gt;&lt;wsp:rsid wsp:val=&quot;3D251A29&quot;/&gt;&lt;wsp:rsid wsp:val=&quot;3D255ECD&quot;/&gt;&lt;wsp:rsid wsp:val=&quot;3D2757A1&quot;/&gt;&lt;wsp:rsid wsp:val=&quot;3D2832C7&quot;/&gt;&lt;wsp:rsid wsp:val=&quot;3D2860FD&quot;/&gt;&lt;wsp:rsid wsp:val=&quot;3D2A703F&quot;/&gt;&lt;wsp:rsid wsp:val=&quot;3D2C2DB7&quot;/&gt;&lt;wsp:rsid wsp:val=&quot;3D2E2FD3&quot;/&gt;&lt;wsp:rsid wsp:val=&quot;3D2F0AF9&quot;/&gt;&lt;wsp:rsid wsp:val=&quot;3D31661F&quot;/&gt;&lt;wsp:rsid wsp:val=&quot;3D324146&quot;/&gt;&lt;wsp:rsid wsp:val=&quot;3D332398&quot;/&gt;&lt;wsp:rsid wsp:val=&quot;3D34205A&quot;/&gt;&lt;wsp:rsid wsp:val=&quot;3D343F2F&quot;/&gt;&lt;wsp:rsid wsp:val=&quot;3D346110&quot;/&gt;&lt;wsp:rsid wsp:val=&quot;3D3632D2&quot;/&gt;&lt;wsp:rsid wsp:val=&quot;3D371E6A&quot;/&gt;&lt;wsp:rsid wsp:val=&quot;3D3A1978&quot;/&gt;&lt;wsp:rsid wsp:val=&quot;3D3A19A2&quot;/&gt;&lt;wsp:rsid wsp:val=&quot;3D3B2FFA&quot;/&gt;&lt;wsp:rsid wsp:val=&quot;3D3D3216&quot;/&gt;&lt;wsp:rsid wsp:val=&quot;3D404AB5&quot;/&gt;&lt;wsp:rsid wsp:val=&quot;3D406863&quot;/&gt;&lt;wsp:rsid wsp:val=&quot;3D417AC7&quot;/&gt;&lt;wsp:rsid wsp:val=&quot;3D4225DB&quot;/&gt;&lt;wsp:rsid wsp:val=&quot;3D424389&quot;/&gt;&lt;wsp:rsid wsp:val=&quot;3D4520CB&quot;/&gt;&lt;wsp:rsid wsp:val=&quot;3D474095&quot;/&gt;&lt;wsp:rsid wsp:val=&quot;3D485717&quot;/&gt;&lt;wsp:rsid wsp:val=&quot;3D493D04&quot;/&gt;&lt;wsp:rsid wsp:val=&quot;3D4A5933&quot;/&gt;&lt;wsp:rsid wsp:val=&quot;3D4A76E1&quot;/&gt;&lt;wsp:rsid wsp:val=&quot;3D4B2926&quot;/&gt;&lt;wsp:rsid wsp:val=&quot;3D4E5423&quot;/&gt;&lt;wsp:rsid wsp:val=&quot;3D4F2F4A&quot;/&gt;&lt;wsp:rsid wsp:val=&quot;3D4F6AA6&quot;/&gt;&lt;wsp:rsid wsp:val=&quot;3D513F0C&quot;/&gt;&lt;wsp:rsid wsp:val=&quot;3D5347E8&quot;/&gt;&lt;wsp:rsid wsp:val=&quot;3D5356C5&quot;/&gt;&lt;wsp:rsid wsp:val=&quot;3D5440BC&quot;/&gt;&lt;wsp:rsid wsp:val=&quot;3D5565A9&quot;/&gt;&lt;wsp:rsid wsp:val=&quot;3D567E34&quot;/&gt;&lt;wsp:rsid wsp:val=&quot;3D5800D7&quot;/&gt;&lt;wsp:rsid wsp:val=&quot;3D583BAC&quot;/&gt;&lt;wsp:rsid wsp:val=&quot;3D58755E&quot;/&gt;&lt;wsp:rsid wsp:val=&quot;3D5A3DC8&quot;/&gt;&lt;wsp:rsid wsp:val=&quot;3D5D28F2&quot;/&gt;&lt;wsp:rsid wsp:val=&quot;3D5F3856&quot;/&gt;&lt;wsp:rsid wsp:val=&quot;3D600CB3&quot;/&gt;&lt;wsp:rsid wsp:val=&quot;3D605157&quot;/&gt;&lt;wsp:rsid wsp:val=&quot;3D6108B8&quot;/&gt;&lt;wsp:rsid wsp:val=&quot;3D624A2B&quot;/&gt;&lt;wsp:rsid wsp:val=&quot;3D633921&quot;/&gt;&lt;wsp:rsid wsp:val=&quot;3D65276D&quot;/&gt;&lt;wsp:rsid wsp:val=&quot;3D667A0D&quot;/&gt;&lt;wsp:rsid wsp:val=&quot;3D670293&quot;/&gt;&lt;wsp:rsid wsp:val=&quot;3D687B67&quot;/&gt;&lt;wsp:rsid wsp:val=&quot;3D69400B&quot;/&gt;&lt;wsp:rsid wsp:val=&quot;3D6C33A0&quot;/&gt;&lt;wsp:rsid wsp:val=&quot;3D6C3AFB&quot;/&gt;&lt;wsp:rsid wsp:val=&quot;3D6D4830&quot;/&gt;&lt;wsp:rsid wsp:val=&quot;3D70539A&quot;/&gt;&lt;wsp:rsid wsp:val=&quot;3D711112&quot;/&gt;&lt;wsp:rsid wsp:val=&quot;3D714641&quot;/&gt;&lt;wsp:rsid wsp:val=&quot;3D7164C9&quot;/&gt;&lt;wsp:rsid wsp:val=&quot;3D732013&quot;/&gt;&lt;wsp:rsid wsp:val=&quot;3D74475E&quot;/&gt;&lt;wsp:rsid wsp:val=&quot;3D74650C&quot;/&gt;&lt;wsp:rsid wsp:val=&quot;3D7529B0&quot;/&gt;&lt;wsp:rsid wsp:val=&quot;3D7604D6&quot;/&gt;&lt;wsp:rsid wsp:val=&quot;3D766728&quot;/&gt;&lt;wsp:rsid wsp:val=&quot;3D781943&quot;/&gt;&lt;wsp:rsid wsp:val=&quot;3D7824A0&quot;/&gt;&lt;wsp:rsid wsp:val=&quot;3D785FFC&quot;/&gt;&lt;wsp:rsid wsp:val=&quot;3D791D75&quot;/&gt;&lt;wsp:rsid wsp:val=&quot;3D7B789B&quot;/&gt;&lt;wsp:rsid wsp:val=&quot;3D7D3613&quot;/&gt;&lt;wsp:rsid wsp:val=&quot;3D7F382F&quot;/&gt;&lt;wsp:rsid wsp:val=&quot;3D802CA6&quot;/&gt;&lt;wsp:rsid wsp:val=&quot;3D846F19&quot;/&gt;&lt;wsp:rsid wsp:val=&quot;3D853F47&quot;/&gt;&lt;wsp:rsid wsp:val=&quot;3D855688&quot;/&gt;&lt;wsp:rsid wsp:val=&quot;3D8726E3&quot;/&gt;&lt;wsp:rsid wsp:val=&quot;3D8C7CFA&quot;/&gt;&lt;wsp:rsid wsp:val=&quot;3D8D3E1A&quot;/&gt;&lt;wsp:rsid wsp:val=&quot;3D8D44B9&quot;/&gt;&lt;wsp:rsid wsp:val=&quot;3D8F1598&quot;/&gt;&lt;wsp:rsid wsp:val=&quot;3D913562&quot;/&gt;&lt;wsp:rsid wsp:val=&quot;3D915310&quot;/&gt;&lt;wsp:rsid wsp:val=&quot;3D9170BE&quot;/&gt;&lt;wsp:rsid wsp:val=&quot;3D931088&quot;/&gt;&lt;wsp:rsid wsp:val=&quot;3D934583&quot;/&gt;&lt;wsp:rsid wsp:val=&quot;3D9372DA&quot;/&gt;&lt;wsp:rsid wsp:val=&quot;3D946844&quot;/&gt;&lt;wsp:rsid wsp:val=&quot;3D962926&quot;/&gt;&lt;wsp:rsid wsp:val=&quot;3D9A41C5&quot;/&gt;&lt;wsp:rsid wsp:val=&quot;3D9A641E&quot;/&gt;&lt;wsp:rsid wsp:val=&quot;3D9B1CEB&quot;/&gt;&lt;wsp:rsid wsp:val=&quot;3D9E65F4&quot;/&gt;&lt;wsp:rsid wsp:val=&quot;3DA0319B&quot;/&gt;&lt;wsp:rsid wsp:val=&quot;3DA037A5&quot;/&gt;&lt;wsp:rsid wsp:val=&quot;3DA2751D&quot;/&gt;&lt;wsp:rsid wsp:val=&quot;3DA54918&quot;/&gt;&lt;wsp:rsid wsp:val=&quot;3DA6700D&quot;/&gt;&lt;wsp:rsid wsp:val=&quot;3DA74B34&quot;/&gt;&lt;wsp:rsid wsp:val=&quot;3DA768E2&quot;/&gt;&lt;wsp:rsid wsp:val=&quot;3DA8670D&quot;/&gt;&lt;wsp:rsid wsp:val=&quot;3DA94A83&quot;/&gt;&lt;wsp:rsid wsp:val=&quot;3DA950AA&quot;/&gt;&lt;wsp:rsid wsp:val=&quot;3DAA64A0&quot;/&gt;&lt;wsp:rsid wsp:val=&quot;3DAA6CF2&quot;/&gt;&lt;wsp:rsid wsp:val=&quot;3DAB4624&quot;/&gt;&lt;wsp:rsid wsp:val=&quot;3DAB63D2&quot;/&gt;&lt;wsp:rsid wsp:val=&quot;3DAE1A1E&quot;/&gt;&lt;wsp:rsid wsp:val=&quot;3DAE7C70&quot;/&gt;&lt;wsp:rsid wsp:val=&quot;3DAF26F9&quot;/&gt;&lt;wsp:rsid wsp:val=&quot;3DB0660E&quot;/&gt;&lt;wsp:rsid wsp:val=&quot;3DB1150E&quot;/&gt;&lt;wsp:rsid wsp:val=&quot;3DB35B35&quot;/&gt;&lt;wsp:rsid wsp:val=&quot;3DB549D1&quot;/&gt;&lt;wsp:rsid wsp:val=&quot;3DB57B1A&quot;/&gt;&lt;wsp:rsid wsp:val=&quot;3DB645BB&quot;/&gt;&lt;wsp:rsid wsp:val=&quot;3DB64D77&quot;/&gt;&lt;wsp:rsid wsp:val=&quot;3DB66B25&quot;/&gt;&lt;wsp:rsid wsp:val=&quot;3DB70C61&quot;/&gt;&lt;wsp:rsid wsp:val=&quot;3DB72FC9&quot;/&gt;&lt;wsp:rsid wsp:val=&quot;3DB76351&quot;/&gt;&lt;wsp:rsid wsp:val=&quot;3DB80AEF&quot;/&gt;&lt;wsp:rsid wsp:val=&quot;3DB8289D&quot;/&gt;&lt;wsp:rsid wsp:val=&quot;3DB861BE&quot;/&gt;&lt;wsp:rsid wsp:val=&quot;3DB86D41&quot;/&gt;&lt;wsp:rsid wsp:val=&quot;3DBA21C5&quot;/&gt;&lt;wsp:rsid wsp:val=&quot;3DBB4109&quot;/&gt;&lt;wsp:rsid wsp:val=&quot;3DBB413B&quot;/&gt;&lt;wsp:rsid wsp:val=&quot;3DBB5757&quot;/&gt;&lt;wsp:rsid wsp:val=&quot;3DBC05DF&quot;/&gt;&lt;wsp:rsid wsp:val=&quot;3DBD7EB3&quot;/&gt;&lt;wsp:rsid wsp:val=&quot;3DC01751&quot;/&gt;&lt;wsp:rsid wsp:val=&quot;3DC079A3&quot;/&gt;&lt;wsp:rsid wsp:val=&quot;3DC1717A&quot;/&gt;&lt;wsp:rsid wsp:val=&quot;3DC2371B&quot;/&gt;&lt;wsp:rsid wsp:val=&quot;3DC4168B&quot;/&gt;&lt;wsp:rsid wsp:val=&quot;3DC54F0A&quot;/&gt;&lt;wsp:rsid wsp:val=&quot;3DC56D68&quot;/&gt;&lt;wsp:rsid wsp:val=&quot;3DC76F84&quot;/&gt;&lt;wsp:rsid wsp:val=&quot;3DCB25D0&quot;/&gt;&lt;wsp:rsid wsp:val=&quot;3DCC459A&quot;/&gt;&lt;wsp:rsid wsp:val=&quot;3DCC6348&quot;/&gt;&lt;wsp:rsid wsp:val=&quot;3DCF3BCD&quot;/&gt;&lt;wsp:rsid wsp:val=&quot;3DCF679E&quot;/&gt;&lt;wsp:rsid wsp:val=&quot;3DD0408A&quot;/&gt;&lt;wsp:rsid wsp:val=&quot;3DD0505D&quot;/&gt;&lt;wsp:rsid wsp:val=&quot;3DD07BE6&quot;/&gt;&lt;wsp:rsid wsp:val=&quot;3DD11BB1&quot;/&gt;&lt;wsp:rsid wsp:val=&quot;3DD220DA&quot;/&gt;&lt;wsp:rsid wsp:val=&quot;3DD516A1&quot;/&gt;&lt;wsp:rsid wsp:val=&quot;3DD5344F&quot;/&gt;&lt;wsp:rsid wsp:val=&quot;3DD65008&quot;/&gt;&lt;wsp:rsid wsp:val=&quot;3DD86A9B&quot;/&gt;&lt;wsp:rsid wsp:val=&quot;3DDA38B1&quot;/&gt;&lt;wsp:rsid wsp:val=&quot;3DDA6CB7&quot;/&gt;&lt;wsp:rsid wsp:val=&quot;3DDC47DD&quot;/&gt;&lt;wsp:rsid wsp:val=&quot;3DDD20DC&quot;/&gt;&lt;wsp:rsid wsp:val=&quot;3DDD2303&quot;/&gt;&lt;wsp:rsid wsp:val=&quot;3DDD67A7&quot;/&gt;&lt;wsp:rsid wsp:val=&quot;3DDF607B&quot;/&gt;&lt;wsp:rsid wsp:val=&quot;3DE06F26&quot;/&gt;&lt;wsp:rsid wsp:val=&quot;3DE11DF4&quot;/&gt;&lt;wsp:rsid wsp:val=&quot;3DE25B6C&quot;/&gt;&lt;wsp:rsid wsp:val=&quot;3DE33297&quot;/&gt;&lt;wsp:rsid wsp:val=&quot;3DE6565C&quot;/&gt;&lt;wsp:rsid wsp:val=&quot;3DE6740A&quot;/&gt;&lt;wsp:rsid wsp:val=&quot;3DE713D4&quot;/&gt;&lt;wsp:rsid wsp:val=&quot;3DE73182&quot;/&gt;&lt;wsp:rsid wsp:val=&quot;3DE90CA8&quot;/&gt;&lt;wsp:rsid wsp:val=&quot;3DEA2D86&quot;/&gt;&lt;wsp:rsid wsp:val=&quot;3DEA4138&quot;/&gt;&lt;wsp:rsid wsp:val=&quot;3DEA67CE&quot;/&gt;&lt;wsp:rsid wsp:val=&quot;3DEB0EC4&quot;/&gt;&lt;wsp:rsid wsp:val=&quot;3DEB4A20&quot;/&gt;&lt;wsp:rsid wsp:val=&quot;3DEC0798&quot;/&gt;&lt;wsp:rsid wsp:val=&quot;3DEC2546&quot;/&gt;&lt;wsp:rsid wsp:val=&quot;3DEF6791&quot;/&gt;&lt;wsp:rsid wsp:val=&quot;3DF07218&quot;/&gt;&lt;wsp:rsid wsp:val=&quot;3DF15DAF&quot;/&gt;&lt;wsp:rsid wsp:val=&quot;3DF245B0&quot;/&gt;&lt;wsp:rsid wsp:val=&quot;3DF338D5&quot;/&gt;&lt;wsp:rsid wsp:val=&quot;3DF37D79&quot;/&gt;&lt;wsp:rsid wsp:val=&quot;3DF5589F&quot;/&gt;&lt;wsp:rsid wsp:val=&quot;3DF77869&quot;/&gt;&lt;wsp:rsid wsp:val=&quot;3DF8538F&quot;/&gt;&lt;wsp:rsid wsp:val=&quot;3DFA2EB5&quot;/&gt;&lt;wsp:rsid wsp:val=&quot;3DFA4C63&quot;/&gt;&lt;wsp:rsid wsp:val=&quot;3DFB09DB&quot;/&gt;&lt;wsp:rsid wsp:val=&quot;3DFB2BEA&quot;/&gt;&lt;wsp:rsid wsp:val=&quot;3DFB393E&quot;/&gt;&lt;wsp:rsid wsp:val=&quot;3DFC5847&quot;/&gt;&lt;wsp:rsid wsp:val=&quot;3DFD4754&quot;/&gt;&lt;wsp:rsid wsp:val=&quot;3DFD6502&quot;/&gt;&lt;wsp:rsid wsp:val=&quot;3DFE0BF8&quot;/&gt;&lt;wsp:rsid wsp:val=&quot;3E012FF6&quot;/&gt;&lt;wsp:rsid wsp:val=&quot;3E04123E&quot;/&gt;&lt;wsp:rsid wsp:val=&quot;3E06185A&quot;/&gt;&lt;wsp:rsid wsp:val=&quot;3E0755D2&quot;/&gt;&lt;wsp:rsid wsp:val=&quot;3E0930F8&quot;/&gt;&lt;wsp:rsid wsp:val=&quot;3E0B50C2&quot;/&gt;&lt;wsp:rsid wsp:val=&quot;3E0B6E71&quot;/&gt;&lt;wsp:rsid wsp:val=&quot;3E0D0E3B&quot;/&gt;&lt;wsp:rsid wsp:val=&quot;3E122832&quot;/&gt;&lt;wsp:rsid wsp:val=&quot;3E1321C9&quot;/&gt;&lt;wsp:rsid wsp:val=&quot;3E160F33&quot;/&gt;&lt;wsp:rsid wsp:val=&quot;3E171CB9&quot;/&gt;&lt;wsp:rsid wsp:val=&quot;3E173A67&quot;/&gt;&lt;wsp:rsid wsp:val=&quot;3E18333B&quot;/&gt;&lt;wsp:rsid wsp:val=&quot;3E194160&quot;/&gt;&lt;wsp:rsid wsp:val=&quot;3E1A5306&quot;/&gt;&lt;wsp:rsid wsp:val=&quot;3E1B0A01&quot;/&gt;&lt;wsp:rsid wsp:val=&quot;3E1C107E&quot;/&gt;&lt;wsp:rsid wsp:val=&quot;3E1C72D0&quot;/&gt;&lt;wsp:rsid wsp:val=&quot;3E1D35CC&quot;/&gt;&lt;wsp:rsid wsp:val=&quot;3E1D4DF6&quot;/&gt;&lt;wsp:rsid wsp:val=&quot;3E1F13B5&quot;/&gt;&lt;wsp:rsid wsp:val=&quot;3E2066E9&quot;/&gt;&lt;wsp:rsid wsp:val=&quot;3E23097A&quot;/&gt;&lt;wsp:rsid wsp:val=&quot;3E246184&quot;/&gt;&lt;wsp:rsid wsp:val=&quot;3E281C07&quot;/&gt;&lt;wsp:rsid wsp:val=&quot;3E285C74&quot;/&gt;&lt;wsp:rsid wsp:val=&quot;3E2972F7&quot;/&gt;&lt;wsp:rsid wsp:val=&quot;3E2B12C1&quot;/&gt;&lt;wsp:rsid wsp:val=&quot;3E2B7513&quot;/&gt;&lt;wsp:rsid wsp:val=&quot;3E2C6DE7&quot;/&gt;&lt;wsp:rsid wsp:val=&quot;3E2D5039&quot;/&gt;&lt;wsp:rsid wsp:val=&quot;3E304B29&quot;/&gt;&lt;wsp:rsid wsp:val=&quot;3E3143FD&quot;/&gt;&lt;wsp:rsid wsp:val=&quot;3E330175&quot;/&gt;&lt;wsp:rsid wsp:val=&quot;3E3363C7&quot;/&gt;&lt;wsp:rsid wsp:val=&quot;3E342474&quot;/&gt;&lt;wsp:rsid wsp:val=&quot;3E375EB7&quot;/&gt;&lt;wsp:rsid wsp:val=&quot;3E3839DE&quot;/&gt;&lt;wsp:rsid wsp:val=&quot;3E3A59A8&quot;/&gt;&lt;wsp:rsid wsp:val=&quot;3E3A7756&quot;/&gt;&lt;wsp:rsid wsp:val=&quot;3E3B3C99&quot;/&gt;&lt;wsp:rsid wsp:val=&quot;3E3C1720&quot;/&gt;&lt;wsp:rsid wsp:val=&quot;3E3C34CE&quot;/&gt;&lt;wsp:rsid wsp:val=&quot;3E3C527C&quot;/&gt;&lt;wsp:rsid wsp:val=&quot;3E400AD9&quot;/&gt;&lt;wsp:rsid wsp:val=&quot;3E416D36&quot;/&gt;&lt;wsp:rsid wsp:val=&quot;3E4203B8&quot;/&gt;&lt;wsp:rsid wsp:val=&quot;3E42660A&quot;/&gt;&lt;wsp:rsid wsp:val=&quot;3E4800C5&quot;/&gt;&lt;wsp:rsid wsp:val=&quot;3E483C21&quot;/&gt;&lt;wsp:rsid wsp:val=&quot;3E491066&quot;/&gt;&lt;wsp:rsid wsp:val=&quot;3E493DC2&quot;/&gt;&lt;wsp:rsid wsp:val=&quot;3E495BEB&quot;/&gt;&lt;wsp:rsid wsp:val=&quot;3E497999&quot;/&gt;&lt;wsp:rsid wsp:val=&quot;3E4C733C&quot;/&gt;&lt;wsp:rsid wsp:val=&quot;3E4E4FAF&quot;/&gt;&lt;wsp:rsid wsp:val=&quot;3E511B77&quot;/&gt;&lt;wsp:rsid wsp:val=&quot;3E522CF1&quot;/&gt;&lt;wsp:rsid wsp:val=&quot;3E524A9F&quot;/&gt;&lt;wsp:rsid wsp:val=&quot;3E55633E&quot;/&gt;&lt;wsp:rsid wsp:val=&quot;3E570308&quot;/&gt;&lt;wsp:rsid wsp:val=&quot;3E5720B6&quot;/&gt;&lt;wsp:rsid wsp:val=&quot;3E5C1230&quot;/&gt;&lt;wsp:rsid wsp:val=&quot;3E5D51F2&quot;/&gt;&lt;wsp:rsid wsp:val=&quot;3E5E3444&quot;/&gt;&lt;wsp:rsid wsp:val=&quot;3E5F71BC&quot;/&gt;&lt;wsp:rsid wsp:val=&quot;3E675C0A&quot;/&gt;&lt;wsp:rsid wsp:val=&quot;3E676FF3&quot;/&gt;&lt;wsp:rsid wsp:val=&quot;3E68709A&quot;/&gt;&lt;wsp:rsid wsp:val=&quot;3E6A1E9A&quot;/&gt;&lt;wsp:rsid wsp:val=&quot;3E6B5B61&quot;/&gt;&lt;wsp:rsid wsp:val=&quot;3E6D1CF6&quot;/&gt;&lt;wsp:rsid wsp:val=&quot;3E6D3687&quot;/&gt;&lt;wsp:rsid wsp:val=&quot;3E6E2F0C&quot;/&gt;&lt;wsp:rsid wsp:val=&quot;3E6F38A3&quot;/&gt;&lt;wsp:rsid wsp:val=&quot;3E6F5651&quot;/&gt;&lt;wsp:rsid wsp:val=&quot;3E7013C9&quot;/&gt;&lt;wsp:rsid wsp:val=&quot;3E704F26&quot;/&gt;&lt;wsp:rsid wsp:val=&quot;3E70582C&quot;/&gt;&lt;wsp:rsid wsp:val=&quot;3E726EF0&quot;/&gt;&lt;wsp:rsid wsp:val=&quot;3E75253C&quot;/&gt;&lt;wsp:rsid wsp:val=&quot;3E7569E0&quot;/&gt;&lt;wsp:rsid wsp:val=&quot;3E767A52&quot;/&gt;&lt;wsp:rsid wsp:val=&quot;3E774506&quot;/&gt;&lt;wsp:rsid wsp:val=&quot;3E7802D0&quot;/&gt;&lt;wsp:rsid wsp:val=&quot;3E7964D0&quot;/&gt;&lt;wsp:rsid wsp:val=&quot;3E7A14AF&quot;/&gt;&lt;wsp:rsid wsp:val=&quot;3E7A3FF6&quot;/&gt;&lt;wsp:rsid wsp:val=&quot;3E7D16CC&quot;/&gt;&lt;wsp:rsid wsp:val=&quot;3E7E7642&quot;/&gt;&lt;wsp:rsid wsp:val=&quot;3E7F160D&quot;/&gt;&lt;wsp:rsid wsp:val=&quot;3E7F33BB&quot;/&gt;&lt;wsp:rsid wsp:val=&quot;3E8135D7&quot;/&gt;&lt;wsp:rsid wsp:val=&quot;3E815385&quot;/&gt;&lt;wsp:rsid wsp:val=&quot;3E833CA2&quot;/&gt;&lt;wsp:rsid wsp:val=&quot;3E834C59&quot;/&gt;&lt;wsp:rsid wsp:val=&quot;3E835462&quot;/&gt;&lt;wsp:rsid wsp:val=&quot;3E8409D1&quot;/&gt;&lt;wsp:rsid wsp:val=&quot;3E844547&quot;/&gt;&lt;wsp:rsid wsp:val=&quot;3E854E75&quot;/&gt;&lt;wsp:rsid wsp:val=&quot;3E857D03&quot;/&gt;&lt;wsp:rsid wsp:val=&quot;3E862AE7&quot;/&gt;&lt;wsp:rsid wsp:val=&quot;3E88226F&quot;/&gt;&lt;wsp:rsid wsp:val=&quot;3E895FE7&quot;/&gt;&lt;wsp:rsid wsp:val=&quot;3E8A248B&quot;/&gt;&lt;wsp:rsid wsp:val=&quot;3E8B6203&quot;/&gt;&lt;wsp:rsid wsp:val=&quot;3E8B7FB1&quot;/&gt;&lt;wsp:rsid wsp:val=&quot;3E8F1850&quot;/&gt;&lt;wsp:rsid wsp:val=&quot;3E90381A&quot;/&gt;&lt;wsp:rsid wsp:val=&quot;3E904E16&quot;/&gt;&lt;wsp:rsid wsp:val=&quot;3E907376&quot;/&gt;&lt;wsp:rsid wsp:val=&quot;3E921340&quot;/&gt;&lt;wsp:rsid wsp:val=&quot;3E946E66&quot;/&gt;&lt;wsp:rsid wsp:val=&quot;3E952BDE&quot;/&gt;&lt;wsp:rsid wsp:val=&quot;3E971F32&quot;/&gt;&lt;wsp:rsid wsp:val=&quot;3E974BA8&quot;/&gt;&lt;wsp:rsid wsp:val=&quot;3E984202&quot;/&gt;&lt;wsp:rsid wsp:val=&quot;3E990920&quot;/&gt;&lt;wsp:rsid wsp:val=&quot;3E9924C6&quot;/&gt;&lt;wsp:rsid wsp:val=&quot;3E9926CE&quot;/&gt;&lt;wsp:rsid wsp:val=&quot;3E9B4698&quot;/&gt;&lt;wsp:rsid wsp:val=&quot;3E9C21BE&quot;/&gt;&lt;wsp:rsid wsp:val=&quot;3E9C6F27&quot;/&gt;&lt;wsp:rsid wsp:val=&quot;3E9F580B&quot;/&gt;&lt;wsp:rsid wsp:val=&quot;3EA6303D&quot;/&gt;&lt;wsp:rsid wsp:val=&quot;3EAA48DB&quot;/&gt;&lt;wsp:rsid wsp:val=&quot;3EAA6689&quot;/&gt;&lt;wsp:rsid wsp:val=&quot;3EAC5A7F&quot;/&gt;&lt;wsp:rsid wsp:val=&quot;3EB07A18&quot;/&gt;&lt;wsp:rsid wsp:val=&quot;3EB219E2&quot;/&gt;&lt;wsp:rsid wsp:val=&quot;3EB2553E&quot;/&gt;&lt;wsp:rsid wsp:val=&quot;3EB42D77&quot;/&gt;&lt;wsp:rsid wsp:val=&quot;3EB45120&quot;/&gt;&lt;wsp:rsid wsp:val=&quot;3EB5502E&quot;/&gt;&lt;wsp:rsid wsp:val=&quot;3EB575B7&quot;/&gt;&lt;wsp:rsid wsp:val=&quot;3EB94B1E&quot;/&gt;&lt;wsp:rsid wsp:val=&quot;3EBC63BD&quot;/&gt;&lt;wsp:rsid wsp:val=&quot;3EBC717B&quot;/&gt;&lt;wsp:rsid wsp:val=&quot;3EBD6A03&quot;/&gt;&lt;wsp:rsid wsp:val=&quot;3EBE3EE3&quot;/&gt;&lt;wsp:rsid wsp:val=&quot;3EC05384&quot;/&gt;&lt;wsp:rsid wsp:val=&quot;3EC1316A&quot;/&gt;&lt;wsp:rsid wsp:val=&quot;3EC14F2B&quot;/&gt;&lt;wsp:rsid wsp:val=&quot;3EC31134&quot;/&gt;&lt;wsp:rsid wsp:val=&quot;3EC3599D&quot;/&gt;&lt;wsp:rsid wsp:val=&quot;3EC425C4&quot;/&gt;&lt;wsp:rsid wsp:val=&quot;3EC62D97&quot;/&gt;&lt;wsp:rsid wsp:val=&quot;3EC66625&quot;/&gt;&lt;wsp:rsid wsp:val=&quot;3EC6723B&quot;/&gt;&lt;wsp:rsid wsp:val=&quot;3ECB31D6&quot;/&gt;&lt;wsp:rsid wsp:val=&quot;3ECB4852&quot;/&gt;&lt;wsp:rsid wsp:val=&quot;3ECB5140&quot;/&gt;&lt;wsp:rsid wsp:val=&quot;3ECB6600&quot;/&gt;&lt;wsp:rsid wsp:val=&quot;3ED0310B&quot;/&gt;&lt;wsp:rsid wsp:val=&quot;3ED03C16&quot;/&gt;&lt;wsp:rsid wsp:val=&quot;3ED25BE0&quot;/&gt;&lt;wsp:rsid wsp:val=&quot;3ED659B2&quot;/&gt;&lt;wsp:rsid wsp:val=&quot;3ED6747E&quot;/&gt;&lt;wsp:rsid wsp:val=&quot;3ED71449&quot;/&gt;&lt;wsp:rsid wsp:val=&quot;3ED74FA5&quot;/&gt;&lt;wsp:rsid wsp:val=&quot;3ED81ECA&quot;/&gt;&lt;wsp:rsid wsp:val=&quot;3ED90D1D&quot;/&gt;&lt;wsp:rsid wsp:val=&quot;3ED92ACB&quot;/&gt;&lt;wsp:rsid wsp:val=&quot;3ED970E3&quot;/&gt;&lt;wsp:rsid wsp:val=&quot;3EDA0523&quot;/&gt;&lt;wsp:rsid wsp:val=&quot;3EDC34CD&quot;/&gt;&lt;wsp:rsid wsp:val=&quot;3EDC6A5F&quot;/&gt;&lt;wsp:rsid wsp:val=&quot;3EDE4585&quot;/&gt;&lt;wsp:rsid wsp:val=&quot;3EDE6333&quot;/&gt;&lt;wsp:rsid wsp:val=&quot;3EDF3E59&quot;/&gt;&lt;wsp:rsid wsp:val=&quot;3EE020AB&quot;/&gt;&lt;wsp:rsid wsp:val=&quot;3EE02D96&quot;/&gt;&lt;wsp:rsid wsp:val=&quot;3EE1322D&quot;/&gt;&lt;wsp:rsid wsp:val=&quot;3EE14075&quot;/&gt;&lt;wsp:rsid wsp:val=&quot;3EE6168C&quot;/&gt;&lt;wsp:rsid wsp:val=&quot;3EE62B3C&quot;/&gt;&lt;wsp:rsid wsp:val=&quot;3EE85404&quot;/&gt;&lt;wsp:rsid wsp:val=&quot;3EE87078&quot;/&gt;&lt;wsp:rsid wsp:val=&quot;3EE9077A&quot;/&gt;&lt;wsp:rsid wsp:val=&quot;3EEA4CD8&quot;/&gt;&lt;wsp:rsid wsp:val=&quot;3EEC4EF4&quot;/&gt;&lt;wsp:rsid wsp:val=&quot;3EED17D0&quot;/&gt;&lt;wsp:rsid wsp:val=&quot;3EED47C8&quot;/&gt;&lt;wsp:rsid wsp:val=&quot;3EED6576&quot;/&gt;&lt;wsp:rsid wsp:val=&quot;3EEF0540&quot;/&gt;&lt;wsp:rsid wsp:val=&quot;3EEF22EE&quot;/&gt;&lt;wsp:rsid wsp:val=&quot;3EF1250A&quot;/&gt;&lt;wsp:rsid wsp:val=&quot;3EF142B8&quot;/&gt;&lt;wsp:rsid wsp:val=&quot;3EF20030&quot;/&gt;&lt;wsp:rsid wsp:val=&quot;3EF23B8C&quot;/&gt;&lt;wsp:rsid wsp:val=&quot;3EF26282&quot;/&gt;&lt;wsp:rsid wsp:val=&quot;3EF43DA9&quot;/&gt;&lt;wsp:rsid wsp:val=&quot;3EF47905&quot;/&gt;&lt;wsp:rsid wsp:val=&quot;3EF618CF&quot;/&gt;&lt;wsp:rsid wsp:val=&quot;3EF66BFC&quot;/&gt;&lt;wsp:rsid wsp:val=&quot;3EF73899&quot;/&gt;&lt;wsp:rsid wsp:val=&quot;3EF75453&quot;/&gt;&lt;wsp:rsid wsp:val=&quot;3EF773F5&quot;/&gt;&lt;wsp:rsid wsp:val=&quot;3EFB78C3&quot;/&gt;&lt;wsp:rsid wsp:val=&quot;3EFE4C27&quot;/&gt;&lt;wsp:rsid wsp:val=&quot;3F0044FB&quot;/&gt;&lt;wsp:rsid wsp:val=&quot;3F0062A9&quot;/&gt;&lt;wsp:rsid wsp:val=&quot;3F010273&quot;/&gt;&lt;wsp:rsid wsp:val=&quot;3F03223E&quot;/&gt;&lt;wsp:rsid wsp:val=&quot;3F051B12&quot;/&gt;&lt;wsp:rsid wsp:val=&quot;3F06588A&quot;/&gt;&lt;wsp:rsid wsp:val=&quot;3F081602&quot;/&gt;&lt;wsp:rsid wsp:val=&quot;3F0833B0&quot;/&gt;&lt;wsp:rsid wsp:val=&quot;3F0A537A&quot;/&gt;&lt;wsp:rsid wsp:val=&quot;3F0A7128&quot;/&gt;&lt;wsp:rsid wsp:val=&quot;3F0B7B87&quot;/&gt;&lt;wsp:rsid wsp:val=&quot;3F0D09C6&quot;/&gt;&lt;wsp:rsid wsp:val=&quot;3F0D6C18&quot;/&gt;&lt;wsp:rsid wsp:val=&quot;3F1461F9&quot;/&gt;&lt;wsp:rsid wsp:val=&quot;3F161F71&quot;/&gt;&lt;wsp:rsid wsp:val=&quot;3F163D1F&quot;/&gt;&lt;wsp:rsid wsp:val=&quot;3F1735F3&quot;/&gt;&lt;wsp:rsid wsp:val=&quot;3F177A97&quot;/&gt;&lt;wsp:rsid wsp:val=&quot;3F185CE9&quot;/&gt;&lt;wsp:rsid wsp:val=&quot;3F191F2E&quot;/&gt;&lt;wsp:rsid wsp:val=&quot;3F1A0730&quot;/&gt;&lt;wsp:rsid wsp:val=&quot;3F1B1335&quot;/&gt;&lt;wsp:rsid wsp:val=&quot;3F1B30E3&quot;/&gt;&lt;wsp:rsid wsp:val=&quot;3F1C70CA&quot;/&gt;&lt;wsp:rsid wsp:val=&quot;3F1D32FF&quot;/&gt;&lt;wsp:rsid wsp:val=&quot;3F1F465F&quot;/&gt;&lt;wsp:rsid wsp:val=&quot;3F204B9E&quot;/&gt;&lt;wsp:rsid wsp:val=&quot;3F23468E&quot;/&gt;&lt;wsp:rsid wsp:val=&quot;3F253530&quot;/&gt;&lt;wsp:rsid wsp:val=&quot;3F253F62&quot;/&gt;&lt;wsp:rsid wsp:val=&quot;3F261A88&quot;/&gt;&lt;wsp:rsid wsp:val=&quot;3F264532&quot;/&gt;&lt;wsp:rsid wsp:val=&quot;3F2759C2&quot;/&gt;&lt;wsp:rsid wsp:val=&quot;3F277CDA&quot;/&gt;&lt;wsp:rsid wsp:val=&quot;3F281CA4&quot;/&gt;&lt;wsp:rsid wsp:val=&quot;3F283A52&quot;/&gt;&lt;wsp:rsid wsp:val=&quot;3F2A5A1C&quot;/&gt;&lt;wsp:rsid wsp:val=&quot;3F2B709E&quot;/&gt;&lt;wsp:rsid wsp:val=&quot;3F2B7833&quot;/&gt;&lt;wsp:rsid wsp:val=&quot;3F2F1E2C&quot;/&gt;&lt;wsp:rsid wsp:val=&quot;3F2F3033&quot;/&gt;&lt;wsp:rsid wsp:val=&quot;3F2F4154&quot;/&gt;&lt;wsp:rsid wsp:val=&quot;3F3101B5&quot;/&gt;&lt;wsp:rsid wsp:val=&quot;3F312907&quot;/&gt;&lt;wsp:rsid wsp:val=&quot;3F32667F&quot;/&gt;&lt;wsp:rsid wsp:val=&quot;3F3348D1&quot;/&gt;&lt;wsp:rsid wsp:val=&quot;3F3423F7&quot;/&gt;&lt;wsp:rsid wsp:val=&quot;3F3643C1&quot;/&gt;&lt;wsp:rsid wsp:val=&quot;3F36616F&quot;/&gt;&lt;wsp:rsid wsp:val=&quot;3F373C95&quot;/&gt;&lt;wsp:rsid wsp:val=&quot;3F375A43&quot;/&gt;&lt;wsp:rsid wsp:val=&quot;3F381EE7&quot;/&gt;&lt;wsp:rsid wsp:val=&quot;3F397A0D&quot;/&gt;&lt;wsp:rsid wsp:val=&quot;3F3B5533&quot;/&gt;&lt;wsp:rsid wsp:val=&quot;3F400D9C&quot;/&gt;&lt;wsp:rsid wsp:val=&quot;3F43263A&quot;/&gt;&lt;wsp:rsid wsp:val=&quot;3F450160&quot;/&gt;&lt;wsp:rsid wsp:val=&quot;3F454604&quot;/&gt;&lt;wsp:rsid wsp:val=&quot;3F473ED8&quot;/&gt;&lt;wsp:rsid wsp:val=&quot;3F485EA2&quot;/&gt;&lt;wsp:rsid wsp:val=&quot;3F4A05F9&quot;/&gt;&lt;wsp:rsid wsp:val=&quot;3F4A7E6C&quot;/&gt;&lt;wsp:rsid wsp:val=&quot;3F4C5993&quot;/&gt;&lt;wsp:rsid wsp:val=&quot;3F4E170B&quot;/&gt;&lt;wsp:rsid wsp:val=&quot;3F4E4CB5&quot;/&gt;&lt;wsp:rsid wsp:val=&quot;3F4F0FDF&quot;/&gt;&lt;wsp:rsid wsp:val=&quot;3F5465F5&quot;/&gt;&lt;wsp:rsid wsp:val=&quot;3F56236D&quot;/&gt;&lt;wsp:rsid wsp:val=&quot;3F573EC4&quot;/&gt;&lt;wsp:rsid wsp:val=&quot;3F584337&quot;/&gt;&lt;wsp:rsid wsp:val=&quot;3F5860E5&quot;/&gt;&lt;wsp:rsid wsp:val=&quot;3F5B3E28&quot;/&gt;&lt;wsp:rsid wsp:val=&quot;3F5C6486&quot;/&gt;&lt;wsp:rsid wsp:val=&quot;3F5D194E&quot;/&gt;&lt;wsp:rsid wsp:val=&quot;3F5D2714&quot;/&gt;&lt;wsp:rsid wsp:val=&quot;3F5E1222&quot;/&gt;&lt;wsp:rsid wsp:val=&quot;3F5E56C6&quot;/&gt;&lt;wsp:rsid wsp:val=&quot;3F6060F9&quot;/&gt;&lt;wsp:rsid wsp:val=&quot;3F620FE1&quot;/&gt;&lt;wsp:rsid wsp:val=&quot;3F64674D&quot;/&gt;&lt;wsp:rsid wsp:val=&quot;3F655847&quot;/&gt;&lt;wsp:rsid wsp:val=&quot;3F677B8D&quot;/&gt;&lt;wsp:rsid wsp:val=&quot;3F6852B6&quot;/&gt;&lt;wsp:rsid wsp:val=&quot;3F6A406B&quot;/&gt;&lt;wsp:rsid wsp:val=&quot;3F6A6C05&quot;/&gt;&lt;wsp:rsid wsp:val=&quot;3F6E3B5B&quot;/&gt;&lt;wsp:rsid wsp:val=&quot;3F6F342F&quot;/&gt;&lt;wsp:rsid wsp:val=&quot;3F6F78D3&quot;/&gt;&lt;wsp:rsid wsp:val=&quot;3F715648&quot;/&gt;&lt;wsp:rsid wsp:val=&quot;3F7171A7&quot;/&gt;&lt;wsp:rsid wsp:val=&quot;3F740A45&quot;/&gt;&lt;wsp:rsid wsp:val=&quot;3F760C61&quot;/&gt;&lt;wsp:rsid wsp:val=&quot;3F76656C&quot;/&gt;&lt;wsp:rsid wsp:val=&quot;3F786788&quot;/&gt;&lt;wsp:rsid wsp:val=&quot;3F7A2500&quot;/&gt;&lt;wsp:rsid wsp:val=&quot;3F7B12CB&quot;/&gt;&lt;wsp:rsid wsp:val=&quot;3F7B6278&quot;/&gt;&lt;wsp:rsid wsp:val=&quot;3F7E25E7&quot;/&gt;&lt;wsp:rsid wsp:val=&quot;3F7E3672&quot;/&gt;&lt;wsp:rsid wsp:val=&quot;3F7F7B16&quot;/&gt;&lt;wsp:rsid wsp:val=&quot;3F80388E&quot;/&gt;&lt;wsp:rsid wsp:val=&quot;3F80563C&quot;/&gt;&lt;wsp:rsid wsp:val=&quot;3F823162&quot;/&gt;&lt;wsp:rsid wsp:val=&quot;3F827606&quot;/&gt;&lt;wsp:rsid wsp:val=&quot;3F836EDA&quot;/&gt;&lt;wsp:rsid wsp:val=&quot;3F84512C&quot;/&gt;&lt;wsp:rsid wsp:val=&quot;3F854A01&quot;/&gt;&lt;wsp:rsid wsp:val=&quot;3F8663DE&quot;/&gt;&lt;wsp:rsid wsp:val=&quot;3F8838CF&quot;/&gt;&lt;wsp:rsid wsp:val=&quot;3F8A61EF&quot;/&gt;&lt;wsp:rsid wsp:val=&quot;3F8A64BB&quot;/&gt;&lt;wsp:rsid wsp:val=&quot;3F8F43F6&quot;/&gt;&lt;wsp:rsid wsp:val=&quot;3F900156&quot;/&gt;&lt;wsp:rsid wsp:val=&quot;3F9229DB&quot;/&gt;&lt;wsp:rsid wsp:val=&quot;3F927552&quot;/&gt;&lt;wsp:rsid wsp:val=&quot;3F93536F&quot;/&gt;&lt;wsp:rsid wsp:val=&quot;3F9410E8&quot;/&gt;&lt;wsp:rsid wsp:val=&quot;3F946844&quot;/&gt;&lt;wsp:rsid wsp:val=&quot;3F95733A&quot;/&gt;&lt;wsp:rsid wsp:val=&quot;3F960C3F&quot;/&gt;&lt;wsp:rsid wsp:val=&quot;3F9614BE&quot;/&gt;&lt;wsp:rsid wsp:val=&quot;3F964E60&quot;/&gt;&lt;wsp:rsid wsp:val=&quot;3F965ED3&quot;/&gt;&lt;wsp:rsid wsp:val=&quot;3F9707F3&quot;/&gt;&lt;wsp:rsid wsp:val=&quot;3F982986&quot;/&gt;&lt;wsp:rsid wsp:val=&quot;3F984734&quot;/&gt;&lt;wsp:rsid wsp:val=&quot;3F9A5CE4&quot;/&gt;&lt;wsp:rsid wsp:val=&quot;3F9B2476&quot;/&gt;&lt;wsp:rsid wsp:val=&quot;3F9C6DE5&quot;/&gt;&lt;wsp:rsid wsp:val=&quot;3F9D1D4A&quot;/&gt;&lt;wsp:rsid wsp:val=&quot;3F9D4665&quot;/&gt;&lt;wsp:rsid wsp:val=&quot;3F9F3D14&quot;/&gt;&lt;wsp:rsid wsp:val=&quot;3F9F5D8E&quot;/&gt;&lt;wsp:rsid wsp:val=&quot;3FA27361&quot;/&gt;&lt;wsp:rsid wsp:val=&quot;3FA304D7&quot;/&gt;&lt;wsp:rsid wsp:val=&quot;3FA4757D&quot;/&gt;&lt;wsp:rsid wsp:val=&quot;3FA52DF7&quot;/&gt;&lt;wsp:rsid wsp:val=&quot;3FA532F5&quot;/&gt;&lt;wsp:rsid wsp:val=&quot;3FA62817&quot;/&gt;&lt;wsp:rsid wsp:val=&quot;3FA70E1B&quot;/&gt;&lt;wsp:rsid wsp:val=&quot;3FA73DCB&quot;/&gt;&lt;wsp:rsid wsp:val=&quot;3FA7706D&quot;/&gt;&lt;wsp:rsid wsp:val=&quot;3FA96941&quot;/&gt;&lt;wsp:rsid wsp:val=&quot;3FAA090B&quot;/&gt;&lt;wsp:rsid wsp:val=&quot;3FAC01DF&quot;/&gt;&lt;wsp:rsid wsp:val=&quot;3FAD7FFA&quot;/&gt;&lt;wsp:rsid wsp:val=&quot;3FAE03FB&quot;/&gt;&lt;wsp:rsid wsp:val=&quot;3FAE6512&quot;/&gt;&lt;wsp:rsid wsp:val=&quot;3FAE7465&quot;/&gt;&lt;wsp:rsid wsp:val=&quot;3FB05F21&quot;/&gt;&lt;wsp:rsid wsp:val=&quot;3FB1139A&quot;/&gt;&lt;wsp:rsid wsp:val=&quot;3FB13A48&quot;/&gt;&lt;wsp:rsid wsp:val=&quot;3FB35A12&quot;/&gt;&lt;wsp:rsid wsp:val=&quot;3FB452E6&quot;/&gt;&lt;wsp:rsid wsp:val=&quot;3FB5178A&quot;/&gt;&lt;wsp:rsid wsp:val=&quot;3FB62E0C&quot;/&gt;&lt;wsp:rsid wsp:val=&quot;3FB672B0&quot;/&gt;&lt;wsp:rsid wsp:val=&quot;3FB67B17&quot;/&gt;&lt;wsp:rsid wsp:val=&quot;3FBA0B4E&quot;/&gt;&lt;wsp:rsid wsp:val=&quot;3FBB48C6&quot;/&gt;&lt;wsp:rsid wsp:val=&quot;3FBD23EC&quot;/&gt;&lt;wsp:rsid wsp:val=&quot;3FBF6165&quot;/&gt;&lt;wsp:rsid wsp:val=&quot;3FC1012F&quot;/&gt;&lt;wsp:rsid wsp:val=&quot;3FC276C7&quot;/&gt;&lt;wsp:rsid wsp:val=&quot;3FC74906&quot;/&gt;&lt;wsp:rsid wsp:val=&quot;3FC76DC7&quot;/&gt;&lt;wsp:rsid wsp:val=&quot;3FC912A2&quot;/&gt;&lt;wsp:rsid wsp:val=&quot;3FC921F2&quot;/&gt;&lt;wsp:rsid wsp:val=&quot;3FC96FE3&quot;/&gt;&lt;wsp:rsid wsp:val=&quot;3FCA68B7&quot;/&gt;&lt;wsp:rsid wsp:val=&quot;3FCB4B12&quot;/&gt;&lt;wsp:rsid wsp:val=&quot;3FCC262F&quot;/&gt;&lt;wsp:rsid wsp:val=&quot;3FCE0156&quot;/&gt;&lt;wsp:rsid wsp:val=&quot;3FCF3ECE&quot;/&gt;&lt;wsp:rsid wsp:val=&quot;3FD140EA&quot;/&gt;&lt;wsp:rsid wsp:val=&quot;3FD15E98&quot;/&gt;&lt;wsp:rsid wsp:val=&quot;3FD17C46&quot;/&gt;&lt;wsp:rsid wsp:val=&quot;3FD20CE1&quot;/&gt;&lt;wsp:rsid wsp:val=&quot;3FD27F37&quot;/&gt;&lt;wsp:rsid wsp:val=&quot;3FD31C10&quot;/&gt;&lt;wsp:rsid wsp:val=&quot;3FD40488&quot;/&gt;&lt;wsp:rsid wsp:val=&quot;3FD451F4&quot;/&gt;&lt;wsp:rsid wsp:val=&quot;3FD80FD4&quot;/&gt;&lt;wsp:rsid wsp:val=&quot;3FD83D14&quot;/&gt;&lt;wsp:rsid wsp:val=&quot;3FD85478&quot;/&gt;&lt;wsp:rsid wsp:val=&quot;3FD87226&quot;/&gt;&lt;wsp:rsid wsp:val=&quot;3FDA2F9E&quot;/&gt;&lt;wsp:rsid wsp:val=&quot;3FDB0AC5&quot;/&gt;&lt;wsp:rsid wsp:val=&quot;3FDC40F2&quot;/&gt;&lt;wsp:rsid wsp:val=&quot;3FDD3EA9&quot;/&gt;&lt;wsp:rsid wsp:val=&quot;3FDD483D&quot;/&gt;&lt;wsp:rsid wsp:val=&quot;3FE06A38&quot;/&gt;&lt;wsp:rsid wsp:val=&quot;3FE536F1&quot;/&gt;&lt;wsp:rsid wsp:val=&quot;3FE77469&quot;/&gt;&lt;wsp:rsid wsp:val=&quot;3FEE07F8&quot;/&gt;&lt;wsp:rsid wsp:val=&quot;3FEE6A4A&quot;/&gt;&lt;wsp:rsid wsp:val=&quot;3FF35E0E&quot;/&gt;&lt;wsp:rsid wsp:val=&quot;3FF43934&quot;/&gt;&lt;wsp:rsid wsp:val=&quot;3FF676AC&quot;/&gt;&lt;wsp:rsid wsp:val=&quot;3FF81676&quot;/&gt;&lt;wsp:rsid wsp:val=&quot;3FF878C8&quot;/&gt;&lt;wsp:rsid wsp:val=&quot;3FF87DF8&quot;/&gt;&lt;wsp:rsid wsp:val=&quot;3FF9723B&quot;/&gt;&lt;wsp:rsid wsp:val=&quot;3FFA0F4B&quot;/&gt;&lt;wsp:rsid wsp:val=&quot;3FFA719D&quot;/&gt;&lt;wsp:rsid wsp:val=&quot;3FFB2F15&quot;/&gt;&lt;wsp:rsid wsp:val=&quot;3FFB4CC3&quot;/&gt;&lt;wsp:rsid wsp:val=&quot;3FFC1167&quot;/&gt;&lt;wsp:rsid wsp:val=&quot;3FFD062E&quot;/&gt;&lt;wsp:rsid wsp:val=&quot;3FFE24A3&quot;/&gt;&lt;wsp:rsid wsp:val=&quot;3FFE2572&quot;/&gt;&lt;wsp:rsid wsp:val=&quot;3FFE7AE4&quot;/&gt;&lt;wsp:rsid wsp:val=&quot;3FFF47B3&quot;/&gt;&lt;wsp:rsid wsp:val=&quot;4000052B&quot;/&gt;&lt;wsp:rsid wsp:val=&quot;40003751&quot;/&gt;&lt;wsp:rsid wsp:val=&quot;40061FE5&quot;/&gt;&lt;wsp:rsid wsp:val=&quot;400718BA&quot;/&gt;&lt;wsp:rsid wsp:val=&quot;40092389&quot;/&gt;&lt;wsp:rsid wsp:val=&quot;40095632&quot;/&gt;&lt;wsp:rsid wsp:val=&quot;400B13AA&quot;/&gt;&lt;wsp:rsid wsp:val=&quot;400C0C7E&quot;/&gt;&lt;wsp:rsid wsp:val=&quot;400D3374&quot;/&gt;&lt;wsp:rsid wsp:val=&quot;400E0E9A&quot;/&gt;&lt;wsp:rsid wsp:val=&quot;4010076E&quot;/&gt;&lt;wsp:rsid wsp:val=&quot;40104C12&quot;/&gt;&lt;wsp:rsid wsp:val=&quot;401144E6&quot;/&gt;&lt;wsp:rsid wsp:val=&quot;4015509C&quot;/&gt;&lt;wsp:rsid wsp:val=&quot;40161AFD&quot;/&gt;&lt;wsp:rsid wsp:val=&quot;401819D8&quot;/&gt;&lt;wsp:rsid wsp:val=&quot;401A15ED&quot;/&gt;&lt;wsp:rsid wsp:val=&quot;401A783F&quot;/&gt;&lt;wsp:rsid wsp:val=&quot;401F09B1&quot;/&gt;&lt;wsp:rsid wsp:val=&quot;401F4E55&quot;/&gt;&lt;wsp:rsid wsp:val=&quot;4021297B&quot;/&gt;&lt;wsp:rsid wsp:val=&quot;40214F87&quot;/&gt;&lt;wsp:rsid wsp:val=&quot;40216C59&quot;/&gt;&lt;wsp:rsid wsp:val=&quot;402204A1&quot;/&gt;&lt;wsp:rsid wsp:val=&quot;4024421A&quot;/&gt;&lt;wsp:rsid wsp:val=&quot;40244D12&quot;/&gt;&lt;wsp:rsid wsp:val=&quot;40271F5C&quot;/&gt;&lt;wsp:rsid wsp:val=&quot;40275AB8&quot;/&gt;&lt;wsp:rsid wsp:val=&quot;40295CD4&quot;/&gt;&lt;wsp:rsid wsp:val=&quot;402B37FA&quot;/&gt;&lt;wsp:rsid wsp:val=&quot;402B6F93&quot;/&gt;&lt;wsp:rsid wsp:val=&quot;402E32EA&quot;/&gt;&lt;wsp:rsid wsp:val=&quot;402E5098&quot;/&gt;&lt;wsp:rsid wsp:val=&quot;402E6E46&quot;/&gt;&lt;wsp:rsid wsp:val=&quot;402E7F0F&quot;/&gt;&lt;wsp:rsid wsp:val=&quot;402F139F&quot;/&gt;&lt;wsp:rsid wsp:val=&quot;40302BBE&quot;/&gt;&lt;wsp:rsid wsp:val=&quot;40307062&quot;/&gt;&lt;wsp:rsid wsp:val=&quot;4030764C&quot;/&gt;&lt;wsp:rsid wsp:val=&quot;40324B88&quot;/&gt;&lt;wsp:rsid wsp:val=&quot;4033025F&quot;/&gt;&lt;wsp:rsid wsp:val=&quot;4033445D&quot;/&gt;&lt;wsp:rsid wsp:val=&quot;4033696F&quot;/&gt;&lt;wsp:rsid wsp:val=&quot;40363F4D&quot;/&gt;&lt;wsp:rsid wsp:val=&quot;40381640&quot;/&gt;&lt;wsp:rsid wsp:val=&quot;40381A73&quot;/&gt;&lt;wsp:rsid wsp:val=&quot;40387CA6&quot;/&gt;&lt;wsp:rsid wsp:val=&quot;403B0BDA&quot;/&gt;&lt;wsp:rsid wsp:val=&quot;403B1563&quot;/&gt;&lt;wsp:rsid wsp:val=&quot;403E4E33&quot;/&gt;&lt;wsp:rsid wsp:val=&quot;403F1053&quot;/&gt;&lt;wsp:rsid wsp:val=&quot;40420B44&quot;/&gt;&lt;wsp:rsid wsp:val=&quot;40442135&quot;/&gt;&lt;wsp:rsid wsp:val=&quot;404448BC&quot;/&gt;&lt;wsp:rsid wsp:val=&quot;40464190&quot;/&gt;&lt;wsp:rsid wsp:val=&quot;4047615A&quot;/&gt;&lt;wsp:rsid wsp:val=&quot;40477626&quot;/&gt;&lt;wsp:rsid wsp:val=&quot;404877E0&quot;/&gt;&lt;wsp:rsid wsp:val=&quot;40490124&quot;/&gt;&lt;wsp:rsid wsp:val=&quot;40491ED2&quot;/&gt;&lt;wsp:rsid wsp:val=&quot;40496675&quot;/&gt;&lt;wsp:rsid wsp:val=&quot;404A1AFA&quot;/&gt;&lt;wsp:rsid wsp:val=&quot;404A4866&quot;/&gt;&lt;wsp:rsid wsp:val=&quot;404B3E9C&quot;/&gt;&lt;wsp:rsid wsp:val=&quot;404B5C4A&quot;/&gt;&lt;wsp:rsid wsp:val=&quot;404B7DB0&quot;/&gt;&lt;wsp:rsid wsp:val=&quot;404F2C99&quot;/&gt;&lt;wsp:rsid wsp:val=&quot;404F7248&quot;/&gt;&lt;wsp:rsid wsp:val=&quot;405014B2&quot;/&gt;&lt;wsp:rsid wsp:val=&quot;40503261&quot;/&gt;&lt;wsp:rsid wsp:val=&quot;40520D87&quot;/&gt;&lt;wsp:rsid wsp:val=&quot;40534AFF&quot;/&gt;&lt;wsp:rsid wsp:val=&quot;40550AC4&quot;/&gt;&lt;wsp:rsid wsp:val=&quot;4055658C&quot;/&gt;&lt;wsp:rsid wsp:val=&quot;405A435B&quot;/&gt;&lt;wsp:rsid wsp:val=&quot;405A7C3B&quot;/&gt;&lt;wsp:rsid wsp:val=&quot;405C39B3&quot;/&gt;&lt;wsp:rsid wsp:val=&quot;405E3BCF&quot;/&gt;&lt;wsp:rsid wsp:val=&quot;405F34A4&quot;/&gt;&lt;wsp:rsid wsp:val=&quot;405F6D3D&quot;/&gt;&lt;wsp:rsid wsp:val=&quot;40604DF5&quot;/&gt;&lt;wsp:rsid wsp:val=&quot;40610FCA&quot;/&gt;&lt;wsp:rsid wsp:val=&quot;406311E6&quot;/&gt;&lt;wsp:rsid wsp:val=&quot;40632F94&quot;/&gt;&lt;wsp:rsid wsp:val=&quot;40640ABA&quot;/&gt;&lt;wsp:rsid wsp:val=&quot;4066101B&quot;/&gt;&lt;wsp:rsid wsp:val=&quot;40672358&quot;/&gt;&lt;wsp:rsid wsp:val=&quot;40694322&quot;/&gt;&lt;wsp:rsid wsp:val=&quot;406960D0&quot;/&gt;&lt;wsp:rsid wsp:val=&quot;406B5CB8&quot;/&gt;&lt;wsp:rsid wsp:val=&quot;406D1341&quot;/&gt;&lt;wsp:rsid wsp:val=&quot;40703903&quot;/&gt;&lt;wsp:rsid wsp:val=&quot;4070745F&quot;/&gt;&lt;wsp:rsid wsp:val=&quot;40730CFD&quot;/&gt;&lt;wsp:rsid wsp:val=&quot;40752CC7&quot;/&gt;&lt;wsp:rsid wsp:val=&quot;40754A75&quot;/&gt;&lt;wsp:rsid wsp:val=&quot;40763590&quot;/&gt;&lt;wsp:rsid wsp:val=&quot;40784565&quot;/&gt;&lt;wsp:rsid wsp:val=&quot;407A6407&quot;/&gt;&lt;wsp:rsid wsp:val=&quot;407C22A8&quot;/&gt;&lt;wsp:rsid wsp:val=&quot;407C5E04&quot;/&gt;&lt;wsp:rsid wsp:val=&quot;407D0990&quot;/&gt;&lt;wsp:rsid wsp:val=&quot;407E3106&quot;/&gt;&lt;wsp:rsid wsp:val=&quot;407E7DCE&quot;/&gt;&lt;wsp:rsid wsp:val=&quot;4081166C&quot;/&gt;&lt;wsp:rsid wsp:val=&quot;4084115C&quot;/&gt;&lt;wsp:rsid wsp:val=&quot;40860A30&quot;/&gt;&lt;wsp:rsid wsp:val=&quot;40864ED4&quot;/&gt;&lt;wsp:rsid wsp:val=&quot;40866C82&quot;/&gt;&lt;wsp:rsid wsp:val=&quot;408847A8&quot;/&gt;&lt;wsp:rsid wsp:val=&quot;40896772&quot;/&gt;&lt;wsp:rsid wsp:val=&quot;408A49C4&quot;/&gt;&lt;wsp:rsid wsp:val=&quot;408B4299&quot;/&gt;&lt;wsp:rsid wsp:val=&quot;408E3D89&quot;/&gt;&lt;wsp:rsid wsp:val=&quot;408E5559&quot;/&gt;&lt;wsp:rsid wsp:val=&quot;408E5B37&quot;/&gt;&lt;wsp:rsid wsp:val=&quot;40905D53&quot;/&gt;&lt;wsp:rsid wsp:val=&quot;40923879&quot;/&gt;&lt;wsp:rsid wsp:val=&quot;409273D5&quot;/&gt;&lt;wsp:rsid wsp:val=&quot;4093314D&quot;/&gt;&lt;wsp:rsid wsp:val=&quot;40953369&quot;/&gt;&lt;wsp:rsid wsp:val=&quot;409543AA&quot;/&gt;&lt;wsp:rsid wsp:val=&quot;40956EC5&quot;/&gt;&lt;wsp:rsid wsp:val=&quot;40972C3D&quot;/&gt;&lt;wsp:rsid wsp:val=&quot;40972E6D&quot;/&gt;&lt;wsp:rsid wsp:val=&quot;40984633&quot;/&gt;&lt;wsp:rsid wsp:val=&quot;40994C08&quot;/&gt;&lt;wsp:rsid wsp:val=&quot;40995D45&quot;/&gt;&lt;wsp:rsid wsp:val=&quot;409969B6&quot;/&gt;&lt;wsp:rsid wsp:val=&quot;409C0254&quot;/&gt;&lt;wsp:rsid wsp:val=&quot;409C645C&quot;/&gt;&lt;wsp:rsid wsp:val=&quot;409C64A6&quot;/&gt;&lt;wsp:rsid wsp:val=&quot;409E221E&quot;/&gt;&lt;wsp:rsid wsp:val=&quot;409E3FCC&quot;/&gt;&lt;wsp:rsid wsp:val=&quot;409F1AF2&quot;/&gt;&lt;wsp:rsid wsp:val=&quot;40A13ABC&quot;/&gt;&lt;wsp:rsid wsp:val=&quot;40A1586A&quot;/&gt;&lt;wsp:rsid wsp:val=&quot;40A435AC&quot;/&gt;&lt;wsp:rsid wsp:val=&quot;40A4535A&quot;/&gt;&lt;wsp:rsid wsp:val=&quot;40A47108&quot;/&gt;&lt;wsp:rsid wsp:val=&quot;40A5518D&quot;/&gt;&lt;wsp:rsid wsp:val=&quot;40A8309D&quot;/&gt;&lt;wsp:rsid wsp:val=&quot;40A84BA5&quot;/&gt;&lt;wsp:rsid wsp:val=&quot;40A84E4B&quot;/&gt;&lt;wsp:rsid wsp:val=&quot;40A86BF9&quot;/&gt;&lt;wsp:rsid wsp:val=&quot;40A92971&quot;/&gt;&lt;wsp:rsid wsp:val=&quot;40AB6559&quot;/&gt;&lt;wsp:rsid wsp:val=&quot;40AD06B3&quot;/&gt;&lt;wsp:rsid wsp:val=&quot;40B324D6&quot;/&gt;&lt;wsp:rsid wsp:val=&quot;40B437EF&quot;/&gt;&lt;wsp:rsid wsp:val=&quot;40B51316&quot;/&gt;&lt;wsp:rsid wsp:val=&quot;40B530C4&quot;/&gt;&lt;wsp:rsid wsp:val=&quot;40B557B9&quot;/&gt;&lt;wsp:rsid wsp:val=&quot;40B649A6&quot;/&gt;&lt;wsp:rsid wsp:val=&quot;40B76E3C&quot;/&gt;&lt;wsp:rsid wsp:val=&quot;40B97058&quot;/&gt;&lt;wsp:rsid wsp:val=&quot;40BA3FFA&quot;/&gt;&lt;wsp:rsid wsp:val=&quot;40BA4B7E&quot;/&gt;&lt;wsp:rsid wsp:val=&quot;40BA692C&quot;/&gt;&lt;wsp:rsid wsp:val=&quot;40BB6DF0&quot;/&gt;&lt;wsp:rsid wsp:val=&quot;40BC26A4&quot;/&gt;&lt;wsp:rsid wsp:val=&quot;40BE641C&quot;/&gt;&lt;wsp:rsid wsp:val=&quot;40BE7127&quot;/&gt;&lt;wsp:rsid wsp:val=&quot;40C003E6&quot;/&gt;&lt;wsp:rsid wsp:val=&quot;40C05AC5&quot;/&gt;&lt;wsp:rsid wsp:val=&quot;40C15F0C&quot;/&gt;&lt;wsp:rsid wsp:val=&quot;40C33A32&quot;/&gt;&lt;wsp:rsid wsp:val=&quot;40C37B63&quot;/&gt;&lt;wsp:rsid wsp:val=&quot;40C601E3&quot;/&gt;&lt;wsp:rsid wsp:val=&quot;40C61775&quot;/&gt;&lt;wsp:rsid wsp:val=&quot;40C62381&quot;/&gt;&lt;wsp:rsid wsp:val=&quot;40C63523&quot;/&gt;&lt;wsp:rsid wsp:val=&quot;40C652D1&quot;/&gt;&lt;wsp:rsid wsp:val=&quot;40C71686&quot;/&gt;&lt;wsp:rsid wsp:val=&quot;40C81049&quot;/&gt;&lt;wsp:rsid wsp:val=&quot;40CB74F6&quot;/&gt;&lt;wsp:rsid wsp:val=&quot;40D03D17&quot;/&gt;&lt;wsp:rsid wsp:val=&quot;40D0614F&quot;/&gt;&lt;wsp:rsid wsp:val=&quot;40D20119&quot;/&gt;&lt;wsp:rsid wsp:val=&quot;40D23C76&quot;/&gt;&lt;wsp:rsid wsp:val=&quot;40D4197F&quot;/&gt;&lt;wsp:rsid wsp:val=&quot;40D43E92&quot;/&gt;&lt;wsp:rsid wsp:val=&quot;40D55514&quot;/&gt;&lt;wsp:rsid wsp:val=&quot;40D616C0&quot;/&gt;&lt;wsp:rsid wsp:val=&quot;40D914A8&quot;/&gt;&lt;wsp:rsid wsp:val=&quot;40D93256&quot;/&gt;&lt;wsp:rsid wsp:val=&quot;40DB0111&quot;/&gt;&lt;wsp:rsid wsp:val=&quot;40DB1852&quot;/&gt;&lt;wsp:rsid wsp:val=&quot;40DC2D46&quot;/&gt;&lt;wsp:rsid wsp:val=&quot;40DD2E4A&quot;/&gt;&lt;wsp:rsid wsp:val=&quot;40DE01D3&quot;/&gt;&lt;wsp:rsid wsp:val=&quot;40DE6ABE&quot;/&gt;&lt;wsp:rsid wsp:val=&quot;40DF3194&quot;/&gt;&lt;wsp:rsid wsp:val=&quot;40E02836&quot;/&gt;&lt;wsp:rsid wsp:val=&quot;40E1035D&quot;/&gt;&lt;wsp:rsid wsp:val=&quot;40E20315&quot;/&gt;&lt;wsp:rsid wsp:val=&quot;40E340D5&quot;/&gt;&lt;wsp:rsid wsp:val=&quot;40E35E83&quot;/&gt;&lt;wsp:rsid wsp:val=&quot;40E57E4D&quot;/&gt;&lt;wsp:rsid wsp:val=&quot;40E63D94&quot;/&gt;&lt;wsp:rsid wsp:val=&quot;40E65973&quot;/&gt;&lt;wsp:rsid wsp:val=&quot;40E816EB&quot;/&gt;&lt;wsp:rsid wsp:val=&quot;40E83499&quot;/&gt;&lt;wsp:rsid wsp:val=&quot;40EA7211&quot;/&gt;&lt;wsp:rsid wsp:val=&quot;40ED0AAF&quot;/&gt;&lt;wsp:rsid wsp:val=&quot;40F005A0&quot;/&gt;&lt;wsp:rsid wsp:val=&quot;40F167F2&quot;/&gt;&lt;wsp:rsid wsp:val=&quot;40F2256A&quot;/&gt;&lt;wsp:rsid wsp:val=&quot;40F24318&quot;/&gt;&lt;wsp:rsid wsp:val=&quot;40F30571&quot;/&gt;&lt;wsp:rsid wsp:val=&quot;40F77B80&quot;/&gt;&lt;wsp:rsid wsp:val=&quot;40F85CD8&quot;/&gt;&lt;wsp:rsid wsp:val=&quot;40F956A6&quot;/&gt;&lt;wsp:rsid wsp:val=&quot;40F97454&quot;/&gt;&lt;wsp:rsid wsp:val=&quot;40FA31CC&quot;/&gt;&lt;wsp:rsid wsp:val=&quot;40FB141E&quot;/&gt;&lt;wsp:rsid wsp:val=&quot;40FB7670&quot;/&gt;&lt;wsp:rsid wsp:val=&quot;40FD201B&quot;/&gt;&lt;wsp:rsid wsp:val=&quot;40FE0F0E&quot;/&gt;&lt;wsp:rsid wsp:val=&quot;40FE2CBD&quot;/&gt;&lt;wsp:rsid wsp:val=&quot;410020DD&quot;/&gt;&lt;wsp:rsid wsp:val=&quot;41006A35&quot;/&gt;&lt;wsp:rsid wsp:val=&quot;410302D3&quot;/&gt;&lt;wsp:rsid wsp:val=&quot;410351C9&quot;/&gt;&lt;wsp:rsid wsp:val=&quot;410460FD&quot;/&gt;&lt;wsp:rsid wsp:val=&quot;4105404B&quot;/&gt;&lt;wsp:rsid wsp:val=&quot;41061B71&quot;/&gt;&lt;wsp:rsid wsp:val=&quot;41067DC3&quot;/&gt;&lt;wsp:rsid wsp:val=&quot;410773DF&quot;/&gt;&lt;wsp:rsid wsp:val=&quot;4108086F&quot;/&gt;&lt;wsp:rsid wsp:val=&quot;41083B3B&quot;/&gt;&lt;wsp:rsid wsp:val=&quot;4108712E&quot;/&gt;&lt;wsp:rsid wsp:val=&quot;410A78B3&quot;/&gt;&lt;wsp:rsid wsp:val=&quot;410D1152&quot;/&gt;&lt;wsp:rsid wsp:val=&quot;411029F0&quot;/&gt;&lt;wsp:rsid wsp:val=&quot;411058C0&quot;/&gt;&lt;wsp:rsid wsp:val=&quot;411249BA&quot;/&gt;&lt;wsp:rsid wsp:val=&quot;411424E0&quot;/&gt;&lt;wsp:rsid wsp:val=&quot;4114428E&quot;/&gt;&lt;wsp:rsid wsp:val=&quot;41160006&quot;/&gt;&lt;wsp:rsid wsp:val=&quot;411B561D&quot;/&gt;&lt;wsp:rsid wsp:val=&quot;411C1134&quot;/&gt;&lt;wsp:rsid wsp:val=&quot;411E510D&quot;/&gt;&lt;wsp:rsid wsp:val=&quot;411F121E&quot;/&gt;&lt;wsp:rsid wsp:val=&quot;41202C33&quot;/&gt;&lt;wsp:rsid wsp:val=&quot;41230975&quot;/&gt;&lt;wsp:rsid wsp:val=&quot;412344D1&quot;/&gt;&lt;wsp:rsid wsp:val=&quot;412626B7&quot;/&gt;&lt;wsp:rsid wsp:val=&quot;41263FC1&quot;/&gt;&lt;wsp:rsid wsp:val=&quot;41265D6F&quot;/&gt;&lt;wsp:rsid wsp:val=&quot;41272213&quot;/&gt;&lt;wsp:rsid wsp:val=&quot;412864C3&quot;/&gt;&lt;wsp:rsid wsp:val=&quot;41287BB3&quot;/&gt;&lt;wsp:rsid wsp:val=&quot;412B15D8&quot;/&gt;&lt;wsp:rsid wsp:val=&quot;412C782A&quot;/&gt;&lt;wsp:rsid wsp:val=&quot;413040D7&quot;/&gt;&lt;wsp:rsid wsp:val=&quot;41310F0B&quot;/&gt;&lt;wsp:rsid wsp:val=&quot;413349EA&quot;/&gt;&lt;wsp:rsid wsp:val=&quot;41344930&quot;/&gt;&lt;wsp:rsid wsp:val=&quot;4134662D&quot;/&gt;&lt;wsp:rsid wsp:val=&quot;41377F7D&quot;/&gt;&lt;wsp:rsid wsp:val=&quot;41393CF5&quot;/&gt;&lt;wsp:rsid wsp:val=&quot;413B181B&quot;/&gt;&lt;wsp:rsid wsp:val=&quot;413C3712&quot;/&gt;&lt;wsp:rsid wsp:val=&quot;413E130B&quot;/&gt;&lt;wsp:rsid wsp:val=&quot;413E755D&quot;/&gt;&lt;wsp:rsid wsp:val=&quot;414032D5&quot;/&gt;&lt;wsp:rsid wsp:val=&quot;41405083&quot;/&gt;&lt;wsp:rsid wsp:val=&quot;41410DFB&quot;/&gt;&lt;wsp:rsid wsp:val=&quot;41422591&quot;/&gt;&lt;wsp:rsid wsp:val=&quot;41432DC5&quot;/&gt;&lt;wsp:rsid wsp:val=&quot;41434B73&quot;/&gt;&lt;wsp:rsid wsp:val=&quot;41436921&quot;/&gt;&lt;wsp:rsid wsp:val=&quot;41456B3D&quot;/&gt;&lt;wsp:rsid wsp:val=&quot;41466412&quot;/&gt;&lt;wsp:rsid wsp:val=&quot;414803DC&quot;/&gt;&lt;wsp:rsid wsp:val=&quot;4148218A&quot;/&gt;&lt;wsp:rsid wsp:val=&quot;41483F38&quot;/&gt;&lt;wsp:rsid wsp:val=&quot;414A5F02&quot;/&gt;&lt;wsp:rsid wsp:val=&quot;414C1C7A&quot;/&gt;&lt;wsp:rsid wsp:val=&quot;414C3A28&quot;/&gt;&lt;wsp:rsid wsp:val=&quot;414D59F2&quot;/&gt;&lt;wsp:rsid wsp:val=&quot;414D77A0&quot;/&gt;&lt;wsp:rsid wsp:val=&quot;414F0FC2&quot;/&gt;&lt;wsp:rsid wsp:val=&quot;414F176A&quot;/&gt;&lt;wsp:rsid wsp:val=&quot;414F3004&quot;/&gt;&lt;wsp:rsid wsp:val=&quot;414F52C6&quot;/&gt;&lt;wsp:rsid wsp:val=&quot;41504494&quot;/&gt;&lt;wsp:rsid wsp:val=&quot;415154E2&quot;/&gt;&lt;wsp:rsid wsp:val=&quot;41516DB4&quot;/&gt;&lt;wsp:rsid wsp:val=&quot;41520244&quot;/&gt;&lt;wsp:rsid wsp:val=&quot;415428DD&quot;/&gt;&lt;wsp:rsid wsp:val=&quot;415442A5&quot;/&gt;&lt;wsp:rsid wsp:val=&quot;41550306&quot;/&gt;&lt;wsp:rsid wsp:val=&quot;41593FD6&quot;/&gt;&lt;wsp:rsid wsp:val=&quot;415B1EBD&quot;/&gt;&lt;wsp:rsid wsp:val=&quot;415B68E3&quot;/&gt;&lt;wsp:rsid wsp:val=&quot;415B7B1F&quot;/&gt;&lt;wsp:rsid wsp:val=&quot;415D5C35&quot;/&gt;&lt;wsp:rsid wsp:val=&quot;415E19AD&quot;/&gt;&lt;wsp:rsid wsp:val=&quot;41644198&quot;/&gt;&lt;wsp:rsid wsp:val=&quot;41650F8E&quot;/&gt;&lt;wsp:rsid wsp:val=&quot;41651639&quot;/&gt;&lt;wsp:rsid wsp:val=&quot;41680F39&quot;/&gt;&lt;wsp:rsid wsp:val=&quot;416A0352&quot;/&gt;&lt;wsp:rsid wsp:val=&quot;416B7C26&quot;/&gt;&lt;wsp:rsid wsp:val=&quot;416C231C&quot;/&gt;&lt;wsp:rsid wsp:val=&quot;416C5E78&quot;/&gt;&lt;wsp:rsid wsp:val=&quot;416D658D&quot;/&gt;&lt;wsp:rsid wsp:val=&quot;416F7831&quot;/&gt;&lt;wsp:rsid wsp:val=&quot;41717932&quot;/&gt;&lt;wsp:rsid wsp:val=&quot;41742F7F&quot;/&gt;&lt;wsp:rsid wsp:val=&quot;41776C90&quot;/&gt;&lt;wsp:rsid wsp:val=&quot;41790595&quot;/&gt;&lt;wsp:rsid wsp:val=&quot;41790C64&quot;/&gt;&lt;wsp:rsid wsp:val=&quot;417A0B91&quot;/&gt;&lt;wsp:rsid wsp:val=&quot;417B255F&quot;/&gt;&lt;wsp:rsid wsp:val=&quot;417C33D9&quot;/&gt;&lt;wsp:rsid wsp:val=&quot;417D0085&quot;/&gt;&lt;wsp:rsid wsp:val=&quot;417D62D7&quot;/&gt;&lt;wsp:rsid wsp:val=&quot;417E7959&quot;/&gt;&lt;wsp:rsid wsp:val=&quot;417F09A2&quot;/&gt;&lt;wsp:rsid wsp:val=&quot;41801923&quot;/&gt;&lt;wsp:rsid wsp:val=&quot;41801BCC&quot;/&gt;&lt;wsp:rsid wsp:val=&quot;41807B75&quot;/&gt;&lt;wsp:rsid wsp:val=&quot;4182569C&quot;/&gt;&lt;wsp:rsid wsp:val=&quot;41827323&quot;/&gt;&lt;wsp:rsid wsp:val=&quot;41840CDB&quot;/&gt;&lt;wsp:rsid wsp:val=&quot;41847666&quot;/&gt;&lt;wsp:rsid wsp:val=&quot;41850CE8&quot;/&gt;&lt;wsp:rsid wsp:val=&quot;41854314&quot;/&gt;&lt;wsp:rsid wsp:val=&quot;418654B8&quot;/&gt;&lt;wsp:rsid wsp:val=&quot;41870F04&quot;/&gt;&lt;wsp:rsid wsp:val=&quot;41872CB2&quot;/&gt;&lt;wsp:rsid wsp:val=&quot;41886A2A&quot;/&gt;&lt;wsp:rsid wsp:val=&quot;41892EE4&quot;/&gt;&lt;wsp:rsid wsp:val=&quot;418A09F4&quot;/&gt;&lt;wsp:rsid wsp:val=&quot;418C02C8&quot;/&gt;&lt;wsp:rsid wsp:val=&quot;418C651A&quot;/&gt;&lt;wsp:rsid wsp:val=&quot;418D5DEE&quot;/&gt;&lt;wsp:rsid wsp:val=&quot;418E2292&quot;/&gt;&lt;wsp:rsid wsp:val=&quot;418F65C9&quot;/&gt;&lt;wsp:rsid wsp:val=&quot;418F7D7F&quot;/&gt;&lt;wsp:rsid wsp:val=&quot;418F7DB9&quot;/&gt;&lt;wsp:rsid wsp:val=&quot;419378A7&quot;/&gt;&lt;wsp:rsid wsp:val=&quot;4194717D&quot;/&gt;&lt;wsp:rsid wsp:val=&quot;41952BC8&quot;/&gt;&lt;wsp:rsid wsp:val=&quot;41967399&quot;/&gt;&lt;wsp:rsid wsp:val=&quot;41986C6D&quot;/&gt;&lt;wsp:rsid wsp:val=&quot;419929E5&quot;/&gt;&lt;wsp:rsid wsp:val=&quot;419B49AF&quot;/&gt;&lt;wsp:rsid wsp:val=&quot;419D4283&quot;/&gt;&lt;wsp:rsid wsp:val=&quot;41A01FC6&quot;/&gt;&lt;wsp:rsid wsp:val=&quot;41A03D74&quot;/&gt;&lt;wsp:rsid wsp:val=&quot;41A25D3E&quot;/&gt;&lt;wsp:rsid wsp:val=&quot;41A73354&quot;/&gt;&lt;wsp:rsid wsp:val=&quot;41A75102&quot;/&gt;&lt;wsp:rsid wsp:val=&quot;41A7646C&quot;/&gt;&lt;wsp:rsid wsp:val=&quot;41A76EB0&quot;/&gt;&lt;wsp:rsid wsp:val=&quot;41A878FC&quot;/&gt;&lt;wsp:rsid wsp:val=&quot;41A90381&quot;/&gt;&lt;wsp:rsid wsp:val=&quot;41AC2719&quot;/&gt;&lt;wsp:rsid wsp:val=&quot;41AC627D&quot;/&gt;&lt;wsp:rsid wsp:val=&quot;41AD023F&quot;/&gt;&lt;wsp:rsid wsp:val=&quot;41AE46E3&quot;/&gt;&lt;wsp:rsid wsp:val=&quot;41AF045B&quot;/&gt;&lt;wsp:rsid wsp:val=&quot;41AF3FB7&quot;/&gt;&lt;wsp:rsid wsp:val=&quot;41AF7A35&quot;/&gt;&lt;wsp:rsid wsp:val=&quot;41B31CF9&quot;/&gt;&lt;wsp:rsid wsp:val=&quot;41B45A71&quot;/&gt;&lt;wsp:rsid wsp:val=&quot;41B54346&quot;/&gt;&lt;wsp:rsid wsp:val=&quot;41B63597&quot;/&gt;&lt;wsp:rsid wsp:val=&quot;41B65345&quot;/&gt;&lt;wsp:rsid wsp:val=&quot;41B82E6B&quot;/&gt;&lt;wsp:rsid wsp:val=&quot;41B8730F&quot;/&gt;&lt;wsp:rsid wsp:val=&quot;41B873F1&quot;/&gt;&lt;wsp:rsid wsp:val=&quot;41B96BE3&quot;/&gt;&lt;wsp:rsid wsp:val=&quot;41BA3087&quot;/&gt;&lt;wsp:rsid wsp:val=&quot;41BB0BAE&quot;/&gt;&lt;wsp:rsid wsp:val=&quot;41BD66D4&quot;/&gt;&lt;wsp:rsid wsp:val=&quot;41BE20FD&quot;/&gt;&lt;wsp:rsid wsp:val=&quot;41BF778A&quot;/&gt;&lt;wsp:rsid wsp:val=&quot;41C061C4&quot;/&gt;&lt;wsp:rsid wsp:val=&quot;41C06248&quot;/&gt;&lt;wsp:rsid wsp:val=&quot;41C25F88&quot;/&gt;&lt;wsp:rsid wsp:val=&quot;41C37A62&quot;/&gt;&lt;wsp:rsid wsp:val=&quot;41C46B0D&quot;/&gt;&lt;wsp:rsid wsp:val=&quot;41C47EC7&quot;/&gt;&lt;wsp:rsid wsp:val=&quot;41C55588&quot;/&gt;&lt;wsp:rsid wsp:val=&quot;41C91AB7&quot;/&gt;&lt;wsp:rsid wsp:val=&quot;41CA0DF1&quot;/&gt;&lt;wsp:rsid wsp:val=&quot;41CA2B9F&quot;/&gt;&lt;wsp:rsid wsp:val=&quot;41CA7043&quot;/&gt;&lt;wsp:rsid wsp:val=&quot;41CB43D7&quot;/&gt;&lt;wsp:rsid wsp:val=&quot;41CC4B69&quot;/&gt;&lt;wsp:rsid wsp:val=&quot;41CD5603&quot;/&gt;&lt;wsp:rsid wsp:val=&quot;41CE08E1&quot;/&gt;&lt;wsp:rsid wsp:val=&quot;41CE268F&quot;/&gt;&lt;wsp:rsid wsp:val=&quot;41D1217F&quot;/&gt;&lt;wsp:rsid wsp:val=&quot;41D135DC&quot;/&gt;&lt;wsp:rsid wsp:val=&quot;41D35EF7&quot;/&gt;&lt;wsp:rsid wsp:val=&quot;41D37CA5&quot;/&gt;&lt;wsp:rsid wsp:val=&quot;41D41C6F&quot;/&gt;&lt;wsp:rsid wsp:val=&quot;41D61543&quot;/&gt;&lt;wsp:rsid wsp:val=&quot;41D63C39&quot;/&gt;&lt;wsp:rsid wsp:val=&quot;41D81760&quot;/&gt;&lt;wsp:rsid wsp:val=&quot;41D8350E&quot;/&gt;&lt;wsp:rsid wsp:val=&quot;41D852BC&quot;/&gt;&lt;wsp:rsid wsp:val=&quot;41DA7286&quot;/&gt;&lt;wsp:rsid wsp:val=&quot;41DB2FFE&quot;/&gt;&lt;wsp:rsid wsp:val=&quot;41DD0B24&quot;/&gt;&lt;wsp:rsid wsp:val=&quot;41DD28D2&quot;/&gt;&lt;wsp:rsid wsp:val=&quot;41DF2AEE&quot;/&gt;&lt;wsp:rsid wsp:val=&quot;41DF489C&quot;/&gt;&lt;wsp:rsid wsp:val=&quot;41E023C2&quot;/&gt;&lt;wsp:rsid wsp:val=&quot;41E165FD&quot;/&gt;&lt;wsp:rsid wsp:val=&quot;41E2438C&quot;/&gt;&lt;wsp:rsid wsp:val=&quot;41E53E7C&quot;/&gt;&lt;wsp:rsid wsp:val=&quot;41E579D9&quot;/&gt;&lt;wsp:rsid wsp:val=&quot;41E67D86&quot;/&gt;&lt;wsp:rsid wsp:val=&quot;41E9396D&quot;/&gt;&lt;wsp:rsid wsp:val=&quot;41E974C9&quot;/&gt;&lt;wsp:rsid wsp:val=&quot;41EA1493&quot;/&gt;&lt;wsp:rsid wsp:val=&quot;41EA2372&quot;/&gt;&lt;wsp:rsid wsp:val=&quot;41EE0F83&quot;/&gt;&lt;wsp:rsid wsp:val=&quot;41EF2E79&quot;/&gt;&lt;wsp:rsid wsp:val=&quot;41F1637D&quot;/&gt;&lt;wsp:rsid wsp:val=&quot;41F320F5&quot;/&gt;&lt;wsp:rsid wsp:val=&quot;41F36599&quot;/&gt;&lt;wsp:rsid wsp:val=&quot;41F45E6E&quot;/&gt;&lt;wsp:rsid wsp:val=&quot;41F63994&quot;/&gt;&lt;wsp:rsid wsp:val=&quot;41F7323D&quot;/&gt;&lt;wsp:rsid wsp:val=&quot;41F83BB0&quot;/&gt;&lt;wsp:rsid wsp:val=&quot;41F8595E&quot;/&gt;&lt;wsp:rsid wsp:val=&quot;41F93484&quot;/&gt;&lt;wsp:rsid wsp:val=&quot;41FA16D6&quot;/&gt;&lt;wsp:rsid wsp:val=&quot;41FB359F&quot;/&gt;&lt;wsp:rsid wsp:val=&quot;41FB544E&quot;/&gt;&lt;wsp:rsid wsp:val=&quot;41FB703C&quot;/&gt;&lt;wsp:rsid wsp:val=&quot;41FB7347&quot;/&gt;&lt;wsp:rsid wsp:val=&quot;4200449D&quot;/&gt;&lt;wsp:rsid wsp:val=&quot;42015BE7&quot;/&gt;&lt;wsp:rsid wsp:val=&quot;4202058A&quot;/&gt;&lt;wsp:rsid wsp:val=&quot;42024A2E&quot;/&gt;&lt;wsp:rsid wsp:val=&quot;42051E29&quot;/&gt;&lt;wsp:rsid wsp:val=&quot;42063D6C&quot;/&gt;&lt;wsp:rsid wsp:val=&quot;42084D83&quot;/&gt;&lt;wsp:rsid wsp:val=&quot;420D19FA&quot;/&gt;&lt;wsp:rsid wsp:val=&quot;420D6D5B&quot;/&gt;&lt;wsp:rsid wsp:val=&quot;420E33D3&quot;/&gt;&lt;wsp:rsid wsp:val=&quot;420F167B&quot;/&gt;&lt;wsp:rsid wsp:val=&quot;42114C71&quot;/&gt;&lt;wsp:rsid wsp:val=&quot;42132798&quot;/&gt;&lt;wsp:rsid wsp:val=&quot;42156510&quot;/&gt;&lt;wsp:rsid wsp:val=&quot;42186247&quot;/&gt;&lt;wsp:rsid wsp:val=&quot;421A3DAC&quot;/&gt;&lt;wsp:rsid wsp:val=&quot;421A4923&quot;/&gt;&lt;wsp:rsid wsp:val=&quot;421A58D4&quot;/&gt;&lt;wsp:rsid wsp:val=&quot;421D1BAF&quot;/&gt;&lt;wsp:rsid wsp:val=&quot;421F113C&quot;/&gt;&lt;wsp:rsid wsp:val=&quot;421F2EEA&quot;/&gt;&lt;wsp:rsid wsp:val=&quot;421F738E&quot;/&gt;&lt;wsp:rsid wsp:val=&quot;42204702&quot;/&gt;&lt;wsp:rsid wsp:val=&quot;42204EB5&quot;/&gt;&lt;wsp:rsid wsp:val=&quot;42213106&quot;/&gt;&lt;wsp:rsid wsp:val=&quot;42220C2D&quot;/&gt;&lt;wsp:rsid wsp:val=&quot;42223ECC&quot;/&gt;&lt;wsp:rsid wsp:val=&quot;42227AF1&quot;/&gt;&lt;wsp:rsid wsp:val=&quot;42240501&quot;/&gt;&lt;wsp:rsid wsp:val=&quot;422449A5&quot;/&gt;&lt;wsp:rsid wsp:val=&quot;42254279&quot;/&gt;&lt;wsp:rsid wsp:val=&quot;42256DCB&quot;/&gt;&lt;wsp:rsid wsp:val=&quot;42274495&quot;/&gt;&lt;wsp:rsid wsp:val=&quot;42274F45&quot;/&gt;&lt;wsp:rsid wsp:val=&quot;42295B17&quot;/&gt;&lt;wsp:rsid wsp:val=&quot;422A188F&quot;/&gt;&lt;wsp:rsid wsp:val=&quot;422C084D&quot;/&gt;&lt;wsp:rsid wsp:val=&quot;422C7413&quot;/&gt;&lt;wsp:rsid wsp:val=&quot;422F6EA6&quot;/&gt;&lt;wsp:rsid wsp:val=&quot;423009B4&quot;/&gt;&lt;wsp:rsid wsp:val=&quot;4230334A&quot;/&gt;&lt;wsp:rsid wsp:val=&quot;42312C1E&quot;/&gt;&lt;wsp:rsid wsp:val=&quot;423133A5&quot;/&gt;&lt;wsp:rsid wsp:val=&quot;42332E3A&quot;/&gt;&lt;wsp:rsid wsp:val=&quot;42336996&quot;/&gt;&lt;wsp:rsid wsp:val=&quot;42336BE8&quot;/&gt;&lt;wsp:rsid wsp:val=&quot;423544BC&quot;/&gt;&lt;wsp:rsid wsp:val=&quot;42366486&quot;/&gt;&lt;wsp:rsid wsp:val=&quot;423821FE&quot;/&gt;&lt;wsp:rsid wsp:val=&quot;42383FAC&quot;/&gt;&lt;wsp:rsid wsp:val=&quot;423919E0&quot;/&gt;&lt;wsp:rsid wsp:val=&quot;423936F1&quot;/&gt;&lt;wsp:rsid wsp:val=&quot;423A3BCC&quot;/&gt;&lt;wsp:rsid wsp:val=&quot;423A5F76&quot;/&gt;&lt;wsp:rsid wsp:val=&quot;423A7D24&quot;/&gt;&lt;wsp:rsid wsp:val=&quot;423B584A&quot;/&gt;&lt;wsp:rsid wsp:val=&quot;423F0F7B&quot;/&gt;&lt;wsp:rsid wsp:val=&quot;42402E61&quot;/&gt;&lt;wsp:rsid wsp:val=&quot;42415557&quot;/&gt;&lt;wsp:rsid wsp:val=&quot;424402BA&quot;/&gt;&lt;wsp:rsid wsp:val=&quot;42440DCA&quot;/&gt;&lt;wsp:rsid wsp:val=&quot;424566C9&quot;/&gt;&lt;wsp:rsid wsp:val=&quot;42492C9C&quot;/&gt;&lt;wsp:rsid wsp:val=&quot;424961B9&quot;/&gt;&lt;wsp:rsid wsp:val=&quot;424B1F31&quot;/&gt;&lt;wsp:rsid wsp:val=&quot;424B3CDF&quot;/&gt;&lt;wsp:rsid wsp:val=&quot;424C5CAA&quot;/&gt;&lt;wsp:rsid wsp:val=&quot;424E1A22&quot;/&gt;&lt;wsp:rsid wsp:val=&quot;424E557E&quot;/&gt;&lt;wsp:rsid wsp:val=&quot;424E57D2&quot;/&gt;&lt;wsp:rsid wsp:val=&quot;42523FFF&quot;/&gt;&lt;wsp:rsid wsp:val=&quot;42524F59&quot;/&gt;&lt;wsp:rsid wsp:val=&quot;42554B5E&quot;/&gt;&lt;wsp:rsid wsp:val=&quot;4255690C&quot;/&gt;&lt;wsp:rsid wsp:val=&quot;42562684&quot;/&gt;&lt;wsp:rsid wsp:val=&quot;42577480&quot;/&gt;&lt;wsp:rsid wsp:val=&quot;42580899&quot;/&gt;&lt;wsp:rsid wsp:val=&quot;4258464E&quot;/&gt;&lt;wsp:rsid wsp:val=&quot;425A2175&quot;/&gt;&lt;wsp:rsid wsp:val=&quot;425C413F&quot;/&gt;&lt;wsp:rsid wsp:val=&quot;425D1C65&quot;/&gt;&lt;wsp:rsid wsp:val=&quot;425D3A13&quot;/&gt;&lt;wsp:rsid wsp:val=&quot;425F32CE&quot;/&gt;&lt;wsp:rsid wsp:val=&quot;425F3C2F&quot;/&gt;&lt;wsp:rsid wsp:val=&quot;425F778B&quot;/&gt;&lt;wsp:rsid wsp:val=&quot;4261734D&quot;/&gt;&lt;wsp:rsid wsp:val=&quot;42621852&quot;/&gt;&lt;wsp:rsid wsp:val=&quot;426254CD&quot;/&gt;&lt;wsp:rsid wsp:val=&quot;42642FF3&quot;/&gt;&lt;wsp:rsid wsp:val=&quot;42644DA1&quot;/&gt;&lt;wsp:rsid wsp:val=&quot;42660B19&quot;/&gt;&lt;wsp:rsid wsp:val=&quot;42670BB7&quot;/&gt;&lt;wsp:rsid wsp:val=&quot;42674891&quot;/&gt;&lt;wsp:rsid wsp:val=&quot;4268268D&quot;/&gt;&lt;wsp:rsid wsp:val=&quot;426923B8&quot;/&gt;&lt;wsp:rsid wsp:val=&quot;426B4382&quot;/&gt;&lt;wsp:rsid wsp:val=&quot;426D00FA&quot;/&gt;&lt;wsp:rsid wsp:val=&quot;426D38AF&quot;/&gt;&lt;wsp:rsid wsp:val=&quot;426E1391&quot;/&gt;&lt;wsp:rsid wsp:val=&quot;426E5C20&quot;/&gt;&lt;wsp:rsid wsp:val=&quot;426E79CE&quot;/&gt;&lt;wsp:rsid wsp:val=&quot;42701998&quot;/&gt;&lt;wsp:rsid wsp:val=&quot;4271434E&quot;/&gt;&lt;wsp:rsid wsp:val=&quot;42731488&quot;/&gt;&lt;wsp:rsid wsp:val=&quot;42736129&quot;/&gt;&lt;wsp:rsid wsp:val=&quot;42750D5C&quot;/&gt;&lt;wsp:rsid wsp:val=&quot;42770F78&quot;/&gt;&lt;wsp:rsid wsp:val=&quot;42785D1A&quot;/&gt;&lt;wsp:rsid wsp:val=&quot;42791D7B&quot;/&gt;&lt;wsp:rsid wsp:val=&quot;427C7D09&quot;/&gt;&lt;wsp:rsid wsp:val=&quot;427F1BDB&quot;/&gt;&lt;wsp:rsid wsp:val=&quot;427F607F&quot;/&gt;&lt;wsp:rsid wsp:val=&quot;42813BA5&quot;/&gt;&lt;wsp:rsid wsp:val=&quot;42814A9F&quot;/&gt;&lt;wsp:rsid wsp:val=&quot;428471F1&quot;/&gt;&lt;wsp:rsid wsp:val=&quot;428575F7&quot;/&gt;&lt;wsp:rsid wsp:val=&quot;42882069&quot;/&gt;&lt;wsp:rsid wsp:val=&quot;42892A5A&quot;/&gt;&lt;wsp:rsid wsp:val=&quot;428B0580&quot;/&gt;&lt;wsp:rsid wsp:val=&quot;428B4A24&quot;/&gt;&lt;wsp:rsid wsp:val=&quot;428D59B1&quot;/&gt;&lt;wsp:rsid wsp:val=&quot;428E62C2&quot;/&gt;&lt;wsp:rsid wsp:val=&quot;42900F05&quot;/&gt;&lt;wsp:rsid wsp:val=&quot;42903DE8&quot;/&gt;&lt;wsp:rsid wsp:val=&quot;4292190E&quot;/&gt;&lt;wsp:rsid wsp:val=&quot;42925DB2&quot;/&gt;&lt;wsp:rsid wsp:val=&quot;42927B60&quot;/&gt;&lt;wsp:rsid wsp:val=&quot;42937A5A&quot;/&gt;&lt;wsp:rsid wsp:val=&quot;429513FF&quot;/&gt;&lt;wsp:rsid wsp:val=&quot;42956073&quot;/&gt;&lt;wsp:rsid wsp:val=&quot;42957958&quot;/&gt;&lt;wsp:rsid wsp:val=&quot;429733C9&quot;/&gt;&lt;wsp:rsid wsp:val=&quot;42980EEF&quot;/&gt;&lt;wsp:rsid wsp:val=&quot;42982C9D&quot;/&gt;&lt;wsp:rsid wsp:val=&quot;429A4C67&quot;/&gt;&lt;wsp:rsid wsp:val=&quot;429D5791&quot;/&gt;&lt;wsp:rsid wsp:val=&quot;429D6505&quot;/&gt;&lt;wsp:rsid wsp:val=&quot;429F227D&quot;/&gt;&lt;wsp:rsid wsp:val=&quot;429F402B&quot;/&gt;&lt;wsp:rsid wsp:val=&quot;42A17DA3&quot;/&gt;&lt;wsp:rsid wsp:val=&quot;42A50DB4&quot;/&gt;&lt;wsp:rsid wsp:val=&quot;42A86289&quot;/&gt;&lt;wsp:rsid wsp:val=&quot;42A87384&quot;/&gt;&lt;wsp:rsid wsp:val=&quot;42A936CE&quot;/&gt;&lt;wsp:rsid wsp:val=&quot;42AA7468&quot;/&gt;&lt;wsp:rsid wsp:val=&quot;42AE24C0&quot;/&gt;&lt;wsp:rsid wsp:val=&quot;42AE426E&quot;/&gt;&lt;wsp:rsid wsp:val=&quot;42B05AC3&quot;/&gt;&lt;wsp:rsid wsp:val=&quot;42B07D4A&quot;/&gt;&lt;wsp:rsid wsp:val=&quot;42B07FBC&quot;/&gt;&lt;wsp:rsid wsp:val=&quot;42B07FE6&quot;/&gt;&lt;wsp:rsid wsp:val=&quot;42B11A4B&quot;/&gt;&lt;wsp:rsid wsp:val=&quot;42B26C49&quot;/&gt;&lt;wsp:rsid wsp:val=&quot;42B37AD7&quot;/&gt;&lt;wsp:rsid wsp:val=&quot;42B530EB&quot;/&gt;&lt;wsp:rsid wsp:val=&quot;42B5384F&quot;/&gt;&lt;wsp:rsid wsp:val=&quot;42B57B8F&quot;/&gt;&lt;wsp:rsid wsp:val=&quot;42B71375&quot;/&gt;&lt;wsp:rsid wsp:val=&quot;42BA70B7&quot;/&gt;&lt;wsp:rsid wsp:val=&quot;42BC287D&quot;/&gt;&lt;wsp:rsid wsp:val=&quot;42BE6BA7&quot;/&gt;&lt;wsp:rsid wsp:val=&quot;42BF022A&quot;/&gt;&lt;wsp:rsid wsp:val=&quot;42C10446&quot;/&gt;&lt;wsp:rsid wsp:val=&quot;42C12C8D&quot;/&gt;&lt;wsp:rsid wsp:val=&quot;42C35F6C&quot;/&gt;&lt;wsp:rsid wsp:val=&quot;42C41CE4&quot;/&gt;&lt;wsp:rsid wsp:val=&quot;42C43A92&quot;/&gt;&lt;wsp:rsid wsp:val=&quot;42C53B25&quot;/&gt;&lt;wsp:rsid wsp:val=&quot;42C6780A&quot;/&gt;&lt;wsp:rsid wsp:val=&quot;42C83582&quot;/&gt;&lt;wsp:rsid wsp:val=&quot;42C87815&quot;/&gt;&lt;wsp:rsid wsp:val=&quot;42C972FA&quot;/&gt;&lt;wsp:rsid wsp:val=&quot;42CB4E20&quot;/&gt;&lt;wsp:rsid wsp:val=&quot;42CB5600&quot;/&gt;&lt;wsp:rsid wsp:val=&quot;42CB6BCE&quot;/&gt;&lt;wsp:rsid wsp:val=&quot;42CD0B98&quot;/&gt;&lt;wsp:rsid wsp:val=&quot;42CD2946&quot;/&gt;&lt;wsp:rsid wsp:val=&quot;42CD3F43&quot;/&gt;&lt;wsp:rsid wsp:val=&quot;42CE53D3&quot;/&gt;&lt;wsp:rsid wsp:val=&quot;42D14483&quot;/&gt;&lt;wsp:rsid wsp:val=&quot;42D24401&quot;/&gt;&lt;wsp:rsid wsp:val=&quot;42D31F27&quot;/&gt;&lt;wsp:rsid wsp:val=&quot;42D40179&quot;/&gt;&lt;wsp:rsid wsp:val=&quot;42D57A4D&quot;/&gt;&lt;wsp:rsid wsp:val=&quot;42D737C5&quot;/&gt;&lt;wsp:rsid wsp:val=&quot;42D7630E&quot;/&gt;&lt;wsp:rsid wsp:val=&quot;42D80CE4&quot;/&gt;&lt;wsp:rsid wsp:val=&quot;42D9578F&quot;/&gt;&lt;wsp:rsid wsp:val=&quot;42DA5063&quot;/&gt;&lt;wsp:rsid wsp:val=&quot;42DC0DDB&quot;/&gt;&lt;wsp:rsid wsp:val=&quot;42DC527F&quot;/&gt;&lt;wsp:rsid wsp:val=&quot;42DD6902&quot;/&gt;&lt;wsp:rsid wsp:val=&quot;42E278AA&quot;/&gt;&lt;wsp:rsid wsp:val=&quot;42E3660E&quot;/&gt;&lt;wsp:rsid wsp:val=&quot;42E45EE2&quot;/&gt;&lt;wsp:rsid wsp:val=&quot;42E47C90&quot;/&gt;&lt;wsp:rsid wsp:val=&quot;42E61C5A&quot;/&gt;&lt;wsp:rsid wsp:val=&quot;42E6744A&quot;/&gt;&lt;wsp:rsid wsp:val=&quot;42E67501&quot;/&gt;&lt;wsp:rsid wsp:val=&quot;42E67EAC&quot;/&gt;&lt;wsp:rsid wsp:val=&quot;42E83C24&quot;/&gt;&lt;wsp:rsid wsp:val=&quot;42E934F8&quot;/&gt;&lt;wsp:rsid wsp:val=&quot;42EA799C&quot;/&gt;&lt;wsp:rsid wsp:val=&quot;42EB7271&quot;/&gt;&lt;wsp:rsid wsp:val=&quot;42ED2FE9&quot;/&gt;&lt;wsp:rsid wsp:val=&quot;42ED4D97&quot;/&gt;&lt;wsp:rsid wsp:val=&quot;42EE0B0F&quot;/&gt;&lt;wsp:rsid wsp:val=&quot;42EF4FB3&quot;/&gt;&lt;wsp:rsid wsp:val=&quot;42EF6D61&quot;/&gt;&lt;wsp:rsid wsp:val=&quot;42F0076D&quot;/&gt;&lt;wsp:rsid wsp:val=&quot;42F04887&quot;/&gt;&lt;wsp:rsid wsp:val=&quot;42F06635&quot;/&gt;&lt;wsp:rsid wsp:val=&quot;42F205FF&quot;/&gt;&lt;wsp:rsid wsp:val=&quot;42F2467B&quot;/&gt;&lt;wsp:rsid wsp:val=&quot;42F2592C&quot;/&gt;&lt;wsp:rsid wsp:val=&quot;42F4138D&quot;/&gt;&lt;wsp:rsid wsp:val=&quot;42F425C9&quot;/&gt;&lt;wsp:rsid wsp:val=&quot;42F44377&quot;/&gt;&lt;wsp:rsid wsp:val=&quot;42F5057E&quot;/&gt;&lt;wsp:rsid wsp:val=&quot;42F61E55&quot;/&gt;&lt;wsp:rsid wsp:val=&quot;42F70D7B&quot;/&gt;&lt;wsp:rsid wsp:val=&quot;42F80640&quot;/&gt;&lt;wsp:rsid wsp:val=&quot;42F866D9&quot;/&gt;&lt;wsp:rsid wsp:val=&quot;42FB5880&quot;/&gt;&lt;wsp:rsid wsp:val=&quot;42FC147E&quot;/&gt;&lt;wsp:rsid wsp:val=&quot;42FC322C&quot;/&gt;&lt;wsp:rsid wsp:val=&quot;42FE32FE&quot;/&gt;&lt;wsp:rsid wsp:val=&quot;43005459&quot;/&gt;&lt;wsp:rsid wsp:val=&quot;430302B3&quot;/&gt;&lt;wsp:rsid wsp:val=&quot;430345BA&quot;/&gt;&lt;wsp:rsid wsp:val=&quot;43051503&quot;/&gt;&lt;wsp:rsid wsp:val=&quot;43065E58&quot;/&gt;&lt;wsp:rsid wsp:val=&quot;43081BD1&quot;/&gt;&lt;wsp:rsid wsp:val=&quot;43087E22&quot;/&gt;&lt;wsp:rsid wsp:val=&quot;43095949&quot;/&gt;&lt;wsp:rsid wsp:val=&quot;430976F7&quot;/&gt;&lt;wsp:rsid wsp:val=&quot;430C6A87&quot;/&gt;&lt;wsp:rsid wsp:val=&quot;430D13D6&quot;/&gt;&lt;wsp:rsid wsp:val=&quot;430D5439&quot;/&gt;&lt;wsp:rsid wsp:val=&quot;430F2F5F&quot;/&gt;&lt;wsp:rsid wsp:val=&quot;43104F29&quot;/&gt;&lt;wsp:rsid wsp:val=&quot;43140575&quot;/&gt;&lt;wsp:rsid wsp:val=&quot;43144A19&quot;/&gt;&lt;wsp:rsid wsp:val=&quot;43147B68&quot;/&gt;&lt;wsp:rsid wsp:val=&quot;431542ED&quot;/&gt;&lt;wsp:rsid wsp:val=&quot;43155375&quot;/&gt;&lt;wsp:rsid wsp:val=&quot;43163EDA&quot;/&gt;&lt;wsp:rsid wsp:val=&quot;43174C28&quot;/&gt;&lt;wsp:rsid wsp:val=&quot;431762B8&quot;/&gt;&lt;wsp:rsid wsp:val=&quot;43192030&quot;/&gt;&lt;wsp:rsid wsp:val=&quot;43195B8C&quot;/&gt;&lt;wsp:rsid wsp:val=&quot;431C38CE&quot;/&gt;&lt;wsp:rsid wsp:val=&quot;431C7254&quot;/&gt;&lt;wsp:rsid wsp:val=&quot;431C742A&quot;/&gt;&lt;wsp:rsid wsp:val=&quot;431E7646&quot;/&gt;&lt;wsp:rsid wsp:val=&quot;43210EE4&quot;/&gt;&lt;wsp:rsid wsp:val=&quot;43236A0A&quot;/&gt;&lt;wsp:rsid wsp:val=&quot;43252782&quot;/&gt;&lt;wsp:rsid wsp:val=&quot;43262541&quot;/&gt;&lt;wsp:rsid wsp:val=&quot;432664FB&quot;/&gt;&lt;wsp:rsid wsp:val=&quot;432A34CE&quot;/&gt;&lt;wsp:rsid wsp:val=&quot;432D1637&quot;/&gt;&lt;wsp:rsid wsp:val=&quot;432D471E&quot;/&gt;&lt;wsp:rsid wsp:val=&quot;432D590F&quot;/&gt;&lt;wsp:rsid wsp:val=&quot;432E32DF&quot;/&gt;&lt;wsp:rsid wsp:val=&quot;432F53AF&quot;/&gt;&lt;wsp:rsid wsp:val=&quot;43317379&quot;/&gt;&lt;wsp:rsid wsp:val=&quot;4332051F&quot;/&gt;&lt;wsp:rsid wsp:val=&quot;43324E9F&quot;/&gt;&lt;wsp:rsid wsp:val=&quot;43346E69&quot;/&gt;&lt;wsp:rsid wsp:val=&quot;4335673E&quot;/&gt;&lt;wsp:rsid wsp:val=&quot;43361A71&quot;/&gt;&lt;wsp:rsid wsp:val=&quot;43362BE2&quot;/&gt;&lt;wsp:rsid wsp:val=&quot;43370708&quot;/&gt;&lt;wsp:rsid wsp:val=&quot;433901B6&quot;/&gt;&lt;wsp:rsid wsp:val=&quot;43394480&quot;/&gt;&lt;wsp:rsid wsp:val=&quot;43397FDC&quot;/&gt;&lt;wsp:rsid wsp:val=&quot;433A03F2&quot;/&gt;&lt;wsp:rsid wsp:val=&quot;433A3D54&quot;/&gt;&lt;wsp:rsid wsp:val=&quot;433A6FE6&quot;/&gt;&lt;wsp:rsid wsp:val=&quot;433B01F8&quot;/&gt;&lt;wsp:rsid wsp:val=&quot;433C187A&quot;/&gt;&lt;wsp:rsid wsp:val=&quot;433C2712&quot;/&gt;&lt;wsp:rsid wsp:val=&quot;433C5D1E&quot;/&gt;&lt;wsp:rsid wsp:val=&quot;433C7ACC&quot;/&gt;&lt;wsp:rsid wsp:val=&quot;433E1A96&quot;/&gt;&lt;wsp:rsid wsp:val=&quot;433F71CE&quot;/&gt;&lt;wsp:rsid wsp:val=&quot;4340580E&quot;/&gt;&lt;wsp:rsid wsp:val=&quot;43430E5B&quot;/&gt;&lt;wsp:rsid wsp:val=&quot;43431F81&quot;/&gt;&lt;wsp:rsid wsp:val=&quot;4346609A&quot;/&gt;&lt;wsp:rsid wsp:val=&quot;43480868&quot;/&gt;&lt;wsp:rsid wsp:val=&quot;43491CB9&quot;/&gt;&lt;wsp:rsid wsp:val=&quot;434A21E9&quot;/&gt;&lt;wsp:rsid wsp:val=&quot;434A3F97&quot;/&gt;&lt;wsp:rsid wsp:val=&quot;434B5F61&quot;/&gt;&lt;wsp:rsid wsp:val=&quot;434F15AD&quot;/&gt;&lt;wsp:rsid wsp:val=&quot;4350713C&quot;/&gt;&lt;wsp:rsid wsp:val=&quot;435117C9&quot;/&gt;&lt;wsp:rsid wsp:val=&quot;43515832&quot;/&gt;&lt;wsp:rsid wsp:val=&quot;43516679&quot;/&gt;&lt;wsp:rsid wsp:val=&quot;43525542&quot;/&gt;&lt;wsp:rsid wsp:val=&quot;43566DE0&quot;/&gt;&lt;wsp:rsid wsp:val=&quot;435C1F1C&quot;/&gt;&lt;wsp:rsid wsp:val=&quot;435E5108&quot;/&gt;&lt;wsp:rsid wsp:val=&quot;435E7A42&quot;/&gt;&lt;wsp:rsid wsp:val=&quot;435F5593&quot;/&gt;&lt;wsp:rsid wsp:val=&quot;436037BB&quot;/&gt;&lt;wsp:rsid wsp:val=&quot;43615785&quot;/&gt;&lt;wsp:rsid wsp:val=&quot;43622229&quot;/&gt;&lt;wsp:rsid wsp:val=&quot;4363278D&quot;/&gt;&lt;wsp:rsid wsp:val=&quot;436653E0&quot;/&gt;&lt;wsp:rsid wsp:val=&quot;43665464&quot;/&gt;&lt;wsp:rsid wsp:val=&quot;43670FED&quot;/&gt;&lt;wsp:rsid wsp:val=&quot;43672D9B&quot;/&gt;&lt;wsp:rsid wsp:val=&quot;436808C1&quot;/&gt;&lt;wsp:rsid wsp:val=&quot;43686B13&quot;/&gt;&lt;wsp:rsid wsp:val=&quot;4369148A&quot;/&gt;&lt;wsp:rsid wsp:val=&quot;436A0961&quot;/&gt;&lt;wsp:rsid wsp:val=&quot;436A288B&quot;/&gt;&lt;wsp:rsid wsp:val=&quot;436A63E7&quot;/&gt;&lt;wsp:rsid wsp:val=&quot;436B215F&quot;/&gt;&lt;wsp:rsid wsp:val=&quot;436F39FE&quot;/&gt;&lt;wsp:rsid wsp:val=&quot;43713C1A&quot;/&gt;&lt;wsp:rsid wsp:val=&quot;43721740&quot;/&gt;&lt;wsp:rsid wsp:val=&quot;43727992&quot;/&gt;&lt;wsp:rsid wsp:val=&quot;4374370A&quot;/&gt;&lt;wsp:rsid wsp:val=&quot;437730ED&quot;/&gt;&lt;wsp:rsid wsp:val=&quot;43776D56&quot;/&gt;&lt;wsp:rsid wsp:val=&quot;43792ACE&quot;/&gt;&lt;wsp:rsid wsp:val=&quot;437B05F4&quot;/&gt;&lt;wsp:rsid wsp:val=&quot;437B2DD9&quot;/&gt;&lt;wsp:rsid wsp:val=&quot;437C1635&quot;/&gt;&lt;wsp:rsid wsp:val=&quot;437D3114&quot;/&gt;&lt;wsp:rsid wsp:val=&quot;437E00E5&quot;/&gt;&lt;wsp:rsid wsp:val=&quot;437E1E93&quot;/&gt;&lt;wsp:rsid wsp:val=&quot;437E6337&quot;/&gt;&lt;wsp:rsid wsp:val=&quot;437F6B26&quot;/&gt;&lt;wsp:rsid wsp:val=&quot;43814017&quot;/&gt;&lt;wsp:rsid wsp:val=&quot;43826BE8&quot;/&gt;&lt;wsp:rsid wsp:val=&quot;43873032&quot;/&gt;&lt;wsp:rsid wsp:val=&quot;4387343D&quot;/&gt;&lt;wsp:rsid wsp:val=&quot;43881864&quot;/&gt;&lt;wsp:rsid wsp:val=&quot;438C45B0&quot;/&gt;&lt;wsp:rsid wsp:val=&quot;438D20D6&quot;/&gt;&lt;wsp:rsid wsp:val=&quot;43917E18&quot;/&gt;&lt;wsp:rsid wsp:val=&quot;4392593E&quot;/&gt;&lt;wsp:rsid wsp:val=&quot;4393443B&quot;/&gt;&lt;wsp:rsid wsp:val=&quot;4396542E&quot;/&gt;&lt;wsp:rsid wsp:val=&quot;439671DC&quot;/&gt;&lt;wsp:rsid wsp:val=&quot;439806F8&quot;/&gt;&lt;wsp:rsid wsp:val=&quot;439873F8&quot;/&gt;&lt;wsp:rsid wsp:val=&quot;43993170&quot;/&gt;&lt;wsp:rsid wsp:val=&quot;439B2A45&quot;/&gt;&lt;wsp:rsid wsp:val=&quot;439D07BA&quot;/&gt;&lt;wsp:rsid wsp:val=&quot;439D4A0F&quot;/&gt;&lt;wsp:rsid wsp:val=&quot;439D67BD&quot;/&gt;&lt;wsp:rsid wsp:val=&quot;439E0787&quot;/&gt;&lt;wsp:rsid wsp:val=&quot;439E41BC&quot;/&gt;&lt;wsp:rsid wsp:val=&quot;439E42E3&quot;/&gt;&lt;wsp:rsid wsp:val=&quot;43A0005B&quot;/&gt;&lt;wsp:rsid wsp:val=&quot;43A22025&quot;/&gt;&lt;wsp:rsid wsp:val=&quot;43A23DD3&quot;/&gt;&lt;wsp:rsid wsp:val=&quot;43A50841&quot;/&gt;&lt;wsp:rsid wsp:val=&quot;43A713E9&quot;/&gt;&lt;wsp:rsid wsp:val=&quot;43AA2C88&quot;/&gt;&lt;wsp:rsid wsp:val=&quot;43AC5588&quot;/&gt;&lt;wsp:rsid wsp:val=&quot;43AE7DCC&quot;/&gt;&lt;wsp:rsid wsp:val=&quot;43AF64F0&quot;/&gt;&lt;wsp:rsid wsp:val=&quot;43B65AD0&quot;/&gt;&lt;wsp:rsid wsp:val=&quot;43B7145E&quot;/&gt;&lt;wsp:rsid wsp:val=&quot;43B75827&quot;/&gt;&lt;wsp:rsid wsp:val=&quot;43B86443&quot;/&gt;&lt;wsp:rsid wsp:val=&quot;43B90147&quot;/&gt;&lt;wsp:rsid wsp:val=&quot;43B9111D&quot;/&gt;&lt;wsp:rsid wsp:val=&quot;43BB30E7&quot;/&gt;&lt;wsp:rsid wsp:val=&quot;43BC0257&quot;/&gt;&lt;wsp:rsid wsp:val=&quot;43C12833&quot;/&gt;&lt;wsp:rsid wsp:val=&quot;43C13740&quot;/&gt;&lt;wsp:rsid wsp:val=&quot;43C2414B&quot;/&gt;&lt;wsp:rsid wsp:val=&quot;43C26223&quot;/&gt;&lt;wsp:rsid wsp:val=&quot;43C337F2&quot;/&gt;&lt;wsp:rsid wsp:val=&quot;43C401ED&quot;/&gt;&lt;wsp:rsid wsp:val=&quot;43C4431A&quot;/&gt;&lt;wsp:rsid wsp:val=&quot;43C55D14&quot;/&gt;&lt;wsp:rsid wsp:val=&quot;43C57AC2&quot;/&gt;&lt;wsp:rsid wsp:val=&quot;43C62693&quot;/&gt;&lt;wsp:rsid wsp:val=&quot;43C71A8C&quot;/&gt;&lt;wsp:rsid wsp:val=&quot;43C76287&quot;/&gt;&lt;wsp:rsid wsp:val=&quot;43C81360&quot;/&gt;&lt;wsp:rsid wsp:val=&quot;43CA157C&quot;/&gt;&lt;wsp:rsid wsp:val=&quot;43CA332A&quot;/&gt;&lt;wsp:rsid wsp:val=&quot;43CB255C&quot;/&gt;&lt;wsp:rsid wsp:val=&quot;43CD6976&quot;/&gt;&lt;wsp:rsid wsp:val=&quot;43CE0EDD&quot;/&gt;&lt;wsp:rsid wsp:val=&quot;43D146B8&quot;/&gt;&lt;wsp:rsid wsp:val=&quot;43D16466&quot;/&gt;&lt;wsp:rsid wsp:val=&quot;43D31CC1&quot;/&gt;&lt;wsp:rsid wsp:val=&quot;43D321DE&quot;/&gt;&lt;wsp:rsid wsp:val=&quot;43D61CCF&quot;/&gt;&lt;wsp:rsid wsp:val=&quot;43D9356D&quot;/&gt;&lt;wsp:rsid wsp:val=&quot;43DB5537&quot;/&gt;&lt;wsp:rsid wsp:val=&quot;43DD0DFB&quot;/&gt;&lt;wsp:rsid wsp:val=&quot;43DE0B83&quot;/&gt;&lt;wsp:rsid wsp:val=&quot;43DE2931&quot;/&gt;&lt;wsp:rsid wsp:val=&quot;43DF5027&quot;/&gt;&lt;wsp:rsid wsp:val=&quot;43E02B4D&quot;/&gt;&lt;wsp:rsid wsp:val=&quot;43E066A9&quot;/&gt;&lt;wsp:rsid wsp:val=&quot;43E066F5&quot;/&gt;&lt;wsp:rsid wsp:val=&quot;43E20674&quot;/&gt;&lt;wsp:rsid wsp:val=&quot;43E3619A&quot;/&gt;&lt;wsp:rsid wsp:val=&quot;43E4263E&quot;/&gt;&lt;wsp:rsid wsp:val=&quot;43E443EC&quot;/&gt;&lt;wsp:rsid wsp:val=&quot;43E67164&quot;/&gt;&lt;wsp:rsid wsp:val=&quot;43E837B0&quot;/&gt;&lt;wsp:rsid wsp:val=&quot;43E85A19&quot;/&gt;&lt;wsp:rsid wsp:val=&quot;43E97C54&quot;/&gt;&lt;wsp:rsid wsp:val=&quot;43EA577A&quot;/&gt;&lt;wsp:rsid wsp:val=&quot;43EA7528&quot;/&gt;&lt;wsp:rsid wsp:val=&quot;43EC32A0&quot;/&gt;&lt;wsp:rsid wsp:val=&quot;43EC504E&quot;/&gt;&lt;wsp:rsid wsp:val=&quot;43EE4268&quot;/&gt;&lt;wsp:rsid wsp:val=&quot;43EE7018&quot;/&gt;&lt;wsp:rsid wsp:val=&quot;43F17E3C&quot;/&gt;&lt;wsp:rsid wsp:val=&quot;43F403A7&quot;/&gt;&lt;wsp:rsid wsp:val=&quot;43F44339&quot;/&gt;&lt;wsp:rsid wsp:val=&quot;43F62371&quot;/&gt;&lt;wsp:rsid wsp:val=&quot;43F65ECD&quot;/&gt;&lt;wsp:rsid wsp:val=&quot;43F87E97&quot;/&gt;&lt;wsp:rsid wsp:val=&quot;43F959BD&quot;/&gt;&lt;wsp:rsid wsp:val=&quot;43FB7987&quot;/&gt;&lt;wsp:rsid wsp:val=&quot;43FD36FF&quot;/&gt;&lt;wsp:rsid wsp:val=&quot;43FD725B&quot;/&gt;&lt;wsp:rsid wsp:val=&quot;43FE7FBC&quot;/&gt;&lt;wsp:rsid wsp:val=&quot;44024872&quot;/&gt;&lt;wsp:rsid wsp:val=&quot;44044DD8&quot;/&gt;&lt;wsp:rsid wsp:val=&quot;4404597E&quot;/&gt;&lt;wsp:rsid wsp:val=&quot;440B1130&quot;/&gt;&lt;wsp:rsid wsp:val=&quot;440D2D01&quot;/&gt;&lt;wsp:rsid wsp:val=&quot;440E3217&quot;/&gt;&lt;wsp:rsid wsp:val=&quot;440E76BA&quot;/&gt;&lt;wsp:rsid wsp:val=&quot;44112D07&quot;/&gt;&lt;wsp:rsid wsp:val=&quot;44136A7F&quot;/&gt;&lt;wsp:rsid wsp:val=&quot;441427F7&quot;/&gt;&lt;wsp:rsid wsp:val=&quot;441440F3&quot;/&gt;&lt;wsp:rsid wsp:val=&quot;44173EC7&quot;/&gt;&lt;wsp:rsid wsp:val=&quot;44175D2E&quot;/&gt;&lt;wsp:rsid wsp:val=&quot;44184095&quot;/&gt;&lt;wsp:rsid wsp:val=&quot;44185497&quot;/&gt;&lt;wsp:rsid wsp:val=&quot;441A605F&quot;/&gt;&lt;wsp:rsid wsp:val=&quot;441A7E0D&quot;/&gt;&lt;wsp:rsid wsp:val=&quot;441B3B85&quot;/&gt;&lt;wsp:rsid wsp:val=&quot;441B5933&quot;/&gt;&lt;wsp:rsid wsp:val=&quot;441C3545&quot;/&gt;&lt;wsp:rsid wsp:val=&quot;441F3676&quot;/&gt;&lt;wsp:rsid wsp:val=&quot;44200160&quot;/&gt;&lt;wsp:rsid wsp:val=&quot;44242A3A&quot;/&gt;&lt;wsp:rsid wsp:val=&quot;44250040&quot;/&gt;&lt;wsp:rsid wsp:val=&quot;442567B2&quot;/&gt;&lt;wsp:rsid wsp:val=&quot;442742D8&quot;/&gt;&lt;wsp:rsid wsp:val=&quot;44286D6E&quot;/&gt;&lt;wsp:rsid wsp:val=&quot;44290050&quot;/&gt;&lt;wsp:rsid wsp:val=&quot;4429137E&quot;/&gt;&lt;wsp:rsid wsp:val=&quot;442944F4&quot;/&gt;&lt;wsp:rsid wsp:val=&quot;442962A2&quot;/&gt;&lt;wsp:rsid wsp:val=&quot;44296C35&quot;/&gt;&lt;wsp:rsid wsp:val=&quot;442A3DC9&quot;/&gt;&lt;wsp:rsid wsp:val=&quot;442A5B77&quot;/&gt;&lt;wsp:rsid wsp:val=&quot;442B201A&quot;/&gt;&lt;wsp:rsid wsp:val=&quot;442B20E0&quot;/&gt;&lt;wsp:rsid wsp:val=&quot;442C2F5D&quot;/&gt;&lt;wsp:rsid wsp:val=&quot;442C7400&quot;/&gt;&lt;wsp:rsid wsp:val=&quot;442C7B41&quot;/&gt;&lt;wsp:rsid wsp:val=&quot;44304FA2&quot;/&gt;&lt;wsp:rsid wsp:val=&quot;44307631&quot;/&gt;&lt;wsp:rsid wsp:val=&quot;443133A9&quot;/&gt;&lt;wsp:rsid wsp:val=&quot;44315157&quot;/&gt;&lt;wsp:rsid wsp:val=&quot;44325CF6&quot;/&gt;&lt;wsp:rsid wsp:val=&quot;44332C7D&quot;/&gt;&lt;wsp:rsid wsp:val=&quot;443469F5&quot;/&gt;&lt;wsp:rsid wsp:val=&quot;44352E99&quot;/&gt;&lt;wsp:rsid wsp:val=&quot;44356FB8&quot;/&gt;&lt;wsp:rsid wsp:val=&quot;443A225E&quot;/&gt;&lt;wsp:rsid wsp:val=&quot;443B5FD6&quot;/&gt;&lt;wsp:rsid wsp:val=&quot;443B6DB9&quot;/&gt;&lt;wsp:rsid wsp:val=&quot;443C2C41&quot;/&gt;&lt;wsp:rsid wsp:val=&quot;443F5AC6&quot;/&gt;&lt;wsp:rsid wsp:val=&quot;443F68DF&quot;/&gt;&lt;wsp:rsid wsp:val=&quot;443F7874&quot;/&gt;&lt;wsp:rsid wsp:val=&quot;444035EC&quot;/&gt;&lt;wsp:rsid wsp:val=&quot;44404832&quot;/&gt;&lt;wsp:rsid wsp:val=&quot;4440539A&quot;/&gt;&lt;wsp:rsid wsp:val=&quot;4441183E&quot;/&gt;&lt;wsp:rsid wsp:val=&quot;44421112&quot;/&gt;&lt;wsp:rsid wsp:val=&quot;44447B80&quot;/&gt;&lt;wsp:rsid wsp:val=&quot;4445066C&quot;/&gt;&lt;wsp:rsid wsp:val=&quot;444529B0&quot;/&gt;&lt;wsp:rsid wsp:val=&quot;44463BE1&quot;/&gt;&lt;wsp:rsid wsp:val=&quot;44466E54&quot;/&gt;&lt;wsp:rsid wsp:val=&quot;44472BCC&quot;/&gt;&lt;wsp:rsid wsp:val=&quot;444906F3&quot;/&gt;&lt;wsp:rsid wsp:val=&quot;444924A1&quot;/&gt;&lt;wsp:rsid wsp:val=&quot;444A6219&quot;/&gt;&lt;wsp:rsid wsp:val=&quot;444C26C2&quot;/&gt;&lt;wsp:rsid wsp:val=&quot;444E3F5B&quot;/&gt;&lt;wsp:rsid wsp:val=&quot;444E5D09&quot;/&gt;&lt;wsp:rsid wsp:val=&quot;444F55DD&quot;/&gt;&lt;wsp:rsid wsp:val=&quot;44501A81&quot;/&gt;&lt;wsp:rsid wsp:val=&quot;4450382F&quot;/&gt;&lt;wsp:rsid wsp:val=&quot;44524D55&quot;/&gt;&lt;wsp:rsid wsp:val=&quot;445350CD&quot;/&gt;&lt;wsp:rsid wsp:val=&quot;4456696C&quot;/&gt;&lt;wsp:rsid wsp:val=&quot;445826E4&quot;/&gt;&lt;wsp:rsid wsp:val=&quot;445961A5&quot;/&gt;&lt;wsp:rsid wsp:val=&quot;445A34E7&quot;/&gt;&lt;wsp:rsid wsp:val=&quot;445B21D4&quot;/&gt;&lt;wsp:rsid wsp:val=&quot;445D419E&quot;/&gt;&lt;wsp:rsid wsp:val=&quot;445D7297&quot;/&gt;&lt;wsp:rsid wsp:val=&quot;445D7CFA&quot;/&gt;&lt;wsp:rsid wsp:val=&quot;44615A3C&quot;/&gt;&lt;wsp:rsid wsp:val=&quot;446217B4&quot;/&gt;&lt;wsp:rsid wsp:val=&quot;44625310&quot;/&gt;&lt;wsp:rsid wsp:val=&quot;44654E01&quot;/&gt;&lt;wsp:rsid wsp:val=&quot;44661A8A&quot;/&gt;&lt;wsp:rsid wsp:val=&quot;44676DCB&quot;/&gt;&lt;wsp:rsid wsp:val=&quot;446948F1&quot;/&gt;&lt;wsp:rsid wsp:val=&quot;446B68BB&quot;/&gt;&lt;wsp:rsid wsp:val=&quot;446C43E1&quot;/&gt;&lt;wsp:rsid wsp:val=&quot;446C618F&quot;/&gt;&lt;wsp:rsid wsp:val=&quot;446E0159&quot;/&gt;&lt;wsp:rsid wsp:val=&quot;446E2DED&quot;/&gt;&lt;wsp:rsid wsp:val=&quot;44703ED1&quot;/&gt;&lt;wsp:rsid wsp:val=&quot;44705C7F&quot;/&gt;&lt;wsp:rsid wsp:val=&quot;44723B6D&quot;/&gt;&lt;wsp:rsid wsp:val=&quot;447339C1&quot;/&gt;&lt;wsp:rsid wsp:val=&quot;44751723&quot;/&gt;&lt;wsp:rsid wsp:val=&quot;4476700E&quot;/&gt;&lt;wsp:rsid wsp:val=&quot;44775260&quot;/&gt;&lt;wsp:rsid wsp:val=&quot;44786ADF&quot;/&gt;&lt;wsp:rsid wsp:val=&quot;447A08AC&quot;/&gt;&lt;wsp:rsid wsp:val=&quot;447A4D50&quot;/&gt;&lt;wsp:rsid wsp:val=&quot;447D6881&quot;/&gt;&lt;wsp:rsid wsp:val=&quot;447F0234&quot;/&gt;&lt;wsp:rsid wsp:val=&quot;447F2366&quot;/&gt;&lt;wsp:rsid wsp:val=&quot;447F4114&quot;/&gt;&lt;wsp:rsid wsp:val=&quot;448160DE&quot;/&gt;&lt;wsp:rsid wsp:val=&quot;44827761&quot;/&gt;&lt;wsp:rsid wsp:val=&quot;4484172B&quot;/&gt;&lt;wsp:rsid wsp:val=&quot;448434D9&quot;/&gt;&lt;wsp:rsid wsp:val=&quot;44843C65&quot;/&gt;&lt;wsp:rsid wsp:val=&quot;4484797D&quot;/&gt;&lt;wsp:rsid wsp:val=&quot;4485521C&quot;/&gt;&lt;wsp:rsid wsp:val=&quot;448564A3&quot;/&gt;&lt;wsp:rsid wsp:val=&quot;448654A3&quot;/&gt;&lt;wsp:rsid wsp:val=&quot;44872FC9&quot;/&gt;&lt;wsp:rsid wsp:val=&quot;448C6831&quot;/&gt;&lt;wsp:rsid wsp:val=&quot;448E07FB&quot;/&gt;&lt;wsp:rsid wsp:val=&quot;448E4357&quot;/&gt;&lt;wsp:rsid wsp:val=&quot;448E6105&quot;/&gt;&lt;wsp:rsid wsp:val=&quot;449000D0&quot;/&gt;&lt;wsp:rsid wsp:val=&quot;44906FD3&quot;/&gt;&lt;wsp:rsid wsp:val=&quot;4492209A&quot;/&gt;&lt;wsp:rsid wsp:val=&quot;44944B08&quot;/&gt;&lt;wsp:rsid wsp:val=&quot;44953938&quot;/&gt;&lt;wsp:rsid wsp:val=&quot;449556E6&quot;/&gt;&lt;wsp:rsid wsp:val=&quot;44957494&quot;/&gt;&lt;wsp:rsid wsp:val=&quot;4497145E&quot;/&gt;&lt;wsp:rsid wsp:val=&quot;44983428&quot;/&gt;&lt;wsp:rsid wsp:val=&quot;449851D6&quot;/&gt;&lt;wsp:rsid wsp:val=&quot;44985A24&quot;/&gt;&lt;wsp:rsid wsp:val=&quot;449974E9&quot;/&gt;&lt;wsp:rsid wsp:val=&quot;449A38A3&quot;/&gt;&lt;wsp:rsid wsp:val=&quot;449B49DA&quot;/&gt;&lt;wsp:rsid wsp:val=&quot;449C6A74&quot;/&gt;&lt;wsp:rsid wsp:val=&quot;449D459A&quot;/&gt;&lt;wsp:rsid wsp:val=&quot;449D72FA&quot;/&gt;&lt;wsp:rsid wsp:val=&quot;44A122DD&quot;/&gt;&lt;wsp:rsid wsp:val=&quot;44A43B7B&quot;/&gt;&lt;wsp:rsid wsp:val=&quot;44A45929&quot;/&gt;&lt;wsp:rsid wsp:val=&quot;44A51CE0&quot;/&gt;&lt;wsp:rsid wsp:val=&quot;44A57004&quot;/&gt;&lt;wsp:rsid wsp:val=&quot;44A65B45&quot;/&gt;&lt;wsp:rsid wsp:val=&quot;44A733D3&quot;/&gt;&lt;wsp:rsid wsp:val=&quot;44AB4F09&quot;/&gt;&lt;wsp:rsid wsp:val=&quot;44AB6CB7&quot;/&gt;&lt;wsp:rsid wsp:val=&quot;44AD6ED3&quot;/&gt;&lt;wsp:rsid wsp:val=&quot;44B042CE&quot;/&gt;&lt;wsp:rsid wsp:val=&quot;44B10046&quot;/&gt;&lt;wsp:rsid wsp:val=&quot;44B16ADB&quot;/&gt;&lt;wsp:rsid wsp:val=&quot;44B244EA&quot;/&gt;&lt;wsp:rsid wsp:val=&quot;44B26298&quot;/&gt;&lt;wsp:rsid wsp:val=&quot;44B33DBE&quot;/&gt;&lt;wsp:rsid wsp:val=&quot;44B518E4&quot;/&gt;&lt;wsp:rsid wsp:val=&quot;44B55D88&quot;/&gt;&lt;wsp:rsid wsp:val=&quot;44B57B36&quot;/&gt;&lt;wsp:rsid wsp:val=&quot;44B813D4&quot;/&gt;&lt;wsp:rsid wsp:val=&quot;44B85878&quot;/&gt;&lt;wsp:rsid wsp:val=&quot;44B87D19&quot;/&gt;&lt;wsp:rsid wsp:val=&quot;44B951CC&quot;/&gt;&lt;wsp:rsid wsp:val=&quot;44BA339E&quot;/&gt;&lt;wsp:rsid wsp:val=&quot;44BA514C&quot;/&gt;&lt;wsp:rsid wsp:val=&quot;44BC0EC5&quot;/&gt;&lt;wsp:rsid wsp:val=&quot;44BD4C3D&quot;/&gt;&lt;wsp:rsid wsp:val=&quot;44BE2E8F&quot;/&gt;&lt;wsp:rsid wsp:val=&quot;44BF09B5&quot;/&gt;&lt;wsp:rsid wsp:val=&quot;44C22253&quot;/&gt;&lt;wsp:rsid wsp:val=&quot;44C26789&quot;/&gt;&lt;wsp:rsid wsp:val=&quot;44C4421D&quot;/&gt;&lt;wsp:rsid wsp:val=&quot;44C63AF1&quot;/&gt;&lt;wsp:rsid wsp:val=&quot;44C80E2F&quot;/&gt;&lt;wsp:rsid wsp:val=&quot;44C85ABB&quot;/&gt;&lt;wsp:rsid wsp:val=&quot;44CB1454&quot;/&gt;&lt;wsp:rsid wsp:val=&quot;44CD1324&quot;/&gt;&lt;wsp:rsid wsp:val=&quot;44CD14E0&quot;/&gt;&lt;wsp:rsid wsp:val=&quot;44CD20C7&quot;/&gt;&lt;wsp:rsid wsp:val=&quot;44CD4E80&quot;/&gt;&lt;wsp:rsid wsp:val=&quot;44CE0BF8&quot;/&gt;&lt;wsp:rsid wsp:val=&quot;44CE6128&quot;/&gt;&lt;wsp:rsid wsp:val=&quot;44D001CD&quot;/&gt;&lt;wsp:rsid wsp:val=&quot;44D04970&quot;/&gt;&lt;wsp:rsid wsp:val=&quot;44D0671E&quot;/&gt;&lt;wsp:rsid wsp:val=&quot;44D206E8&quot;/&gt;&lt;wsp:rsid wsp:val=&quot;44D34460&quot;/&gt;&lt;wsp:rsid wsp:val=&quot;44D44C11&quot;/&gt;&lt;wsp:rsid wsp:val=&quot;44D501D8&quot;/&gt;&lt;wsp:rsid wsp:val=&quot;44D53D34&quot;/&gt;&lt;wsp:rsid wsp:val=&quot;44D60D07&quot;/&gt;&lt;wsp:rsid wsp:val=&quot;44D648BA&quot;/&gt;&lt;wsp:rsid wsp:val=&quot;44D81A76&quot;/&gt;&lt;wsp:rsid wsp:val=&quot;44D83825&quot;/&gt;&lt;wsp:rsid wsp:val=&quot;44D97CC8&quot;/&gt;&lt;wsp:rsid wsp:val=&quot;44DA134B&quot;/&gt;&lt;wsp:rsid wsp:val=&quot;44DB5F34&quot;/&gt;&lt;wsp:rsid wsp:val=&quot;44DC1567&quot;/&gt;&lt;wsp:rsid wsp:val=&quot;44E1092B&quot;/&gt;&lt;wsp:rsid wsp:val=&quot;44E15337&quot;/&gt;&lt;wsp:rsid wsp:val=&quot;44E328F5&quot;/&gt;&lt;wsp:rsid wsp:val=&quot;44E4034E&quot;/&gt;&lt;wsp:rsid wsp:val=&quot;44E44A7E&quot;/&gt;&lt;wsp:rsid wsp:val=&quot;44E623E5&quot;/&gt;&lt;wsp:rsid wsp:val=&quot;44E73A68&quot;/&gt;&lt;wsp:rsid wsp:val=&quot;44E87F0C&quot;/&gt;&lt;wsp:rsid wsp:val=&quot;44E915E3&quot;/&gt;&lt;wsp:rsid wsp:val=&quot;44E95A32&quot;/&gt;&lt;wsp:rsid wsp:val=&quot;44EA5ED6&quot;/&gt;&lt;wsp:rsid wsp:val=&quot;44EC1EBA&quot;/&gt;&lt;wsp:rsid wsp:val=&quot;44F04590&quot;/&gt;&lt;wsp:rsid wsp:val=&quot;44F20B0B&quot;/&gt;&lt;wsp:rsid wsp:val=&quot;44F20D8A&quot;/&gt;&lt;wsp:rsid wsp:val=&quot;44F3240C&quot;/&gt;&lt;wsp:rsid wsp:val=&quot;44F543D6&quot;/&gt;&lt;wsp:rsid wsp:val=&quot;44F7014F&quot;/&gt;&lt;wsp:rsid wsp:val=&quot;44F92119&quot;/&gt;&lt;wsp:rsid wsp:val=&quot;44F97C54&quot;/&gt;&lt;wsp:rsid wsp:val=&quot;44FC430A&quot;/&gt;&lt;wsp:rsid wsp:val=&quot;44FC5765&quot;/&gt;&lt;wsp:rsid wsp:val=&quot;44FC7513&quot;/&gt;&lt;wsp:rsid wsp:val=&quot;44FD328B&quot;/&gt;&lt;wsp:rsid wsp:val=&quot;44FE772F&quot;/&gt;&lt;wsp:rsid wsp:val=&quot;44FF380C&quot;/&gt;&lt;wsp:rsid wsp:val=&quot;44FF7833&quot;/&gt;&lt;wsp:rsid wsp:val=&quot;45010FCD&quot;/&gt;&lt;wsp:rsid wsp:val=&quot;45013B88&quot;/&gt;&lt;wsp:rsid wsp:val=&quot;45022447&quot;/&gt;&lt;wsp:rsid wsp:val=&quot;45030A4C&quot;/&gt;&lt;wsp:rsid wsp:val=&quot;45032260&quot;/&gt;&lt;wsp:rsid wsp:val=&quot;4504286C&quot;/&gt;&lt;wsp:rsid wsp:val=&quot;45062140&quot;/&gt;&lt;wsp:rsid wsp:val=&quot;45085EB8&quot;/&gt;&lt;wsp:rsid wsp:val=&quot;450860A8&quot;/&gt;&lt;wsp:rsid wsp:val=&quot;450862B9&quot;/&gt;&lt;wsp:rsid wsp:val=&quot;450B59A8&quot;/&gt;&lt;wsp:rsid wsp:val=&quot;450D0C9B&quot;/&gt;&lt;wsp:rsid wsp:val=&quot;45132AAF&quot;/&gt;&lt;wsp:rsid wsp:val=&quot;4513485D&quot;/&gt;&lt;wsp:rsid wsp:val=&quot;45154A79&quot;/&gt;&lt;wsp:rsid wsp:val=&quot;451731DD&quot;/&gt;&lt;wsp:rsid wsp:val=&quot;451A208F&quot;/&gt;&lt;wsp:rsid wsp:val=&quot;451B472F&quot;/&gt;&lt;wsp:rsid wsp:val=&quot;451C1963&quot;/&gt;&lt;wsp:rsid wsp:val=&quot;451C5E07&quot;/&gt;&lt;wsp:rsid wsp:val=&quot;451D704F&quot;/&gt;&lt;wsp:rsid wsp:val=&quot;451E04DF&quot;/&gt;&lt;wsp:rsid wsp:val=&quot;451E56DB&quot;/&gt;&lt;wsp:rsid wsp:val=&quot;45216E60&quot;/&gt;&lt;wsp:rsid wsp:val=&quot;45230F44&quot;/&gt;&lt;wsp:rsid wsp:val=&quot;45235A92&quot;/&gt;&lt;wsp:rsid wsp:val=&quot;45246133&quot;/&gt;&lt;wsp:rsid wsp:val=&quot;45252F0E&quot;/&gt;&lt;wsp:rsid wsp:val=&quot;45277E43&quot;/&gt;&lt;wsp:rsid wsp:val=&quot;45280308&quot;/&gt;&lt;wsp:rsid wsp:val=&quot;452847AC&quot;/&gt;&lt;wsp:rsid wsp:val=&quot;452C56B4&quot;/&gt;&lt;wsp:rsid wsp:val=&quot;452D1DC2&quot;/&gt;&lt;wsp:rsid wsp:val=&quot;452D3B70&quot;/&gt;&lt;wsp:rsid wsp:val=&quot;452E5F4C&quot;/&gt;&lt;wsp:rsid wsp:val=&quot;452F78E8&quot;/&gt;&lt;wsp:rsid wsp:val=&quot;453018B3&quot;/&gt;&lt;wsp:rsid wsp:val=&quot;45317391&quot;/&gt;&lt;wsp:rsid wsp:val=&quot;45321187&quot;/&gt;&lt;wsp:rsid wsp:val=&quot;45336CAD&quot;/&gt;&lt;wsp:rsid wsp:val=&quot;45343151&quot;/&gt;&lt;wsp:rsid wsp:val=&quot;45344EFF&quot;/&gt;&lt;wsp:rsid wsp:val=&quot;45357EA7&quot;/&gt;&lt;wsp:rsid wsp:val=&quot;45372C41&quot;/&gt;&lt;wsp:rsid wsp:val=&quot;453749EF&quot;/&gt;&lt;wsp:rsid wsp:val=&quot;45386828&quot;/&gt;&lt;wsp:rsid wsp:val=&quot;4539764E&quot;/&gt;&lt;wsp:rsid wsp:val=&quot;453B44DF&quot;/&gt;&lt;wsp:rsid wsp:val=&quot;453C3DB3&quot;/&gt;&lt;wsp:rsid wsp:val=&quot;453D7240&quot;/&gt;&lt;wsp:rsid wsp:val=&quot;453E7B2C&quot;/&gt;&lt;wsp:rsid wsp:val=&quot;453F38A4&quot;/&gt;&lt;wsp:rsid wsp:val=&quot;453F5652&quot;/&gt;&lt;wsp:rsid wsp:val=&quot;454113CA&quot;/&gt;&lt;wsp:rsid wsp:val=&quot;4541761C&quot;/&gt;&lt;wsp:rsid wsp:val=&quot;45433394&quot;/&gt;&lt;wsp:rsid wsp:val=&quot;45442C68&quot;/&gt;&lt;wsp:rsid wsp:val=&quot;4545710C&quot;/&gt;&lt;wsp:rsid wsp:val=&quot;454676EB&quot;/&gt;&lt;wsp:rsid wsp:val=&quot;45485320&quot;/&gt;&lt;wsp:rsid wsp:val=&quot;454A2974&quot;/&gt;&lt;wsp:rsid wsp:val=&quot;454A41ED&quot;/&gt;&lt;wsp:rsid wsp:val=&quot;454A4722&quot;/&gt;&lt;wsp:rsid wsp:val=&quot;454C1C9B&quot;/&gt;&lt;wsp:rsid wsp:val=&quot;454D5FC1&quot;/&gt;&lt;wsp:rsid wsp:val=&quot;454F1D39&quot;/&gt;&lt;wsp:rsid wsp:val=&quot;4550160D&quot;/&gt;&lt;wsp:rsid wsp:val=&quot;4550785F&quot;/&gt;&lt;wsp:rsid wsp:val=&quot;45521829&quot;/&gt;&lt;wsp:rsid wsp:val=&quot;455235D7&quot;/&gt;&lt;wsp:rsid wsp:val=&quot;455455A1&quot;/&gt;&lt;wsp:rsid wsp:val=&quot;4557176E&quot;/&gt;&lt;wsp:rsid wsp:val=&quot;45575091&quot;/&gt;&lt;wsp:rsid wsp:val=&quot;455810A1&quot;/&gt;&lt;wsp:rsid wsp:val=&quot;45592BB7&quot;/&gt;&lt;wsp:rsid wsp:val=&quot;45594965&quot;/&gt;&lt;wsp:rsid wsp:val=&quot;455C6204&quot;/&gt;&lt;wsp:rsid wsp:val=&quot;455F7AA2&quot;/&gt;&lt;wsp:rsid wsp:val=&quot;45602E63&quot;/&gt;&lt;wsp:rsid wsp:val=&quot;45605CF4&quot;/&gt;&lt;wsp:rsid wsp:val=&quot;45612018&quot;/&gt;&lt;wsp:rsid wsp:val=&quot;4561381A&quot;/&gt;&lt;wsp:rsid wsp:val=&quot;4565155C&quot;/&gt;&lt;wsp:rsid wsp:val=&quot;4565330A&quot;/&gt;&lt;wsp:rsid wsp:val=&quot;456562D4&quot;/&gt;&lt;wsp:rsid wsp:val=&quot;45660E30&quot;/&gt;&lt;wsp:rsid wsp:val=&quot;45682D36&quot;/&gt;&lt;wsp:rsid wsp:val=&quot;456907D5&quot;/&gt;&lt;wsp:rsid wsp:val=&quot;456A6B72&quot;/&gt;&lt;wsp:rsid wsp:val=&quot;456B4699&quot;/&gt;&lt;wsp:rsid wsp:val=&quot;456B6447&quot;/&gt;&lt;wsp:rsid wsp:val=&quot;456D0411&quot;/&gt;&lt;wsp:rsid wsp:val=&quot;456D3FD7&quot;/&gt;&lt;wsp:rsid wsp:val=&quot;45701CAF&quot;/&gt;&lt;wsp:rsid wsp:val=&quot;45717F01&quot;/&gt;&lt;wsp:rsid wsp:val=&quot;45723C79&quot;/&gt;&lt;wsp:rsid wsp:val=&quot;45725A27&quot;/&gt;&lt;wsp:rsid wsp:val=&quot;45737E49&quot;/&gt;&lt;wsp:rsid wsp:val=&quot;457568B8&quot;/&gt;&lt;wsp:rsid wsp:val=&quot;45763769&quot;/&gt;&lt;wsp:rsid wsp:val=&quot;45774DEB&quot;/&gt;&lt;wsp:rsid wsp:val=&quot;45795008&quot;/&gt;&lt;wsp:rsid wsp:val=&quot;457A48DC&quot;/&gt;&lt;wsp:rsid wsp:val=&quot;457B0D80&quot;/&gt;&lt;wsp:rsid wsp:val=&quot;457C68A6&quot;/&gt;&lt;wsp:rsid wsp:val=&quot;457D65BD&quot;/&gt;&lt;wsp:rsid wsp:val=&quot;45835E86&quot;/&gt;&lt;wsp:rsid wsp:val=&quot;45836958&quot;/&gt;&lt;wsp:rsid wsp:val=&quot;45857508&quot;/&gt;&lt;wsp:rsid wsp:val=&quot;458614D2&quot;/&gt;&lt;wsp:rsid wsp:val=&quot;45877724&quot;/&gt;&lt;wsp:rsid wsp:val=&quot;45886FF9&quot;/&gt;&lt;wsp:rsid wsp:val=&quot;458946E9&quot;/&gt;&lt;wsp:rsid wsp:val=&quot;458A0FC3&quot;/&gt;&lt;wsp:rsid wsp:val=&quot;458A2B92&quot;/&gt;&lt;wsp:rsid wsp:val=&quot;458A60D0&quot;/&gt;&lt;wsp:rsid wsp:val=&quot;458D0AB3&quot;/&gt;&lt;wsp:rsid wsp:val=&quot;458F482B&quot;/&gt;&lt;wsp:rsid wsp:val=&quot;45905EAD&quot;/&gt;&lt;wsp:rsid wsp:val=&quot;459531E3&quot;/&gt;&lt;wsp:rsid wsp:val=&quot;45961716&quot;/&gt;&lt;wsp:rsid wsp:val=&quot;45965BB9&quot;/&gt;&lt;wsp:rsid wsp:val=&quot;459806D4&quot;/&gt;&lt;wsp:rsid wsp:val=&quot;45991206&quot;/&gt;&lt;wsp:rsid wsp:val=&quot;459B7055&quot;/&gt;&lt;wsp:rsid wsp:val=&quot;459C3262&quot;/&gt;&lt;wsp:rsid wsp:val=&quot;459D6114&quot;/&gt;&lt;wsp:rsid wsp:val=&quot;459E681C&quot;/&gt;&lt;wsp:rsid wsp:val=&quot;45A04342&quot;/&gt;&lt;wsp:rsid wsp:val=&quot;45A1630C&quot;/&gt;&lt;wsp:rsid wsp:val=&quot;45A2455E&quot;/&gt;&lt;wsp:rsid wsp:val=&quot;45A32084&quot;/&gt;&lt;wsp:rsid wsp:val=&quot;45A33E32&quot;/&gt;&lt;wsp:rsid wsp:val=&quot;45A47C0E&quot;/&gt;&lt;wsp:rsid wsp:val=&quot;45A51959&quot;/&gt;&lt;wsp:rsid wsp:val=&quot;45A60B18&quot;/&gt;&lt;wsp:rsid wsp:val=&quot;45A656D1&quot;/&gt;&lt;wsp:rsid wsp:val=&quot;45A73923&quot;/&gt;&lt;wsp:rsid wsp:val=&quot;45AA6F6F&quot;/&gt;&lt;wsp:rsid wsp:val=&quot;45AB103C&quot;/&gt;&lt;wsp:rsid wsp:val=&quot;45AC5076&quot;/&gt;&lt;wsp:rsid wsp:val=&quot;45AC7FDA&quot;/&gt;&lt;wsp:rsid wsp:val=&quot;45AD4CB1&quot;/&gt;&lt;wsp:rsid wsp:val=&quot;45B0521A&quot;/&gt;&lt;wsp:rsid wsp:val=&quot;45B20519&quot;/&gt;&lt;wsp:rsid wsp:val=&quot;45B253B8&quot;/&gt;&lt;wsp:rsid wsp:val=&quot;45B33B9B&quot;/&gt;&lt;wsp:rsid wsp:val=&quot;45B61DB8&quot;/&gt;&lt;wsp:rsid wsp:val=&quot;45B63C5D&quot;/&gt;&lt;wsp:rsid wsp:val=&quot;45B7168C&quot;/&gt;&lt;wsp:rsid wsp:val=&quot;45B83527&quot;/&gt;&lt;wsp:rsid wsp:val=&quot;45B93656&quot;/&gt;&lt;wsp:rsid wsp:val=&quot;45BB7506&quot;/&gt;&lt;wsp:rsid wsp:val=&quot;45BC4EF4&quot;/&gt;&lt;wsp:rsid wsp:val=&quot;45BE0C6C&quot;/&gt;&lt;wsp:rsid wsp:val=&quot;45BE1D97&quot;/&gt;&lt;wsp:rsid wsp:val=&quot;45C049E4&quot;/&gt;&lt;wsp:rsid wsp:val=&quot;45C1250B&quot;/&gt;&lt;wsp:rsid wsp:val=&quot;45C27617&quot;/&gt;&lt;wsp:rsid wsp:val=&quot;45C30031&quot;/&gt;&lt;wsp:rsid wsp:val=&quot;45C51FFB&quot;/&gt;&lt;wsp:rsid wsp:val=&quot;45C67B21&quot;/&gt;&lt;wsp:rsid wsp:val=&quot;45C74BE2&quot;/&gt;&lt;wsp:rsid wsp:val=&quot;45C85647&quot;/&gt;&lt;wsp:rsid wsp:val=&quot;45CC2A71&quot;/&gt;&lt;wsp:rsid wsp:val=&quot;45CC5137&quot;/&gt;&lt;wsp:rsid wsp:val=&quot;45CE1EE4&quot;/&gt;&lt;wsp:rsid wsp:val=&quot;45CE65E9&quot;/&gt;&lt;wsp:rsid wsp:val=&quot;45CF4C28&quot;/&gt;&lt;wsp:rsid wsp:val=&quot;45D05C94&quot;/&gt;&lt;wsp:rsid wsp:val=&quot;45D109A0&quot;/&gt;&lt;wsp:rsid wsp:val=&quot;45D11363&quot;/&gt;&lt;wsp:rsid wsp:val=&quot;45D3296A&quot;/&gt;&lt;wsp:rsid wsp:val=&quot;45D36916&quot;/&gt;&lt;wsp:rsid wsp:val=&quot;45D4223E&quot;/&gt;&lt;wsp:rsid wsp:val=&quot;45D50534&quot;/&gt;&lt;wsp:rsid wsp:val=&quot;45DB35CC&quot;/&gt;&lt;wsp:rsid wsp:val=&quot;45DC10F2&quot;/&gt;&lt;wsp:rsid wsp:val=&quot;45E00BE3&quot;/&gt;&lt;wsp:rsid wsp:val=&quot;45E05789&quot;/&gt;&lt;wsp:rsid wsp:val=&quot;45E06E35&quot;/&gt;&lt;wsp:rsid wsp:val=&quot;45E16709&quot;/&gt;&lt;wsp:rsid wsp:val=&quot;45E32481&quot;/&gt;&lt;wsp:rsid wsp:val=&quot;45E36925&quot;/&gt;&lt;wsp:rsid wsp:val=&quot;45E5269D&quot;/&gt;&lt;wsp:rsid wsp:val=&quot;45E54074&quot;/&gt;&lt;wsp:rsid wsp:val=&quot;45E66D43&quot;/&gt;&lt;wsp:rsid wsp:val=&quot;45E701C3&quot;/&gt;&lt;wsp:rsid wsp:val=&quot;45E71F71&quot;/&gt;&lt;wsp:rsid wsp:val=&quot;45E83F3B&quot;/&gt;&lt;wsp:rsid wsp:val=&quot;45E85CE9&quot;/&gt;&lt;wsp:rsid wsp:val=&quot;45EA380F&quot;/&gt;&lt;wsp:rsid wsp:val=&quot;45EC3A2B&quot;/&gt;&lt;wsp:rsid wsp:val=&quot;45EC7588&quot;/&gt;&lt;wsp:rsid wsp:val=&quot;45ED3300&quot;/&gt;&lt;wsp:rsid wsp:val=&quot;45ED50AE&quot;/&gt;&lt;wsp:rsid wsp:val=&quot;45EF6775&quot;/&gt;&lt;wsp:rsid wsp:val=&quot;45F045C8&quot;/&gt;&lt;wsp:rsid wsp:val=&quot;45F14B9E&quot;/&gt;&lt;wsp:rsid wsp:val=&quot;45F34DBA&quot;/&gt;&lt;wsp:rsid wsp:val=&quot;45F5776D&quot;/&gt;&lt;wsp:rsid wsp:val=&quot;45F60406&quot;/&gt;&lt;wsp:rsid wsp:val=&quot;45F6092E&quot;/&gt;&lt;wsp:rsid wsp:val=&quot;45F72FC7&quot;/&gt;&lt;wsp:rsid wsp:val=&quot;45F8347B&quot;/&gt;&lt;wsp:rsid wsp:val=&quot;45F94EA0&quot;/&gt;&lt;wsp:rsid wsp:val=&quot;45F96148&quot;/&gt;&lt;wsp:rsid wsp:val=&quot;45F97EF6&quot;/&gt;&lt;wsp:rsid wsp:val=&quot;45FC3543&quot;/&gt;&lt;wsp:rsid wsp:val=&quot;45FD1795&quot;/&gt;&lt;wsp:rsid wsp:val=&quot;45FD79E7&quot;/&gt;&lt;wsp:rsid wsp:val=&quot;45FE72BB&quot;/&gt;&lt;wsp:rsid wsp:val=&quot;45FF375F&quot;/&gt;&lt;wsp:rsid wsp:val=&quot;46003033&quot;/&gt;&lt;wsp:rsid wsp:val=&quot;46041FB3&quot;/&gt;&lt;wsp:rsid wsp:val=&quot;46043AE9&quot;/&gt;&lt;wsp:rsid wsp:val=&quot;46051A85&quot;/&gt;&lt;wsp:rsid wsp:val=&quot;46054AED&quot;/&gt;&lt;wsp:rsid wsp:val=&quot;46072075&quot;/&gt;&lt;wsp:rsid wsp:val=&quot;46072613&quot;/&gt;&lt;wsp:rsid wsp:val=&quot;4609638B&quot;/&gt;&lt;wsp:rsid wsp:val=&quot;460A2104&quot;/&gt;&lt;wsp:rsid wsp:val=&quot;460A3EB2&quot;/&gt;&lt;wsp:rsid wsp:val=&quot;460D5750&quot;/&gt;&lt;wsp:rsid wsp:val=&quot;460F3276&quot;/&gt;&lt;wsp:rsid wsp:val=&quot;4610515E&quot;/&gt;&lt;wsp:rsid wsp:val=&quot;46113492&quot;/&gt;&lt;wsp:rsid wsp:val=&quot;461355D4&quot;/&gt;&lt;wsp:rsid wsp:val=&quot;461455F8&quot;/&gt;&lt;wsp:rsid wsp:val=&quot;46160AA8&quot;/&gt;&lt;wsp:rsid wsp:val=&quot;46177DFD&quot;/&gt;&lt;wsp:rsid wsp:val=&quot;46182FF9&quot;/&gt;&lt;wsp:rsid wsp:val=&quot;46195EA3&quot;/&gt;&lt;wsp:rsid wsp:val=&quot;461A0599&quot;/&gt;&lt;wsp:rsid wsp:val=&quot;461B1C1B&quot;/&gt;&lt;wsp:rsid wsp:val=&quot;461B34AE&quot;/&gt;&lt;wsp:rsid wsp:val=&quot;461D098F&quot;/&gt;&lt;wsp:rsid wsp:val=&quot;461D3BE5&quot;/&gt;&lt;wsp:rsid wsp:val=&quot;461D4A77&quot;/&gt;&lt;wsp:rsid wsp:val=&quot;461E170B&quot;/&gt;&lt;wsp:rsid wsp:val=&quot;461F4288&quot;/&gt;&lt;wsp:rsid wsp:val=&quot;462036D5&quot;/&gt;&lt;wsp:rsid wsp:val=&quot;46214329&quot;/&gt;&lt;wsp:rsid wsp:val=&quot;46216A5D&quot;/&gt;&lt;wsp:rsid wsp:val=&quot;46236D21&quot;/&gt;&lt;wsp:rsid wsp:val=&quot;46237C42&quot;/&gt;&lt;wsp:rsid wsp:val=&quot;46244B90&quot;/&gt;&lt;wsp:rsid wsp:val=&quot;46244F73&quot;/&gt;&lt;wsp:rsid wsp:val=&quot;46250CEB&quot;/&gt;&lt;wsp:rsid wsp:val=&quot;46252A99&quot;/&gt;&lt;wsp:rsid wsp:val=&quot;46284338&quot;/&gt;&lt;wsp:rsid wsp:val=&quot;4629258A&quot;/&gt;&lt;wsp:rsid wsp:val=&quot;46293F7E&quot;/&gt;&lt;wsp:rsid wsp:val=&quot;462C207A&quot;/&gt;&lt;wsp:rsid wsp:val=&quot;462C3E28&quot;/&gt;&lt;wsp:rsid wsp:val=&quot;462C5651&quot;/&gt;&lt;wsp:rsid wsp:val=&quot;462E5DF2&quot;/&gt;&lt;wsp:rsid wsp:val=&quot;46326F64&quot;/&gt;&lt;wsp:rsid wsp:val=&quot;46330353&quot;/&gt;&lt;wsp:rsid wsp:val=&quot;46340F2E&quot;/&gt;&lt;wsp:rsid wsp:val=&quot;46362EF9&quot;/&gt;&lt;wsp:rsid wsp:val=&quot;463827CD&quot;/&gt;&lt;wsp:rsid wsp:val=&quot;46386C71&quot;/&gt;&lt;wsp:rsid wsp:val=&quot;463902F3&quot;/&gt;&lt;wsp:rsid wsp:val=&quot;463A66B6&quot;/&gt;&lt;wsp:rsid wsp:val=&quot;463B374C&quot;/&gt;&lt;wsp:rsid wsp:val=&quot;463D7DE3&quot;/&gt;&lt;wsp:rsid wsp:val=&quot;463F7FFF&quot;/&gt;&lt;wsp:rsid wsp:val=&quot;46401681&quot;/&gt;&lt;wsp:rsid wsp:val=&quot;464078D3&quot;/&gt;&lt;wsp:rsid wsp:val=&quot;46411F54&quot;/&gt;&lt;wsp:rsid wsp:val=&quot;4641371F&quot;/&gt;&lt;wsp:rsid wsp:val=&quot;464253F9&quot;/&gt;&lt;wsp:rsid wsp:val=&quot;46431172&quot;/&gt;&lt;wsp:rsid wsp:val=&quot;46433032&quot;/&gt;&lt;wsp:rsid wsp:val=&quot;46443C20&quot;/&gt;&lt;wsp:rsid wsp:val=&quot;464529FA&quot;/&gt;&lt;wsp:rsid wsp:val=&quot;46456690&quot;/&gt;&lt;wsp:rsid wsp:val=&quot;46456C98&quot;/&gt;&lt;wsp:rsid wsp:val=&quot;46472A10&quot;/&gt;&lt;wsp:rsid wsp:val=&quot;46491E27&quot;/&gt;&lt;wsp:rsid wsp:val=&quot;464B69A4&quot;/&gt;&lt;wsp:rsid wsp:val=&quot;464C1EC6&quot;/&gt;&lt;wsp:rsid wsp:val=&quot;464C40B9&quot;/&gt;&lt;wsp:rsid wsp:val=&quot;464C6278&quot;/&gt;&lt;wsp:rsid wsp:val=&quot;464F7B16&quot;/&gt;&lt;wsp:rsid wsp:val=&quot;4651388E&quot;/&gt;&lt;wsp:rsid wsp:val=&quot;46522ED9&quot;/&gt;&lt;wsp:rsid wsp:val=&quot;46535859&quot;/&gt;&lt;wsp:rsid wsp:val=&quot;46537607&quot;/&gt;&lt;wsp:rsid wsp:val=&quot;4654337F&quot;/&gt;&lt;wsp:rsid wsp:val=&quot;465515D1&quot;/&gt;&lt;wsp:rsid wsp:val=&quot;46560EA5&quot;/&gt;&lt;wsp:rsid wsp:val=&quot;46577FD6&quot;/&gt;&lt;wsp:rsid wsp:val=&quot;4658048C&quot;/&gt;&lt;wsp:rsid wsp:val=&quot;4658424C&quot;/&gt;&lt;wsp:rsid wsp:val=&quot;465A6BE7&quot;/&gt;&lt;wsp:rsid wsp:val=&quot;465D0485&quot;/&gt;&lt;wsp:rsid wsp:val=&quot;465D66D7&quot;/&gt;&lt;wsp:rsid wsp:val=&quot;465E7D59&quot;/&gt;&lt;wsp:rsid wsp:val=&quot;465F64D2&quot;/&gt;&lt;wsp:rsid wsp:val=&quot;466000AE&quot;/&gt;&lt;wsp:rsid wsp:val=&quot;46603AD2&quot;/&gt;&lt;wsp:rsid wsp:val=&quot;46626FDF&quot;/&gt;&lt;wsp:rsid wsp:val=&quot;4665733A&quot;/&gt;&lt;wsp:rsid wsp:val=&quot;466678B4&quot;/&gt;&lt;wsp:rsid wsp:val=&quot;466753B0&quot;/&gt;&lt;wsp:rsid wsp:val=&quot;46686E80&quot;/&gt;&lt;wsp:rsid wsp:val=&quot;4669507C&quot;/&gt;&lt;wsp:rsid wsp:val=&quot;466E4440&quot;/&gt;&lt;wsp:rsid wsp:val=&quot;466F1F67&quot;/&gt;&lt;wsp:rsid wsp:val=&quot;46713F31&quot;/&gt;&lt;wsp:rsid wsp:val=&quot;46717A8D&quot;/&gt;&lt;wsp:rsid wsp:val=&quot;46736733&quot;/&gt;&lt;wsp:rsid wsp:val=&quot;46737CA9&quot;/&gt;&lt;wsp:rsid wsp:val=&quot;46743F17&quot;/&gt;&lt;wsp:rsid wsp:val=&quot;467746C1&quot;/&gt;&lt;wsp:rsid wsp:val=&quot;4678706D&quot;/&gt;&lt;wsp:rsid wsp:val=&quot;467B090B&quot;/&gt;&lt;wsp:rsid wsp:val=&quot;467B6B5D&quot;/&gt;&lt;wsp:rsid wsp:val=&quot;467D28D5&quot;/&gt;&lt;wsp:rsid wsp:val=&quot;467D4684&quot;/&gt;&lt;wsp:rsid wsp:val=&quot;467F1EF6&quot;/&gt;&lt;wsp:rsid wsp:val=&quot;467F3895&quot;/&gt;&lt;wsp:rsid wsp:val=&quot;46821FB8&quot;/&gt;&lt;wsp:rsid wsp:val=&quot;46826B34&quot;/&gt;&lt;wsp:rsid wsp:val=&quot;46845A12&quot;/&gt;&lt;wsp:rsid wsp:val=&quot;4685178A&quot;/&gt;&lt;wsp:rsid wsp:val=&quot;46873259&quot;/&gt;&lt;wsp:rsid wsp:val=&quot;46875502&quot;/&gt;&lt;wsp:rsid wsp:val=&quot;468A0B4E&quot;/&gt;&lt;wsp:rsid wsp:val=&quot;468A6DA0&quot;/&gt;&lt;wsp:rsid wsp:val=&quot;468B4FF2&quot;/&gt;&lt;wsp:rsid wsp:val=&quot;468C0D6B&quot;/&gt;&lt;wsp:rsid wsp:val=&quot;468E26B7&quot;/&gt;&lt;wsp:rsid wsp:val=&quot;468F3F4B&quot;/&gt;&lt;wsp:rsid wsp:val=&quot;4690193B&quot;/&gt;&lt;wsp:rsid wsp:val=&quot;46911EDD&quot;/&gt;&lt;wsp:rsid wsp:val=&quot;46916381&quot;/&gt;&lt;wsp:rsid wsp:val=&quot;46924BB5&quot;/&gt;&lt;wsp:rsid wsp:val=&quot;469320F9&quot;/&gt;&lt;wsp:rsid wsp:val=&quot;46955E71&quot;/&gt;&lt;wsp:rsid wsp:val=&quot;46957C1F&quot;/&gt;&lt;wsp:rsid wsp:val=&quot;46965745&quot;/&gt;&lt;wsp:rsid wsp:val=&quot;46976FD7&quot;/&gt;&lt;wsp:rsid wsp:val=&quot;469814BD&quot;/&gt;&lt;wsp:rsid wsp:val=&quot;469A3487&quot;/&gt;&lt;wsp:rsid wsp:val=&quot;469A6FE4&quot;/&gt;&lt;wsp:rsid wsp:val=&quot;469B2D5C&quot;/&gt;&lt;wsp:rsid wsp:val=&quot;469C7200&quot;/&gt;&lt;wsp:rsid wsp:val=&quot;469D547F&quot;/&gt;&lt;wsp:rsid wsp:val=&quot;469F0A9E&quot;/&gt;&lt;wsp:rsid wsp:val=&quot;469F284C&quot;/&gt;&lt;wsp:rsid wsp:val=&quot;46A165C4&quot;/&gt;&lt;wsp:rsid wsp:val=&quot;46A2058E&quot;/&gt;&lt;wsp:rsid wsp:val=&quot;46A42781&quot;/&gt;&lt;wsp:rsid wsp:val=&quot;46A43A10&quot;/&gt;&lt;wsp:rsid wsp:val=&quot;46A460B4&quot;/&gt;&lt;wsp:rsid wsp:val=&quot;46A667E2&quot;/&gt;&lt;wsp:rsid wsp:val=&quot;46A870E2&quot;/&gt;&lt;wsp:rsid wsp:val=&quot;46AA2F9F&quot;/&gt;&lt;wsp:rsid wsp:val=&quot;46AB11F1&quot;/&gt;&lt;wsp:rsid wsp:val=&quot;46AC09B4&quot;/&gt;&lt;wsp:rsid wsp:val=&quot;46AC31BB&quot;/&gt;&lt;wsp:rsid wsp:val=&quot;46AD4F74&quot;/&gt;&lt;wsp:rsid wsp:val=&quot;46AE0CE1&quot;/&gt;&lt;wsp:rsid wsp:val=&quot;46AE6F33&quot;/&gt;&lt;wsp:rsid wsp:val=&quot;46B1432D&quot;/&gt;&lt;wsp:rsid wsp:val=&quot;46B207D1&quot;/&gt;&lt;wsp:rsid wsp:val=&quot;46B300A5&quot;/&gt;&lt;wsp:rsid wsp:val=&quot;46B30DE6&quot;/&gt;&lt;wsp:rsid wsp:val=&quot;46B502C1&quot;/&gt;&lt;wsp:rsid wsp:val=&quot;46B662D7&quot;/&gt;&lt;wsp:rsid wsp:val=&quot;46B837C8&quot;/&gt;&lt;wsp:rsid wsp:val=&quot;46B856BC&quot;/&gt;&lt;wsp:rsid wsp:val=&quot;46B97E5C&quot;/&gt;&lt;wsp:rsid wsp:val=&quot;46BA1434&quot;/&gt;&lt;wsp:rsid wsp:val=&quot;46BA7686&quot;/&gt;&lt;wsp:rsid wsp:val=&quot;46BB2149&quot;/&gt;&lt;wsp:rsid wsp:val=&quot;46BB51AC&quot;/&gt;&lt;wsp:rsid wsp:val=&quot;46BD2CD2&quot;/&gt;&lt;wsp:rsid wsp:val=&quot;46C1798A&quot;/&gt;&lt;wsp:rsid wsp:val=&quot;46C329DE&quot;/&gt;&lt;wsp:rsid wsp:val=&quot;46C44060&quot;/&gt;&lt;wsp:rsid wsp:val=&quot;46C73B51&quot;/&gt;&lt;wsp:rsid wsp:val=&quot;46C95B1B&quot;/&gt;&lt;wsp:rsid wsp:val=&quot;46CA3DCA&quot;/&gt;&lt;wsp:rsid wsp:val=&quot;46CB1C3E&quot;/&gt;&lt;wsp:rsid wsp:val=&quot;46CC73B9&quot;/&gt;&lt;wsp:rsid wsp:val=&quot;46CE59EE&quot;/&gt;&lt;wsp:rsid wsp:val=&quot;46CF7A29&quot;/&gt;&lt;wsp:rsid wsp:val=&quot;46D024D7&quot;/&gt;&lt;wsp:rsid wsp:val=&quot;46D06EA9&quot;/&gt;&lt;wsp:rsid wsp:val=&quot;46D22C21&quot;/&gt;&lt;wsp:rsid wsp:val=&quot;46D30747&quot;/&gt;&lt;wsp:rsid wsp:val=&quot;46D324F5&quot;/&gt;&lt;wsp:rsid wsp:val=&quot;46D5626E&quot;/&gt;&lt;wsp:rsid wsp:val=&quot;46D85D5E&quot;/&gt;&lt;wsp:rsid wsp:val=&quot;46D869EF&quot;/&gt;&lt;wsp:rsid wsp:val=&quot;46D955A7&quot;/&gt;&lt;wsp:rsid wsp:val=&quot;46DA56D2&quot;/&gt;&lt;wsp:rsid wsp:val=&quot;46DA7D28&quot;/&gt;&lt;wsp:rsid wsp:val=&quot;46DC75FC&quot;/&gt;&lt;wsp:rsid wsp:val=&quot;46DD15C6&quot;/&gt;&lt;wsp:rsid wsp:val=&quot;46DD3374&quot;/&gt;&lt;wsp:rsid wsp:val=&quot;46DF533E&quot;/&gt;&lt;wsp:rsid wsp:val=&quot;46E26BDC&quot;/&gt;&lt;wsp:rsid wsp:val=&quot;46E42955&quot;/&gt;&lt;wsp:rsid wsp:val=&quot;46E44703&quot;/&gt;&lt;wsp:rsid wsp:val=&quot;46E62229&quot;/&gt;&lt;wsp:rsid wsp:val=&quot;46E82445&quot;/&gt;&lt;wsp:rsid wsp:val=&quot;46E91D19&quot;/&gt;&lt;wsp:rsid wsp:val=&quot;46E97F6B&quot;/&gt;&lt;wsp:rsid wsp:val=&quot;46ED1809&quot;/&gt;&lt;wsp:rsid wsp:val=&quot;46EE37D3&quot;/&gt;&lt;wsp:rsid wsp:val=&quot;46EF3AAF&quot;/&gt;&lt;wsp:rsid wsp:val=&quot;46EF465A&quot;/&gt;&lt;wsp:rsid wsp:val=&quot;46F012F9&quot;/&gt;&lt;wsp:rsid wsp:val=&quot;46F04E55&quot;/&gt;&lt;wsp:rsid wsp:val=&quot;46F10BCE&quot;/&gt;&lt;wsp:rsid wsp:val=&quot;46F226BA&quot;/&gt;&lt;wsp:rsid wsp:val=&quot;46F25071&quot;/&gt;&lt;wsp:rsid wsp:val=&quot;46F34946&quot;/&gt;&lt;wsp:rsid wsp:val=&quot;46F414DE&quot;/&gt;&lt;wsp:rsid wsp:val=&quot;46F506BE&quot;/&gt;&lt;wsp:rsid wsp:val=&quot;46F5246C&quot;/&gt;&lt;wsp:rsid wsp:val=&quot;46F6376A&quot;/&gt;&lt;wsp:rsid wsp:val=&quot;46F929EF&quot;/&gt;&lt;wsp:rsid wsp:val=&quot;46F96531&quot;/&gt;&lt;wsp:rsid wsp:val=&quot;46FA3F26&quot;/&gt;&lt;wsp:rsid wsp:val=&quot;46FE1134&quot;/&gt;&lt;wsp:rsid wsp:val=&quot;46FF32EA&quot;/&gt;&lt;wsp:rsid wsp:val=&quot;47017063&quot;/&gt;&lt;wsp:rsid wsp:val=&quot;4702423B&quot;/&gt;&lt;wsp:rsid wsp:val=&quot;4703462D&quot;/&gt;&lt;wsp:rsid wsp:val=&quot;4708700F&quot;/&gt;&lt;wsp:rsid wsp:val=&quot;47095F17&quot;/&gt;&lt;wsp:rsid wsp:val=&quot;470C5990&quot;/&gt;&lt;wsp:rsid wsp:val=&quot;470D6698&quot;/&gt;&lt;wsp:rsid wsp:val=&quot;471072A6&quot;/&gt;&lt;wsp:rsid wsp:val=&quot;47121270&quot;/&gt;&lt;wsp:rsid wsp:val=&quot;47133957&quot;/&gt;&lt;wsp:rsid wsp:val=&quot;47152B0E&quot;/&gt;&lt;wsp:rsid wsp:val=&quot;471548BC&quot;/&gt;&lt;wsp:rsid wsp:val=&quot;471A1424&quot;/&gt;&lt;wsp:rsid wsp:val=&quot;471A6376&quot;/&gt;&lt;wsp:rsid wsp:val=&quot;471D4641&quot;/&gt;&lt;wsp:rsid wsp:val=&quot;471F573B&quot;/&gt;&lt;wsp:rsid wsp:val=&quot;47206C0E&quot;/&gt;&lt;wsp:rsid wsp:val=&quot;47215957&quot;/&gt;&lt;wsp:rsid wsp:val=&quot;47217705&quot;/&gt;&lt;wsp:rsid wsp:val=&quot;4723347D&quot;/&gt;&lt;wsp:rsid wsp:val=&quot;47264693&quot;/&gt;&lt;wsp:rsid wsp:val=&quot;47280A93&quot;/&gt;&lt;wsp:rsid wsp:val=&quot;4729480B&quot;/&gt;&lt;wsp:rsid wsp:val=&quot;472965B9&quot;/&gt;&lt;wsp:rsid wsp:val=&quot;472B2331&quot;/&gt;&lt;wsp:rsid wsp:val=&quot;472D789A&quot;/&gt;&lt;wsp:rsid wsp:val=&quot;472E1FF1&quot;/&gt;&lt;wsp:rsid wsp:val=&quot;472E3BD0&quot;/&gt;&lt;wsp:rsid wsp:val=&quot;472E597E&quot;/&gt;&lt;wsp:rsid wsp:val=&quot;472F1E22&quot;/&gt;&lt;wsp:rsid wsp:val=&quot;47322C84&quot;/&gt;&lt;wsp:rsid wsp:val=&quot;473311E6&quot;/&gt;&lt;wsp:rsid wsp:val=&quot;473342A0&quot;/&gt;&lt;wsp:rsid wsp:val=&quot;473347E2&quot;/&gt;&lt;wsp:rsid wsp:val=&quot;47370CD6&quot;/&gt;&lt;wsp:rsid wsp:val=&quot;47392CA0&quot;/&gt;&lt;wsp:rsid wsp:val=&quot;47394A4E&quot;/&gt;&lt;wsp:rsid wsp:val=&quot;473C60FA&quot;/&gt;&lt;wsp:rsid wsp:val=&quot;473C62ED&quot;/&gt;&lt;wsp:rsid wsp:val=&quot;473D3E13&quot;/&gt;&lt;wsp:rsid wsp:val=&quot;473E02B7&quot;/&gt;&lt;wsp:rsid wsp:val=&quot;473F7B8B&quot;/&gt;&lt;wsp:rsid wsp:val=&quot;47411B55&quot;/&gt;&lt;wsp:rsid wsp:val=&quot;47413903&quot;/&gt;&lt;wsp:rsid wsp:val=&quot;474170A0&quot;/&gt;&lt;wsp:rsid wsp:val=&quot;47421D71&quot;/&gt;&lt;wsp:rsid wsp:val=&quot;47431AC0&quot;/&gt;&lt;wsp:rsid wsp:val=&quot;474433F3&quot;/&gt;&lt;wsp:rsid wsp:val=&quot;47455B21&quot;/&gt;&lt;wsp:rsid wsp:val=&quot;47462CC7&quot;/&gt;&lt;wsp:rsid wsp:val=&quot;4746504B&quot;/&gt;&lt;wsp:rsid wsp:val=&quot;47484C91&quot;/&gt;&lt;wsp:rsid wsp:val=&quot;47486A40&quot;/&gt;&lt;wsp:rsid wsp:val=&quot;47493412&quot;/&gt;&lt;wsp:rsid wsp:val=&quot;474A0C9A&quot;/&gt;&lt;wsp:rsid wsp:val=&quot;474B4782&quot;/&gt;&lt;wsp:rsid wsp:val=&quot;474D04FA&quot;/&gt;&lt;wsp:rsid wsp:val=&quot;474D4056&quot;/&gt;&lt;wsp:rsid wsp:val=&quot;474D674C&quot;/&gt;&lt;wsp:rsid wsp:val=&quot;474E6020&quot;/&gt;&lt;wsp:rsid wsp:val=&quot;474E7DCE&quot;/&gt;&lt;wsp:rsid wsp:val=&quot;474F17A4&quot;/&gt;&lt;wsp:rsid wsp:val=&quot;47501D98&quot;/&gt;&lt;wsp:rsid wsp:val=&quot;475028AA&quot;/&gt;&lt;wsp:rsid wsp:val=&quot;47507FEA&quot;/&gt;&lt;wsp:rsid wsp:val=&quot;47520BF7&quot;/&gt;&lt;wsp:rsid wsp:val=&quot;47525B10&quot;/&gt;&lt;wsp:rsid wsp:val=&quot;475353E4&quot;/&gt;&lt;wsp:rsid wsp:val=&quot;47541888&quot;/&gt;&lt;wsp:rsid wsp:val=&quot;4755115C&quot;/&gt;&lt;wsp:rsid wsp:val=&quot;475573AE&quot;/&gt;&lt;wsp:rsid wsp:val=&quot;47573126&quot;/&gt;&lt;wsp:rsid wsp:val=&quot;475950F1&quot;/&gt;&lt;wsp:rsid wsp:val=&quot;475A2C17&quot;/&gt;&lt;wsp:rsid wsp:val=&quot;475A49C5&quot;/&gt;&lt;wsp:rsid wsp:val=&quot;475B3B2E&quot;/&gt;&lt;wsp:rsid wsp:val=&quot;475B4A3F&quot;/&gt;&lt;wsp:rsid wsp:val=&quot;475C073D&quot;/&gt;&lt;wsp:rsid wsp:val=&quot;475F022D&quot;/&gt;&lt;wsp:rsid wsp:val=&quot;476051A1&quot;/&gt;&lt;wsp:rsid wsp:val=&quot;47625049&quot;/&gt;&lt;wsp:rsid wsp:val=&quot;47653A95&quot;/&gt;&lt;wsp:rsid wsp:val=&quot;47655843&quot;/&gt;&lt;wsp:rsid wsp:val=&quot;47657987&quot;/&gt;&lt;wsp:rsid wsp:val=&quot;476725FC&quot;/&gt;&lt;wsp:rsid wsp:val=&quot;47677A2B&quot;/&gt;&lt;wsp:rsid wsp:val=&quot;47680E90&quot;/&gt;&lt;wsp:rsid wsp:val=&quot;476B0980&quot;/&gt;&lt;wsp:rsid wsp:val=&quot;476B6BD2&quot;/&gt;&lt;wsp:rsid wsp:val=&quot;476D64A6&quot;/&gt;&lt;wsp:rsid wsp:val=&quot;476E221E&quot;/&gt;&lt;wsp:rsid wsp:val=&quot;476F33F5&quot;/&gt;&lt;wsp:rsid wsp:val=&quot;477041E8&quot;/&gt;&lt;wsp:rsid wsp:val=&quot;47705F96&quot;/&gt;&lt;wsp:rsid wsp:val=&quot;47724B3E&quot;/&gt;&lt;wsp:rsid wsp:val=&quot;47727F60&quot;/&gt;&lt;wsp:rsid wsp:val=&quot;477305A8&quot;/&gt;&lt;wsp:rsid wsp:val=&quot;47733EF6&quot;/&gt;&lt;wsp:rsid wsp:val=&quot;47737835&quot;/&gt;&lt;wsp:rsid wsp:val=&quot;4774202F&quot;/&gt;&lt;wsp:rsid wsp:val=&quot;47745A86&quot;/&gt;&lt;wsp:rsid wsp:val=&quot;477517FF&quot;/&gt;&lt;wsp:rsid wsp:val=&quot;477737C9&quot;/&gt;&lt;wsp:rsid wsp:val=&quot;47777325&quot;/&gt;&lt;wsp:rsid wsp:val=&quot;477809B0&quot;/&gt;&lt;wsp:rsid wsp:val=&quot;477912EF&quot;/&gt;&lt;wsp:rsid wsp:val=&quot;477C0DDF&quot;/&gt;&lt;wsp:rsid wsp:val=&quot;477C4A30&quot;/&gt;&lt;wsp:rsid wsp:val=&quot;477E06B3&quot;/&gt;&lt;wsp:rsid wsp:val=&quot;477E4B57&quot;/&gt;&lt;wsp:rsid wsp:val=&quot;477E6905&quot;/&gt;&lt;wsp:rsid wsp:val=&quot;4780267D&quot;/&gt;&lt;wsp:rsid wsp:val=&quot;478101A3&quot;/&gt;&lt;wsp:rsid wsp:val=&quot;47863A0C&quot;/&gt;&lt;wsp:rsid wsp:val=&quot;47880006&quot;/&gt;&lt;wsp:rsid wsp:val=&quot;47881532&quot;/&gt;&lt;wsp:rsid wsp:val=&quot;478832E0&quot;/&gt;&lt;wsp:rsid wsp:val=&quot;47886D63&quot;/&gt;&lt;wsp:rsid wsp:val=&quot;478A7058&quot;/&gt;&lt;wsp:rsid wsp:val=&quot;478C6B89&quot;/&gt;&lt;wsp:rsid wsp:val=&quot;478C7274&quot;/&gt;&lt;wsp:rsid wsp:val=&quot;478D08F6&quot;/&gt;&lt;wsp:rsid wsp:val=&quot;478D4D9A&quot;/&gt;&lt;wsp:rsid wsp:val=&quot;478E083F&quot;/&gt;&lt;wsp:rsid wsp:val=&quot;4791016B&quot;/&gt;&lt;wsp:rsid wsp:val=&quot;4791488A&quot;/&gt;&lt;wsp:rsid wsp:val=&quot;479229E6&quot;/&gt;&lt;wsp:rsid wsp:val=&quot;47936A47&quot;/&gt;&lt;wsp:rsid wsp:val=&quot;47947ED7&quot;/&gt;&lt;wsp:rsid wsp:val=&quot;47960B0B&quot;/&gt;&lt;wsp:rsid wsp:val=&quot;479954ED&quot;/&gt;&lt;wsp:rsid wsp:val=&quot;479C4FDD&quot;/&gt;&lt;wsp:rsid wsp:val=&quot;479E6FA7&quot;/&gt;&lt;wsp:rsid wsp:val=&quot;479F21BB&quot;/&gt;&lt;wsp:rsid wsp:val=&quot;47A04ACD&quot;/&gt;&lt;wsp:rsid wsp:val=&quot;47A07767&quot;/&gt;&lt;wsp:rsid wsp:val=&quot;47A07E0C&quot;/&gt;&lt;wsp:rsid wsp:val=&quot;47A50787&quot;/&gt;&lt;wsp:rsid wsp:val=&quot;47A520E4&quot;/&gt;&lt;wsp:rsid wsp:val=&quot;47A53E92&quot;/&gt;&lt;wsp:rsid wsp:val=&quot;47A57DF6&quot;/&gt;&lt;wsp:rsid wsp:val=&quot;47A619B8&quot;/&gt;&lt;wsp:rsid wsp:val=&quot;47A67C0A&quot;/&gt;&lt;wsp:rsid wsp:val=&quot;47AC1C93&quot;/&gt;&lt;wsp:rsid wsp:val=&quot;47AD2D46&quot;/&gt;&lt;wsp:rsid wsp:val=&quot;47B10B40&quot;/&gt;&lt;wsp:rsid wsp:val=&quot;47B142B4&quot;/&gt;&lt;wsp:rsid wsp:val=&quot;47B57E4D&quot;/&gt;&lt;wsp:rsid wsp:val=&quot;47B61DE1&quot;/&gt;&lt;wsp:rsid wsp:val=&quot;47B71E17&quot;/&gt;&lt;wsp:rsid wsp:val=&quot;47B73271&quot;/&gt;&lt;wsp:rsid wsp:val=&quot;47B75973&quot;/&gt;&lt;wsp:rsid wsp:val=&quot;47B916EB&quot;/&gt;&lt;wsp:rsid wsp:val=&quot;47B91EA3&quot;/&gt;&lt;wsp:rsid wsp:val=&quot;47B95B8F&quot;/&gt;&lt;wsp:rsid wsp:val=&quot;47BA1BF2&quot;/&gt;&lt;wsp:rsid wsp:val=&quot;47BA5463&quot;/&gt;&lt;wsp:rsid wsp:val=&quot;47BB36B5&quot;/&gt;&lt;wsp:rsid wsp:val=&quot;47BE0573&quot;/&gt;&lt;wsp:rsid wsp:val=&quot;47BE31A6&quot;/&gt;&lt;wsp:rsid wsp:val=&quot;47BE4F54&quot;/&gt;&lt;wsp:rsid wsp:val=&quot;47BE6D02&quot;/&gt;&lt;wsp:rsid wsp:val=&quot;47C02A7A&quot;/&gt;&lt;wsp:rsid wsp:val=&quot;47C05087&quot;/&gt;&lt;wsp:rsid wsp:val=&quot;47C167F2&quot;/&gt;&lt;wsp:rsid wsp:val=&quot;47C22C96&quot;/&gt;&lt;wsp:rsid wsp:val=&quot;47C307BC&quot;/&gt;&lt;wsp:rsid wsp:val=&quot;47C562E2&quot;/&gt;&lt;wsp:rsid wsp:val=&quot;47C642A9&quot;/&gt;&lt;wsp:rsid wsp:val=&quot;47C85DD2&quot;/&gt;&lt;wsp:rsid wsp:val=&quot;47CA1B4A&quot;/&gt;&lt;wsp:rsid wsp:val=&quot;47CA38F8&quot;/&gt;&lt;wsp:rsid wsp:val=&quot;47CA56A6&quot;/&gt;&lt;wsp:rsid wsp:val=&quot;47CB7671&quot;/&gt;&lt;wsp:rsid wsp:val=&quot;47CD2888&quot;/&gt;&lt;wsp:rsid wsp:val=&quot;47CF7161&quot;/&gt;&lt;wsp:rsid wsp:val=&quot;47D06A35&quot;/&gt;&lt;wsp:rsid wsp:val=&quot;47D12ED9&quot;/&gt;&lt;wsp:rsid wsp:val=&quot;47D2404C&quot;/&gt;&lt;wsp:rsid wsp:val=&quot;47D260BE&quot;/&gt;&lt;wsp:rsid wsp:val=&quot;47D429C9&quot;/&gt;&lt;wsp:rsid wsp:val=&quot;47D72EE0&quot;/&gt;&lt;wsp:rsid wsp:val=&quot;47D74267&quot;/&gt;&lt;wsp:rsid wsp:val=&quot;47DA1733&quot;/&gt;&lt;wsp:rsid wsp:val=&quot;47DB78B4&quot;/&gt;&lt;wsp:rsid wsp:val=&quot;47DC187E&quot;/&gt;&lt;wsp:rsid wsp:val=&quot;47DC1884&quot;/&gt;&lt;wsp:rsid wsp:val=&quot;47DE73A4&quot;/&gt;&lt;wsp:rsid wsp:val=&quot;47E0136E&quot;/&gt;&lt;wsp:rsid wsp:val=&quot;47E515E0&quot;/&gt;&lt;wsp:rsid wsp:val=&quot;47E524E0&quot;/&gt;&lt;wsp:rsid wsp:val=&quot;47E56984&quot;/&gt;&lt;wsp:rsid wsp:val=&quot;47E66258&quot;/&gt;&lt;wsp:rsid wsp:val=&quot;47E744AA&quot;/&gt;&lt;wsp:rsid wsp:val=&quot;47E80223&quot;/&gt;&lt;wsp:rsid wsp:val=&quot;47E8349F&quot;/&gt;&lt;wsp:rsid wsp:val=&quot;47E86474&quot;/&gt;&lt;wsp:rsid wsp:val=&quot;47EA7AF7&quot;/&gt;&lt;wsp:rsid wsp:val=&quot;47EC7D13&quot;/&gt;&lt;wsp:rsid wsp:val=&quot;47ED3A8B&quot;/&gt;&lt;wsp:rsid wsp:val=&quot;47F170D7&quot;/&gt;&lt;wsp:rsid wsp:val=&quot;47F46BC7&quot;/&gt;&lt;wsp:rsid wsp:val=&quot;47F675FF&quot;/&gt;&lt;wsp:rsid wsp:val=&quot;47F866B8&quot;/&gt;&lt;wsp:rsid wsp:val=&quot;47F97B63&quot;/&gt;&lt;wsp:rsid wsp:val=&quot;47FC5A7C&quot;/&gt;&lt;wsp:rsid wsp:val=&quot;47FD1854&quot;/&gt;&lt;wsp:rsid wsp:val=&quot;47FE17F4&quot;/&gt;&lt;wsp:rsid wsp:val=&quot;47FE7A46&quot;/&gt;&lt;wsp:rsid wsp:val=&quot;47FF0411&quot;/&gt;&lt;wsp:rsid wsp:val=&quot;47FF10B4&quot;/&gt;&lt;wsp:rsid wsp:val=&quot;4800556C&quot;/&gt;&lt;wsp:rsid wsp:val=&quot;480212E4&quot;/&gt;&lt;wsp:rsid wsp:val=&quot;480300DD&quot;/&gt;&lt;wsp:rsid wsp:val=&quot;48030BB8&quot;/&gt;&lt;wsp:rsid wsp:val=&quot;48052B82&quot;/&gt;&lt;wsp:rsid wsp:val=&quot;48054198&quot;/&gt;&lt;wsp:rsid wsp:val=&quot;48054931&quot;/&gt;&lt;wsp:rsid wsp:val=&quot;480706A9&quot;/&gt;&lt;wsp:rsid wsp:val=&quot;48082673&quot;/&gt;&lt;wsp:rsid wsp:val=&quot;480A1F47&quot;/&gt;&lt;wsp:rsid wsp:val=&quot;480D0887&quot;/&gt;&lt;wsp:rsid wsp:val=&quot;480D406B&quot;/&gt;&lt;wsp:rsid wsp:val=&quot;480F3A01&quot;/&gt;&lt;wsp:rsid wsp:val=&quot;480F57AF&quot;/&gt;&lt;wsp:rsid wsp:val=&quot;48107E1B&quot;/&gt;&lt;wsp:rsid wsp:val=&quot;481132D5&quot;/&gt;&lt;wsp:rsid wsp:val=&quot;4812530C&quot;/&gt;&lt;wsp:rsid wsp:val=&quot;4812704D&quot;/&gt;&lt;wsp:rsid wsp:val=&quot;481334F1&quot;/&gt;&lt;wsp:rsid wsp:val=&quot;4813679C&quot;/&gt;&lt;wsp:rsid wsp:val=&quot;4814136D&quot;/&gt;&lt;wsp:rsid wsp:val=&quot;481427FD&quot;/&gt;&lt;wsp:rsid wsp:val=&quot;481452DA&quot;/&gt;&lt;wsp:rsid wsp:val=&quot;48147269&quot;/&gt;&lt;wsp:rsid wsp:val=&quot;4816685E&quot;/&gt;&lt;wsp:rsid wsp:val=&quot;4819260E&quot;/&gt;&lt;wsp:rsid wsp:val=&quot;4819662E&quot;/&gt;&lt;wsp:rsid wsp:val=&quot;481A3897&quot;/&gt;&lt;wsp:rsid wsp:val=&quot;481B05F8&quot;/&gt;&lt;wsp:rsid wsp:val=&quot;481B23A6&quot;/&gt;&lt;wsp:rsid wsp:val=&quot;481D7ECC&quot;/&gt;&lt;wsp:rsid wsp:val=&quot;481E3C44&quot;/&gt;&lt;wsp:rsid wsp:val=&quot;481E74AD&quot;/&gt;&lt;wsp:rsid wsp:val=&quot;48217291&quot;/&gt;&lt;wsp:rsid wsp:val=&quot;48254FD3&quot;/&gt;&lt;wsp:rsid wsp:val=&quot;48276410&quot;/&gt;&lt;wsp:rsid wsp:val=&quot;4828458E&quot;/&gt;&lt;wsp:rsid wsp:val=&quot;48286871&quot;/&gt;&lt;wsp:rsid wsp:val=&quot;482B01E3&quot;/&gt;&lt;wsp:rsid wsp:val=&quot;482B4A23&quot;/&gt;&lt;wsp:rsid wsp:val=&quot;482C010F&quot;/&gt;&lt;wsp:rsid wsp:val=&quot;482C0A84&quot;/&gt;&lt;wsp:rsid wsp:val=&quot;48300895&quot;/&gt;&lt;wsp:rsid wsp:val=&quot;48313181&quot;/&gt;&lt;wsp:rsid wsp:val=&quot;48313978&quot;/&gt;&lt;wsp:rsid wsp:val=&quot;48335942&quot;/&gt;&lt;wsp:rsid wsp:val=&quot;48345216&quot;/&gt;&lt;wsp:rsid wsp:val=&quot;483549A9&quot;/&gt;&lt;wsp:rsid wsp:val=&quot;48362D3C&quot;/&gt;&lt;wsp:rsid wsp:val=&quot;483671E0&quot;/&gt;&lt;wsp:rsid wsp:val=&quot;48370D71&quot;/&gt;&lt;wsp:rsid wsp:val=&quot;4838292E&quot;/&gt;&lt;wsp:rsid wsp:val=&quot;48384D06&quot;/&gt;&lt;wsp:rsid wsp:val=&quot;48390A7E&quot;/&gt;&lt;wsp:rsid wsp:val=&quot;483925C3&quot;/&gt;&lt;wsp:rsid wsp:val=&quot;48396CD0&quot;/&gt;&lt;wsp:rsid wsp:val=&quot;483D056E&quot;/&gt;&lt;wsp:rsid wsp:val=&quot;483D231C&quot;/&gt;&lt;wsp:rsid wsp:val=&quot;483D40CA&quot;/&gt;&lt;wsp:rsid wsp:val=&quot;483E6094&quot;/&gt;&lt;wsp:rsid wsp:val=&quot;48401E0D&quot;/&gt;&lt;wsp:rsid wsp:val=&quot;484216E1&quot;/&gt;&lt;wsp:rsid wsp:val=&quot;484336AB&quot;/&gt;&lt;wsp:rsid wsp:val=&quot;4846162B&quot;/&gt;&lt;wsp:rsid wsp:val=&quot;4846562C&quot;/&gt;&lt;wsp:rsid wsp:val=&quot;4847319B&quot;/&gt;&lt;wsp:rsid wsp:val=&quot;48474F49&quot;/&gt;&lt;wsp:rsid wsp:val=&quot;48480CC1&quot;/&gt;&lt;wsp:rsid wsp:val=&quot;484A2C8B&quot;/&gt;&lt;wsp:rsid wsp:val=&quot;484A400D&quot;/&gt;&lt;wsp:rsid wsp:val=&quot;484A5417&quot;/&gt;&lt;wsp:rsid wsp:val=&quot;484A6E97&quot;/&gt;&lt;wsp:rsid wsp:val=&quot;484C30C0&quot;/&gt;&lt;wsp:rsid wsp:val=&quot;484C6A03&quot;/&gt;&lt;wsp:rsid wsp:val=&quot;484D0086&quot;/&gt;&lt;wsp:rsid wsp:val=&quot;484E277B&quot;/&gt;&lt;wsp:rsid wsp:val=&quot;484E5CBE&quot;/&gt;&lt;wsp:rsid wsp:val=&quot;484E6913&quot;/&gt;&lt;wsp:rsid wsp:val=&quot;484F02A2&quot;/&gt;&lt;wsp:rsid wsp:val=&quot;48515DC8&quot;/&gt;&lt;wsp:rsid wsp:val=&quot;485219B1&quot;/&gt;&lt;wsp:rsid wsp:val=&quot;48537D92&quot;/&gt;&lt;wsp:rsid wsp:val=&quot;48561630&quot;/&gt;&lt;wsp:rsid wsp:val=&quot;485633DE&quot;/&gt;&lt;wsp:rsid wsp:val=&quot;48587156&quot;/&gt;&lt;wsp:rsid wsp:val=&quot;48594C7C&quot;/&gt;&lt;wsp:rsid wsp:val=&quot;485A645C&quot;/&gt;&lt;wsp:rsid wsp:val=&quot;485B27A2&quot;/&gt;&lt;wsp:rsid wsp:val=&quot;485B6C46&quot;/&gt;&lt;wsp:rsid wsp:val=&quot;485C2602&quot;/&gt;&lt;wsp:rsid wsp:val=&quot;485D29BF&quot;/&gt;&lt;wsp:rsid wsp:val=&quot;485D476D&quot;/&gt;&lt;wsp:rsid wsp:val=&quot;485F6737&quot;/&gt;&lt;wsp:rsid wsp:val=&quot;486024AF&quot;/&gt;&lt;wsp:rsid wsp:val=&quot;4860600B&quot;/&gt;&lt;wsp:rsid wsp:val=&quot;48621D83&quot;/&gt;&lt;wsp:rsid wsp:val=&quot;48623B31&quot;/&gt;&lt;wsp:rsid wsp:val=&quot;48631C4F&quot;/&gt;&lt;wsp:rsid wsp:val=&quot;486620A5&quot;/&gt;&lt;wsp:rsid wsp:val=&quot;48671147&quot;/&gt;&lt;wsp:rsid wsp:val=&quot;48677399&quot;/&gt;&lt;wsp:rsid wsp:val=&quot;48684EBF&quot;/&gt;&lt;wsp:rsid wsp:val=&quot;486A0C38&quot;/&gt;&lt;wsp:rsid wsp:val=&quot;486A50DB&quot;/&gt;&lt;wsp:rsid wsp:val=&quot;486A6E89&quot;/&gt;&lt;wsp:rsid wsp:val=&quot;486D2078&quot;/&gt;&lt;wsp:rsid wsp:val=&quot;486D6D36&quot;/&gt;&lt;wsp:rsid wsp:val=&quot;486F26F2&quot;/&gt;&lt;wsp:rsid wsp:val=&quot;4870272E&quot;/&gt;&lt;wsp:rsid wsp:val=&quot;4871646A&quot;/&gt;&lt;wsp:rsid wsp:val=&quot;48733F90&quot;/&gt;&lt;wsp:rsid wsp:val=&quot;48741AB6&quot;/&gt;&lt;wsp:rsid wsp:val=&quot;48777145&quot;/&gt;&lt;wsp:rsid wsp:val=&quot;48794FEC&quot;/&gt;&lt;wsp:rsid wsp:val=&quot;4879594A&quot;/&gt;&lt;wsp:rsid wsp:val=&quot;487970CD&quot;/&gt;&lt;wsp:rsid wsp:val=&quot;487B1097&quot;/&gt;&lt;wsp:rsid wsp:val=&quot;487B2E45&quot;/&gt;&lt;wsp:rsid wsp:val=&quot;487D6BBD&quot;/&gt;&lt;wsp:rsid wsp:val=&quot;487E032C&quot;/&gt;&lt;wsp:rsid wsp:val=&quot;4880045B&quot;/&gt;&lt;wsp:rsid wsp:val=&quot;48822425&quot;/&gt;&lt;wsp:rsid wsp:val=&quot;488231BD&quot;/&gt;&lt;wsp:rsid wsp:val=&quot;48831CF9&quot;/&gt;&lt;wsp:rsid wsp:val=&quot;48832990&quot;/&gt;&lt;wsp:rsid wsp:val=&quot;48847F4B&quot;/&gt;&lt;wsp:rsid wsp:val=&quot;488501FF&quot;/&gt;&lt;wsp:rsid wsp:val=&quot;48853CC3&quot;/&gt;&lt;wsp:rsid wsp:val=&quot;48855A71&quot;/&gt;&lt;wsp:rsid wsp:val=&quot;48895562&quot;/&gt;&lt;wsp:rsid wsp:val=&quot;488A12DA&quot;/&gt;&lt;wsp:rsid wsp:val=&quot;488A3088&quot;/&gt;&lt;wsp:rsid wsp:val=&quot;488B3A2D&quot;/&gt;&lt;wsp:rsid wsp:val=&quot;488C5052&quot;/&gt;&lt;wsp:rsid wsp:val=&quot;488D3628&quot;/&gt;&lt;wsp:rsid wsp:val=&quot;488D6991&quot;/&gt;&lt;wsp:rsid wsp:val=&quot;488E0DCA&quot;/&gt;&lt;wsp:rsid wsp:val=&quot;488E2B78&quot;/&gt;&lt;wsp:rsid wsp:val=&quot;488E4926&quot;/&gt;&lt;wsp:rsid wsp:val=&quot;488F069E&quot;/&gt;&lt;wsp:rsid wsp:val=&quot;48904B42&quot;/&gt;&lt;wsp:rsid wsp:val=&quot;48912668&quot;/&gt;&lt;wsp:rsid wsp:val=&quot;48924D18&quot;/&gt;&lt;wsp:rsid wsp:val=&quot;4893018E&quot;/&gt;&lt;wsp:rsid wsp:val=&quot;489310C2&quot;/&gt;&lt;wsp:rsid wsp:val=&quot;48931F3C&quot;/&gt;&lt;wsp:rsid wsp:val=&quot;489363E0&quot;/&gt;&lt;wsp:rsid wsp:val=&quot;48941A07&quot;/&gt;&lt;wsp:rsid wsp:val=&quot;48943C93&quot;/&gt;&lt;wsp:rsid wsp:val=&quot;48943F06&quot;/&gt;&lt;wsp:rsid wsp:val=&quot;48972614&quot;/&gt;&lt;wsp:rsid wsp:val=&quot;48982AB7&quot;/&gt;&lt;wsp:rsid wsp:val=&quot;489A776F&quot;/&gt;&lt;wsp:rsid wsp:val=&quot;489B5295&quot;/&gt;&lt;wsp:rsid wsp:val=&quot;489C39C8&quot;/&gt;&lt;wsp:rsid wsp:val=&quot;48A028AB&quot;/&gt;&lt;wsp:rsid wsp:val=&quot;48A04659&quot;/&gt;&lt;wsp:rsid wsp:val=&quot;48A115E5&quot;/&gt;&lt;wsp:rsid wsp:val=&quot;48A14B56&quot;/&gt;&lt;wsp:rsid wsp:val=&quot;48A41063&quot;/&gt;&lt;wsp:rsid wsp:val=&quot;48A4239B&quot;/&gt;&lt;wsp:rsid wsp:val=&quot;48A44149&quot;/&gt;&lt;wsp:rsid wsp:val=&quot;48A759E8&quot;/&gt;&lt;wsp:rsid wsp:val=&quot;48A979B2&quot;/&gt;&lt;wsp:rsid wsp:val=&quot;48AA0A8A&quot;/&gt;&lt;wsp:rsid wsp:val=&quot;48AA54D8&quot;/&gt;&lt;wsp:rsid wsp:val=&quot;48AB1F1A&quot;/&gt;&lt;wsp:rsid wsp:val=&quot;48AC74A2&quot;/&gt;&lt;wsp:rsid wsp:val=&quot;48AE2B74&quot;/&gt;&lt;wsp:rsid wsp:val=&quot;48AE321A&quot;/&gt;&lt;wsp:rsid wsp:val=&quot;48B12D0A&quot;/&gt;&lt;wsp:rsid wsp:val=&quot;48B14AB8&quot;/&gt;&lt;wsp:rsid wsp:val=&quot;48B1700D&quot;/&gt;&lt;wsp:rsid wsp:val=&quot;48B325DE&quot;/&gt;&lt;wsp:rsid wsp:val=&quot;48B52FCC&quot;/&gt;&lt;wsp:rsid wsp:val=&quot;48B545A9&quot;/&gt;&lt;wsp:rsid wsp:val=&quot;48B819A3&quot;/&gt;&lt;wsp:rsid wsp:val=&quot;48B87BC1&quot;/&gt;&lt;wsp:rsid wsp:val=&quot;48B9451E&quot;/&gt;&lt;wsp:rsid wsp:val=&quot;48BD16AF&quot;/&gt;&lt;wsp:rsid wsp:val=&quot;48BD520B&quot;/&gt;&lt;wsp:rsid wsp:val=&quot;48BE5843&quot;/&gt;&lt;wsp:rsid wsp:val=&quot;48BF0F83&quot;/&gt;&lt;wsp:rsid wsp:val=&quot;48BF3C4C&quot;/&gt;&lt;wsp:rsid wsp:val=&quot;48C04CFB&quot;/&gt;&lt;wsp:rsid wsp:val=&quot;48C12F4D&quot;/&gt;&lt;wsp:rsid wsp:val=&quot;48C20A74&quot;/&gt;&lt;wsp:rsid wsp:val=&quot;48C22822&quot;/&gt;&lt;wsp:rsid wsp:val=&quot;48C37620&quot;/&gt;&lt;wsp:rsid wsp:val=&quot;48C447EC&quot;/&gt;&lt;wsp:rsid wsp:val=&quot;48C479AF&quot;/&gt;&lt;wsp:rsid wsp:val=&quot;48C52AC1&quot;/&gt;&lt;wsp:rsid wsp:val=&quot;48C77E38&quot;/&gt;&lt;wsp:rsid wsp:val=&quot;48C90DA0&quot;/&gt;&lt;wsp:rsid wsp:val=&quot;48CB3DCC&quot;/&gt;&lt;wsp:rsid wsp:val=&quot;48D04F3E&quot;/&gt;&lt;wsp:rsid wsp:val=&quot;48D17946&quot;/&gt;&lt;wsp:rsid wsp:val=&quot;48D24A1A&quot;/&gt;&lt;wsp:rsid wsp:val=&quot;48D31904&quot;/&gt;&lt;wsp:rsid wsp:val=&quot;48D47FD7&quot;/&gt;&lt;wsp:rsid wsp:val=&quot;48D507A7&quot;/&gt;&lt;wsp:rsid wsp:val=&quot;48D52555&quot;/&gt;&lt;wsp:rsid wsp:val=&quot;48D53A6F&quot;/&gt;&lt;wsp:rsid wsp:val=&quot;48D569F9&quot;/&gt;&lt;wsp:rsid wsp:val=&quot;48D6451F&quot;/&gt;&lt;wsp:rsid wsp:val=&quot;48D662CD&quot;/&gt;&lt;wsp:rsid wsp:val=&quot;48D66617&quot;/&gt;&lt;wsp:rsid wsp:val=&quot;48D72771&quot;/&gt;&lt;wsp:rsid wsp:val=&quot;48D758DB&quot;/&gt;&lt;wsp:rsid wsp:val=&quot;48DA400F&quot;/&gt;&lt;wsp:rsid wsp:val=&quot;48DA5DBD&quot;/&gt;&lt;wsp:rsid wsp:val=&quot;48DD58AD&quot;/&gt;&lt;wsp:rsid wsp:val=&quot;48DE3668&quot;/&gt;&lt;wsp:rsid wsp:val=&quot;48E1539E&quot;/&gt;&lt;wsp:rsid wsp:val=&quot;48E22EC4&quot;/&gt;&lt;wsp:rsid wsp:val=&quot;48E40C1B&quot;/&gt;&lt;wsp:rsid wsp:val=&quot;48E56510&quot;/&gt;&lt;wsp:rsid wsp:val=&quot;48E704DA&quot;/&gt;&lt;wsp:rsid wsp:val=&quot;48E7672C&quot;/&gt;&lt;wsp:rsid wsp:val=&quot;48E94252&quot;/&gt;&lt;wsp:rsid wsp:val=&quot;48E97B61&quot;/&gt;&lt;wsp:rsid wsp:val=&quot;48EA3C36&quot;/&gt;&lt;wsp:rsid wsp:val=&quot;48EC3D42&quot;/&gt;&lt;wsp:rsid wsp:val=&quot;48EE3617&quot;/&gt;&lt;wsp:rsid wsp:val=&quot;48EF781D&quot;/&gt;&lt;wsp:rsid wsp:val=&quot;48F055E1&quot;/&gt;&lt;wsp:rsid wsp:val=&quot;48F350D1&quot;/&gt;&lt;wsp:rsid wsp:val=&quot;48F6071D&quot;/&gt;&lt;wsp:rsid wsp:val=&quot;48F84495&quot;/&gt;&lt;wsp:rsid wsp:val=&quot;48F84AFD&quot;/&gt;&lt;wsp:rsid wsp:val=&quot;48FA1FBB&quot;/&gt;&lt;wsp:rsid wsp:val=&quot;48FA645F&quot;/&gt;&lt;wsp:rsid wsp:val=&quot;48FD5F50&quot;/&gt;&lt;wsp:rsid wsp:val=&quot;48FD7CFE&quot;/&gt;&lt;wsp:rsid wsp:val=&quot;48FF3A76&quot;/&gt;&lt;wsp:rsid wsp:val=&quot;48FF5824&quot;/&gt;&lt;wsp:rsid wsp:val=&quot;48FF6CB3&quot;/&gt;&lt;wsp:rsid wsp:val=&quot;48FF75D2&quot;/&gt;&lt;wsp:rsid wsp:val=&quot;4901159C&quot;/&gt;&lt;wsp:rsid wsp:val=&quot;49017EAD&quot;/&gt;&lt;wsp:rsid wsp:val=&quot;490270C2&quot;/&gt;&lt;wsp:rsid wsp:val=&quot;49033566&quot;/&gt;&lt;wsp:rsid wsp:val=&quot;49042E3A&quot;/&gt;&lt;wsp:rsid wsp:val=&quot;49066BB2&quot;/&gt;&lt;wsp:rsid wsp:val=&quot;4907292A&quot;/&gt;&lt;wsp:rsid wsp:val=&quot;49075A1C&quot;/&gt;&lt;wsp:rsid wsp:val=&quot;490948F4&quot;/&gt;&lt;wsp:rsid wsp:val=&quot;490966A2&quot;/&gt;&lt;wsp:rsid wsp:val=&quot;490B241B&quot;/&gt;&lt;wsp:rsid wsp:val=&quot;490D6193&quot;/&gt;&lt;wsp:rsid wsp:val=&quot;490E5A67&quot;/&gt;&lt;wsp:rsid wsp:val=&quot;4910358D&quot;/&gt;&lt;wsp:rsid wsp:val=&quot;49105C83&quot;/&gt;&lt;wsp:rsid wsp:val=&quot;49107A31&quot;/&gt;&lt;wsp:rsid wsp:val=&quot;4913028B&quot;/&gt;&lt;wsp:rsid wsp:val=&quot;49137521&quot;/&gt;&lt;wsp:rsid wsp:val=&quot;49156DF5&quot;/&gt;&lt;wsp:rsid wsp:val=&quot;49172297&quot;/&gt;&lt;wsp:rsid wsp:val=&quot;49180694&quot;/&gt;&lt;wsp:rsid wsp:val=&quot;491A265E&quot;/&gt;&lt;wsp:rsid wsp:val=&quot;491A440C&quot;/&gt;&lt;wsp:rsid wsp:val=&quot;491D0608&quot;/&gt;&lt;wsp:rsid wsp:val=&quot;491F7C74&quot;/&gt;&lt;wsp:rsid wsp:val=&quot;49202E27&quot;/&gt;&lt;wsp:rsid wsp:val=&quot;492139EC&quot;/&gt;&lt;wsp:rsid wsp:val=&quot;49221512&quot;/&gt;&lt;wsp:rsid wsp:val=&quot;49227764&quot;/&gt;&lt;wsp:rsid wsp:val=&quot;49267254&quot;/&gt;&lt;wsp:rsid wsp:val=&quot;492774C8&quot;/&gt;&lt;wsp:rsid wsp:val=&quot;49284D7B&quot;/&gt;&lt;wsp:rsid wsp:val=&quot;492869E7&quot;/&gt;&lt;wsp:rsid wsp:val=&quot;49290AF3&quot;/&gt;&lt;wsp:rsid wsp:val=&quot;492B486B&quot;/&gt;&lt;wsp:rsid wsp:val=&quot;492D05E3&quot;/&gt;&lt;wsp:rsid wsp:val=&quot;492E7EB7&quot;/&gt;&lt;wsp:rsid wsp:val=&quot;493059DD&quot;/&gt;&lt;wsp:rsid wsp:val=&quot;4933371F&quot;/&gt;&lt;wsp:rsid wsp:val=&quot;49366D6C&quot;/&gt;&lt;wsp:rsid wsp:val=&quot;49373210&quot;/&gt;&lt;wsp:rsid wsp:val=&quot;49380D36&quot;/&gt;&lt;wsp:rsid wsp:val=&quot;49384272&quot;/&gt;&lt;wsp:rsid wsp:val=&quot;49392321&quot;/&gt;&lt;wsp:rsid wsp:val=&quot;493A685C&quot;/&gt;&lt;wsp:rsid wsp:val=&quot;493C25D4&quot;/&gt;&lt;wsp:rsid wsp:val=&quot;493D17E8&quot;/&gt;&lt;wsp:rsid wsp:val=&quot;493D634C&quot;/&gt;&lt;wsp:rsid wsp:val=&quot;493E459E&quot;/&gt;&lt;wsp:rsid wsp:val=&quot;49417BEA&quot;/&gt;&lt;wsp:rsid wsp:val=&quot;49441489&quot;/&gt;&lt;wsp:rsid wsp:val=&quot;4945669D&quot;/&gt;&lt;wsp:rsid wsp:val=&quot;494616A5&quot;/&gt;&lt;wsp:rsid wsp:val=&quot;49463453&quot;/&gt;&lt;wsp:rsid wsp:val=&quot;49465201&quot;/&gt;&lt;wsp:rsid wsp:val=&quot;49470F79&quot;/&gt;&lt;wsp:rsid wsp:val=&quot;494721F1&quot;/&gt;&lt;wsp:rsid wsp:val=&quot;494859DF&quot;/&gt;&lt;wsp:rsid wsp:val=&quot;49492F43&quot;/&gt;&lt;wsp:rsid wsp:val=&quot;494B49DC&quot;/&gt;&lt;wsp:rsid wsp:val=&quot;494D2A33&quot;/&gt;&lt;wsp:rsid wsp:val=&quot;494D47E1&quot;/&gt;&lt;wsp:rsid wsp:val=&quot;494E2307&quot;/&gt;&lt;wsp:rsid wsp:val=&quot;494F5429&quot;/&gt;&lt;wsp:rsid wsp:val=&quot;494F67AB&quot;/&gt;&lt;wsp:rsid wsp:val=&quot;4950607F&quot;/&gt;&lt;wsp:rsid wsp:val=&quot;4950709D&quot;/&gt;&lt;wsp:rsid wsp:val=&quot;49507E2D&quot;/&gt;&lt;wsp:rsid wsp:val=&quot;4951655A&quot;/&gt;&lt;wsp:rsid wsp:val=&quot;49521DF7&quot;/&gt;&lt;wsp:rsid wsp:val=&quot;49524E19&quot;/&gt;&lt;wsp:rsid wsp:val=&quot;4953791E&quot;/&gt;&lt;wsp:rsid wsp:val=&quot;495518E8&quot;/&gt;&lt;wsp:rsid wsp:val=&quot;49555444&quot;/&gt;&lt;wsp:rsid wsp:val=&quot;495711BC&quot;/&gt;&lt;wsp:rsid wsp:val=&quot;49576E8D&quot;/&gt;&lt;wsp:rsid wsp:val=&quot;49583186&quot;/&gt;&lt;wsp:rsid wsp:val=&quot;49584F34&quot;/&gt;&lt;wsp:rsid wsp:val=&quot;495E69EE&quot;/&gt;&lt;wsp:rsid wsp:val=&quot;4960389A&quot;/&gt;&lt;wsp:rsid wsp:val=&quot;496274DF&quot;/&gt;&lt;wsp:rsid wsp:val=&quot;496327E5&quot;/&gt;&lt;wsp:rsid wsp:val=&quot;49641B2B&quot;/&gt;&lt;wsp:rsid wsp:val=&quot;49663AF5&quot;/&gt;&lt;wsp:rsid wsp:val=&quot;49667651&quot;/&gt;&lt;wsp:rsid wsp:val=&quot;4967352A&quot;/&gt;&lt;wsp:rsid wsp:val=&quot;4968161B&quot;/&gt;&lt;wsp:rsid wsp:val=&quot;496833C9&quot;/&gt;&lt;wsp:rsid wsp:val=&quot;496B2EB9&quot;/&gt;&lt;wsp:rsid wsp:val=&quot;496C1203&quot;/&gt;&lt;wsp:rsid wsp:val=&quot;496D6C31&quot;/&gt;&lt;wsp:rsid wsp:val=&quot;496F0653&quot;/&gt;&lt;wsp:rsid wsp:val=&quot;496F6F12&quot;/&gt;&lt;wsp:rsid wsp:val=&quot;497163D6&quot;/&gt;&lt;wsp:rsid wsp:val=&quot;4972249A&quot;/&gt;&lt;wsp:rsid wsp:val=&quot;49724248&quot;/&gt;&lt;wsp:rsid wsp:val=&quot;49747FC0&quot;/&gt;&lt;wsp:rsid wsp:val=&quot;497513A8&quot;/&gt;&lt;wsp:rsid wsp:val=&quot;49755AE6&quot;/&gt;&lt;wsp:rsid wsp:val=&quot;49777AB0&quot;/&gt;&lt;wsp:rsid wsp:val=&quot;497A75A0&quot;/&gt;&lt;wsp:rsid wsp:val=&quot;497C0C22&quot;/&gt;&lt;wsp:rsid wsp:val=&quot;497C6E74&quot;/&gt;&lt;wsp:rsid wsp:val=&quot;497D32BF&quot;/&gt;&lt;wsp:rsid wsp:val=&quot;497F110A&quot;/&gt;&lt;wsp:rsid wsp:val=&quot;4981092F&quot;/&gt;&lt;wsp:rsid wsp:val=&quot;498505D6&quot;/&gt;&lt;wsp:rsid wsp:val=&quot;49865F45&quot;/&gt;&lt;wsp:rsid wsp:val=&quot;49877EB2&quot;/&gt;&lt;wsp:rsid wsp:val=&quot;498B355B&quot;/&gt;&lt;wsp:rsid wsp:val=&quot;498D5C45&quot;/&gt;&lt;wsp:rsid wsp:val=&quot;498E0956&quot;/&gt;&lt;wsp:rsid wsp:val=&quot;498F4DFA&quot;/&gt;&lt;wsp:rsid wsp:val=&quot;49920446&quot;/&gt;&lt;wsp:rsid wsp:val=&quot;499222AC&quot;/&gt;&lt;wsp:rsid wsp:val=&quot;49933923&quot;/&gt;&lt;wsp:rsid wsp:val=&quot;49940662&quot;/&gt;&lt;wsp:rsid wsp:val=&quot;499557A4&quot;/&gt;&lt;wsp:rsid wsp:val=&quot;49956188&quot;/&gt;&lt;wsp:rsid wsp:val=&quot;499637FE&quot;/&gt;&lt;wsp:rsid wsp:val=&quot;499917D4&quot;/&gt;&lt;wsp:rsid wsp:val=&quot;499A379E&quot;/&gt;&lt;wsp:rsid wsp:val=&quot;499B0FEA&quot;/&gt;&lt;wsp:rsid wsp:val=&quot;499C7517&quot;/&gt;&lt;wsp:rsid wsp:val=&quot;499E328F&quot;/&gt;&lt;wsp:rsid wsp:val=&quot;49A14FAF&quot;/&gt;&lt;wsp:rsid wsp:val=&quot;49A372A4&quot;/&gt;&lt;wsp:rsid wsp:val=&quot;49A60395&quot;/&gt;&lt;wsp:rsid wsp:val=&quot;49A62143&quot;/&gt;&lt;wsp:rsid wsp:val=&quot;49A65114&quot;/&gt;&lt;wsp:rsid wsp:val=&quot;49AA1C33&quot;/&gt;&lt;wsp:rsid wsp:val=&quot;49AB1508&quot;/&gt;&lt;wsp:rsid wsp:val=&quot;49AE2DA6&quot;/&gt;&lt;wsp:rsid wsp:val=&quot;49AF0FF8&quot;/&gt;&lt;wsp:rsid wsp:val=&quot;49AF724A&quot;/&gt;&lt;wsp:rsid wsp:val=&quot;49B02FC2&quot;/&gt;&lt;wsp:rsid wsp:val=&quot;49B228EB&quot;/&gt;&lt;wsp:rsid wsp:val=&quot;49B605D8&quot;/&gt;&lt;wsp:rsid wsp:val=&quot;49B86F46&quot;/&gt;&lt;wsp:rsid wsp:val=&quot;49B900C8&quot;/&gt;&lt;wsp:rsid wsp:val=&quot;49C056FE&quot;/&gt;&lt;wsp:rsid wsp:val=&quot;49C167BA&quot;/&gt;&lt;wsp:rsid wsp:val=&quot;49C34AA3&quot;/&gt;&lt;wsp:rsid wsp:val=&quot;49C36851&quot;/&gt;&lt;wsp:rsid wsp:val=&quot;49C54520&quot;/&gt;&lt;wsp:rsid wsp:val=&quot;49C564C7&quot;/&gt;&lt;wsp:rsid wsp:val=&quot;49C565CB&quot;/&gt;&lt;wsp:rsid wsp:val=&quot;49C64593&quot;/&gt;&lt;wsp:rsid wsp:val=&quot;49C66341&quot;/&gt;&lt;wsp:rsid wsp:val=&quot;49C820BA&quot;/&gt;&lt;wsp:rsid wsp:val=&quot;49CA5E32&quot;/&gt;&lt;wsp:rsid wsp:val=&quot;49CB3958&quot;/&gt;&lt;wsp:rsid wsp:val=&quot;49CD76D0&quot;/&gt;&lt;wsp:rsid wsp:val=&quot;49D2118A&quot;/&gt;&lt;wsp:rsid wsp:val=&quot;49D24CE6&quot;/&gt;&lt;wsp:rsid wsp:val=&quot;49D2773F&quot;/&gt;&lt;wsp:rsid wsp:val=&quot;49D767A1&quot;/&gt;&lt;wsp:rsid wsp:val=&quot;49D92519&quot;/&gt;&lt;wsp:rsid wsp:val=&quot;49D942C7&quot;/&gt;&lt;wsp:rsid wsp:val=&quot;49DC17D2&quot;/&gt;&lt;wsp:rsid wsp:val=&quot;49DC1EEB&quot;/&gt;&lt;wsp:rsid wsp:val=&quot;49DC429F&quot;/&gt;&lt;wsp:rsid wsp:val=&quot;49DC7715&quot;/&gt;&lt;wsp:rsid wsp:val=&quot;49DE33A1&quot;/&gt;&lt;wsp:rsid wsp:val=&quot;49DE368B&quot;/&gt;&lt;wsp:rsid wsp:val=&quot;49DE50FB&quot;/&gt;&lt;wsp:rsid wsp:val=&quot;49DF0C6F&quot;/&gt;&lt;wsp:rsid wsp:val=&quot;49DF112C&quot;/&gt;&lt;wsp:rsid wsp:val=&quot;49E05655&quot;/&gt;&lt;wsp:rsid wsp:val=&quot;49E30CA1&quot;/&gt;&lt;wsp:rsid wsp:val=&quot;49E50EBD&quot;/&gt;&lt;wsp:rsid wsp:val=&quot;49E55BB5&quot;/&gt;&lt;wsp:rsid wsp:val=&quot;49E669E4&quot;/&gt;&lt;wsp:rsid wsp:val=&quot;49E82739&quot;/&gt;&lt;wsp:rsid wsp:val=&quot;49EA0282&quot;/&gt;&lt;wsp:rsid wsp:val=&quot;49EA14A6&quot;/&gt;&lt;wsp:rsid wsp:val=&quot;49EA64D4&quot;/&gt;&lt;wsp:rsid wsp:val=&quot;49EB7B56&quot;/&gt;&lt;wsp:rsid wsp:val=&quot;49EC2039&quot;/&gt;&lt;wsp:rsid wsp:val=&quot;49EC224C&quot;/&gt;&lt;wsp:rsid wsp:val=&quot;49EC2EB7&quot;/&gt;&lt;wsp:rsid wsp:val=&quot;49ED38CE&quot;/&gt;&lt;wsp:rsid wsp:val=&quot;49ED7D72&quot;/&gt;&lt;wsp:rsid wsp:val=&quot;49EE42CC&quot;/&gt;&lt;wsp:rsid wsp:val=&quot;49EE57D7&quot;/&gt;&lt;wsp:rsid wsp:val=&quot;49F17862&quot;/&gt;&lt;wsp:rsid wsp:val=&quot;49F41101&quot;/&gt;&lt;wsp:rsid wsp:val=&quot;49F42EAF&quot;/&gt;&lt;wsp:rsid wsp:val=&quot;49F66C27&quot;/&gt;&lt;wsp:rsid wsp:val=&quot;49F7474D&quot;/&gt;&lt;wsp:rsid wsp:val=&quot;49F904C5&quot;/&gt;&lt;wsp:rsid wsp:val=&quot;49F96717&quot;/&gt;&lt;wsp:rsid wsp:val=&quot;49FB423D&quot;/&gt;&lt;wsp:rsid wsp:val=&quot;49FC7FB5&quot;/&gt;&lt;wsp:rsid wsp:val=&quot;49FD6207&quot;/&gt;&lt;wsp:rsid wsp:val=&quot;49FE1F7F&quot;/&gt;&lt;wsp:rsid wsp:val=&quot;4A023139&quot;/&gt;&lt;wsp:rsid wsp:val=&quot;4A0250DD&quot;/&gt;&lt;wsp:rsid wsp:val=&quot;4A027CAE&quot;/&gt;&lt;wsp:rsid wsp:val=&quot;4A05330E&quot;/&gt;&lt;wsp:rsid wsp:val=&quot;4A054CCD&quot;/&gt;&lt;wsp:rsid wsp:val=&quot;4A05519F&quot;/&gt;&lt;wsp:rsid wsp:val=&quot;4A064990&quot;/&gt;&lt;wsp:rsid wsp:val=&quot;4A070E34&quot;/&gt;&lt;wsp:rsid wsp:val=&quot;4A0A4480&quot;/&gt;&lt;wsp:rsid wsp:val=&quot;4A0B01F8&quot;/&gt;&lt;wsp:rsid wsp:val=&quot;4A0B1FA6&quot;/&gt;&lt;wsp:rsid wsp:val=&quot;4A0D26AD&quot;/&gt;&lt;wsp:rsid wsp:val=&quot;4A0E4DE3&quot;/&gt;&lt;wsp:rsid wsp:val=&quot;4A0F7CE8&quot;/&gt;&lt;wsp:rsid wsp:val=&quot;4A111CB3&quot;/&gt;&lt;wsp:rsid wsp:val=&quot;4A11580F&quot;/&gt;&lt;wsp:rsid wsp:val=&quot;4A161077&quot;/&gt;&lt;wsp:rsid wsp:val=&quot;4A173B7C&quot;/&gt;&lt;wsp:rsid wsp:val=&quot;4A180FB8&quot;/&gt;&lt;wsp:rsid wsp:val=&quot;4A183E49&quot;/&gt;&lt;wsp:rsid wsp:val=&quot;4A192915&quot;/&gt;&lt;wsp:rsid wsp:val=&quot;4A1B48DF&quot;/&gt;&lt;wsp:rsid wsp:val=&quot;4A1D48B6&quot;/&gt;&lt;wsp:rsid wsp:val=&quot;4A1E1CDA&quot;/&gt;&lt;wsp:rsid wsp:val=&quot;4A1E617D&quot;/&gt;&lt;wsp:rsid wsp:val=&quot;4A225C6E&quot;/&gt;&lt;wsp:rsid wsp:val=&quot;4A253068&quot;/&gt;&lt;wsp:rsid wsp:val=&quot;4A25750C&quot;/&gt;&lt;wsp:rsid wsp:val=&quot;4A260E91&quot;/&gt;&lt;wsp:rsid wsp:val=&quot;4A266DE0&quot;/&gt;&lt;wsp:rsid wsp:val=&quot;4A286FFC&quot;/&gt;&lt;wsp:rsid wsp:val=&quot;4A2A4B22&quot;/&gt;&lt;wsp:rsid wsp:val=&quot;4A2A68D0&quot;/&gt;&lt;wsp:rsid wsp:val=&quot;4A2C2648&quot;/&gt;&lt;wsp:rsid wsp:val=&quot;4A2D7761&quot;/&gt;&lt;wsp:rsid wsp:val=&quot;4A2F038B&quot;/&gt;&lt;wsp:rsid wsp:val=&quot;4A30015B&quot;/&gt;&lt;wsp:rsid wsp:val=&quot;4A315EB1&quot;/&gt;&lt;wsp:rsid wsp:val=&quot;4A3239D7&quot;/&gt;&lt;wsp:rsid wsp:val=&quot;4A325785&quot;/&gt;&lt;wsp:rsid wsp:val=&quot;4A325D14&quot;/&gt;&lt;wsp:rsid wsp:val=&quot;4A3414FD&quot;/&gt;&lt;wsp:rsid wsp:val=&quot;4A3459A1&quot;/&gt;&lt;wsp:rsid wsp:val=&quot;4A3467D2&quot;/&gt;&lt;wsp:rsid wsp:val=&quot;4A34774F&quot;/&gt;&lt;wsp:rsid wsp:val=&quot;4A3634C7&quot;/&gt;&lt;wsp:rsid wsp:val=&quot;4A372A74&quot;/&gt;&lt;wsp:rsid wsp:val=&quot;4A372D9B&quot;/&gt;&lt;wsp:rsid wsp:val=&quot;4A3868ED&quot;/&gt;&lt;wsp:rsid wsp:val=&quot;4A38723F&quot;/&gt;&lt;wsp:rsid wsp:val=&quot;4A392FB7&quot;/&gt;&lt;wsp:rsid wsp:val=&quot;4A3A62EE&quot;/&gt;&lt;wsp:rsid wsp:val=&quot;4A3B288C&quot;/&gt;&lt;wsp:rsid wsp:val=&quot;4A3C66FE&quot;/&gt;&lt;wsp:rsid wsp:val=&quot;4A3D0B99&quot;/&gt;&lt;wsp:rsid wsp:val=&quot;4A3E412A&quot;/&gt;&lt;wsp:rsid wsp:val=&quot;4A404346&quot;/&gt;&lt;wsp:rsid wsp:val=&quot;4A4060F4&quot;/&gt;&lt;wsp:rsid wsp:val=&quot;4A413C1A&quot;/&gt;&lt;wsp:rsid wsp:val=&quot;4A4200BE&quot;/&gt;&lt;wsp:rsid wsp:val=&quot;4A431740&quot;/&gt;&lt;wsp:rsid wsp:val=&quot;4A435BE4&quot;/&gt;&lt;wsp:rsid wsp:val=&quot;4A443E36&quot;/&gt;&lt;wsp:rsid wsp:val=&quot;4A45195C&quot;/&gt;&lt;wsp:rsid wsp:val=&quot;4A45370A&quot;/&gt;&lt;wsp:rsid wsp:val=&quot;4A477482&quot;/&gt;&lt;wsp:rsid wsp:val=&quot;4A497872&quot;/&gt;&lt;wsp:rsid wsp:val=&quot;4A4A0D02&quot;/&gt;&lt;wsp:rsid wsp:val=&quot;4A4D0811&quot;/&gt;&lt;wsp:rsid wsp:val=&quot;4A4E6A63&quot;/&gt;&lt;wsp:rsid wsp:val=&quot;4A4F6337&quot;/&gt;&lt;wsp:rsid wsp:val=&quot;4A504002&quot;/&gt;&lt;wsp:rsid wsp:val=&quot;4A510301&quot;/&gt;&lt;wsp:rsid wsp:val=&quot;4A513E5D&quot;/&gt;&lt;wsp:rsid wsp:val=&quot;4A534079&quot;/&gt;&lt;wsp:rsid wsp:val=&quot;4A54394D&quot;/&gt;&lt;wsp:rsid wsp:val=&quot;4A565917&quot;/&gt;&lt;wsp:rsid wsp:val=&quot;4A5673B8&quot;/&gt;&lt;wsp:rsid wsp:val=&quot;4A58168F&quot;/&gt;&lt;wsp:rsid wsp:val=&quot;4A5971B6&quot;/&gt;&lt;wsp:rsid wsp:val=&quot;4A5B4858&quot;/&gt;&lt;wsp:rsid wsp:val=&quot;4A5B4CDC&quot;/&gt;&lt;wsp:rsid wsp:val=&quot;4A5C2802&quot;/&gt;&lt;wsp:rsid wsp:val=&quot;4A5D7909&quot;/&gt;&lt;wsp:rsid wsp:val=&quot;4A5E47CC&quot;/&gt;&lt;wsp:rsid wsp:val=&quot;4A5F23F3&quot;/&gt;&lt;wsp:rsid wsp:val=&quot;4A5F4669&quot;/&gt;&lt;wsp:rsid wsp:val=&quot;4A5F7E10&quot;/&gt;&lt;wsp:rsid wsp:val=&quot;4A6022F2&quot;/&gt;&lt;wsp:rsid wsp:val=&quot;4A60274A&quot;/&gt;&lt;wsp:rsid wsp:val=&quot;4A606796&quot;/&gt;&lt;wsp:rsid wsp:val=&quot;4A616416&quot;/&gt;&lt;wsp:rsid wsp:val=&quot;4A653DAC&quot;/&gt;&lt;wsp:rsid wsp:val=&quot;4A655B5A&quot;/&gt;&lt;wsp:rsid wsp:val=&quot;4A657908&quot;/&gt;&lt;wsp:rsid wsp:val=&quot;4A6643F5&quot;/&gt;&lt;wsp:rsid wsp:val=&quot;4A680F8A&quot;/&gt;&lt;wsp:rsid wsp:val=&quot;4A6950C0&quot;/&gt;&lt;wsp:rsid wsp:val=&quot;4A6A177C&quot;/&gt;&lt;wsp:rsid wsp:val=&quot;4A6A7ED1&quot;/&gt;&lt;wsp:rsid wsp:val=&quot;4A6E2C61&quot;/&gt;&lt;wsp:rsid wsp:val=&quot;4A6F2535&quot;/&gt;&lt;wsp:rsid wsp:val=&quot;4A7144FF&quot;/&gt;&lt;wsp:rsid wsp:val=&quot;4A742241&quot;/&gt;&lt;wsp:rsid wsp:val=&quot;4A745D9D&quot;/&gt;&lt;wsp:rsid wsp:val=&quot;4A761B16&quot;/&gt;&lt;wsp:rsid wsp:val=&quot;4A77763C&quot;/&gt;&lt;wsp:rsid wsp:val=&quot;4A783AE0&quot;/&gt;&lt;wsp:rsid wsp:val=&quot;4A783D80&quot;/&gt;&lt;wsp:rsid wsp:val=&quot;4A791606&quot;/&gt;&lt;wsp:rsid wsp:val=&quot;4A7B576F&quot;/&gt;&lt;wsp:rsid wsp:val=&quot;4A7B715E&quot;/&gt;&lt;wsp:rsid wsp:val=&quot;4A7D10F6&quot;/&gt;&lt;wsp:rsid wsp:val=&quot;4A7D4C52&quot;/&gt;&lt;wsp:rsid wsp:val=&quot;4A7E09CA&quot;/&gt;&lt;wsp:rsid wsp:val=&quot;4A7E6C1C&quot;/&gt;&lt;wsp:rsid wsp:val=&quot;4A800BE6&quot;/&gt;&lt;wsp:rsid wsp:val=&quot;4A802994&quot;/&gt;&lt;wsp:rsid wsp:val=&quot;4A804742&quot;/&gt;&lt;wsp:rsid wsp:val=&quot;4A8050E2&quot;/&gt;&lt;wsp:rsid wsp:val=&quot;4A813BDE&quot;/&gt;&lt;wsp:rsid wsp:val=&quot;4A844A35&quot;/&gt;&lt;wsp:rsid wsp:val=&quot;4A867E13&quot;/&gt;&lt;wsp:rsid wsp:val=&quot;4A895CED&quot;/&gt;&lt;wsp:rsid wsp:val=&quot;4A8A3813&quot;/&gt;&lt;wsp:rsid wsp:val=&quot;4A8A55C1&quot;/&gt;&lt;wsp:rsid wsp:val=&quot;4A8A736F&quot;/&gt;&lt;wsp:rsid wsp:val=&quot;4A8B1862&quot;/&gt;&lt;wsp:rsid wsp:val=&quot;4A8B1C8F&quot;/&gt;&lt;wsp:rsid wsp:val=&quot;4A8E6E5F&quot;/&gt;&lt;wsp:rsid wsp:val=&quot;4A914BA1&quot;/&gt;&lt;wsp:rsid wsp:val=&quot;4A91694F&quot;/&gt;&lt;wsp:rsid wsp:val=&quot;4A9213FA&quot;/&gt;&lt;wsp:rsid wsp:val=&quot;4A934062&quot;/&gt;&lt;wsp:rsid wsp:val=&quot;4A934476&quot;/&gt;&lt;wsp:rsid wsp:val=&quot;4A9401EE&quot;/&gt;&lt;wsp:rsid wsp:val=&quot;4A960CB0&quot;/&gt;&lt;wsp:rsid wsp:val=&quot;4A9621B8&quot;/&gt;&lt;wsp:rsid wsp:val=&quot;4A97677A&quot;/&gt;&lt;wsp:rsid wsp:val=&quot;4A987CDE&quot;/&gt;&lt;wsp:rsid wsp:val=&quot;4A9B332A&quot;/&gt;&lt;wsp:rsid wsp:val=&quot;4A9B5A20&quot;/&gt;&lt;wsp:rsid wsp:val=&quot;4A9D460A&quot;/&gt;&lt;wsp:rsid wsp:val=&quot;4A9D518C&quot;/&gt;&lt;wsp:rsid wsp:val=&quot;4A9D52F4&quot;/&gt;&lt;wsp:rsid wsp:val=&quot;4A9F106C&quot;/&gt;&lt;wsp:rsid wsp:val=&quot;4AA07E96&quot;/&gt;&lt;wsp:rsid wsp:val=&quot;4AA85A47&quot;/&gt;&lt;wsp:rsid wsp:val=&quot;4AA91EEB&quot;/&gt;&lt;wsp:rsid wsp:val=&quot;4AAA17BF&quot;/&gt;&lt;wsp:rsid wsp:val=&quot;4AAA5C63&quot;/&gt;&lt;wsp:rsid wsp:val=&quot;4AAA7A11&quot;/&gt;&lt;wsp:rsid wsp:val=&quot;4AAF5028&quot;/&gt;&lt;wsp:rsid wsp:val=&quot;4AB12B4E&quot;/&gt;&lt;wsp:rsid wsp:val=&quot;4AB35907&quot;/&gt;&lt;wsp:rsid wsp:val=&quot;4AB44DF5&quot;/&gt;&lt;wsp:rsid wsp:val=&quot;4AB62678&quot;/&gt;&lt;wsp:rsid wsp:val=&quot;4AB750AA&quot;/&gt;&lt;wsp:rsid wsp:val=&quot;4AB8212E&quot;/&gt;&lt;wsp:rsid wsp:val=&quot;4ABB1C1E&quot;/&gt;&lt;wsp:rsid wsp:val=&quot;4ABD5996&quot;/&gt;&lt;wsp:rsid wsp:val=&quot;4ABE526B&quot;/&gt;&lt;wsp:rsid wsp:val=&quot;4AC24CA3&quot;/&gt;&lt;wsp:rsid wsp:val=&quot;4AC26B09&quot;/&gt;&lt;wsp:rsid wsp:val=&quot;4AC30B46&quot;/&gt;&lt;wsp:rsid wsp:val=&quot;4AC44249&quot;/&gt;&lt;wsp:rsid wsp:val=&quot;4AC5484B&quot;/&gt;&lt;wsp:rsid wsp:val=&quot;4AC72371&quot;/&gt;&lt;wsp:rsid wsp:val=&quot;4AC7411F&quot;/&gt;&lt;wsp:rsid wsp:val=&quot;4AC9433B&quot;/&gt;&lt;wsp:rsid wsp:val=&quot;4ACA3627&quot;/&gt;&lt;wsp:rsid wsp:val=&quot;4ACA3C0F&quot;/&gt;&lt;wsp:rsid wsp:val=&quot;4ACE54AE&quot;/&gt;&lt;wsp:rsid wsp:val=&quot;4ACE56FC&quot;/&gt;&lt;wsp:rsid wsp:val=&quot;4ACF1226&quot;/&gt;&lt;wsp:rsid wsp:val=&quot;4ACF7478&quot;/&gt;&lt;wsp:rsid wsp:val=&quot;4AD11442&quot;/&gt;&lt;wsp:rsid wsp:val=&quot;4AD131F0&quot;/&gt;&lt;wsp:rsid wsp:val=&quot;4AD36F68&quot;/&gt;&lt;wsp:rsid wsp:val=&quot;4AD4683C&quot;/&gt;&lt;wsp:rsid wsp:val=&quot;4AD52CE0&quot;/&gt;&lt;wsp:rsid wsp:val=&quot;4AD60806&quot;/&gt;&lt;wsp:rsid wsp:val=&quot;4AD66A58&quot;/&gt;&lt;wsp:rsid wsp:val=&quot;4AD93E52&quot;/&gt;&lt;wsp:rsid wsp:val=&quot;4ADA02F6&quot;/&gt;&lt;wsp:rsid wsp:val=&quot;4ADB406F&quot;/&gt;&lt;wsp:rsid wsp:val=&quot;4ADB414F&quot;/&gt;&lt;wsp:rsid wsp:val=&quot;4ADB7BCB&quot;/&gt;&lt;wsp:rsid wsp:val=&quot;4ADD7DE7&quot;/&gt;&lt;wsp:rsid wsp:val=&quot;4ADF3B5F&quot;/&gt;&lt;wsp:rsid wsp:val=&quot;4AE178D7&quot;/&gt;&lt;wsp:rsid wsp:val=&quot;4AE253FD&quot;/&gt;&lt;wsp:rsid wsp:val=&quot;4AE271AB&quot;/&gt;&lt;wsp:rsid wsp:val=&quot;4AE30FC1&quot;/&gt;&lt;wsp:rsid wsp:val=&quot;4AE3378D&quot;/&gt;&lt;wsp:rsid wsp:val=&quot;4AE42F23&quot;/&gt;&lt;wsp:rsid wsp:val=&quot;4AE46501&quot;/&gt;&lt;wsp:rsid wsp:val=&quot;4AE50A49&quot;/&gt;&lt;wsp:rsid wsp:val=&quot;4AE95F80&quot;/&gt;&lt;wsp:rsid wsp:val=&quot;4AE9678B&quot;/&gt;&lt;wsp:rsid wsp:val=&quot;4AEC002A&quot;/&gt;&lt;wsp:rsid wsp:val=&quot;4AEC627C&quot;/&gt;&lt;wsp:rsid wsp:val=&quot;4AEE3DA2&quot;/&gt;&lt;wsp:rsid wsp:val=&quot;4AF01215&quot;/&gt;&lt;wsp:rsid wsp:val=&quot;4AF02D41&quot;/&gt;&lt;wsp:rsid wsp:val=&quot;4AF15640&quot;/&gt;&lt;wsp:rsid wsp:val=&quot;4AF561A9&quot;/&gt;&lt;wsp:rsid wsp:val=&quot;4AF56EDE&quot;/&gt;&lt;wsp:rsid wsp:val=&quot;4AF6582B&quot;/&gt;&lt;wsp:rsid wsp:val=&quot;4AFC5895&quot;/&gt;&lt;wsp:rsid wsp:val=&quot;4AFC5CB6&quot;/&gt;&lt;wsp:rsid wsp:val=&quot;4AFD5D93&quot;/&gt;&lt;wsp:rsid wsp:val=&quot;4AFF7D5D&quot;/&gt;&lt;wsp:rsid wsp:val=&quot;4B00194F&quot;/&gt;&lt;wsp:rsid wsp:val=&quot;4B005883&quot;/&gt;&lt;wsp:rsid wsp:val=&quot;4B02784D&quot;/&gt;&lt;wsp:rsid wsp:val=&quot;4B040C90&quot;/&gt;&lt;wsp:rsid wsp:val=&quot;4B052E99&quot;/&gt;&lt;wsp:rsid wsp:val=&quot;4B06387A&quot;/&gt;&lt;wsp:rsid wsp:val=&quot;4B06733D&quot;/&gt;&lt;wsp:rsid wsp:val=&quot;4B07380E&quot;/&gt;&lt;wsp:rsid wsp:val=&quot;4B076C12&quot;/&gt;&lt;wsp:rsid wsp:val=&quot;4B090429&quot;/&gt;&lt;wsp:rsid wsp:val=&quot;4B094738&quot;/&gt;&lt;wsp:rsid wsp:val=&quot;4B0B1F4A&quot;/&gt;&lt;wsp:rsid wsp:val=&quot;4B0B4954&quot;/&gt;&lt;wsp:rsid wsp:val=&quot;4B0C247A&quot;/&gt;&lt;wsp:rsid wsp:val=&quot;4B0C3F0F&quot;/&gt;&lt;wsp:rsid wsp:val=&quot;4B0F492C&quot;/&gt;&lt;wsp:rsid wsp:val=&quot;4B105AC6&quot;/&gt;&lt;wsp:rsid wsp:val=&quot;4B11183E&quot;/&gt;&lt;wsp:rsid wsp:val=&quot;4B125CE2&quot;/&gt;&lt;wsp:rsid wsp:val=&quot;4B137364&quot;/&gt;&lt;wsp:rsid wsp:val=&quot;4B15132F&quot;/&gt;&lt;wsp:rsid wsp:val=&quot;4B161CE4&quot;/&gt;&lt;wsp:rsid wsp:val=&quot;4B1650A7&quot;/&gt;&lt;wsp:rsid wsp:val=&quot;4B1732F9&quot;/&gt;&lt;wsp:rsid wsp:val=&quot;4B185C8F&quot;/&gt;&lt;wsp:rsid wsp:val=&quot;4B1B446B&quot;/&gt;&lt;wsp:rsid wsp:val=&quot;4B1C090F&quot;/&gt;&lt;wsp:rsid wsp:val=&quot;4B1D6435&quot;/&gt;&lt;wsp:rsid wsp:val=&quot;4B1E1B01&quot;/&gt;&lt;wsp:rsid wsp:val=&quot;4B1F3F5B&quot;/&gt;&lt;wsp:rsid wsp:val=&quot;4B1F5D09&quot;/&gt;&lt;wsp:rsid wsp:val=&quot;4B1F69A1&quot;/&gt;&lt;wsp:rsid wsp:val=&quot;4B201A81&quot;/&gt;&lt;wsp:rsid wsp:val=&quot;4B215F25&quot;/&gt;&lt;wsp:rsid wsp:val=&quot;4B21711C&quot;/&gt;&lt;wsp:rsid wsp:val=&quot;4B217CD3&quot;/&gt;&lt;wsp:rsid wsp:val=&quot;4B2257F9&quot;/&gt;&lt;wsp:rsid wsp:val=&quot;4B245A16&quot;/&gt;&lt;wsp:rsid wsp:val=&quot;4B2477C4&quot;/&gt;&lt;wsp:rsid wsp:val=&quot;4B272E10&quot;/&gt;&lt;wsp:rsid wsp:val=&quot;4B29302C&quot;/&gt;&lt;wsp:rsid wsp:val=&quot;4B294DDA&quot;/&gt;&lt;wsp:rsid wsp:val=&quot;4B2B0B52&quot;/&gt;&lt;wsp:rsid wsp:val=&quot;4B2B6DA4&quot;/&gt;&lt;wsp:rsid wsp:val=&quot;4B2C0426&quot;/&gt;&lt;wsp:rsid wsp:val=&quot;4B2E23F0&quot;/&gt;&lt;wsp:rsid wsp:val=&quot;4B30713C&quot;/&gt;&lt;wsp:rsid wsp:val=&quot;4B3122A9&quot;/&gt;&lt;wsp:rsid wsp:val=&quot;4B325ABF&quot;/&gt;&lt;wsp:rsid wsp:val=&quot;4B3317B5&quot;/&gt;&lt;wsp:rsid wsp:val=&quot;4B33365D&quot;/&gt;&lt;wsp:rsid wsp:val=&quot;4B3519D1&quot;/&gt;&lt;wsp:rsid wsp:val=&quot;4B386DCB&quot;/&gt;&lt;wsp:rsid wsp:val=&quot;4B3A2B43&quot;/&gt;&lt;wsp:rsid wsp:val=&quot;4B3A3171&quot;/&gt;&lt;wsp:rsid wsp:val=&quot;4B3B68BB&quot;/&gt;&lt;wsp:rsid wsp:val=&quot;4B3D6AD7&quot;/&gt;&lt;wsp:rsid wsp:val=&quot;4B3F0E3A&quot;/&gt;&lt;wsp:rsid wsp:val=&quot;4B3F63AB&quot;/&gt;&lt;wsp:rsid wsp:val=&quot;4B412124&quot;/&gt;&lt;wsp:rsid wsp:val=&quot;4B413ED2&quot;/&gt;&lt;wsp:rsid wsp:val=&quot;4B4277BB&quot;/&gt;&lt;wsp:rsid wsp:val=&quot;4B4439C2&quot;/&gt;&lt;wsp:rsid wsp:val=&quot;4B45356B&quot;/&gt;&lt;wsp:rsid wsp:val=&quot;4B46773A&quot;/&gt;&lt;wsp:rsid wsp:val=&quot;4B4734B2&quot;/&gt;&lt;wsp:rsid wsp:val=&quot;4B475260&quot;/&gt;&lt;wsp:rsid wsp:val=&quot;4B4926F7&quot;/&gt;&lt;wsp:rsid wsp:val=&quot;4B49547C&quot;/&gt;&lt;wsp:rsid wsp:val=&quot;4B49722A&quot;/&gt;&lt;wsp:rsid wsp:val=&quot;4B4B2FA2&quot;/&gt;&lt;wsp:rsid wsp:val=&quot;4B4B4D50&quot;/&gt;&lt;wsp:rsid wsp:val=&quot;4B4C0598&quot;/&gt;&lt;wsp:rsid wsp:val=&quot;4B4D6D1A&quot;/&gt;&lt;wsp:rsid wsp:val=&quot;4B4E2A92&quot;/&gt;&lt;wsp:rsid wsp:val=&quot;4B4E47C2&quot;/&gt;&lt;wsp:rsid wsp:val=&quot;4B4E65EF&quot;/&gt;&lt;wsp:rsid wsp:val=&quot;4B501DBF&quot;/&gt;&lt;wsp:rsid wsp:val=&quot;4B504362&quot;/&gt;&lt;wsp:rsid wsp:val=&quot;4B5160DF&quot;/&gt;&lt;wsp:rsid wsp:val=&quot;4B517E8D&quot;/&gt;&lt;wsp:rsid wsp:val=&quot;4B553060&quot;/&gt;&lt;wsp:rsid wsp:val=&quot;4B577B99&quot;/&gt;&lt;wsp:rsid wsp:val=&quot;4B5A1437&quot;/&gt;&lt;wsp:rsid wsp:val=&quot;4B5A158C&quot;/&gt;&lt;wsp:rsid wsp:val=&quot;4B5A31E5&quot;/&gt;&lt;wsp:rsid wsp:val=&quot;4B5A4F93&quot;/&gt;&lt;wsp:rsid wsp:val=&quot;4B5C0462&quot;/&gt;&lt;wsp:rsid wsp:val=&quot;4B5D43C3&quot;/&gt;&lt;wsp:rsid wsp:val=&quot;4B5E0F27&quot;/&gt;&lt;wsp:rsid wsp:val=&quot;4B5E27BB&quot;/&gt;&lt;wsp:rsid wsp:val=&quot;4B5F07FC&quot;/&gt;&lt;wsp:rsid wsp:val=&quot;4B5F25AA&quot;/&gt;&lt;wsp:rsid wsp:val=&quot;4B5F4CCF&quot;/&gt;&lt;wsp:rsid wsp:val=&quot;4B5F6A4E&quot;/&gt;&lt;wsp:rsid wsp:val=&quot;4B6422B6&quot;/&gt;&lt;wsp:rsid wsp:val=&quot;4B645E12&quot;/&gt;&lt;wsp:rsid wsp:val=&quot;4B661B8A&quot;/&gt;&lt;wsp:rsid wsp:val=&quot;4B685902&quot;/&gt;&lt;wsp:rsid wsp:val=&quot;4B690F9E&quot;/&gt;&lt;wsp:rsid wsp:val=&quot;4B6978CC&quot;/&gt;&lt;wsp:rsid wsp:val=&quot;4B6C2A28&quot;/&gt;&lt;wsp:rsid wsp:val=&quot;4B6E6C91&quot;/&gt;&lt;wsp:rsid wsp:val=&quot;4B700C5B&quot;/&gt;&lt;wsp:rsid wsp:val=&quot;4B702839&quot;/&gt;&lt;wsp:rsid wsp:val=&quot;4B713CC9&quot;/&gt;&lt;wsp:rsid wsp:val=&quot;4B720F60&quot;/&gt;&lt;wsp:rsid wsp:val=&quot;4B726781&quot;/&gt;&lt;wsp:rsid wsp:val=&quot;4B731338&quot;/&gt;&lt;wsp:rsid wsp:val=&quot;4B75001F&quot;/&gt;&lt;wsp:rsid wsp:val=&quot;4B771FE9&quot;/&gt;&lt;wsp:rsid wsp:val=&quot;4B773D97&quot;/&gt;&lt;wsp:rsid wsp:val=&quot;4B775B45&quot;/&gt;&lt;wsp:rsid wsp:val=&quot;4B7763FA&quot;/&gt;&lt;wsp:rsid wsp:val=&quot;4B7818BD&quot;/&gt;&lt;wsp:rsid wsp:val=&quot;4B7A5635&quot;/&gt;&lt;wsp:rsid wsp:val=&quot;4B7C315C&quot;/&gt;&lt;wsp:rsid wsp:val=&quot;4B7D0C82&quot;/&gt;&lt;wsp:rsid wsp:val=&quot;4B7D6ED4&quot;/&gt;&lt;wsp:rsid wsp:val=&quot;4B7E5126&quot;/&gt;&lt;wsp:rsid wsp:val=&quot;4B7F0E9E&quot;/&gt;&lt;wsp:rsid wsp:val=&quot;4B7F49FA&quot;/&gt;&lt;wsp:rsid wsp:val=&quot;4B802B6C&quot;/&gt;&lt;wsp:rsid wsp:val=&quot;4B814C16&quot;/&gt;&lt;wsp:rsid wsp:val=&quot;4B8169C4&quot;/&gt;&lt;wsp:rsid wsp:val=&quot;4B840262&quot;/&gt;&lt;wsp:rsid wsp:val=&quot;4B840CAF&quot;/&gt;&lt;wsp:rsid wsp:val=&quot;4B865D88&quot;/&gt;&lt;wsp:rsid wsp:val=&quot;4B87246A&quot;/&gt;&lt;wsp:rsid wsp:val=&quot;4B8767C0&quot;/&gt;&lt;wsp:rsid wsp:val=&quot;4B877630&quot;/&gt;&lt;wsp:rsid wsp:val=&quot;4B885FA4&quot;/&gt;&lt;wsp:rsid wsp:val=&quot;4B887D52&quot;/&gt;&lt;wsp:rsid wsp:val=&quot;4B896A9B&quot;/&gt;&lt;wsp:rsid wsp:val=&quot;4B8A1D1C&quot;/&gt;&lt;wsp:rsid wsp:val=&quot;4B8B7843&quot;/&gt;&lt;wsp:rsid wsp:val=&quot;4B8E10E1&quot;/&gt;&lt;wsp:rsid wsp:val=&quot;4B8F4681&quot;/&gt;&lt;wsp:rsid wsp:val=&quot;4B8F7333&quot;/&gt;&lt;wsp:rsid wsp:val=&quot;4B92297F&quot;/&gt;&lt;wsp:rsid wsp:val=&quot;4B92472D&quot;/&gt;&lt;wsp:rsid wsp:val=&quot;4B9366F7&quot;/&gt;&lt;wsp:rsid wsp:val=&quot;4B941C34&quot;/&gt;&lt;wsp:rsid wsp:val=&quot;4B944949&quot;/&gt;&lt;wsp:rsid wsp:val=&quot;4B95421D&quot;/&gt;&lt;wsp:rsid wsp:val=&quot;4B971D44&quot;/&gt;&lt;wsp:rsid wsp:val=&quot;4B9761E7&quot;/&gt;&lt;wsp:rsid wsp:val=&quot;4B983D0E&quot;/&gt;&lt;wsp:rsid wsp:val=&quot;4B985ABC&quot;/&gt;&lt;wsp:rsid wsp:val=&quot;4B99071D&quot;/&gt;&lt;wsp:rsid wsp:val=&quot;4B991F60&quot;/&gt;&lt;wsp:rsid wsp:val=&quot;4B9A5CD8&quot;/&gt;&lt;wsp:rsid wsp:val=&quot;4B9C1A50&quot;/&gt;&lt;wsp:rsid wsp:val=&quot;4B9E1324&quot;/&gt;&lt;wsp:rsid wsp:val=&quot;4BA17066&quot;/&gt;&lt;wsp:rsid wsp:val=&quot;4BA206E8&quot;/&gt;&lt;wsp:rsid wsp:val=&quot;4BA21C67&quot;/&gt;&lt;wsp:rsid wsp:val=&quot;4BA33D39&quot;/&gt;&lt;wsp:rsid wsp:val=&quot;4BA40904&quot;/&gt;&lt;wsp:rsid wsp:val=&quot;4BA44460&quot;/&gt;&lt;wsp:rsid wsp:val=&quot;4BA52BB9&quot;/&gt;&lt;wsp:rsid wsp:val=&quot;4BA71C39&quot;/&gt;&lt;wsp:rsid wsp:val=&quot;4BA821A3&quot;/&gt;&lt;wsp:rsid wsp:val=&quot;4BA9153A&quot;/&gt;&lt;wsp:rsid wsp:val=&quot;4BA91A77&quot;/&gt;&lt;wsp:rsid wsp:val=&quot;4BA91AAB&quot;/&gt;&lt;wsp:rsid wsp:val=&quot;4BA970E3&quot;/&gt;&lt;wsp:rsid wsp:val=&quot;4BAD5EA2&quot;/&gt;&lt;wsp:rsid wsp:val=&quot;4BB02E05&quot;/&gt;&lt;wsp:rsid wsp:val=&quot;4BB30498&quot;/&gt;&lt;wsp:rsid wsp:val=&quot;4BB46D99&quot;/&gt;&lt;wsp:rsid wsp:val=&quot;4BB5511B&quot;/&gt;&lt;wsp:rsid wsp:val=&quot;4BB723E6&quot;/&gt;&lt;wsp:rsid wsp:val=&quot;4BB943B0&quot;/&gt;&lt;wsp:rsid wsp:val=&quot;4BBA1ED6&quot;/&gt;&lt;wsp:rsid wsp:val=&quot;4BBB2839&quot;/&gt;&lt;wsp:rsid wsp:val=&quot;4BBC369E&quot;/&gt;&lt;wsp:rsid wsp:val=&quot;4BBC79FC&quot;/&gt;&lt;wsp:rsid wsp:val=&quot;4BBF129A&quot;/&gt;&lt;wsp:rsid wsp:val=&quot;4BC114B6&quot;/&gt;&lt;wsp:rsid wsp:val=&quot;4BC13264&quot;/&gt;&lt;wsp:rsid wsp:val=&quot;4BC23325&quot;/&gt;&lt;wsp:rsid wsp:val=&quot;4BC44B03&quot;/&gt;&lt;wsp:rsid wsp:val=&quot;4BC52D55&quot;/&gt;&lt;wsp:rsid wsp:val=&quot;4BC61BE3&quot;/&gt;&lt;wsp:rsid wsp:val=&quot;4BC66ACD&quot;/&gt;&lt;wsp:rsid wsp:val=&quot;4BC82845&quot;/&gt;&lt;wsp:rsid wsp:val=&quot;4BCD39B7&quot;/&gt;&lt;wsp:rsid wsp:val=&quot;4BCE772F&quot;/&gt;&lt;wsp:rsid wsp:val=&quot;4BCF3BD3&quot;/&gt;&lt;wsp:rsid wsp:val=&quot;4BCF5981&quot;/&gt;&lt;wsp:rsid wsp:val=&quot;4BD016F9&quot;/&gt;&lt;wsp:rsid wsp:val=&quot;4BD034A7&quot;/&gt;&lt;wsp:rsid wsp:val=&quot;4BD25472&quot;/&gt;&lt;wsp:rsid wsp:val=&quot;4BD27220&quot;/&gt;&lt;wsp:rsid wsp:val=&quot;4BD411EA&quot;/&gt;&lt;wsp:rsid wsp:val=&quot;4BD55C61&quot;/&gt;&lt;wsp:rsid wsp:val=&quot;4BD72E77&quot;/&gt;&lt;wsp:rsid wsp:val=&quot;4BD76182&quot;/&gt;&lt;wsp:rsid wsp:val=&quot;4BDB2578&quot;/&gt;&lt;wsp:rsid wsp:val=&quot;4BDC1E4C&quot;/&gt;&lt;wsp:rsid wsp:val=&quot;4BDC3BFA&quot;/&gt;&lt;wsp:rsid wsp:val=&quot;4BDD789B&quot;/&gt;&lt;wsp:rsid wsp:val=&quot;4BDE0179&quot;/&gt;&lt;wsp:rsid wsp:val=&quot;4BE13124&quot;/&gt;&lt;wsp:rsid wsp:val=&quot;4BE156B5&quot;/&gt;&lt;wsp:rsid wsp:val=&quot;4BE16C8F&quot;/&gt;&lt;wsp:rsid wsp:val=&quot;4BE3142D&quot;/&gt;&lt;wsp:rsid wsp:val=&quot;4BE331DB&quot;/&gt;&lt;wsp:rsid wsp:val=&quot;4BE34F89&quot;/&gt;&lt;wsp:rsid wsp:val=&quot;4BE551A5&quot;/&gt;&lt;wsp:rsid wsp:val=&quot;4BE5547B&quot;/&gt;&lt;wsp:rsid wsp:val=&quot;4BE60F1D&quot;/&gt;&lt;wsp:rsid wsp:val=&quot;4BE807F1&quot;/&gt;&lt;wsp:rsid wsp:val=&quot;4BE8259F&quot;/&gt;&lt;wsp:rsid wsp:val=&quot;4BE86A43&quot;/&gt;&lt;wsp:rsid wsp:val=&quot;4BE965B6&quot;/&gt;&lt;wsp:rsid wsp:val=&quot;4BEA6BAD&quot;/&gt;&lt;wsp:rsid wsp:val=&quot;4BEB02E1&quot;/&gt;&lt;wsp:rsid wsp:val=&quot;4BEB208F&quot;/&gt;&lt;wsp:rsid wsp:val=&quot;4BEC2AF7&quot;/&gt;&lt;wsp:rsid wsp:val=&quot;4BED22AB&quot;/&gt;&lt;wsp:rsid wsp:val=&quot;4BED5E07&quot;/&gt;&lt;wsp:rsid wsp:val=&quot;4BEF7DD1&quot;/&gt;&lt;wsp:rsid wsp:val=&quot;4BF2341E&quot;/&gt;&lt;wsp:rsid wsp:val=&quot;4BF40CCA&quot;/&gt;&lt;wsp:rsid wsp:val=&quot;4BF43ADF&quot;/&gt;&lt;wsp:rsid wsp:val=&quot;4BF61160&quot;/&gt;&lt;wsp:rsid wsp:val=&quot;4BF663FF&quot;/&gt;&lt;wsp:rsid wsp:val=&quot;4BF70A34&quot;/&gt;&lt;wsp:rsid wsp:val=&quot;4BF9178D&quot;/&gt;&lt;wsp:rsid wsp:val=&quot;4BF929FE&quot;/&gt;&lt;wsp:rsid wsp:val=&quot;4BF947AC&quot;/&gt;&lt;wsp:rsid wsp:val=&quot;4BFA0524&quot;/&gt;&lt;wsp:rsid wsp:val=&quot;4BFA22D2&quot;/&gt;&lt;wsp:rsid wsp:val=&quot;4BFB6776&quot;/&gt;&lt;wsp:rsid wsp:val=&quot;4BFC29D2&quot;/&gt;&lt;wsp:rsid wsp:val=&quot;4BFF74B1&quot;/&gt;&lt;wsp:rsid wsp:val=&quot;4C001FDF&quot;/&gt;&lt;wsp:rsid wsp:val=&quot;4C013661&quot;/&gt;&lt;wsp:rsid wsp:val=&quot;4C017B05&quot;/&gt;&lt;wsp:rsid wsp:val=&quot;4C021DCA&quot;/&gt;&lt;wsp:rsid wsp:val=&quot;4C03387D&quot;/&gt;&lt;wsp:rsid wsp:val=&quot;4C03562B&quot;/&gt;&lt;wsp:rsid wsp:val=&quot;4C043151&quot;/&gt;&lt;wsp:rsid wsp:val=&quot;4C047F21&quot;/&gt;&lt;wsp:rsid wsp:val=&quot;4C0513A3&quot;/&gt;&lt;wsp:rsid wsp:val=&quot;4C0575F5&quot;/&gt;&lt;wsp:rsid wsp:val=&quot;4C066EC9&quot;/&gt;&lt;wsp:rsid wsp:val=&quot;4C075C03&quot;/&gt;&lt;wsp:rsid wsp:val=&quot;4C082C41&quot;/&gt;&lt;wsp:rsid wsp:val=&quot;4C0849EF&quot;/&gt;&lt;wsp:rsid wsp:val=&quot;4C0A5D05&quot;/&gt;&lt;wsp:rsid wsp:val=&quot;4C0A69B9&quot;/&gt;&lt;wsp:rsid wsp:val=&quot;4C0B44E0&quot;/&gt;&lt;wsp:rsid wsp:val=&quot;4C0D0258&quot;/&gt;&lt;wsp:rsid wsp:val=&quot;4C0D2006&quot;/&gt;&lt;wsp:rsid wsp:val=&quot;4C0F06E7&quot;/&gt;&lt;wsp:rsid wsp:val=&quot;4C1118B9&quot;/&gt;&lt;wsp:rsid wsp:val=&quot;4C123AC0&quot;/&gt;&lt;wsp:rsid wsp:val=&quot;4C15710C&quot;/&gt;&lt;wsp:rsid wsp:val=&quot;4C166E79&quot;/&gt;&lt;wsp:rsid wsp:val=&quot;4C1C493F&quot;/&gt;&lt;wsp:rsid wsp:val=&quot;4C1D417B&quot;/&gt;&lt;wsp:rsid wsp:val=&quot;4C213D03&quot;/&gt;&lt;wsp:rsid wsp:val=&quot;4C22541C&quot;/&gt;&lt;wsp:rsid wsp:val=&quot;4C231829&quot;/&gt;&lt;wsp:rsid wsp:val=&quot;4C2537F3&quot;/&gt;&lt;wsp:rsid wsp:val=&quot;4C26756B&quot;/&gt;&lt;wsp:rsid wsp:val=&quot;4C2757BD&quot;/&gt;&lt;wsp:rsid wsp:val=&quot;4C2B2638&quot;/&gt;&lt;wsp:rsid wsp:val=&quot;4C2B6930&quot;/&gt;&lt;wsp:rsid wsp:val=&quot;4C2B7D90&quot;/&gt;&lt;wsp:rsid wsp:val=&quot;4C2D08FA&quot;/&gt;&lt;wsp:rsid wsp:val=&quot;4C2D26A8&quot;/&gt;&lt;wsp:rsid wsp:val=&quot;4C2F6420&quot;/&gt;&lt;wsp:rsid wsp:val=&quot;4C312198&quot;/&gt;&lt;wsp:rsid wsp:val=&quot;4C32762D&quot;/&gt;&lt;wsp:rsid wsp:val=&quot;4C327CBE&quot;/&gt;&lt;wsp:rsid wsp:val=&quot;4C350CC1&quot;/&gt;&lt;wsp:rsid wsp:val=&quot;4C35155C&quot;/&gt;&lt;wsp:rsid wsp:val=&quot;4C386A69&quot;/&gt;&lt;wsp:rsid wsp:val=&quot;4C3954F1&quot;/&gt;&lt;wsp:rsid wsp:val=&quot;4C39729F&quot;/&gt;&lt;wsp:rsid wsp:val=&quot;4C3A4136&quot;/&gt;&lt;wsp:rsid wsp:val=&quot;4C3B4DC5&quot;/&gt;&lt;wsp:rsid wsp:val=&quot;4C3D7453&quot;/&gt;&lt;wsp:rsid wsp:val=&quot;4C3E48B5&quot;/&gt;&lt;wsp:rsid wsp:val=&quot;4C3F4944&quot;/&gt;&lt;wsp:rsid wsp:val=&quot;4C420F31&quot;/&gt;&lt;wsp:rsid wsp:val=&quot;4C4243A5&quot;/&gt;&lt;wsp:rsid wsp:val=&quot;4C42674D&quot;/&gt;&lt;wsp:rsid wsp:val=&quot;4C453E95&quot;/&gt;&lt;wsp:rsid wsp:val=&quot;4C4579F1&quot;/&gt;&lt;wsp:rsid wsp:val=&quot;4C4719BC&quot;/&gt;&lt;wsp:rsid wsp:val=&quot;4C481290&quot;/&gt;&lt;wsp:rsid wsp:val=&quot;4C487137&quot;/&gt;&lt;wsp:rsid wsp:val=&quot;4C4874E2&quot;/&gt;&lt;wsp:rsid wsp:val=&quot;4C4905C7&quot;/&gt;&lt;wsp:rsid wsp:val=&quot;4C4A0649&quot;/&gt;&lt;wsp:rsid wsp:val=&quot;4C4A5008&quot;/&gt;&lt;wsp:rsid wsp:val=&quot;4C4C4C60&quot;/&gt;&lt;wsp:rsid wsp:val=&quot;4C4C5224&quot;/&gt;&lt;wsp:rsid wsp:val=&quot;4C4C6FD2&quot;/&gt;&lt;wsp:rsid wsp:val=&quot;4C4D2D4A&quot;/&gt;&lt;wsp:rsid wsp:val=&quot;4C5145E8&quot;/&gt;&lt;wsp:rsid wsp:val=&quot;4C520360&quot;/&gt;&lt;wsp:rsid wsp:val=&quot;4C52192A&quot;/&gt;&lt;wsp:rsid wsp:val=&quot;4C545E87&quot;/&gt;&lt;wsp:rsid wsp:val=&quot;4C583BC9&quot;/&gt;&lt;wsp:rsid wsp:val=&quot;4C59524B&quot;/&gt;&lt;wsp:rsid wsp:val=&quot;4C5B0FC3&quot;/&gt;&lt;wsp:rsid wsp:val=&quot;4C5C30FA&quot;/&gt;&lt;wsp:rsid wsp:val=&quot;4C5C4D3B&quot;/&gt;&lt;wsp:rsid wsp:val=&quot;4C5D389F&quot;/&gt;&lt;wsp:rsid wsp:val=&quot;4C5E0AB3&quot;/&gt;&lt;wsp:rsid wsp:val=&quot;4C60511C&quot;/&gt;&lt;wsp:rsid wsp:val=&quot;4C612351&quot;/&gt;&lt;wsp:rsid wsp:val=&quot;4C61684E&quot;/&gt;&lt;wsp:rsid wsp:val=&quot;4C6351FA&quot;/&gt;&lt;wsp:rsid wsp:val=&quot;4C6360CA&quot;/&gt;&lt;wsp:rsid wsp:val=&quot;4C653BF0&quot;/&gt;&lt;wsp:rsid wsp:val=&quot;4C6629F9&quot;/&gt;&lt;wsp:rsid wsp:val=&quot;4C667968&quot;/&gt;&lt;wsp:rsid wsp:val=&quot;4C675BBA&quot;/&gt;&lt;wsp:rsid wsp:val=&quot;4C681932&quot;/&gt;&lt;wsp:rsid wsp:val=&quot;4C6836E0&quot;/&gt;&lt;wsp:rsid wsp:val=&quot;4C6875C8&quot;/&gt;&lt;wsp:rsid wsp:val=&quot;4C697BB1&quot;/&gt;&lt;wsp:rsid wsp:val=&quot;4C6A1A89&quot;/&gt;&lt;wsp:rsid wsp:val=&quot;4C6A38FC&quot;/&gt;&lt;wsp:rsid wsp:val=&quot;4C6A56AA&quot;/&gt;&lt;wsp:rsid wsp:val=&quot;4C6B6D2A&quot;/&gt;&lt;wsp:rsid wsp:val=&quot;4C6D6718&quot;/&gt;&lt;wsp:rsid wsp:val=&quot;4C6D75CC&quot;/&gt;&lt;wsp:rsid wsp:val=&quot;4C6F66CA&quot;/&gt;&lt;wsp:rsid wsp:val=&quot;4C7072A9&quot;/&gt;&lt;wsp:rsid wsp:val=&quot;4C7107E7&quot;/&gt;&lt;wsp:rsid wsp:val=&quot;4C716343&quot;/&gt;&lt;wsp:rsid wsp:val=&quot;4C7223A4&quot;/&gt;&lt;wsp:rsid wsp:val=&quot;4C72455F&quot;/&gt;&lt;wsp:rsid wsp:val=&quot;4C7327B1&quot;/&gt;&lt;wsp:rsid wsp:val=&quot;4C7402D7&quot;/&gt;&lt;wsp:rsid wsp:val=&quot;4C746529&quot;/&gt;&lt;wsp:rsid wsp:val=&quot;4C755810&quot;/&gt;&lt;wsp:rsid wsp:val=&quot;4C765DFD&quot;/&gt;&lt;wsp:rsid wsp:val=&quot;4C771B75&quot;/&gt;&lt;wsp:rsid wsp:val=&quot;4C787DC7&quot;/&gt;&lt;wsp:rsid wsp:val=&quot;4C7C3456&quot;/&gt;&lt;wsp:rsid wsp:val=&quot;4C7C718B&quot;/&gt;&lt;wsp:rsid wsp:val=&quot;4C7D53DD&quot;/&gt;&lt;wsp:rsid wsp:val=&quot;4C7E1155&quot;/&gt;&lt;wsp:rsid wsp:val=&quot;4C7E5ECA&quot;/&gt;&lt;wsp:rsid wsp:val=&quot;4C800A2A&quot;/&gt;&lt;wsp:rsid wsp:val=&quot;4C8229F4&quot;/&gt;&lt;wsp:rsid wsp:val=&quot;4C83051A&quot;/&gt;&lt;wsp:rsid wsp:val=&quot;4C830758&quot;/&gt;&lt;wsp:rsid wsp:val=&quot;4C83676C&quot;/&gt;&lt;wsp:rsid wsp:val=&quot;4C846497&quot;/&gt;&lt;wsp:rsid wsp:val=&quot;4C8524E4&quot;/&gt;&lt;wsp:rsid wsp:val=&quot;4C876AA5&quot;/&gt;&lt;wsp:rsid wsp:val=&quot;4C885B30&quot;/&gt;&lt;wsp:rsid wsp:val=&quot;4C8A18A8&quot;/&gt;&lt;wsp:rsid wsp:val=&quot;4C8A5D4C&quot;/&gt;&lt;wsp:rsid wsp:val=&quot;4C8C5620&quot;/&gt;&lt;wsp:rsid wsp:val=&quot;4C8C73CE&quot;/&gt;&lt;wsp:rsid wsp:val=&quot;4C8D1398&quot;/&gt;&lt;wsp:rsid wsp:val=&quot;4C8E1C01&quot;/&gt;&lt;wsp:rsid wsp:val=&quot;4C8E6385&quot;/&gt;&lt;wsp:rsid wsp:val=&quot;4C8E75EA&quot;/&gt;&lt;wsp:rsid wsp:val=&quot;4C8F3363&quot;/&gt;&lt;wsp:rsid wsp:val=&quot;4C8F5111&quot;/&gt;&lt;wsp:rsid wsp:val=&quot;4C910CDE&quot;/&gt;&lt;wsp:rsid wsp:val=&quot;4C912C37&quot;/&gt;&lt;wsp:rsid wsp:val=&quot;4C9149E5&quot;/&gt;&lt;wsp:rsid wsp:val=&quot;4C92075D&quot;/&gt;&lt;wsp:rsid wsp:val=&quot;4C96451A&quot;/&gt;&lt;wsp:rsid wsp:val=&quot;4C982217&quot;/&gt;&lt;wsp:rsid wsp:val=&quot;4C98712A&quot;/&gt;&lt;wsp:rsid wsp:val=&quot;4C9946C1&quot;/&gt;&lt;wsp:rsid wsp:val=&quot;4C9954BD&quot;/&gt;&lt;wsp:rsid wsp:val=&quot;4C995F8F&quot;/&gt;&lt;wsp:rsid wsp:val=&quot;4C9D782D&quot;/&gt;&lt;wsp:rsid wsp:val=&quot;4C9E5354&quot;/&gt;&lt;wsp:rsid wsp:val=&quot;4CA23096&quot;/&gt;&lt;wsp:rsid wsp:val=&quot;4CA3296A&quot;/&gt;&lt;wsp:rsid wsp:val=&quot;4CA46E0E&quot;/&gt;&lt;wsp:rsid wsp:val=&quot;4CA566E2&quot;/&gt;&lt;wsp:rsid wsp:val=&quot;4CA94424&quot;/&gt;&lt;wsp:rsid wsp:val=&quot;4CAA3CF8&quot;/&gt;&lt;wsp:rsid wsp:val=&quot;4CAA6CED&quot;/&gt;&lt;wsp:rsid wsp:val=&quot;4CAC1679&quot;/&gt;&lt;wsp:rsid wsp:val=&quot;4CAC7A71&quot;/&gt;&lt;wsp:rsid wsp:val=&quot;4CAF57B3&quot;/&gt;&lt;wsp:rsid wsp:val=&quot;4CB132D9&quot;/&gt;&lt;wsp:rsid wsp:val=&quot;4CB15087&quot;/&gt;&lt;wsp:rsid wsp:val=&quot;4CB16E35&quot;/&gt;&lt;wsp:rsid wsp:val=&quot;4CB22BAD&quot;/&gt;&lt;wsp:rsid wsp:val=&quot;4CB30DFF&quot;/&gt;&lt;wsp:rsid wsp:val=&quot;4CB42DC9&quot;/&gt;&lt;wsp:rsid wsp:val=&quot;4CB44B77&quot;/&gt;&lt;wsp:rsid wsp:val=&quot;4CB77211&quot;/&gt;&lt;wsp:rsid wsp:val=&quot;4CB86415&quot;/&gt;&lt;wsp:rsid wsp:val=&quot;4CB964AE&quot;/&gt;&lt;wsp:rsid wsp:val=&quot;4CBA03DF&quot;/&gt;&lt;wsp:rsid wsp:val=&quot;4CBA1E8E&quot;/&gt;&lt;wsp:rsid wsp:val=&quot;4CBB4158&quot;/&gt;&lt;wsp:rsid wsp:val=&quot;4CBB56D2&quot;/&gt;&lt;wsp:rsid wsp:val=&quot;4CBD1C7E&quot;/&gt;&lt;wsp:rsid wsp:val=&quot;4CC21042&quot;/&gt;&lt;wsp:rsid wsp:val=&quot;4CC254E6&quot;/&gt;&lt;wsp:rsid wsp:val=&quot;4CC27294&quot;/&gt;&lt;wsp:rsid wsp:val=&quot;4CC41C4C&quot;/&gt;&lt;wsp:rsid wsp:val=&quot;4CC530DC&quot;/&gt;&lt;wsp:rsid wsp:val=&quot;4CC56D84&quot;/&gt;&lt;wsp:rsid wsp:val=&quot;4CC759FC&quot;/&gt;&lt;wsp:rsid wsp:val=&quot;4CC76658&quot;/&gt;&lt;wsp:rsid wsp:val=&quot;4CCA6149&quot;/&gt;&lt;wsp:rsid wsp:val=&quot;4CCE5C39&quot;/&gt;&lt;wsp:rsid wsp:val=&quot;4CCE79E7&quot;/&gt;&lt;wsp:rsid wsp:val=&quot;4CD174D7&quot;/&gt;&lt;wsp:rsid wsp:val=&quot;4CD55219&quot;/&gt;&lt;wsp:rsid wsp:val=&quot;4CD75362&quot;/&gt;&lt;wsp:rsid wsp:val=&quot;4CD86981&quot;/&gt;&lt;wsp:rsid wsp:val=&quot;4CD945DE&quot;/&gt;&lt;wsp:rsid wsp:val=&quot;4CD9638C&quot;/&gt;&lt;wsp:rsid wsp:val=&quot;4CDA2830&quot;/&gt;&lt;wsp:rsid wsp:val=&quot;4CDB65A8&quot;/&gt;&lt;wsp:rsid wsp:val=&quot;4CDB69D9&quot;/&gt;&lt;wsp:rsid wsp:val=&quot;4CDF6854&quot;/&gt;&lt;wsp:rsid wsp:val=&quot;4CE0596C&quot;/&gt;&lt;wsp:rsid wsp:val=&quot;4CE0733C&quot;/&gt;&lt;wsp:rsid wsp:val=&quot;4CE0771A&quot;/&gt;&lt;wsp:rsid wsp:val=&quot;4CE16DED&quot;/&gt;&lt;wsp:rsid wsp:val=&quot;4CE216E4&quot;/&gt;&lt;wsp:rsid wsp:val=&quot;4CE27936&quot;/&gt;&lt;wsp:rsid wsp:val=&quot;4CE81E37&quot;/&gt;&lt;wsp:rsid wsp:val=&quot;4CE865CF&quot;/&gt;&lt;wsp:rsid wsp:val=&quot;4CE90CC5&quot;/&gt;&lt;wsp:rsid wsp:val=&quot;4CEA0599&quot;/&gt;&lt;wsp:rsid wsp:val=&quot;4CEC4311&quot;/&gt;&lt;wsp:rsid wsp:val=&quot;4CEC60BF&quot;/&gt;&lt;wsp:rsid wsp:val=&quot;4CEC79C8&quot;/&gt;&lt;wsp:rsid wsp:val=&quot;4CEE62DB&quot;/&gt;&lt;wsp:rsid wsp:val=&quot;4CEE7DBE&quot;/&gt;&lt;wsp:rsid wsp:val=&quot;4CEF795D&quot;/&gt;&lt;wsp:rsid wsp:val=&quot;4CF11927&quot;/&gt;&lt;wsp:rsid wsp:val=&quot;4CF13A14&quot;/&gt;&lt;wsp:rsid wsp:val=&quot;4CF3744D&quot;/&gt;&lt;wsp:rsid wsp:val=&quot;4CF46BEE&quot;/&gt;&lt;wsp:rsid wsp:val=&quot;4CF4713F&quot;/&gt;&lt;wsp:rsid wsp:val=&quot;4CF663D4&quot;/&gt;&lt;wsp:rsid wsp:val=&quot;4CF74ADB&quot;/&gt;&lt;wsp:rsid wsp:val=&quot;4CFB27A6&quot;/&gt;&lt;wsp:rsid wsp:val=&quot;4CFB6302&quot;/&gt;&lt;wsp:rsid wsp:val=&quot;4CFD1DDD&quot;/&gt;&lt;wsp:rsid wsp:val=&quot;4CFD720C&quot;/&gt;&lt;wsp:rsid wsp:val=&quot;4D001B6A&quot;/&gt;&lt;wsp:rsid wsp:val=&quot;4D023B34&quot;/&gt;&lt;wsp:rsid wsp:val=&quot;4D04165B&quot;/&gt;&lt;wsp:rsid wsp:val=&quot;4D04450E&quot;/&gt;&lt;wsp:rsid wsp:val=&quot;4D0478AD&quot;/&gt;&lt;wsp:rsid wsp:val=&quot;4D0A1ACF&quot;/&gt;&lt;wsp:rsid wsp:val=&quot;4D0A29E9&quot;/&gt;&lt;wsp:rsid wsp:val=&quot;4D0A5EC9&quot;/&gt;&lt;wsp:rsid wsp:val=&quot;4D0C4110&quot;/&gt;&lt;wsp:rsid wsp:val=&quot;4D0E00FB&quot;/&gt;&lt;wsp:rsid wsp:val=&quot;4D0E24D9&quot;/&gt;&lt;wsp:rsid wsp:val=&quot;4D111FCA&quot;/&gt;&lt;wsp:rsid wsp:val=&quot;4D115B26&quot;/&gt;&lt;wsp:rsid wsp:val=&quot;4D130759&quot;/&gt;&lt;wsp:rsid wsp:val=&quot;4D13189E&quot;/&gt;&lt;wsp:rsid wsp:val=&quot;4D135D42&quot;/&gt;&lt;wsp:rsid wsp:val=&quot;4D151ABA&quot;/&gt;&lt;wsp:rsid wsp:val=&quot;4D16138E&quot;/&gt;&lt;wsp:rsid wsp:val=&quot;4D16313C&quot;/&gt;&lt;wsp:rsid wsp:val=&quot;4D172984&quot;/&gt;&lt;wsp:rsid wsp:val=&quot;4D176606&quot;/&gt;&lt;wsp:rsid wsp:val=&quot;4D184E23&quot;/&gt;&lt;wsp:rsid wsp:val=&quot;4D186EB4&quot;/&gt;&lt;wsp:rsid wsp:val=&quot;4D197E75&quot;/&gt;&lt;wsp:rsid wsp:val=&quot;4D1A0E7E&quot;/&gt;&lt;wsp:rsid wsp:val=&quot;4D1B0752&quot;/&gt;&lt;wsp:rsid wsp:val=&quot;4D1B3ED6&quot;/&gt;&lt;wsp:rsid wsp:val=&quot;4D1B69A4&quot;/&gt;&lt;wsp:rsid wsp:val=&quot;4D1D271C&quot;/&gt;&lt;wsp:rsid wsp:val=&quot;4D1D44CA&quot;/&gt;&lt;wsp:rsid wsp:val=&quot;4D1E57A1&quot;/&gt;&lt;wsp:rsid wsp:val=&quot;4D225F85&quot;/&gt;&lt;wsp:rsid wsp:val=&quot;4D227D33&quot;/&gt;&lt;wsp:rsid wsp:val=&quot;4D232668&quot;/&gt;&lt;wsp:rsid wsp:val=&quot;4D241CFD&quot;/&gt;&lt;wsp:rsid wsp:val=&quot;4D243AAB&quot;/&gt;&lt;wsp:rsid wsp:val=&quot;4D2515D1&quot;/&gt;&lt;wsp:rsid wsp:val=&quot;4D27359B&quot;/&gt;&lt;wsp:rsid wsp:val=&quot;4D275349&quot;/&gt;&lt;wsp:rsid wsp:val=&quot;4D2910C1&quot;/&gt;&lt;wsp:rsid wsp:val=&quot;4D2A6BE7&quot;/&gt;&lt;wsp:rsid wsp:val=&quot;4D2C08F7&quot;/&gt;&lt;wsp:rsid wsp:val=&quot;4D2C0BB1&quot;/&gt;&lt;wsp:rsid wsp:val=&quot;4D2E2B7B&quot;/&gt;&lt;wsp:rsid wsp:val=&quot;4D2F41FE&quot;/&gt;&lt;wsp:rsid wsp:val=&quot;4D303567&quot;/&gt;&lt;wsp:rsid wsp:val=&quot;4D330192&quot;/&gt;&lt;wsp:rsid wsp:val=&quot;4D333CEE&quot;/&gt;&lt;wsp:rsid wsp:val=&quot;4D341EAC&quot;/&gt;&lt;wsp:rsid wsp:val=&quot;4D360ADE&quot;/&gt;&lt;wsp:rsid wsp:val=&quot;4D3637DE&quot;/&gt;&lt;wsp:rsid wsp:val=&quot;4D36558C&quot;/&gt;&lt;wsp:rsid wsp:val=&quot;4D371A30&quot;/&gt;&lt;wsp:rsid wsp:val=&quot;4D381304&quot;/&gt;&lt;wsp:rsid wsp:val=&quot;4D387556&quot;/&gt;&lt;wsp:rsid wsp:val=&quot;4D3A507C&quot;/&gt;&lt;wsp:rsid wsp:val=&quot;4D3A5CC6&quot;/&gt;&lt;wsp:rsid wsp:val=&quot;4D3D4B6D&quot;/&gt;&lt;wsp:rsid wsp:val=&quot;4D3F1034&quot;/&gt;&lt;wsp:rsid wsp:val=&quot;4D3F6B37&quot;/&gt;&lt;wsp:rsid wsp:val=&quot;4D4001B9&quot;/&gt;&lt;wsp:rsid wsp:val=&quot;4D41465D&quot;/&gt;&lt;wsp:rsid wsp:val=&quot;4D422183&quot;/&gt;&lt;wsp:rsid wsp:val=&quot;4D4372D2&quot;/&gt;&lt;wsp:rsid wsp:val=&quot;4D467EC5&quot;/&gt;&lt;wsp:rsid wsp:val=&quot;4D47054C&quot;/&gt;&lt;wsp:rsid wsp:val=&quot;4D471547&quot;/&gt;&lt;wsp:rsid wsp:val=&quot;4D4759EB&quot;/&gt;&lt;wsp:rsid wsp:val=&quot;4D477042&quot;/&gt;&lt;wsp:rsid wsp:val=&quot;4D482FBD&quot;/&gt;&lt;wsp:rsid wsp:val=&quot;4D493511&quot;/&gt;&lt;wsp:rsid wsp:val=&quot;4D4C15C3&quot;/&gt;&lt;wsp:rsid wsp:val=&quot;4D4C3002&quot;/&gt;&lt;wsp:rsid wsp:val=&quot;4D502B15&quot;/&gt;&lt;wsp:rsid wsp:val=&quot;4D510618&quot;/&gt;&lt;wsp:rsid wsp:val=&quot;4D5123C6&quot;/&gt;&lt;wsp:rsid wsp:val=&quot;4D5325E2&quot;/&gt;&lt;wsp:rsid wsp:val=&quot;4D534390&quot;/&gt;&lt;wsp:rsid wsp:val=&quot;4D551EB6&quot;/&gt;&lt;wsp:rsid wsp:val=&quot;4D5679DC&quot;/&gt;&lt;wsp:rsid wsp:val=&quot;4D5812A7&quot;/&gt;&lt;wsp:rsid wsp:val=&quot;4D5819A6&quot;/&gt;&lt;wsp:rsid wsp:val=&quot;4D583754&quot;/&gt;&lt;wsp:rsid wsp:val=&quot;4D595308&quot;/&gt;&lt;wsp:rsid wsp:val=&quot;4D5B4FF3&quot;/&gt;&lt;wsp:rsid wsp:val=&quot;4D5D0D6B&quot;/&gt;&lt;wsp:rsid wsp:val=&quot;4D5F4AE3&quot;/&gt;&lt;wsp:rsid wsp:val=&quot;4D602609&quot;/&gt;&lt;wsp:rsid wsp:val=&quot;4D622825&quot;/&gt;&lt;wsp:rsid wsp:val=&quot;4D6420F9&quot;/&gt;&lt;wsp:rsid wsp:val=&quot;4D64659D&quot;/&gt;&lt;wsp:rsid wsp:val=&quot;4D671BE9&quot;/&gt;&lt;wsp:rsid wsp:val=&quot;4D673998&quot;/&gt;&lt;wsp:rsid wsp:val=&quot;4D677E3B&quot;/&gt;&lt;wsp:rsid wsp:val=&quot;4D685965&quot;/&gt;&lt;wsp:rsid wsp:val=&quot;4D693BB4&quot;/&gt;&lt;wsp:rsid wsp:val=&quot;4D697710&quot;/&gt;&lt;wsp:rsid wsp:val=&quot;4D6A36BC&quot;/&gt;&lt;wsp:rsid wsp:val=&quot;4D6B16DA&quot;/&gt;&lt;wsp:rsid wsp:val=&quot;4D6B771C&quot;/&gt;&lt;wsp:rsid wsp:val=&quot;4D6C0FAE&quot;/&gt;&lt;wsp:rsid wsp:val=&quot;4D6D36A4&quot;/&gt;&lt;wsp:rsid wsp:val=&quot;4D6E34CC&quot;/&gt;&lt;wsp:rsid wsp:val=&quot;4D6E4D26&quot;/&gt;&lt;wsp:rsid wsp:val=&quot;4D6E5365&quot;/&gt;&lt;wsp:rsid wsp:val=&quot;4D6F076B&quot;/&gt;&lt;wsp:rsid wsp:val=&quot;4D6F25CD&quot;/&gt;&lt;wsp:rsid wsp:val=&quot;4D714816&quot;/&gt;&lt;wsp:rsid wsp:val=&quot;4D722A68&quot;/&gt;&lt;wsp:rsid wsp:val=&quot;4D735EAE&quot;/&gt;&lt;wsp:rsid wsp:val=&quot;4D754306&quot;/&gt;&lt;wsp:rsid wsp:val=&quot;4D761E2D&quot;/&gt;&lt;wsp:rsid wsp:val=&quot;4D7762D0&quot;/&gt;&lt;wsp:rsid wsp:val=&quot;4D782049&quot;/&gt;&lt;wsp:rsid wsp:val=&quot;4D7A31B0&quot;/&gt;&lt;wsp:rsid wsp:val=&quot;4D7A36CB&quot;/&gt;&lt;wsp:rsid wsp:val=&quot;4D7A7B6F&quot;/&gt;&lt;wsp:rsid wsp:val=&quot;4D7C5695&quot;/&gt;&lt;wsp:rsid wsp:val=&quot;4D7D1B31&quot;/&gt;&lt;wsp:rsid wsp:val=&quot;4D7E765F&quot;/&gt;&lt;wsp:rsid wsp:val=&quot;4D7F3A3B&quot;/&gt;&lt;wsp:rsid wsp:val=&quot;4D806341&quot;/&gt;&lt;wsp:rsid wsp:val=&quot;4D813481&quot;/&gt;&lt;wsp:rsid wsp:val=&quot;4D8207D1&quot;/&gt;&lt;wsp:rsid wsp:val=&quot;4D822DD2&quot;/&gt;&lt;wsp:rsid wsp:val=&quot;4D825583&quot;/&gt;&lt;wsp:rsid wsp:val=&quot;4D84279B&quot;/&gt;&lt;wsp:rsid wsp:val=&quot;4D852E94&quot;/&gt;&lt;wsp:rsid wsp:val=&quot;4D866514&quot;/&gt;&lt;wsp:rsid wsp:val=&quot;4D8B3B2A&quot;/&gt;&lt;wsp:rsid wsp:val=&quot;4D8B6D96&quot;/&gt;&lt;wsp:rsid wsp:val=&quot;4D8D78A2&quot;/&gt;&lt;wsp:rsid wsp:val=&quot;4D8E2F9D&quot;/&gt;&lt;wsp:rsid wsp:val=&quot;4D8E6015&quot;/&gt;&lt;wsp:rsid wsp:val=&quot;4D8F4CCD&quot;/&gt;&lt;wsp:rsid wsp:val=&quot;4D907392&quot;/&gt;&lt;wsp:rsid wsp:val=&quot;4D907FA7&quot;/&gt;&lt;wsp:rsid wsp:val=&quot;4D926C66&quot;/&gt;&lt;wsp:rsid wsp:val=&quot;4D970721&quot;/&gt;&lt;wsp:rsid wsp:val=&quot;4D9724CF&quot;/&gt;&lt;wsp:rsid wsp:val=&quot;4D987FF5&quot;/&gt;&lt;wsp:rsid wsp:val=&quot;4D9A1059&quot;/&gt;&lt;wsp:rsid wsp:val=&quot;4D9A1FBF&quot;/&gt;&lt;wsp:rsid wsp:val=&quot;4D9C1893&quot;/&gt;&lt;wsp:rsid wsp:val=&quot;4DA05427&quot;/&gt;&lt;wsp:rsid wsp:val=&quot;4DA10348&quot;/&gt;&lt;wsp:rsid wsp:val=&quot;4DA10F2C&quot;/&gt;&lt;wsp:rsid wsp:val=&quot;4DA1334D&quot;/&gt;&lt;wsp:rsid wsp:val=&quot;4DA347FE&quot;/&gt;&lt;wsp:rsid wsp:val=&quot;4DA42E3E&quot;/&gt;&lt;wsp:rsid wsp:val=&quot;4DA62712&quot;/&gt;&lt;wsp:rsid wsp:val=&quot;4DA8648A&quot;/&gt;&lt;wsp:rsid wsp:val=&quot;4DA90454&quot;/&gt;&lt;wsp:rsid wsp:val=&quot;4DA92202&quot;/&gt;&lt;wsp:rsid wsp:val=&quot;4DAB24E9&quot;/&gt;&lt;wsp:rsid wsp:val=&quot;4DAB7D28&quot;/&gt;&lt;wsp:rsid wsp:val=&quot;4DAE5A6A&quot;/&gt;&lt;wsp:rsid wsp:val=&quot;4DB12E65&quot;/&gt;&lt;wsp:rsid wsp:val=&quot;4DB43081&quot;/&gt;&lt;wsp:rsid wsp:val=&quot;4DB72B71&quot;/&gt;&lt;wsp:rsid wsp:val=&quot;4DB7491F&quot;/&gt;&lt;wsp:rsid wsp:val=&quot;4DB766CD&quot;/&gt;&lt;wsp:rsid wsp:val=&quot;4DBA440F&quot;/&gt;&lt;wsp:rsid wsp:val=&quot;4DBC3CE3&quot;/&gt;&lt;wsp:rsid wsp:val=&quot;4DBF37D4&quot;/&gt;&lt;wsp:rsid wsp:val=&quot;4DC02D74&quot;/&gt;&lt;wsp:rsid wsp:val=&quot;4DC1754C&quot;/&gt;&lt;wsp:rsid wsp:val=&quot;4DC40DEA&quot;/&gt;&lt;wsp:rsid wsp:val=&quot;4DC4528E&quot;/&gt;&lt;wsp:rsid wsp:val=&quot;4DC66910&quot;/&gt;&lt;wsp:rsid wsp:val=&quot;4DC808DA&quot;/&gt;&lt;wsp:rsid wsp:val=&quot;4DC87525&quot;/&gt;&lt;wsp:rsid wsp:val=&quot;4DC92B2E&quot;/&gt;&lt;wsp:rsid wsp:val=&quot;4DCA432E&quot;/&gt;&lt;wsp:rsid wsp:val=&quot;4DCB25E8&quot;/&gt;&lt;wsp:rsid wsp:val=&quot;4DCB2A58&quot;/&gt;&lt;wsp:rsid wsp:val=&quot;4DCB3F26&quot;/&gt;&lt;wsp:rsid wsp:val=&quot;4DCD4142&quot;/&gt;&lt;wsp:rsid wsp:val=&quot;4DCD5EF0&quot;/&gt;&lt;wsp:rsid wsp:val=&quot;4DCE3A17&quot;/&gt;&lt;wsp:rsid wsp:val=&quot;4DD03170&quot;/&gt;&lt;wsp:rsid wsp:val=&quot;4DD27D5A&quot;/&gt;&lt;wsp:rsid wsp:val=&quot;4DD31631&quot;/&gt;&lt;wsp:rsid wsp:val=&quot;4DD3727F&quot;/&gt;&lt;wsp:rsid wsp:val=&quot;4DD4267A&quot;/&gt;&lt;wsp:rsid wsp:val=&quot;4DD83BCC&quot;/&gt;&lt;wsp:rsid wsp:val=&quot;4DDA23BB&quot;/&gt;&lt;wsp:rsid wsp:val=&quot;4DDC6134&quot;/&gt;&lt;wsp:rsid wsp:val=&quot;4DDD390C&quot;/&gt;&lt;wsp:rsid wsp:val=&quot;4DDE00FE&quot;/&gt;&lt;wsp:rsid wsp:val=&quot;4DDE7A3E&quot;/&gt;&lt;wsp:rsid wsp:val=&quot;4DE1199C&quot;/&gt;&lt;wsp:rsid wsp:val=&quot;4DE30CDF&quot;/&gt;&lt;wsp:rsid wsp:val=&quot;4DE35714&quot;/&gt;&lt;wsp:rsid wsp:val=&quot;4DE66FB2&quot;/&gt;&lt;wsp:rsid wsp:val=&quot;4DE730E2&quot;/&gt;&lt;wsp:rsid wsp:val=&quot;4DE82D2A&quot;/&gt;&lt;wsp:rsid wsp:val=&quot;4DEA4CF4&quot;/&gt;&lt;wsp:rsid wsp:val=&quot;4DEB281B&quot;/&gt;&lt;wsp:rsid wsp:val=&quot;4DEC4FB0&quot;/&gt;&lt;wsp:rsid wsp:val=&quot;4DED6593&quot;/&gt;&lt;wsp:rsid wsp:val=&quot;4DF15EB4&quot;/&gt;&lt;wsp:rsid wsp:val=&quot;4DF257A0&quot;/&gt;&lt;wsp:rsid wsp:val=&quot;4DF55447&quot;/&gt;&lt;wsp:rsid wsp:val=&quot;4DF65033&quot;/&gt;&lt;wsp:rsid wsp:val=&quot;4DF711BF&quot;/&gt;&lt;wsp:rsid wsp:val=&quot;4DF72F6D&quot;/&gt;&lt;wsp:rsid wsp:val=&quot;4DF74D1B&quot;/&gt;&lt;wsp:rsid wsp:val=&quot;4DF94F37&quot;/&gt;&lt;wsp:rsid wsp:val=&quot;4DF96CE5&quot;/&gt;&lt;wsp:rsid wsp:val=&quot;4DF96ED8&quot;/&gt;&lt;wsp:rsid wsp:val=&quot;4DFA0CB0&quot;/&gt;&lt;wsp:rsid wsp:val=&quot;4DFE254E&quot;/&gt;&lt;wsp:rsid wsp:val=&quot;4DFE42FC&quot;/&gt;&lt;wsp:rsid wsp:val=&quot;4DFE60AA&quot;/&gt;&lt;wsp:rsid wsp:val=&quot;4E00603F&quot;/&gt;&lt;wsp:rsid wsp:val=&quot;4E0062C6&quot;/&gt;&lt;wsp:rsid wsp:val=&quot;4E01203E&quot;/&gt;&lt;wsp:rsid wsp:val=&quot;4E013DEC&quot;/&gt;&lt;wsp:rsid wsp:val=&quot;4E04568A&quot;/&gt;&lt;wsp:rsid wsp:val=&quot;4E047438&quot;/&gt;&lt;wsp:rsid wsp:val=&quot;4E05638D&quot;/&gt;&lt;wsp:rsid wsp:val=&quot;4E074D6D&quot;/&gt;&lt;wsp:rsid wsp:val=&quot;4E075D8A&quot;/&gt;&lt;wsp:rsid wsp:val=&quot;4E08517B&quot;/&gt;&lt;wsp:rsid wsp:val=&quot;4E0A0EF3&quot;/&gt;&lt;wsp:rsid wsp:val=&quot;4E0B07C7&quot;/&gt;&lt;wsp:rsid wsp:val=&quot;4E0B2B6A&quot;/&gt;&lt;wsp:rsid wsp:val=&quot;4E0B6A19&quot;/&gt;&lt;wsp:rsid wsp:val=&quot;4E102281&quot;/&gt;&lt;wsp:rsid wsp:val=&quot;4E11118C&quot;/&gt;&lt;wsp:rsid wsp:val=&quot;4E116CA7&quot;/&gt;&lt;wsp:rsid wsp:val=&quot;4E125FF9&quot;/&gt;&lt;wsp:rsid wsp:val=&quot;4E1458CD&quot;/&gt;&lt;wsp:rsid wsp:val=&quot;4E147B0D&quot;/&gt;&lt;wsp:rsid wsp:val=&quot;4E151645&quot;/&gt;&lt;wsp:rsid wsp:val=&quot;4E1526DE&quot;/&gt;&lt;wsp:rsid wsp:val=&quot;4E156373&quot;/&gt;&lt;wsp:rsid wsp:val=&quot;4E165AE9&quot;/&gt;&lt;wsp:rsid wsp:val=&quot;4E173884&quot;/&gt;&lt;wsp:rsid wsp:val=&quot;4E17716C&quot;/&gt;&lt;wsp:rsid wsp:val=&quot;4E191136&quot;/&gt;&lt;wsp:rsid wsp:val=&quot;4E192EE4&quot;/&gt;&lt;wsp:rsid wsp:val=&quot;4E1A6C5C&quot;/&gt;&lt;wsp:rsid wsp:val=&quot;4E1B3100&quot;/&gt;&lt;wsp:rsid wsp:val=&quot;4E1C0E70&quot;/&gt;&lt;wsp:rsid wsp:val=&quot;4E1C4782&quot;/&gt;&lt;wsp:rsid wsp:val=&quot;4E1D04AD&quot;/&gt;&lt;wsp:rsid wsp:val=&quot;4E1F24C4&quot;/&gt;&lt;wsp:rsid wsp:val=&quot;4E2023C2&quot;/&gt;&lt;wsp:rsid wsp:val=&quot;4E207E07&quot;/&gt;&lt;wsp:rsid wsp:val=&quot;4E217FEA&quot;/&gt;&lt;wsp:rsid wsp:val=&quot;4E231FB4&quot;/&gt;&lt;wsp:rsid wsp:val=&quot;4E24034F&quot;/&gt;&lt;wsp:rsid wsp:val=&quot;4E253FC7&quot;/&gt;&lt;wsp:rsid wsp:val=&quot;4E265601&quot;/&gt;&lt;wsp:rsid wsp:val=&quot;4E2817A0&quot;/&gt;&lt;wsp:rsid wsp:val=&quot;4E291FE4&quot;/&gt;&lt;wsp:rsid wsp:val=&quot;4E296E9F&quot;/&gt;&lt;wsp:rsid wsp:val=&quot;4E2C0965&quot;/&gt;&lt;wsp:rsid wsp:val=&quot;4E2D2E33&quot;/&gt;&lt;wsp:rsid wsp:val=&quot;4E2D4BE1&quot;/&gt;&lt;wsp:rsid wsp:val=&quot;4E2D5010&quot;/&gt;&lt;wsp:rsid wsp:val=&quot;4E2F2707&quot;/&gt;&lt;wsp:rsid wsp:val=&quot;4E2F6BAB&quot;/&gt;&lt;wsp:rsid wsp:val=&quot;4E30647F&quot;/&gt;&lt;wsp:rsid wsp:val=&quot;4E320449&quot;/&gt;&lt;wsp:rsid wsp:val=&quot;4E3247D7&quot;/&gt;&lt;wsp:rsid wsp:val=&quot;4E326481&quot;/&gt;&lt;wsp:rsid wsp:val=&quot;4E345F70&quot;/&gt;&lt;wsp:rsid wsp:val=&quot;4E3715BC&quot;/&gt;&lt;wsp:rsid wsp:val=&quot;4E375A60&quot;/&gt;&lt;wsp:rsid wsp:val=&quot;4E395334&quot;/&gt;&lt;wsp:rsid wsp:val=&quot;4E3A3A13&quot;/&gt;&lt;wsp:rsid wsp:val=&quot;4E3B5550&quot;/&gt;&lt;wsp:rsid wsp:val=&quot;4E3B72FE&quot;/&gt;&lt;wsp:rsid wsp:val=&quot;4E3C6BD2&quot;/&gt;&lt;wsp:rsid wsp:val=&quot;4E3E0B9C&quot;/&gt;&lt;wsp:rsid wsp:val=&quot;4E3E6DEE&quot;/&gt;&lt;wsp:rsid wsp:val=&quot;4E3F4E1B&quot;/&gt;&lt;wsp:rsid wsp:val=&quot;4E404914&quot;/&gt;&lt;wsp:rsid wsp:val=&quot;4E41243B&quot;/&gt;&lt;wsp:rsid wsp:val=&quot;4E453CD9&quot;/&gt;&lt;wsp:rsid wsp:val=&quot;4E473EF5&quot;/&gt;&lt;wsp:rsid wsp:val=&quot;4E4807D4&quot;/&gt;&lt;wsp:rsid wsp:val=&quot;4E4837C9&quot;/&gt;&lt;wsp:rsid wsp:val=&quot;4E4F3CFF&quot;/&gt;&lt;wsp:rsid wsp:val=&quot;4E50267E&quot;/&gt;&lt;wsp:rsid wsp:val=&quot;4E524648&quot;/&gt;&lt;wsp:rsid wsp:val=&quot;4E531F72&quot;/&gt;&lt;wsp:rsid wsp:val=&quot;4E555EE6&quot;/&gt;&lt;wsp:rsid wsp:val=&quot;4E557C94&quot;/&gt;&lt;wsp:rsid wsp:val=&quot;4E561001&quot;/&gt;&lt;wsp:rsid wsp:val=&quot;4E597982&quot;/&gt;&lt;wsp:rsid wsp:val=&quot;4E5A52AA&quot;/&gt;&lt;wsp:rsid wsp:val=&quot;4E5B34FC&quot;/&gt;&lt;wsp:rsid wsp:val=&quot;4E5E4D9B&quot;/&gt;&lt;wsp:rsid wsp:val=&quot;4E61488B&quot;/&gt;&lt;wsp:rsid wsp:val=&quot;4E637972&quot;/&gt;&lt;wsp:rsid wsp:val=&quot;4E65437B&quot;/&gt;&lt;wsp:rsid wsp:val=&quot;4E656129&quot;/&gt;&lt;wsp:rsid wsp:val=&quot;4E660AF6&quot;/&gt;&lt;wsp:rsid wsp:val=&quot;4E661EA1&quot;/&gt;&lt;wsp:rsid wsp:val=&quot;4E676345&quot;/&gt;&lt;wsp:rsid wsp:val=&quot;4E685C19&quot;/&gt;&lt;wsp:rsid wsp:val=&quot;4E695D36&quot;/&gt;&lt;wsp:rsid wsp:val=&quot;4E6B74B7&quot;/&gt;&lt;wsp:rsid wsp:val=&quot;4E6C3227&quot;/&gt;&lt;wsp:rsid wsp:val=&quot;4E704779&quot;/&gt;&lt;wsp:rsid wsp:val=&quot;4E704ACE&quot;/&gt;&lt;wsp:rsid wsp:val=&quot;4E713738&quot;/&gt;&lt;wsp:rsid wsp:val=&quot;4E720846&quot;/&gt;&lt;wsp:rsid wsp:val=&quot;4E72653C&quot;/&gt;&lt;wsp:rsid wsp:val=&quot;4E730547&quot;/&gt;&lt;wsp:rsid wsp:val=&quot;4E740A62&quot;/&gt;&lt;wsp:rsid wsp:val=&quot;4E742810&quot;/&gt;&lt;wsp:rsid wsp:val=&quot;4E7520E4&quot;/&gt;&lt;wsp:rsid wsp:val=&quot;4E766588&quot;/&gt;&lt;wsp:rsid wsp:val=&quot;4E775778&quot;/&gt;&lt;wsp:rsid wsp:val=&quot;4E797E26&quot;/&gt;&lt;wsp:rsid wsp:val=&quot;4E7B452B&quot;/&gt;&lt;wsp:rsid wsp:val=&quot;4E7E020D&quot;/&gt;&lt;wsp:rsid wsp:val=&quot;4E7E543D&quot;/&gt;&lt;wsp:rsid wsp:val=&quot;4E807407&quot;/&gt;&lt;wsp:rsid wsp:val=&quot;4E816CDB&quot;/&gt;&lt;wsp:rsid wsp:val=&quot;4E850579&quot;/&gt;&lt;wsp:rsid wsp:val=&quot;4E854A1D&quot;/&gt;&lt;wsp:rsid wsp:val=&quot;4E86139E&quot;/&gt;&lt;wsp:rsid wsp:val=&quot;4E86609F&quot;/&gt;&lt;wsp:rsid wsp:val=&quot;4E870795&quot;/&gt;&lt;wsp:rsid wsp:val=&quot;4E880069&quot;/&gt;&lt;wsp:rsid wsp:val=&quot;4E8939C6&quot;/&gt;&lt;wsp:rsid wsp:val=&quot;4E8B1908&quot;/&gt;&lt;wsp:rsid wsp:val=&quot;4E8C00BE&quot;/&gt;&lt;wsp:rsid wsp:val=&quot;4E8D38D2&quot;/&gt;&lt;wsp:rsid wsp:val=&quot;4E8D742E&quot;/&gt;&lt;wsp:rsid wsp:val=&quot;4E8E21DB&quot;/&gt;&lt;wsp:rsid wsp:val=&quot;4E8F31A6&quot;/&gt;&lt;wsp:rsid wsp:val=&quot;4E915170&quot;/&gt;&lt;wsp:rsid wsp:val=&quot;4E920EE8&quot;/&gt;&lt;wsp:rsid wsp:val=&quot;4E922C96&quot;/&gt;&lt;wsp:rsid wsp:val=&quot;4E932BF7&quot;/&gt;&lt;wsp:rsid wsp:val=&quot;4E944C60&quot;/&gt;&lt;wsp:rsid wsp:val=&quot;4E946A0E&quot;/&gt;&lt;wsp:rsid wsp:val=&quot;4E956EC4&quot;/&gt;&lt;wsp:rsid wsp:val=&quot;4E984750&quot;/&gt;&lt;wsp:rsid wsp:val=&quot;4E9904C8&quot;/&gt;&lt;wsp:rsid wsp:val=&quot;4E994E15&quot;/&gt;&lt;wsp:rsid wsp:val=&quot;4E9C3B15&quot;/&gt;&lt;wsp:rsid wsp:val=&quot;4E9D1D67&quot;/&gt;&lt;wsp:rsid wsp:val=&quot;4EA07161&quot;/&gt;&lt;wsp:rsid wsp:val=&quot;4EA2112B&quot;/&gt;&lt;wsp:rsid wsp:val=&quot;4EA330F5&quot;/&gt;&lt;wsp:rsid wsp:val=&quot;4EA36C51&quot;/&gt;&lt;wsp:rsid wsp:val=&quot;4EA74993&quot;/&gt;&lt;wsp:rsid wsp:val=&quot;4EA8070C&quot;/&gt;&lt;wsp:rsid wsp:val=&quot;4EA837C1&quot;/&gt;&lt;wsp:rsid wsp:val=&quot;4EA84268&quot;/&gt;&lt;wsp:rsid wsp:val=&quot;4EAA7FE0&quot;/&gt;&lt;wsp:rsid wsp:val=&quot;4EAB1D8D&quot;/&gt;&lt;wsp:rsid wsp:val=&quot;4EAC1FAA&quot;/&gt;&lt;wsp:rsid wsp:val=&quot;4EAC3D58&quot;/&gt;&lt;wsp:rsid wsp:val=&quot;4EAC667D&quot;/&gt;&lt;wsp:rsid wsp:val=&quot;4EAF3848&quot;/&gt;&lt;wsp:rsid wsp:val=&quot;4EAF55F6&quot;/&gt;&lt;wsp:rsid wsp:val=&quot;4EB1136E&quot;/&gt;&lt;wsp:rsid wsp:val=&quot;4EB15812&quot;/&gt;&lt;wsp:rsid wsp:val=&quot;4EB259BC&quot;/&gt;&lt;wsp:rsid wsp:val=&quot;4EB26E94&quot;/&gt;&lt;wsp:rsid wsp:val=&quot;4EB33338&quot;/&gt;&lt;wsp:rsid wsp:val=&quot;4EB470B0&quot;/&gt;&lt;wsp:rsid wsp:val=&quot;4EB66F0E&quot;/&gt;&lt;wsp:rsid wsp:val=&quot;4EB7039E&quot;/&gt;&lt;wsp:rsid wsp:val=&quot;4EB946C7&quot;/&gt;&lt;wsp:rsid wsp:val=&quot;4EBA57D9&quot;/&gt;&lt;wsp:rsid wsp:val=&quot;4EBD163F&quot;/&gt;&lt;wsp:rsid wsp:val=&quot;4EBE1CDD&quot;/&gt;&lt;wsp:rsid wsp:val=&quot;4EC00FAD&quot;/&gt;&lt;wsp:rsid wsp:val=&quot;4EC05A55&quot;/&gt;&lt;wsp:rsid wsp:val=&quot;4EC45545&quot;/&gt;&lt;wsp:rsid wsp:val=&quot;4ECA0682&quot;/&gt;&lt;wsp:rsid wsp:val=&quot;4ECA2430&quot;/&gt;&lt;wsp:rsid wsp:val=&quot;4ECA29D6&quot;/&gt;&lt;wsp:rsid wsp:val=&quot;4ECB6814&quot;/&gt;&lt;wsp:rsid wsp:val=&quot;4ECC43FA&quot;/&gt;&lt;wsp:rsid wsp:val=&quot;4ED02686&quot;/&gt;&lt;wsp:rsid wsp:val=&quot;4ED12890&quot;/&gt;&lt;wsp:rsid wsp:val=&quot;4ED137BE&quot;/&gt;&lt;wsp:rsid wsp:val=&quot;4ED201EE&quot;/&gt;&lt;wsp:rsid wsp:val=&quot;4ED27537&quot;/&gt;&lt;wsp:rsid wsp:val=&quot;4ED41501&quot;/&gt;&lt;wsp:rsid wsp:val=&quot;4ED45647&quot;/&gt;&lt;wsp:rsid wsp:val=&quot;4ED52497&quot;/&gt;&lt;wsp:rsid wsp:val=&quot;4ED67027&quot;/&gt;&lt;wsp:rsid wsp:val=&quot;4ED86EE7&quot;/&gt;&lt;wsp:rsid wsp:val=&quot;4ED908C5&quot;/&gt;&lt;wsp:rsid wsp:val=&quot;4ED90E06&quot;/&gt;&lt;wsp:rsid wsp:val=&quot;4ED92673&quot;/&gt;&lt;wsp:rsid wsp:val=&quot;4ED95B20&quot;/&gt;&lt;wsp:rsid wsp:val=&quot;4EDA44B8&quot;/&gt;&lt;wsp:rsid wsp:val=&quot;4EDB288F&quot;/&gt;&lt;wsp:rsid wsp:val=&quot;4EDE1FDD&quot;/&gt;&lt;wsp:rsid wsp:val=&quot;4EDE412D&quot;/&gt;&lt;wsp:rsid wsp:val=&quot;4EDF0835&quot;/&gt;&lt;wsp:rsid wsp:val=&quot;4EE044F1&quot;/&gt;&lt;wsp:rsid wsp:val=&quot;4EE05E69&quot;/&gt;&lt;wsp:rsid wsp:val=&quot;4EE473BA&quot;/&gt;&lt;wsp:rsid wsp:val=&quot;4EE51018&quot;/&gt;&lt;wsp:rsid wsp:val=&quot;4EE554BC&quot;/&gt;&lt;wsp:rsid wsp:val=&quot;4EE72FE2&quot;/&gt;&lt;wsp:rsid wsp:val=&quot;4EE74D90&quot;/&gt;&lt;wsp:rsid wsp:val=&quot;4EE818E9&quot;/&gt;&lt;wsp:rsid wsp:val=&quot;4EE96431&quot;/&gt;&lt;wsp:rsid wsp:val=&quot;4EE96D5A&quot;/&gt;&lt;wsp:rsid wsp:val=&quot;4EEA0D24&quot;/&gt;&lt;wsp:rsid wsp:val=&quot;4EEC4B8E&quot;/&gt;&lt;wsp:rsid wsp:val=&quot;4EEC684A&quot;/&gt;&lt;wsp:rsid wsp:val=&quot;4EEF1E97&quot;/&gt;&lt;wsp:rsid wsp:val=&quot;4EF120B3&quot;/&gt;&lt;wsp:rsid wsp:val=&quot;4EF15C0F&quot;/&gt;&lt;wsp:rsid wsp:val=&quot;4EF219BE&quot;/&gt;&lt;wsp:rsid wsp:val=&quot;4EF23735&quot;/&gt;&lt;wsp:rsid wsp:val=&quot;4EF31987&quot;/&gt;&lt;wsp:rsid wsp:val=&quot;4EF37BD9&quot;/&gt;&lt;wsp:rsid wsp:val=&quot;4EF61477&quot;/&gt;&lt;wsp:rsid wsp:val=&quot;4EFA0012&quot;/&gt;&lt;wsp:rsid wsp:val=&quot;4EFA4824&quot;/&gt;&lt;wsp:rsid wsp:val=&quot;4EFB083B&quot;/&gt;&lt;wsp:rsid wsp:val=&quot;4EFD2805&quot;/&gt;&lt;wsp:rsid wsp:val=&quot;4EFE20DA&quot;/&gt;&lt;wsp:rsid wsp:val=&quot;4EFE2B32&quot;/&gt;&lt;wsp:rsid wsp:val=&quot;4EFF657E&quot;/&gt;&lt;wsp:rsid wsp:val=&quot;4F003355&quot;/&gt;&lt;wsp:rsid wsp:val=&quot;4F02606E&quot;/&gt;&lt;wsp:rsid wsp:val=&quot;4F027E1C&quot;/&gt;&lt;wsp:rsid wsp:val=&quot;4F041DE6&quot;/&gt;&lt;wsp:rsid wsp:val=&quot;4F0516BA&quot;/&gt;&lt;wsp:rsid wsp:val=&quot;4F052BB4&quot;/&gt;&lt;wsp:rsid wsp:val=&quot;4F0A6CD0&quot;/&gt;&lt;wsp:rsid wsp:val=&quot;4F0B3174&quot;/&gt;&lt;wsp:rsid wsp:val=&quot;4F0C0C9A&quot;/&gt;&lt;wsp:rsid wsp:val=&quot;4F0C2A48&quot;/&gt;&lt;wsp:rsid wsp:val=&quot;4F0C47F7&quot;/&gt;&lt;wsp:rsid wsp:val=&quot;4F0E67C1&quot;/&gt;&lt;wsp:rsid wsp:val=&quot;4F0F101F&quot;/&gt;&lt;wsp:rsid wsp:val=&quot;4F1163D7&quot;/&gt;&lt;wsp:rsid wsp:val=&quot;4F12070E&quot;/&gt;&lt;wsp:rsid wsp:val=&quot;4F133DD7&quot;/&gt;&lt;wsp:rsid wsp:val=&quot;4F155DA1&quot;/&gt;&lt;wsp:rsid wsp:val=&quot;4F161B19&quot;/&gt;&lt;wsp:rsid wsp:val=&quot;4F194B69&quot;/&gt;&lt;wsp:rsid wsp:val=&quot;4F195165&quot;/&gt;&lt;wsp:rsid wsp:val=&quot;4F1A33B7&quot;/&gt;&lt;wsp:rsid wsp:val=&quot;4F1D07B2&quot;/&gt;&lt;wsp:rsid wsp:val=&quot;4F1D6A04&quot;/&gt;&lt;wsp:rsid wsp:val=&quot;4F1E46E2&quot;/&gt;&lt;wsp:rsid wsp:val=&quot;4F1F09CE&quot;/&gt;&lt;wsp:rsid wsp:val=&quot;4F2172E4&quot;/&gt;&lt;wsp:rsid wsp:val=&quot;4F235FB7&quot;/&gt;&lt;wsp:rsid wsp:val=&quot;4F245FE4&quot;/&gt;&lt;wsp:rsid wsp:val=&quot;4F253B0A&quot;/&gt;&lt;wsp:rsid wsp:val=&quot;4F255CDD&quot;/&gt;&lt;wsp:rsid wsp:val=&quot;4F2705FD&quot;/&gt;&lt;wsp:rsid wsp:val=&quot;4F270F69&quot;/&gt;&lt;wsp:rsid wsp:val=&quot;4F275AD4&quot;/&gt;&lt;wsp:rsid wsp:val=&quot;4F29184C&quot;/&gt;&lt;wsp:rsid wsp:val=&quot;4F2A7373&quot;/&gt;&lt;wsp:rsid wsp:val=&quot;4F2D446F&quot;/&gt;&lt;wsp:rsid wsp:val=&quot;4F2E04D0&quot;/&gt;&lt;wsp:rsid wsp:val=&quot;4F2E0C11&quot;/&gt;&lt;wsp:rsid wsp:val=&quot;4F302DF0&quot;/&gt;&lt;wsp:rsid wsp:val=&quot;4F337FD5&quot;/&gt;&lt;wsp:rsid wsp:val=&quot;4F361873&quot;/&gt;&lt;wsp:rsid wsp:val=&quot;4F365D17&quot;/&gt;&lt;wsp:rsid wsp:val=&quot;4F3673B2&quot;/&gt;&lt;wsp:rsid wsp:val=&quot;4F367AC5&quot;/&gt;&lt;wsp:rsid wsp:val=&quot;4F381582&quot;/&gt;&lt;wsp:rsid wsp:val=&quot;4F381A8F&quot;/&gt;&lt;wsp:rsid wsp:val=&quot;4F3855EC&quot;/&gt;&lt;wsp:rsid wsp:val=&quot;4F3B1580&quot;/&gt;&lt;wsp:rsid wsp:val=&quot;4F3B50DC&quot;/&gt;&lt;wsp:rsid wsp:val=&quot;4F3C4080&quot;/&gt;&lt;wsp:rsid wsp:val=&quot;4F3D70A6&quot;/&gt;&lt;wsp:rsid wsp:val=&quot;4F3E697A&quot;/&gt;&lt;wsp:rsid wsp:val=&quot;4F3F2A2A&quot;/&gt;&lt;wsp:rsid wsp:val=&quot;4F3F629F&quot;/&gt;&lt;wsp:rsid wsp:val=&quot;4F400A76&quot;/&gt;&lt;wsp:rsid wsp:val=&quot;4F402A31&quot;/&gt;&lt;wsp:rsid wsp:val=&quot;4F42290E&quot;/&gt;&lt;wsp:rsid wsp:val=&quot;4F4246BC&quot;/&gt;&lt;wsp:rsid wsp:val=&quot;4F441374&quot;/&gt;&lt;wsp:rsid wsp:val=&quot;4F4552C7&quot;/&gt;&lt;wsp:rsid wsp:val=&quot;4F4641AC&quot;/&gt;&lt;wsp:rsid wsp:val=&quot;4F473A81&quot;/&gt;&lt;wsp:rsid wsp:val=&quot;4F4A110D&quot;/&gt;&lt;wsp:rsid wsp:val=&quot;4F4A3571&quot;/&gt;&lt;wsp:rsid wsp:val=&quot;4F4A531F&quot;/&gt;&lt;wsp:rsid wsp:val=&quot;4F4C1097&quot;/&gt;&lt;wsp:rsid wsp:val=&quot;4F4F0B87&quot;/&gt;&lt;wsp:rsid wsp:val=&quot;4F506DD9&quot;/&gt;&lt;wsp:rsid wsp:val=&quot;4F5368C9&quot;/&gt;&lt;wsp:rsid wsp:val=&quot;4F552641&quot;/&gt;&lt;wsp:rsid wsp:val=&quot;4F5543EF&quot;/&gt;&lt;wsp:rsid wsp:val=&quot;4F56149D&quot;/&gt;&lt;wsp:rsid wsp:val=&quot;4F5776DC&quot;/&gt;&lt;wsp:rsid wsp:val=&quot;4F596466&quot;/&gt;&lt;wsp:rsid wsp:val=&quot;4F5B752C&quot;/&gt;&lt;wsp:rsid wsp:val=&quot;4F5C39D0&quot;/&gt;&lt;wsp:rsid wsp:val=&quot;4F5F1AFB&quot;/&gt;&lt;wsp:rsid wsp:val=&quot;4F5F526E&quot;/&gt;&lt;wsp:rsid wsp:val=&quot;4F5F701C&quot;/&gt;&lt;wsp:rsid wsp:val=&quot;4F604B42&quot;/&gt;&lt;wsp:rsid wsp:val=&quot;4F610FE6&quot;/&gt;&lt;wsp:rsid wsp:val=&quot;4F6247EF&quot;/&gt;&lt;wsp:rsid wsp:val=&quot;4F6463E1&quot;/&gt;&lt;wsp:rsid wsp:val=&quot;4F65059F&quot;/&gt;&lt;wsp:rsid wsp:val=&quot;4F665D41&quot;/&gt;&lt;wsp:rsid wsp:val=&quot;4F6771D1&quot;/&gt;&lt;wsp:rsid wsp:val=&quot;4F681AF1&quot;/&gt;&lt;wsp:rsid wsp:val=&quot;4F6B3C13&quot;/&gt;&lt;wsp:rsid wsp:val=&quot;4F6B59C1&quot;/&gt;&lt;wsp:rsid wsp:val=&quot;4F6C328C&quot;/&gt;&lt;wsp:rsid wsp:val=&quot;4F6D1960&quot;/&gt;&lt;wsp:rsid wsp:val=&quot;4F6E67C3&quot;/&gt;&lt;wsp:rsid wsp:val=&quot;4F6E725F&quot;/&gt;&lt;wsp:rsid wsp:val=&quot;4F6F6DF3&quot;/&gt;&lt;wsp:rsid wsp:val=&quot;4F702FD7&quot;/&gt;&lt;wsp:rsid wsp:val=&quot;4F716D4F&quot;/&gt;&lt;wsp:rsid wsp:val=&quot;4F72069B&quot;/&gt;&lt;wsp:rsid wsp:val=&quot;4F734876&quot;/&gt;&lt;wsp:rsid wsp:val=&quot;4F737646&quot;/&gt;&lt;wsp:rsid wsp:val=&quot;4F7505EE&quot;/&gt;&lt;wsp:rsid wsp:val=&quot;4F764366&quot;/&gt;&lt;wsp:rsid wsp:val=&quot;4F7B197C&quot;/&gt;&lt;wsp:rsid wsp:val=&quot;4F7C1DAB&quot;/&gt;&lt;wsp:rsid wsp:val=&quot;4F7C54AB&quot;/&gt;&lt;wsp:rsid wsp:val=&quot;4F7D3946&quot;/&gt;&lt;wsp:rsid wsp:val=&quot;4F7D74A2&quot;/&gt;&lt;wsp:rsid wsp:val=&quot;4F7F321A&quot;/&gt;&lt;wsp:rsid wsp:val=&quot;4F7F76BE&quot;/&gt;&lt;wsp:rsid wsp:val=&quot;4F806F93&quot;/&gt;&lt;wsp:rsid wsp:val=&quot;4F822D0B&quot;/&gt;&lt;wsp:rsid wsp:val=&quot;4F835269&quot;/&gt;&lt;wsp:rsid wsp:val=&quot;4F844CD5&quot;/&gt;&lt;wsp:rsid wsp:val=&quot;4F860A4D&quot;/&gt;&lt;wsp:rsid wsp:val=&quot;4F866437&quot;/&gt;&lt;wsp:rsid wsp:val=&quot;4F8A0E2A&quot;/&gt;&lt;wsp:rsid wsp:val=&quot;4F8B6063&quot;/&gt;&lt;wsp:rsid wsp:val=&quot;4F8C2AF0&quot;/&gt;&lt;wsp:rsid wsp:val=&quot;4F8D1DDB&quot;/&gt;&lt;wsp:rsid wsp:val=&quot;4F8D7C8F&quot;/&gt;&lt;wsp:rsid wsp:val=&quot;4F8E16AF&quot;/&gt;&lt;wsp:rsid wsp:val=&quot;4F90367A&quot;/&gt;&lt;wsp:rsid wsp:val=&quot;4F90786D&quot;/&gt;&lt;wsp:rsid wsp:val=&quot;4F9273F2&quot;/&gt;&lt;wsp:rsid wsp:val=&quot;4F9662F5&quot;/&gt;&lt;wsp:rsid wsp:val=&quot;4F980780&quot;/&gt;&lt;wsp:rsid wsp:val=&quot;4F9843DC&quot;/&gt;&lt;wsp:rsid wsp:val=&quot;4F9A0054&quot;/&gt;&lt;wsp:rsid wsp:val=&quot;4F9A091F&quot;/&gt;&lt;wsp:rsid wsp:val=&quot;4F9A62A6&quot;/&gt;&lt;wsp:rsid wsp:val=&quot;4F9C661B&quot;/&gt;&lt;wsp:rsid wsp:val=&quot;4F9D5D96&quot;/&gt;&lt;wsp:rsid wsp:val=&quot;4F9F42B5&quot;/&gt;&lt;wsp:rsid wsp:val=&quot;4FA33112&quot;/&gt;&lt;wsp:rsid wsp:val=&quot;4FA42C81&quot;/&gt;&lt;wsp:rsid wsp:val=&quot;4FA72771&quot;/&gt;&lt;wsp:rsid wsp:val=&quot;4FA90297&quot;/&gt;&lt;wsp:rsid wsp:val=&quot;4FA964E9&quot;/&gt;&lt;wsp:rsid wsp:val=&quot;4FAA2183&quot;/&gt;&lt;wsp:rsid wsp:val=&quot;4FAB04B3&quot;/&gt;&lt;wsp:rsid wsp:val=&quot;4FAB400F&quot;/&gt;&lt;wsp:rsid wsp:val=&quot;4FAD422B&quot;/&gt;&lt;wsp:rsid wsp:val=&quot;4FAE1D52&quot;/&gt;&lt;wsp:rsid wsp:val=&quot;4FAF1267&quot;/&gt;&lt;wsp:rsid wsp:val=&quot;4FB01626&quot;/&gt;&lt;wsp:rsid wsp:val=&quot;4FB235F0&quot;/&gt;&lt;wsp:rsid wsp:val=&quot;4FB55828&quot;/&gt;&lt;wsp:rsid wsp:val=&quot;4FB70C06&quot;/&gt;&lt;wsp:rsid wsp:val=&quot;4FB8672C&quot;/&gt;&lt;wsp:rsid wsp:val=&quot;4FBA6948&quot;/&gt;&lt;wsp:rsid wsp:val=&quot;4FC155E1&quot;/&gt;&lt;wsp:rsid wsp:val=&quot;4FC21359&quot;/&gt;&lt;wsp:rsid wsp:val=&quot;4FC55A47&quot;/&gt;&lt;wsp:rsid wsp:val=&quot;4FC57A53&quot;/&gt;&lt;wsp:rsid wsp:val=&quot;4FC62A8C&quot;/&gt;&lt;wsp:rsid wsp:val=&quot;4FC6709B&quot;/&gt;&lt;wsp:rsid wsp:val=&quot;4FC82E13&quot;/&gt;&lt;wsp:rsid wsp:val=&quot;4FC84CE8&quot;/&gt;&lt;wsp:rsid wsp:val=&quot;4FC926E8&quot;/&gt;&lt;wsp:rsid wsp:val=&quot;4FCA0E8E&quot;/&gt;&lt;wsp:rsid wsp:val=&quot;4FD03A76&quot;/&gt;&lt;wsp:rsid wsp:val=&quot;4FD23C92&quot;/&gt;&lt;wsp:rsid wsp:val=&quot;4FD277EE&quot;/&gt;&lt;wsp:rsid wsp:val=&quot;4FD30C51&quot;/&gt;&lt;wsp:rsid wsp:val=&quot;4FD317B8&quot;/&gt;&lt;wsp:rsid wsp:val=&quot;4FD33566&quot;/&gt;&lt;wsp:rsid wsp:val=&quot;4FD35314&quot;/&gt;&lt;wsp:rsid wsp:val=&quot;4FD40D50&quot;/&gt;&lt;wsp:rsid wsp:val=&quot;4FD55530&quot;/&gt;&lt;wsp:rsid wsp:val=&quot;4FD67A34&quot;/&gt;&lt;wsp:rsid wsp:val=&quot;4FD74E04&quot;/&gt;&lt;wsp:rsid wsp:val=&quot;4FD86DCF&quot;/&gt;&lt;wsp:rsid wsp:val=&quot;4FDA66A3&quot;/&gt;&lt;wsp:rsid wsp:val=&quot;4FDC241B&quot;/&gt;&lt;wsp:rsid wsp:val=&quot;4FDD43E5&quot;/&gt;&lt;wsp:rsid wsp:val=&quot;4FDE2637&quot;/&gt;&lt;wsp:rsid wsp:val=&quot;4FE15C83&quot;/&gt;&lt;wsp:rsid wsp:val=&quot;4FE20F0D&quot;/&gt;&lt;wsp:rsid wsp:val=&quot;4FE24F60&quot;/&gt;&lt;wsp:rsid wsp:val=&quot;4FE319FB&quot;/&gt;&lt;wsp:rsid wsp:val=&quot;4FE51552&quot;/&gt;&lt;wsp:rsid wsp:val=&quot;4FE63299&quot;/&gt;&lt;wsp:rsid wsp:val=&quot;4FE65048&quot;/&gt;&lt;wsp:rsid wsp:val=&quot;4FE70DC0&quot;/&gt;&lt;wsp:rsid wsp:val=&quot;4FE71E43&quot;/&gt;&lt;wsp:rsid wsp:val=&quot;4FE82F87&quot;/&gt;&lt;wsp:rsid wsp:val=&quot;4FE85264&quot;/&gt;&lt;wsp:rsid wsp:val=&quot;4FE87012&quot;/&gt;&lt;wsp:rsid wsp:val=&quot;4FE93487&quot;/&gt;&lt;wsp:rsid wsp:val=&quot;4FE970AD&quot;/&gt;&lt;wsp:rsid wsp:val=&quot;4FED31F9&quot;/&gt;&lt;wsp:rsid wsp:val=&quot;4FED4228&quot;/&gt;&lt;wsp:rsid wsp:val=&quot;4FED6DF9&quot;/&gt;&lt;wsp:rsid wsp:val=&quot;4FEE03A0&quot;/&gt;&lt;wsp:rsid wsp:val=&quot;4FEE214E&quot;/&gt;&lt;wsp:rsid wsp:val=&quot;4FEE65F2&quot;/&gt;&lt;wsp:rsid wsp:val=&quot;4FEF5362&quot;/&gt;&lt;wsp:rsid wsp:val=&quot;4FF02BA9&quot;/&gt;&lt;wsp:rsid wsp:val=&quot;4FF06A17&quot;/&gt;&lt;wsp:rsid wsp:val=&quot;4FF1419D&quot;/&gt;&lt;wsp:rsid wsp:val=&quot;4FF37764&quot;/&gt;&lt;wsp:rsid wsp:val=&quot;4FF529BA&quot;/&gt;&lt;wsp:rsid wsp:val=&quot;4FF534DD&quot;/&gt;&lt;wsp:rsid wsp:val=&quot;4FF754A7&quot;/&gt;&lt;wsp:rsid wsp:val=&quot;4FFA4F97&quot;/&gt;&lt;wsp:rsid wsp:val=&quot;4FFB7CBC&quot;/&gt;&lt;wsp:rsid wsp:val=&quot;4FFC0D0F&quot;/&gt;&lt;wsp:rsid wsp:val=&quot;4FFD0EF1&quot;/&gt;&lt;wsp:rsid wsp:val=&quot;4FFE6835&quot;/&gt;&lt;wsp:rsid wsp:val=&quot;50003B61&quot;/&gt;&lt;wsp:rsid wsp:val=&quot;50007ACD&quot;/&gt;&lt;wsp:rsid wsp:val=&quot;50016325&quot;/&gt;&lt;wsp:rsid wsp:val=&quot;5003209D&quot;/&gt;&lt;wsp:rsid wsp:val=&quot;500603CA&quot;/&gt;&lt;wsp:rsid wsp:val=&quot;50067498&quot;/&gt;&lt;wsp:rsid wsp:val=&quot;50071213&quot;/&gt;&lt;wsp:rsid wsp:val=&quot;5007625F&quot;/&gt;&lt;wsp:rsid wsp:val=&quot;500779A6&quot;/&gt;&lt;wsp:rsid wsp:val=&quot;500B5A77&quot;/&gt;&lt;wsp:rsid wsp:val=&quot;500E27F0&quot;/&gt;&lt;wsp:rsid wsp:val=&quot;501222E0&quot;/&gt;&lt;wsp:rsid wsp:val=&quot;50123466&quot;/&gt;&lt;wsp:rsid wsp:val=&quot;5012408F&quot;/&gt;&lt;wsp:rsid wsp:val=&quot;50125E3D&quot;/&gt;&lt;wsp:rsid wsp:val=&quot;50153B7F&quot;/&gt;&lt;wsp:rsid wsp:val=&quot;501716A5&quot;/&gt;&lt;wsp:rsid wsp:val=&quot;501734E8&quot;/&gt;&lt;wsp:rsid wsp:val=&quot;5017693A&quot;/&gt;&lt;wsp:rsid wsp:val=&quot;501A2F43&quot;/&gt;&lt;wsp:rsid wsp:val=&quot;501A73E7&quot;/&gt;&lt;wsp:rsid wsp:val=&quot;501C6CBB&quot;/&gt;&lt;wsp:rsid wsp:val=&quot;501E0C85&quot;/&gt;&lt;wsp:rsid wsp:val=&quot;501F0559&quot;/&gt;&lt;wsp:rsid wsp:val=&quot;50210776&quot;/&gt;&lt;wsp:rsid wsp:val=&quot;50212524&quot;/&gt;&lt;wsp:rsid wsp:val=&quot;502322A4&quot;/&gt;&lt;wsp:rsid wsp:val=&quot;502344EE&quot;/&gt;&lt;wsp:rsid wsp:val=&quot;502618E8&quot;/&gt;&lt;wsp:rsid wsp:val=&quot;50267B3A&quot;/&gt;&lt;wsp:rsid wsp:val=&quot;502838B2&quot;/&gt;&lt;wsp:rsid wsp:val=&quot;50285660&quot;/&gt;&lt;wsp:rsid wsp:val=&quot;502A1900&quot;/&gt;&lt;wsp:rsid wsp:val=&quot;502D2F07&quot;/&gt;&lt;wsp:rsid wsp:val=&quot;502D711A&quot;/&gt;&lt;wsp:rsid wsp:val=&quot;50306C0B&quot;/&gt;&lt;wsp:rsid wsp:val=&quot;5034567F&quot;/&gt;&lt;wsp:rsid wsp:val=&quot;50354221&quot;/&gt;&lt;wsp:rsid wsp:val=&quot;50355FCF&quot;/&gt;&lt;wsp:rsid wsp:val=&quot;50373AF5&quot;/&gt;&lt;wsp:rsid wsp:val=&quot;50395ABF&quot;/&gt;&lt;wsp:rsid wsp:val=&quot;5039786D&quot;/&gt;&lt;wsp:rsid wsp:val=&quot;503A3CBF&quot;/&gt;&lt;wsp:rsid wsp:val=&quot;503A5393&quot;/&gt;&lt;wsp:rsid wsp:val=&quot;503B4AE7&quot;/&gt;&lt;wsp:rsid wsp:val=&quot;503E4E84&quot;/&gt;&lt;wsp:rsid wsp:val=&quot;503E6C32&quot;/&gt;&lt;wsp:rsid wsp:val=&quot;503F0BFC&quot;/&gt;&lt;wsp:rsid wsp:val=&quot;50412BC6&quot;/&gt;&lt;wsp:rsid wsp:val=&quot;50414974&quot;/&gt;&lt;wsp:rsid wsp:val=&quot;504163F0&quot;/&gt;&lt;wsp:rsid wsp:val=&quot;50416722&quot;/&gt;&lt;wsp:rsid wsp:val=&quot;5043249A&quot;/&gt;&lt;wsp:rsid wsp:val=&quot;5043693E&quot;/&gt;&lt;wsp:rsid wsp:val=&quot;50447FC0&quot;/&gt;&lt;wsp:rsid wsp:val=&quot;504513F5&quot;/&gt;&lt;wsp:rsid wsp:val=&quot;504639A3&quot;/&gt;&lt;wsp:rsid wsp:val=&quot;50474E75&quot;/&gt;&lt;wsp:rsid wsp:val=&quot;50485D02&quot;/&gt;&lt;wsp:rsid wsp:val=&quot;50487AB0&quot;/&gt;&lt;wsp:rsid wsp:val=&quot;504908E4&quot;/&gt;&lt;wsp:rsid wsp:val=&quot;50497753&quot;/&gt;&lt;wsp:rsid wsp:val=&quot;504A7CCC&quot;/&gt;&lt;wsp:rsid wsp:val=&quot;504B75A0&quot;/&gt;&lt;wsp:rsid wsp:val=&quot;504C3CD5&quot;/&gt;&lt;wsp:rsid wsp:val=&quot;504D3319&quot;/&gt;&lt;wsp:rsid wsp:val=&quot;504D5BA8&quot;/&gt;&lt;wsp:rsid wsp:val=&quot;504F0E3F&quot;/&gt;&lt;wsp:rsid wsp:val=&quot;50504C4B&quot;/&gt;&lt;wsp:rsid wsp:val=&quot;50506965&quot;/&gt;&lt;wsp:rsid wsp:val=&quot;5051105B&quot;/&gt;&lt;wsp:rsid wsp:val=&quot;50522FDC&quot;/&gt;&lt;wsp:rsid wsp:val=&quot;50546455&quot;/&gt;&lt;wsp:rsid wsp:val=&quot;50566671&quot;/&gt;&lt;wsp:rsid wsp:val=&quot;50575F45&quot;/&gt;&lt;wsp:rsid wsp:val=&quot;50591CBD&quot;/&gt;&lt;wsp:rsid wsp:val=&quot;505A77E4&quot;/&gt;&lt;wsp:rsid wsp:val=&quot;505E1082&quot;/&gt;&lt;wsp:rsid wsp:val=&quot;5060304C&quot;/&gt;&lt;wsp:rsid wsp:val=&quot;50616DC4&quot;/&gt;&lt;wsp:rsid wsp:val=&quot;5066262C&quot;/&gt;&lt;wsp:rsid wsp:val=&quot;50665CDB&quot;/&gt;&lt;wsp:rsid wsp:val=&quot;50681F00&quot;/&gt;&lt;wsp:rsid wsp:val=&quot;506863A4&quot;/&gt;&lt;wsp:rsid wsp:val=&quot;506A211C&quot;/&gt;&lt;wsp:rsid wsp:val=&quot;506A3ECB&quot;/&gt;&lt;wsp:rsid wsp:val=&quot;506C28E5&quot;/&gt;&lt;wsp:rsid wsp:val=&quot;506D39BB&quot;/&gt;&lt;wsp:rsid wsp:val=&quot;506D5769&quot;/&gt;&lt;wsp:rsid wsp:val=&quot;506D7517&quot;/&gt;&lt;wsp:rsid wsp:val=&quot;506F14E1&quot;/&gt;&lt;wsp:rsid wsp:val=&quot;506F328F&quot;/&gt;&lt;wsp:rsid wsp:val=&quot;506F6F2A&quot;/&gt;&lt;wsp:rsid wsp:val=&quot;506F7733&quot;/&gt;&lt;wsp:rsid wsp:val=&quot;50715259&quot;/&gt;&lt;wsp:rsid wsp:val=&quot;50720FD1&quot;/&gt;&lt;wsp:rsid wsp:val=&quot;50722D7F&quot;/&gt;&lt;wsp:rsid wsp:val=&quot;50746AF7&quot;/&gt;&lt;wsp:rsid wsp:val=&quot;507552DF&quot;/&gt;&lt;wsp:rsid wsp:val=&quot;507629FF&quot;/&gt;&lt;wsp:rsid wsp:val=&quot;50772144&quot;/&gt;&lt;wsp:rsid wsp:val=&quot;50795EBC&quot;/&gt;&lt;wsp:rsid wsp:val=&quot;507C0FC7&quot;/&gt;&lt;wsp:rsid wsp:val=&quot;507C775A&quot;/&gt;&lt;wsp:rsid wsp:val=&quot;507E1724&quot;/&gt;&lt;wsp:rsid wsp:val=&quot;507E34D2&quot;/&gt;&lt;wsp:rsid wsp:val=&quot;507E6391&quot;/&gt;&lt;wsp:rsid wsp:val=&quot;507F4483&quot;/&gt;&lt;wsp:rsid wsp:val=&quot;507F7F57&quot;/&gt;&lt;wsp:rsid wsp:val=&quot;50811214&quot;/&gt;&lt;wsp:rsid wsp:val=&quot;50812FC2&quot;/&gt;&lt;wsp:rsid wsp:val=&quot;50824D12&quot;/&gt;&lt;wsp:rsid wsp:val=&quot;50844392&quot;/&gt;&lt;wsp:rsid wsp:val=&quot;50860E67&quot;/&gt;&lt;wsp:rsid wsp:val=&quot;50874A7C&quot;/&gt;&lt;wsp:rsid wsp:val=&quot;508807F5&quot;/&gt;&lt;wsp:rsid wsp:val=&quot;50884351&quot;/&gt;&lt;wsp:rsid wsp:val=&quot;508A00C9&quot;/&gt;&lt;wsp:rsid wsp:val=&quot;508A1E77&quot;/&gt;&lt;wsp:rsid wsp:val=&quot;508A631B&quot;/&gt;&lt;wsp:rsid wsp:val=&quot;50923421&quot;/&gt;&lt;wsp:rsid wsp:val=&quot;50925C97&quot;/&gt;&lt;wsp:rsid wsp:val=&quot;50940F47&quot;/&gt;&lt;wsp:rsid wsp:val=&quot;50966A6E&quot;/&gt;&lt;wsp:rsid wsp:val=&quot;50967405&quot;/&gt;&lt;wsp:rsid wsp:val=&quot;50974594&quot;/&gt;&lt;wsp:rsid wsp:val=&quot;50977F78&quot;/&gt;&lt;wsp:rsid wsp:val=&quot;509947B0&quot;/&gt;&lt;wsp:rsid wsp:val=&quot;509B4084&quot;/&gt;&lt;wsp:rsid wsp:val=&quot;509B6FFA&quot;/&gt;&lt;wsp:rsid wsp:val=&quot;509B7A53&quot;/&gt;&lt;wsp:rsid wsp:val=&quot;509C6E7C&quot;/&gt;&lt;wsp:rsid wsp:val=&quot;509D7DA2&quot;/&gt;&lt;wsp:rsid wsp:val=&quot;509F054C&quot;/&gt;&lt;wsp:rsid wsp:val=&quot;50A15412&quot;/&gt;&lt;wsp:rsid wsp:val=&quot;50A373DC&quot;/&gt;&lt;wsp:rsid wsp:val=&quot;50A46360&quot;/&gt;&lt;wsp:rsid wsp:val=&quot;50A52A93&quot;/&gt;&lt;wsp:rsid wsp:val=&quot;50A54F03&quot;/&gt;&lt;wsp:rsid wsp:val=&quot;50A82C45&quot;/&gt;&lt;wsp:rsid wsp:val=&quot;50AA2519&quot;/&gt;&lt;wsp:rsid wsp:val=&quot;50AA42C7&quot;/&gt;&lt;wsp:rsid wsp:val=&quot;50AD2009&quot;/&gt;&lt;wsp:rsid wsp:val=&quot;50AF18DD&quot;/&gt;&lt;wsp:rsid wsp:val=&quot;50AF7B2F&quot;/&gt;&lt;wsp:rsid wsp:val=&quot;50B0055B&quot;/&gt;&lt;wsp:rsid wsp:val=&quot;50B2258E&quot;/&gt;&lt;wsp:rsid wsp:val=&quot;50B415EA&quot;/&gt;&lt;wsp:rsid wsp:val=&quot;50B52C6C&quot;/&gt;&lt;wsp:rsid wsp:val=&quot;50B60EBE&quot;/&gt;&lt;wsp:rsid wsp:val=&quot;50B909AE&quot;/&gt;&lt;wsp:rsid wsp:val=&quot;50BD049E&quot;/&gt;&lt;wsp:rsid wsp:val=&quot;50BE5FC4&quot;/&gt;&lt;wsp:rsid wsp:val=&quot;50BE7D72&quot;/&gt;&lt;wsp:rsid wsp:val=&quot;50C02456&quot;/&gt;&lt;wsp:rsid wsp:val=&quot;50C11611&quot;/&gt;&lt;wsp:rsid wsp:val=&quot;50C138E6&quot;/&gt;&lt;wsp:rsid wsp:val=&quot;50C25AB5&quot;/&gt;&lt;wsp:rsid wsp:val=&quot;50C42A70&quot;/&gt;&lt;wsp:rsid wsp:val=&quot;50C44837&quot;/&gt;&lt;wsp:rsid wsp:val=&quot;50C45240&quot;/&gt;&lt;wsp:rsid wsp:val=&quot;50C64B87&quot;/&gt;&lt;wsp:rsid wsp:val=&quot;50C7131D&quot;/&gt;&lt;wsp:rsid wsp:val=&quot;50C75F2C&quot;/&gt;&lt;wsp:rsid wsp:val=&quot;50CC06E1&quot;/&gt;&lt;wsp:rsid wsp:val=&quot;50CC248F&quot;/&gt;&lt;wsp:rsid wsp:val=&quot;50CD1E89&quot;/&gt;&lt;wsp:rsid wsp:val=&quot;50CD4459&quot;/&gt;&lt;wsp:rsid wsp:val=&quot;50CE4754&quot;/&gt;&lt;wsp:rsid wsp:val=&quot;50CF01D2&quot;/&gt;&lt;wsp:rsid wsp:val=&quot;50CF1F80&quot;/&gt;&lt;wsp:rsid wsp:val=&quot;50D11C9A&quot;/&gt;&lt;wsp:rsid wsp:val=&quot;50D12F3C&quot;/&gt;&lt;wsp:rsid wsp:val=&quot;50D2312A&quot;/&gt;&lt;wsp:rsid wsp:val=&quot;50D35CFB&quot;/&gt;&lt;wsp:rsid wsp:val=&quot;50D40C8C&quot;/&gt;&lt;wsp:rsid wsp:val=&quot;50D41344&quot;/&gt;&lt;wsp:rsid wsp:val=&quot;50D4718B&quot;/&gt;&lt;wsp:rsid wsp:val=&quot;50D47596&quot;/&gt;&lt;wsp:rsid wsp:val=&quot;50D60C6A&quot;/&gt;&lt;wsp:rsid wsp:val=&quot;50D650BC&quot;/&gt;&lt;wsp:rsid wsp:val=&quot;50D65543&quot;/&gt;&lt;wsp:rsid wsp:val=&quot;50D75B0C&quot;/&gt;&lt;wsp:rsid wsp:val=&quot;50D852D8&quot;/&gt;&lt;wsp:rsid wsp:val=&quot;50D91050&quot;/&gt;&lt;wsp:rsid wsp:val=&quot;50D94BAC&quot;/&gt;&lt;wsp:rsid wsp:val=&quot;50D95830&quot;/&gt;&lt;wsp:rsid wsp:val=&quot;50DA183E&quot;/&gt;&lt;wsp:rsid wsp:val=&quot;50DB26D2&quot;/&gt;&lt;wsp:rsid wsp:val=&quot;50DB6B76&quot;/&gt;&lt;wsp:rsid wsp:val=&quot;50DE53F6&quot;/&gt;&lt;wsp:rsid wsp:val=&quot;50DF60FE&quot;/&gt;&lt;wsp:rsid wsp:val=&quot;50E05F3B&quot;/&gt;&lt;wsp:rsid wsp:val=&quot;50E21CB3&quot;/&gt;&lt;wsp:rsid wsp:val=&quot;50E341DB&quot;/&gt;&lt;wsp:rsid wsp:val=&quot;50E357F0&quot;/&gt;&lt;wsp:rsid wsp:val=&quot;50E377D9&quot;/&gt;&lt;wsp:rsid wsp:val=&quot;50E6588A&quot;/&gt;&lt;wsp:rsid wsp:val=&quot;50EA6DB9&quot;/&gt;&lt;wsp:rsid wsp:val=&quot;50EE063D&quot;/&gt;&lt;wsp:rsid wsp:val=&quot;50EE1C37&quot;/&gt;&lt;wsp:rsid wsp:val=&quot;50F10148&quot;/&gt;&lt;wsp:rsid wsp:val=&quot;50F1639A&quot;/&gt;&lt;wsp:rsid wsp:val=&quot;50F264F0&quot;/&gt;&lt;wsp:rsid wsp:val=&quot;50F2676D&quot;/&gt;&lt;wsp:rsid wsp:val=&quot;50F32112&quot;/&gt;&lt;wsp:rsid wsp:val=&quot;50F419E6&quot;/&gt;&lt;wsp:rsid wsp:val=&quot;50F55B1D&quot;/&gt;&lt;wsp:rsid wsp:val=&quot;50F6575E&quot;/&gt;&lt;wsp:rsid wsp:val=&quot;50F72166&quot;/&gt;&lt;wsp:rsid wsp:val=&quot;50F814D6&quot;/&gt;&lt;wsp:rsid wsp:val=&quot;50F96FFC&quot;/&gt;&lt;wsp:rsid wsp:val=&quot;50FB2D75&quot;/&gt;&lt;wsp:rsid wsp:val=&quot;50FD4618&quot;/&gt;&lt;wsp:rsid wsp:val=&quot;50FD4D3F&quot;/&gt;&lt;wsp:rsid wsp:val=&quot;50FE4613&quot;/&gt;&lt;wsp:rsid wsp:val=&quot;50FF65F4&quot;/&gt;&lt;wsp:rsid wsp:val=&quot;51002139&quot;/&gt;&lt;wsp:rsid wsp:val=&quot;510161A8&quot;/&gt;&lt;wsp:rsid wsp:val=&quot;51067449&quot;/&gt;&lt;wsp:rsid wsp:val=&quot;510734C7&quot;/&gt;&lt;wsp:rsid wsp:val=&quot;5108607B&quot;/&gt;&lt;wsp:rsid wsp:val=&quot;510861A6&quot;/&gt;&lt;wsp:rsid wsp:val=&quot;51087240&quot;/&gt;&lt;wsp:rsid wsp:val=&quot;510936E3&quot;/&gt;&lt;wsp:rsid wsp:val=&quot;51094EF2&quot;/&gt;&lt;wsp:rsid wsp:val=&quot;510C4F82&quot;/&gt;&lt;wsp:rsid wsp:val=&quot;510E07AC&quot;/&gt;&lt;wsp:rsid wsp:val=&quot;510F6820&quot;/&gt;&lt;wsp:rsid wsp:val=&quot;511107EA&quot;/&gt;&lt;wsp:rsid wsp:val=&quot;51112598&quot;/&gt;&lt;wsp:rsid wsp:val=&quot;51121E6C&quot;/&gt;&lt;wsp:rsid wsp:val=&quot;51131A4D&quot;/&gt;&lt;wsp:rsid wsp:val=&quot;51134562&quot;/&gt;&lt;wsp:rsid wsp:val=&quot;51145BE4&quot;/&gt;&lt;wsp:rsid wsp:val=&quot;5116195C&quot;/&gt;&lt;wsp:rsid wsp:val=&quot;51165E00&quot;/&gt;&lt;wsp:rsid wsp:val=&quot;51167BAE&quot;/&gt;&lt;wsp:rsid wsp:val=&quot;51174CCA&quot;/&gt;&lt;wsp:rsid wsp:val=&quot;511756C2&quot;/&gt;&lt;wsp:rsid wsp:val=&quot;51181B78&quot;/&gt;&lt;wsp:rsid wsp:val=&quot;5119144D&quot;/&gt;&lt;wsp:rsid wsp:val=&quot;5119769F&quot;/&gt;&lt;wsp:rsid wsp:val=&quot;511A77B1&quot;/&gt;&lt;wsp:rsid wsp:val=&quot;511B3417&quot;/&gt;&lt;wsp:rsid wsp:val=&quot;511B51C5&quot;/&gt;&lt;wsp:rsid wsp:val=&quot;511B6F73&quot;/&gt;&lt;wsp:rsid wsp:val=&quot;511D718F&quot;/&gt;&lt;wsp:rsid wsp:val=&quot;511E4CB5&quot;/&gt;&lt;wsp:rsid wsp:val=&quot;511F3F91&quot;/&gt;&lt;wsp:rsid wsp:val=&quot;512037C9&quot;/&gt;&lt;wsp:rsid wsp:val=&quot;51220301&quot;/&gt;&lt;wsp:rsid wsp:val=&quot;51234079&quot;/&gt;&lt;wsp:rsid wsp:val=&quot;5124051D&quot;/&gt;&lt;wsp:rsid wsp:val=&quot;512531C2&quot;/&gt;&lt;wsp:rsid wsp:val=&quot;51281690&quot;/&gt;&lt;wsp:rsid wsp:val=&quot;51295B34&quot;/&gt;&lt;wsp:rsid wsp:val=&quot;512978E2&quot;/&gt;&lt;wsp:rsid wsp:val=&quot;512A365A&quot;/&gt;&lt;wsp:rsid wsp:val=&quot;512A5408&quot;/&gt;&lt;wsp:rsid wsp:val=&quot;512C73D2&quot;/&gt;&lt;wsp:rsid wsp:val=&quot;512E091C&quot;/&gt;&lt;wsp:rsid wsp:val=&quot;512F2A1E&quot;/&gt;&lt;wsp:rsid wsp:val=&quot;512F6EC2&quot;/&gt;&lt;wsp:rsid wsp:val=&quot;51301FBE&quot;/&gt;&lt;wsp:rsid wsp:val=&quot;51305287&quot;/&gt;&lt;wsp:rsid wsp:val=&quot;51312C3A&quot;/&gt;&lt;wsp:rsid wsp:val=&quot;513242BC&quot;/&gt;&lt;wsp:rsid wsp:val=&quot;51330760&quot;/&gt;&lt;wsp:rsid wsp:val=&quot;51385D77&quot;/&gt;&lt;wsp:rsid wsp:val=&quot;5139389D&quot;/&gt;&lt;wsp:rsid wsp:val=&quot;513969CF&quot;/&gt;&lt;wsp:rsid wsp:val=&quot;513B13C3&quot;/&gt;&lt;wsp:rsid wsp:val=&quot;513C15BE&quot;/&gt;&lt;wsp:rsid wsp:val=&quot;513D513B&quot;/&gt;&lt;wsp:rsid wsp:val=&quot;513D755B&quot;/&gt;&lt;wsp:rsid wsp:val=&quot;513E2C61&quot;/&gt;&lt;wsp:rsid wsp:val=&quot;513F7105&quot;/&gt;&lt;wsp:rsid wsp:val=&quot;514209A3&quot;/&gt;&lt;wsp:rsid wsp:val=&quot;51422751&quot;/&gt;&lt;wsp:rsid wsp:val=&quot;51426BF5&quot;/&gt;&lt;wsp:rsid wsp:val=&quot;51433EC6&quot;/&gt;&lt;wsp:rsid wsp:val=&quot;5144296E&quot;/&gt;&lt;wsp:rsid wsp:val=&quot;51442FEA&quot;/&gt;&lt;wsp:rsid wsp:val=&quot;51450494&quot;/&gt;&lt;wsp:rsid wsp:val=&quot;51451AF4&quot;/&gt;&lt;wsp:rsid wsp:val=&quot;5147420C&quot;/&gt;&lt;wsp:rsid wsp:val=&quot;5148350E&quot;/&gt;&lt;wsp:rsid wsp:val=&quot;5149499E&quot;/&gt;&lt;wsp:rsid wsp:val=&quot;514A7062&quot;/&gt;&lt;wsp:rsid wsp:val=&quot;514B3CFC&quot;/&gt;&lt;wsp:rsid wsp:val=&quot;514C1822&quot;/&gt;&lt;wsp:rsid wsp:val=&quot;514F30C0&quot;/&gt;&lt;wsp:rsid wsp:val=&quot;51510332&quot;/&gt;&lt;wsp:rsid wsp:val=&quot;51510BE7&quot;/&gt;&lt;wsp:rsid wsp:val=&quot;51542485&quot;/&gt;&lt;wsp:rsid wsp:val=&quot;51570432&quot;/&gt;&lt;wsp:rsid wsp:val=&quot;51573196&quot;/&gt;&lt;wsp:rsid wsp:val=&quot;51586233&quot;/&gt;&lt;wsp:rsid wsp:val=&quot;51586419&quot;/&gt;&lt;wsp:rsid wsp:val=&quot;51595CED&quot;/&gt;&lt;wsp:rsid wsp:val=&quot;515A3F3F&quot;/&gt;&lt;wsp:rsid wsp:val=&quot;515B3DD2&quot;/&gt;&lt;wsp:rsid wsp:val=&quot;515D57DD&quot;/&gt;&lt;wsp:rsid wsp:val=&quot;515D758B&quot;/&gt;&lt;wsp:rsid wsp:val=&quot;515E2B63&quot;/&gt;&lt;wsp:rsid wsp:val=&quot;515F3303&quot;/&gt;&lt;wsp:rsid wsp:val=&quot;51600054&quot;/&gt;&lt;wsp:rsid wsp:val=&quot;5160707C&quot;/&gt;&lt;wsp:rsid wsp:val=&quot;5162104E&quot;/&gt;&lt;wsp:rsid wsp:val=&quot;51644DBE&quot;/&gt;&lt;wsp:rsid wsp:val=&quot;516642EA&quot;/&gt;&lt;wsp:rsid wsp:val=&quot;51666CAC&quot;/&gt;&lt;wsp:rsid wsp:val=&quot;5169153E&quot;/&gt;&lt;wsp:rsid wsp:val=&quot;516923D4&quot;/&gt;&lt;wsp:rsid wsp:val=&quot;51695F30&quot;/&gt;&lt;wsp:rsid wsp:val=&quot;51696558&quot;/&gt;&lt;wsp:rsid wsp:val=&quot;516B614C&quot;/&gt;&lt;wsp:rsid wsp:val=&quot;516C77CE&quot;/&gt;&lt;wsp:rsid wsp:val=&quot;516E1798&quot;/&gt;&lt;wsp:rsid wsp:val=&quot;51705511&quot;/&gt;&lt;wsp:rsid wsp:val=&quot;51713037&quot;/&gt;&lt;wsp:rsid wsp:val=&quot;51714DE5&quot;/&gt;&lt;wsp:rsid wsp:val=&quot;517174DB&quot;/&gt;&lt;wsp:rsid wsp:val=&quot;51725F12&quot;/&gt;&lt;wsp:rsid wsp:val=&quot;517364CA&quot;/&gt;&lt;wsp:rsid wsp:val=&quot;517372A6&quot;/&gt;&lt;wsp:rsid wsp:val=&quot;51756313&quot;/&gt;&lt;wsp:rsid wsp:val=&quot;51764AF1&quot;/&gt;&lt;wsp:rsid wsp:val=&quot;5176689F&quot;/&gt;&lt;wsp:rsid wsp:val=&quot;517862DB&quot;/&gt;&lt;wsp:rsid wsp:val=&quot;517A013D&quot;/&gt;&lt;wsp:rsid wsp:val=&quot;517A638F&quot;/&gt;&lt;wsp:rsid wsp:val=&quot;517D19DC&quot;/&gt;&lt;wsp:rsid wsp:val=&quot;517F7502&quot;/&gt;&lt;wsp:rsid wsp:val=&quot;51826FF2&quot;/&gt;&lt;wsp:rsid wsp:val=&quot;518412A6&quot;/&gt;&lt;wsp:rsid wsp:val=&quot;51845DE3&quot;/&gt;&lt;wsp:rsid wsp:val=&quot;5184720E&quot;/&gt;&lt;wsp:rsid wsp:val=&quot;51850890&quot;/&gt;&lt;wsp:rsid wsp:val=&quot;51851EB1&quot;/&gt;&lt;wsp:rsid wsp:val=&quot;51856AE2&quot;/&gt;&lt;wsp:rsid wsp:val=&quot;51863288&quot;/&gt;&lt;wsp:rsid wsp:val=&quot;51874608&quot;/&gt;&lt;wsp:rsid wsp:val=&quot;51890380&quot;/&gt;&lt;wsp:rsid wsp:val=&quot;518A40F8&quot;/&gt;&lt;wsp:rsid wsp:val=&quot;518A5EA7&quot;/&gt;&lt;wsp:rsid wsp:val=&quot;518B672F&quot;/&gt;&lt;wsp:rsid wsp:val=&quot;518C1C1F&quot;/&gt;&lt;wsp:rsid wsp:val=&quot;518C4C2B&quot;/&gt;&lt;wsp:rsid wsp:val=&quot;518C60C3&quot;/&gt;&lt;wsp:rsid wsp:val=&quot;519136D9&quot;/&gt;&lt;wsp:rsid wsp:val=&quot;5191557D&quot;/&gt;&lt;wsp:rsid wsp:val=&quot;51917235&quot;/&gt;&lt;wsp:rsid wsp:val=&quot;51932FAD&quot;/&gt;&lt;wsp:rsid wsp:val=&quot;51945ED0&quot;/&gt;&lt;wsp:rsid wsp:val=&quot;51954F77&quot;/&gt;&lt;wsp:rsid wsp:val=&quot;51956D25&quot;/&gt;&lt;wsp:rsid wsp:val=&quot;51976F41&quot;/&gt;&lt;wsp:rsid wsp:val=&quot;51984A67&quot;/&gt;&lt;wsp:rsid wsp:val=&quot;51986D55&quot;/&gt;&lt;wsp:rsid wsp:val=&quot;519B00B4&quot;/&gt;&lt;wsp:rsid wsp:val=&quot;519B2098&quot;/&gt;&lt;wsp:rsid wsp:val=&quot;519C4558&quot;/&gt;&lt;wsp:rsid wsp:val=&quot;519D3E2C&quot;/&gt;&lt;wsp:rsid wsp:val=&quot;519F1952&quot;/&gt;&lt;wsp:rsid wsp:val=&quot;519F2BF9&quot;/&gt;&lt;wsp:rsid wsp:val=&quot;519F5DF6&quot;/&gt;&lt;wsp:rsid wsp:val=&quot;51A0391C&quot;/&gt;&lt;wsp:rsid wsp:val=&quot;51A054E7&quot;/&gt;&lt;wsp:rsid wsp:val=&quot;51A229D8&quot;/&gt;&lt;wsp:rsid wsp:val=&quot;51A57EC9&quot;/&gt;&lt;wsp:rsid wsp:val=&quot;51A96C75&quot;/&gt;&lt;wsp:rsid wsp:val=&quot;51AB479B&quot;/&gt;&lt;wsp:rsid wsp:val=&quot;51B11685&quot;/&gt;&lt;wsp:rsid wsp:val=&quot;51B15B29&quot;/&gt;&lt;wsp:rsid wsp:val=&quot;51B178D7&quot;/&gt;&lt;wsp:rsid wsp:val=&quot;51B20588&quot;/&gt;&lt;wsp:rsid wsp:val=&quot;51B278FC&quot;/&gt;&lt;wsp:rsid wsp:val=&quot;51B318A1&quot;/&gt;&lt;wsp:rsid wsp:val=&quot;51B3364F&quot;/&gt;&lt;wsp:rsid wsp:val=&quot;51B353FD&quot;/&gt;&lt;wsp:rsid wsp:val=&quot;51B435EF&quot;/&gt;&lt;wsp:rsid wsp:val=&quot;51B72F48&quot;/&gt;&lt;wsp:rsid wsp:val=&quot;51B82A14&quot;/&gt;&lt;wsp:rsid wsp:val=&quot;51BA2C30&quot;/&gt;&lt;wsp:rsid wsp:val=&quot;51BA4ED9&quot;/&gt;&lt;wsp:rsid wsp:val=&quot;51BC0756&quot;/&gt;&lt;wsp:rsid wsp:val=&quot;51BC1A4F&quot;/&gt;&lt;wsp:rsid wsp:val=&quot;51BD75E0&quot;/&gt;&lt;wsp:rsid wsp:val=&quot;51BE390E&quot;/&gt;&lt;wsp:rsid wsp:val=&quot;51BE431A&quot;/&gt;&lt;wsp:rsid wsp:val=&quot;51BF0246&quot;/&gt;&lt;wsp:rsid wsp:val=&quot;51BF1FF4&quot;/&gt;&lt;wsp:rsid wsp:val=&quot;51C27D36&quot;/&gt;&lt;wsp:rsid wsp:val=&quot;51C30881&quot;/&gt;&lt;wsp:rsid wsp:val=&quot;51C32DEB&quot;/&gt;&lt;wsp:rsid wsp:val=&quot;51C413B8&quot;/&gt;&lt;wsp:rsid wsp:val=&quot;51C55131&quot;/&gt;&lt;wsp:rsid wsp:val=&quot;51C70EA9&quot;/&gt;&lt;wsp:rsid wsp:val=&quot;51C83E52&quot;/&gt;&lt;wsp:rsid wsp:val=&quot;51C8791B&quot;/&gt;&lt;wsp:rsid wsp:val=&quot;51C94C21&quot;/&gt;&lt;wsp:rsid wsp:val=&quot;51CB2747&quot;/&gt;&lt;wsp:rsid wsp:val=&quot;51CC27B3&quot;/&gt;&lt;wsp:rsid wsp:val=&quot;51CC3074&quot;/&gt;&lt;wsp:rsid wsp:val=&quot;51D3602E&quot;/&gt;&lt;wsp:rsid wsp:val=&quot;51D57A6A&quot;/&gt;&lt;wsp:rsid wsp:val=&quot;51D610EC&quot;/&gt;&lt;wsp:rsid wsp:val=&quot;51D6733E&quot;/&gt;&lt;wsp:rsid wsp:val=&quot;51D718C7&quot;/&gt;&lt;wsp:rsid wsp:val=&quot;51D75590&quot;/&gt;&lt;wsp:rsid wsp:val=&quot;51D81308&quot;/&gt;&lt;wsp:rsid wsp:val=&quot;51DA681B&quot;/&gt;&lt;wsp:rsid wsp:val=&quot;51DB6702&quot;/&gt;&lt;wsp:rsid wsp:val=&quot;51DF2696&quot;/&gt;&lt;wsp:rsid wsp:val=&quot;51DF6918&quot;/&gt;&lt;wsp:rsid wsp:val=&quot;51E11F6A&quot;/&gt;&lt;wsp:rsid wsp:val=&quot;51E1640E&quot;/&gt;&lt;wsp:rsid wsp:val=&quot;51E21056&quot;/&gt;&lt;wsp:rsid wsp:val=&quot;51E27A91&quot;/&gt;&lt;wsp:rsid wsp:val=&quot;51E37825&quot;/&gt;&lt;wsp:rsid wsp:val=&quot;51E43809&quot;/&gt;&lt;wsp:rsid wsp:val=&quot;51E4598F&quot;/&gt;&lt;wsp:rsid wsp:val=&quot;51E657D3&quot;/&gt;&lt;wsp:rsid wsp:val=&quot;51E732F9&quot;/&gt;&lt;wsp:rsid wsp:val=&quot;51E8779D&quot;/&gt;&lt;wsp:rsid wsp:val=&quot;51E90E1F&quot;/&gt;&lt;wsp:rsid wsp:val=&quot;51E93F9C&quot;/&gt;&lt;wsp:rsid wsp:val=&quot;51E952C3&quot;/&gt;&lt;wsp:rsid wsp:val=&quot;51EB4B97&quot;/&gt;&lt;wsp:rsid wsp:val=&quot;51EE0B2B&quot;/&gt;&lt;wsp:rsid wsp:val=&quot;51EE6435&quot;/&gt;&lt;wsp:rsid wsp:val=&quot;51F0145F&quot;/&gt;&lt;wsp:rsid wsp:val=&quot;51F06651&quot;/&gt;&lt;wsp:rsid wsp:val=&quot;51F31C9E&quot;/&gt;&lt;wsp:rsid wsp:val=&quot;51F36142&quot;/&gt;&lt;wsp:rsid wsp:val=&quot;51F37EF0&quot;/&gt;&lt;wsp:rsid wsp:val=&quot;51F55A16&quot;/&gt;&lt;wsp:rsid wsp:val=&quot;51F75BDF&quot;/&gt;&lt;wsp:rsid wsp:val=&quot;51F779E0&quot;/&gt;&lt;wsp:rsid wsp:val=&quot;51FD48CA&quot;/&gt;&lt;wsp:rsid wsp:val=&quot;51FE0D6E&quot;/&gt;&lt;wsp:rsid wsp:val=&quot;51FF6894&quot;/&gt;&lt;wsp:rsid wsp:val=&quot;5201085F&quot;/&gt;&lt;wsp:rsid wsp:val=&quot;5201260D&quot;/&gt;&lt;wsp:rsid wsp:val=&quot;52020133&quot;/&gt;&lt;wsp:rsid wsp:val=&quot;52036385&quot;/&gt;&lt;wsp:rsid wsp:val=&quot;52043EAB&quot;/&gt;&lt;wsp:rsid wsp:val=&quot;52045C59&quot;/&gt;&lt;wsp:rsid wsp:val=&quot;52053F6D&quot;/&gt;&lt;wsp:rsid wsp:val=&quot;52063512&quot;/&gt;&lt;wsp:rsid wsp:val=&quot;52065E75&quot;/&gt;&lt;wsp:rsid wsp:val=&quot;52067C23&quot;/&gt;&lt;wsp:rsid wsp:val=&quot;520774F7&quot;/&gt;&lt;wsp:rsid wsp:val=&quot;5208399B&quot;/&gt;&lt;wsp:rsid wsp:val=&quot;5209326F&quot;/&gt;&lt;wsp:rsid wsp:val=&quot;520D0FB1&quot;/&gt;&lt;wsp:rsid wsp:val=&quot;520D4567&quot;/&gt;&lt;wsp:rsid wsp:val=&quot;520E4D2A&quot;/&gt;&lt;wsp:rsid wsp:val=&quot;520E6AD8&quot;/&gt;&lt;wsp:rsid wsp:val=&quot;520F187D&quot;/&gt;&lt;wsp:rsid wsp:val=&quot;52100AA2&quot;/&gt;&lt;wsp:rsid wsp:val=&quot;521039DF&quot;/&gt;&lt;wsp:rsid wsp:val=&quot;521161D6&quot;/&gt;&lt;wsp:rsid wsp:val=&quot;5212481A&quot;/&gt;&lt;wsp:rsid wsp:val=&quot;521340EE&quot;/&gt;&lt;wsp:rsid wsp:val=&quot;52135808&quot;/&gt;&lt;wsp:rsid wsp:val=&quot;521560B8&quot;/&gt;&lt;wsp:rsid wsp:val=&quot;52157E66&quot;/&gt;&lt;wsp:rsid wsp:val=&quot;52171E30&quot;/&gt;&lt;wsp:rsid wsp:val=&quot;52173BDE&quot;/&gt;&lt;wsp:rsid wsp:val=&quot;5217598C&quot;/&gt;&lt;wsp:rsid wsp:val=&quot;52187956&quot;/&gt;&lt;wsp:rsid wsp:val=&quot;521C2FA3&quot;/&gt;&lt;wsp:rsid wsp:val=&quot;521C7446&quot;/&gt;&lt;wsp:rsid wsp:val=&quot;521D6D1B&quot;/&gt;&lt;wsp:rsid wsp:val=&quot;521F17D2&quot;/&gt;&lt;wsp:rsid wsp:val=&quot;521F2A93&quot;/&gt;&lt;wsp:rsid wsp:val=&quot;52207E0C&quot;/&gt;&lt;wsp:rsid wsp:val=&quot;52210308&quot;/&gt;&lt;wsp:rsid wsp:val=&quot;52224331&quot;/&gt;&lt;wsp:rsid wsp:val=&quot;522307D5&quot;/&gt;&lt;wsp:rsid wsp:val=&quot;522410D4&quot;/&gt;&lt;wsp:rsid wsp:val=&quot;522602C5&quot;/&gt;&lt;wsp:rsid wsp:val=&quot;52262073&quot;/&gt;&lt;wsp:rsid wsp:val=&quot;52263E21&quot;/&gt;&lt;wsp:rsid wsp:val=&quot;52275EA9&quot;/&gt;&lt;wsp:rsid wsp:val=&quot;52287B99&quot;/&gt;&lt;wsp:rsid wsp:val=&quot;52291B63&quot;/&gt;&lt;wsp:rsid wsp:val=&quot;522B58DB&quot;/&gt;&lt;wsp:rsid wsp:val=&quot;522B768A&quot;/&gt;&lt;wsp:rsid wsp:val=&quot;522C6459&quot;/&gt;&lt;wsp:rsid wsp:val=&quot;522E0F28&quot;/&gt;&lt;wsp:rsid wsp:val=&quot;52326C6A&quot;/&gt;&lt;wsp:rsid wsp:val=&quot;523302EC&quot;/&gt;&lt;wsp:rsid wsp:val=&quot;52344790&quot;/&gt;&lt;wsp:rsid wsp:val=&quot;523522B6&quot;/&gt;&lt;wsp:rsid wsp:val=&quot;523625A1&quot;/&gt;&lt;wsp:rsid wsp:val=&quot;52363773&quot;/&gt;&lt;wsp:rsid wsp:val=&quot;52374280&quot;/&gt;&lt;wsp:rsid wsp:val=&quot;523A167B&quot;/&gt;&lt;wsp:rsid wsp:val=&quot;523A2882&quot;/&gt;&lt;wsp:rsid wsp:val=&quot;523A5B1F&quot;/&gt;&lt;wsp:rsid wsp:val=&quot;523A78CD&quot;/&gt;&lt;wsp:rsid wsp:val=&quot;523E560F&quot;/&gt;&lt;wsp:rsid wsp:val=&quot;523E73BD&quot;/&gt;&lt;wsp:rsid wsp:val=&quot;523F4EE3&quot;/&gt;&lt;wsp:rsid wsp:val=&quot;52406284&quot;/&gt;&lt;wsp:rsid wsp:val=&quot;52412A09&quot;/&gt;&lt;wsp:rsid wsp:val=&quot;52432C25&quot;/&gt;&lt;wsp:rsid wsp:val=&quot;5245699D&quot;/&gt;&lt;wsp:rsid wsp:val=&quot;5246001F&quot;/&gt;&lt;wsp:rsid wsp:val=&quot;52462715&quot;/&gt;&lt;wsp:rsid wsp:val=&quot;5248054A&quot;/&gt;&lt;wsp:rsid wsp:val=&quot;52497B10&quot;/&gt;&lt;wsp:rsid wsp:val=&quot;524B1ADA&quot;/&gt;&lt;wsp:rsid wsp:val=&quot;524D28F9&quot;/&gt;&lt;wsp:rsid wsp:val=&quot;524D5852&quot;/&gt;&lt;wsp:rsid wsp:val=&quot;524D7600&quot;/&gt;&lt;wsp:rsid wsp:val=&quot;525070F0&quot;/&gt;&lt;wsp:rsid wsp:val=&quot;525377A0&quot;/&gt;&lt;wsp:rsid wsp:val=&quot;52552958&quot;/&gt;&lt;wsp:rsid wsp:val=&quot;525564B4&quot;/&gt;&lt;wsp:rsid wsp:val=&quot;52562EB1&quot;/&gt;&lt;wsp:rsid wsp:val=&quot;5257047F&quot;/&gt;&lt;wsp:rsid wsp:val=&quot;525766D1&quot;/&gt;&lt;wsp:rsid wsp:val=&quot;525941F7&quot;/&gt;&lt;wsp:rsid wsp:val=&quot;52595FA5&quot;/&gt;&lt;wsp:rsid wsp:val=&quot;525A7F6F&quot;/&gt;&lt;wsp:rsid wsp:val=&quot;525B7E1D&quot;/&gt;&lt;wsp:rsid wsp:val=&quot;525D5136&quot;/&gt;&lt;wsp:rsid wsp:val=&quot;525E180D&quot;/&gt;&lt;wsp:rsid wsp:val=&quot;525E5A85&quot;/&gt;&lt;wsp:rsid wsp:val=&quot;525F17E0&quot;/&gt;&lt;wsp:rsid wsp:val=&quot;525F7333&quot;/&gt;&lt;wsp:rsid wsp:val=&quot;52676E2D&quot;/&gt;&lt;wsp:rsid wsp:val=&quot;526B217C&quot;/&gt;&lt;wsp:rsid wsp:val=&quot;526D7CA2&quot;/&gt;&lt;wsp:rsid wsp:val=&quot;526F3A1A&quot;/&gt;&lt;wsp:rsid wsp:val=&quot;526F5AE9&quot;/&gt;&lt;wsp:rsid wsp:val=&quot;52701540&quot;/&gt;&lt;wsp:rsid wsp:val=&quot;52727066&quot;/&gt;&lt;wsp:rsid wsp:val=&quot;52741030&quot;/&gt;&lt;wsp:rsid wsp:val=&quot;52742DDF&quot;/&gt;&lt;wsp:rsid wsp:val=&quot;52750905&quot;/&gt;&lt;wsp:rsid wsp:val=&quot;527728CF&quot;/&gt;&lt;wsp:rsid wsp:val=&quot;52775881&quot;/&gt;&lt;wsp:rsid wsp:val=&quot;527821A3&quot;/&gt;&lt;wsp:rsid wsp:val=&quot;527949B6&quot;/&gt;&lt;wsp:rsid wsp:val=&quot;52796647&quot;/&gt;&lt;wsp:rsid wsp:val=&quot;527A5F1B&quot;/&gt;&lt;wsp:rsid wsp:val=&quot;527B23BF&quot;/&gt;&lt;wsp:rsid wsp:val=&quot;527C6137&quot;/&gt;&lt;wsp:rsid wsp:val=&quot;527C7EE5&quot;/&gt;&lt;wsp:rsid wsp:val=&quot;527E3C5D&quot;/&gt;&lt;wsp:rsid wsp:val=&quot;527E7E13&quot;/&gt;&lt;wsp:rsid wsp:val=&quot;527F3531&quot;/&gt;&lt;wsp:rsid wsp:val=&quot;528079D5&quot;/&gt;&lt;wsp:rsid wsp:val=&quot;52846D9A&quot;/&gt;&lt;wsp:rsid wsp:val=&quot;5285680A&quot;/&gt;&lt;wsp:rsid wsp:val=&quot;52860D64&quot;/&gt;&lt;wsp:rsid wsp:val=&quot;52880638&quot;/&gt;&lt;wsp:rsid wsp:val=&quot;52892D6A&quot;/&gt;&lt;wsp:rsid wsp:val=&quot;528943B0&quot;/&gt;&lt;wsp:rsid wsp:val=&quot;528A0854&quot;/&gt;&lt;wsp:rsid wsp:val=&quot;528B1ED6&quot;/&gt;&lt;wsp:rsid wsp:val=&quot;528D3EA0&quot;/&gt;&lt;wsp:rsid wsp:val=&quot;52911BE2&quot;/&gt;&lt;wsp:rsid wsp:val=&quot;529214B7&quot;/&gt;&lt;wsp:rsid wsp:val=&quot;529273E1&quot;/&gt;&lt;wsp:rsid wsp:val=&quot;529308D2&quot;/&gt;&lt;wsp:rsid wsp:val=&quot;5294522F&quot;/&gt;&lt;wsp:rsid wsp:val=&quot;52950FA7&quot;/&gt;&lt;wsp:rsid wsp:val=&quot;52972F71&quot;/&gt;&lt;wsp:rsid wsp:val=&quot;52974D1F&quot;/&gt;&lt;wsp:rsid wsp:val=&quot;52992845&quot;/&gt;&lt;wsp:rsid wsp:val=&quot;529945F3&quot;/&gt;&lt;wsp:rsid wsp:val=&quot;529A0DFF&quot;/&gt;&lt;wsp:rsid wsp:val=&quot;529C0587&quot;/&gt;&lt;wsp:rsid wsp:val=&quot;529C2335&quot;/&gt;&lt;wsp:rsid wsp:val=&quot;529D2670&quot;/&gt;&lt;wsp:rsid wsp:val=&quot;529E60AD&quot;/&gt;&lt;wsp:rsid wsp:val=&quot;529E7E5B&quot;/&gt;&lt;wsp:rsid wsp:val=&quot;52A00D5B&quot;/&gt;&lt;wsp:rsid wsp:val=&quot;52A15B9E&quot;/&gt;&lt;wsp:rsid wsp:val=&quot;52A30116&quot;/&gt;&lt;wsp:rsid wsp:val=&quot;52A336C4&quot;/&gt;&lt;wsp:rsid wsp:val=&quot;52A35472&quot;/&gt;&lt;wsp:rsid wsp:val=&quot;52A511EA&quot;/&gt;&lt;wsp:rsid wsp:val=&quot;52A66D10&quot;/&gt;&lt;wsp:rsid wsp:val=&quot;52A94F25&quot;/&gt;&lt;wsp:rsid wsp:val=&quot;52AB2578&quot;/&gt;&lt;wsp:rsid wsp:val=&quot;52AF3E17&quot;/&gt;&lt;wsp:rsid wsp:val=&quot;52B0193D&quot;/&gt;&lt;wsp:rsid wsp:val=&quot;52B14033&quot;/&gt;&lt;wsp:rsid wsp:val=&quot;52B15DE1&quot;/&gt;&lt;wsp:rsid wsp:val=&quot;52B17615&quot;/&gt;&lt;wsp:rsid wsp:val=&quot;52B22C17&quot;/&gt;&lt;wsp:rsid wsp:val=&quot;52B23907&quot;/&gt;&lt;wsp:rsid wsp:val=&quot;52B4767F&quot;/&gt;&lt;wsp:rsid wsp:val=&quot;52B6137F&quot;/&gt;&lt;wsp:rsid wsp:val=&quot;52B61649&quot;/&gt;&lt;wsp:rsid wsp:val=&quot;52B70F1D&quot;/&gt;&lt;wsp:rsid wsp:val=&quot;52B72CCB&quot;/&gt;&lt;wsp:rsid wsp:val=&quot;52B74753&quot;/&gt;&lt;wsp:rsid wsp:val=&quot;52B94C95&quot;/&gt;&lt;wsp:rsid wsp:val=&quot;52BA27BB&quot;/&gt;&lt;wsp:rsid wsp:val=&quot;52BB6C5F&quot;/&gt;&lt;wsp:rsid wsp:val=&quot;52BC29D7&quot;/&gt;&lt;wsp:rsid wsp:val=&quot;52BC7A43&quot;/&gt;&lt;wsp:rsid wsp:val=&quot;52C038CF&quot;/&gt;&lt;wsp:rsid wsp:val=&quot;52C27FEE&quot;/&gt;&lt;wsp:rsid wsp:val=&quot;52C33D66&quot;/&gt;&lt;wsp:rsid wsp:val=&quot;52C378C2&quot;/&gt;&lt;wsp:rsid wsp:val=&quot;52C5188C&quot;/&gt;&lt;wsp:rsid wsp:val=&quot;52C52FBD&quot;/&gt;&lt;wsp:rsid wsp:val=&quot;52C5363A&quot;/&gt;&lt;wsp:rsid wsp:val=&quot;52C55120&quot;/&gt;&lt;wsp:rsid wsp:val=&quot;52C6444D&quot;/&gt;&lt;wsp:rsid wsp:val=&quot;52C8137C&quot;/&gt;&lt;wsp:rsid wsp:val=&quot;52C901FD&quot;/&gt;&lt;wsp:rsid wsp:val=&quot;52C93C68&quot;/&gt;&lt;wsp:rsid wsp:val=&quot;52CA28B0&quot;/&gt;&lt;wsp:rsid wsp:val=&quot;52CA29FF&quot;/&gt;&lt;wsp:rsid wsp:val=&quot;52CA425E&quot;/&gt;&lt;wsp:rsid wsp:val=&quot;52CB49C9&quot;/&gt;&lt;wsp:rsid wsp:val=&quot;52CB56EE&quot;/&gt;&lt;wsp:rsid wsp:val=&quot;52CD28C8&quot;/&gt;&lt;wsp:rsid wsp:val=&quot;52CF270B&quot;/&gt;&lt;wsp:rsid wsp:val=&quot;52CF44B9&quot;/&gt;&lt;wsp:rsid wsp:val=&quot;52D03D8D&quot;/&gt;&lt;wsp:rsid wsp:val=&quot;52D05B9E&quot;/&gt;&lt;wsp:rsid wsp:val=&quot;52D10231&quot;/&gt;&lt;wsp:rsid wsp:val=&quot;52D23FA9&quot;/&gt;&lt;wsp:rsid wsp:val=&quot;52D27B05&quot;/&gt;&lt;wsp:rsid wsp:val=&quot;52D41ACF&quot;/&gt;&lt;wsp:rsid wsp:val=&quot;52D4387D&quot;/&gt;&lt;wsp:rsid wsp:val=&quot;52D61371&quot;/&gt;&lt;wsp:rsid wsp:val=&quot;52D715BF&quot;/&gt;&lt;wsp:rsid wsp:val=&quot;52D7336D&quot;/&gt;&lt;wsp:rsid wsp:val=&quot;52D824FC&quot;/&gt;&lt;wsp:rsid wsp:val=&quot;52D85640&quot;/&gt;&lt;wsp:rsid wsp:val=&quot;52D90E94&quot;/&gt;&lt;wsp:rsid wsp:val=&quot;52D94008&quot;/&gt;&lt;wsp:rsid wsp:val=&quot;52DA79A1&quot;/&gt;&lt;wsp:rsid wsp:val=&quot;52DB4C0C&quot;/&gt;&lt;wsp:rsid wsp:val=&quot;52DE294E&quot;/&gt;&lt;wsp:rsid wsp:val=&quot;52DF00AD&quot;/&gt;&lt;wsp:rsid wsp:val=&quot;52E07BC5&quot;/&gt;&lt;wsp:rsid wsp:val=&quot;52E15F9A&quot;/&gt;&lt;wsp:rsid wsp:val=&quot;52E34B56&quot;/&gt;&lt;wsp:rsid wsp:val=&quot;52E43DC1&quot;/&gt;&lt;wsp:rsid wsp:val=&quot;52E63A37&quot;/&gt;&lt;wsp:rsid wsp:val=&quot;52E837CD&quot;/&gt;&lt;wsp:rsid wsp:val=&quot;52EA0F57&quot;/&gt;&lt;wsp:rsid wsp:val=&quot;52EA4E4F&quot;/&gt;&lt;wsp:rsid wsp:val=&quot;52EC6E19&quot;/&gt;&lt;wsp:rsid wsp:val=&quot;52F04408&quot;/&gt;&lt;wsp:rsid wsp:val=&quot;52F061DD&quot;/&gt;&lt;wsp:rsid wsp:val=&quot;52F263F9&quot;/&gt;&lt;wsp:rsid wsp:val=&quot;52F65EE9&quot;/&gt;&lt;wsp:rsid wsp:val=&quot;52F83A10&quot;/&gt;&lt;wsp:rsid wsp:val=&quot;52F9532F&quot;/&gt;&lt;wsp:rsid wsp:val=&quot;52FB52AE&quot;/&gt;&lt;wsp:rsid wsp:val=&quot;52FC2DD4&quot;/&gt;&lt;wsp:rsid wsp:val=&quot;52FC4B82&quot;/&gt;&lt;wsp:rsid wsp:val=&quot;52FE6B4C&quot;/&gt;&lt;wsp:rsid wsp:val=&quot;52FF0F42&quot;/&gt;&lt;wsp:rsid wsp:val=&quot;53000B16&quot;/&gt;&lt;wsp:rsid wsp:val=&quot;530028C4&quot;/&gt;&lt;wsp:rsid wsp:val=&quot;5302488E&quot;/&gt;&lt;wsp:rsid wsp:val=&quot;53051C89&quot;/&gt;&lt;wsp:rsid wsp:val=&quot;53065A01&quot;/&gt;&lt;wsp:rsid wsp:val=&quot;53073C53&quot;/&gt;&lt;wsp:rsid wsp:val=&quot;530823C4&quot;/&gt;&lt;wsp:rsid wsp:val=&quot;530838D7&quot;/&gt;&lt;wsp:rsid wsp:val=&quot;53084200&quot;/&gt;&lt;wsp:rsid wsp:val=&quot;53095C1D&quot;/&gt;&lt;wsp:rsid wsp:val=&quot;530B580B&quot;/&gt;&lt;wsp:rsid wsp:val=&quot;530C7DF3&quot;/&gt;&lt;wsp:rsid wsp:val=&quot;530E2C43&quot;/&gt;&lt;wsp:rsid wsp:val=&quot;530F48B5&quot;/&gt;&lt;wsp:rsid wsp:val=&quot;53114AD1&quot;/&gt;&lt;wsp:rsid wsp:val=&quot;5312149E&quot;/&gt;&lt;wsp:rsid wsp:val=&quot;531225F7&quot;/&gt;&lt;wsp:rsid wsp:val=&quot;531243A6&quot;/&gt;&lt;wsp:rsid wsp:val=&quot;5314011E&quot;/&gt;&lt;wsp:rsid wsp:val=&quot;531533C5&quot;/&gt;&lt;wsp:rsid wsp:val=&quot;53163E96&quot;/&gt;&lt;wsp:rsid wsp:val=&quot;53184E30&quot;/&gt;&lt;wsp:rsid wsp:val=&quot;53185368&quot;/&gt;&lt;wsp:rsid wsp:val=&quot;53192DA1&quot;/&gt;&lt;wsp:rsid wsp:val=&quot;53193986&quot;/&gt;&lt;wsp:rsid wsp:val=&quot;531B6F3F&quot;/&gt;&lt;wsp:rsid wsp:val=&quot;531B76FE&quot;/&gt;&lt;wsp:rsid wsp:val=&quot;531C3B06&quot;/&gt;&lt;wsp:rsid wsp:val=&quot;531C6FD2&quot;/&gt;&lt;wsp:rsid wsp:val=&quot;531D3476&quot;/&gt;&lt;wsp:rsid wsp:val=&quot;531E0F9C&quot;/&gt;&lt;wsp:rsid wsp:val=&quot;531F6462&quot;/&gt;&lt;wsp:rsid wsp:val=&quot;532053C7&quot;/&gt;&lt;wsp:rsid wsp:val=&quot;5322283B&quot;/&gt;&lt;wsp:rsid wsp:val=&quot;53230361&quot;/&gt;&lt;wsp:rsid wsp:val=&quot;5325232B&quot;/&gt;&lt;wsp:rsid wsp:val=&quot;53267789&quot;/&gt;&lt;wsp:rsid wsp:val=&quot;532760A3&quot;/&gt;&lt;wsp:rsid wsp:val=&quot;53285977&quot;/&gt;&lt;wsp:rsid wsp:val=&quot;532A5B93&quot;/&gt;&lt;wsp:rsid wsp:val=&quot;532C190B&quot;/&gt;&lt;wsp:rsid wsp:val=&quot;532C36B9&quot;/&gt;&lt;wsp:rsid wsp:val=&quot;532C5467&quot;/&gt;&lt;wsp:rsid wsp:val=&quot;532D5299&quot;/&gt;&lt;wsp:rsid wsp:val=&quot;532E5683&quot;/&gt;&lt;wsp:rsid wsp:val=&quot;532E7431&quot;/&gt;&lt;wsp:rsid wsp:val=&quot;53301F7C&quot;/&gt;&lt;wsp:rsid wsp:val=&quot;53317258&quot;/&gt;&lt;wsp:rsid wsp:val=&quot;533267F6&quot;/&gt;&lt;wsp:rsid wsp:val=&quot;53332C9A&quot;/&gt;&lt;wsp:rsid wsp:val=&quot;53334A48&quot;/&gt;&lt;wsp:rsid wsp:val=&quot;533407C0&quot;/&gt;&lt;wsp:rsid wsp:val=&quot;533662E6&quot;/&gt;&lt;wsp:rsid wsp:val=&quot;53397B84&quot;/&gt;&lt;wsp:rsid wsp:val=&quot;533B1B4E&quot;/&gt;&lt;wsp:rsid wsp:val=&quot;533B56AA&quot;/&gt;&lt;wsp:rsid wsp:val=&quot;533B7DA0&quot;/&gt;&lt;wsp:rsid wsp:val=&quot;533C1422&quot;/&gt;&lt;wsp:rsid wsp:val=&quot;533D4580&quot;/&gt;&lt;wsp:rsid wsp:val=&quot;53402B31&quot;/&gt;&lt;wsp:rsid wsp:val=&quot;53422EDD&quot;/&gt;&lt;wsp:rsid wsp:val=&quot;534327B1&quot;/&gt;&lt;wsp:rsid wsp:val=&quot;534529CD&quot;/&gt;&lt;wsp:rsid wsp:val=&quot;5345477B&quot;/&gt;&lt;wsp:rsid wsp:val=&quot;53487DC7&quot;/&gt;&lt;wsp:rsid wsp:val=&quot;5349426B&quot;/&gt;&lt;wsp:rsid wsp:val=&quot;534F1156&quot;/&gt;&lt;wsp:rsid wsp:val=&quot;534F1A4B&quot;/&gt;&lt;wsp:rsid wsp:val=&quot;534F34A0&quot;/&gt;&lt;wsp:rsid wsp:val=&quot;534F55FA&quot;/&gt;&lt;wsp:rsid wsp:val=&quot;534F73A8&quot;/&gt;&lt;wsp:rsid wsp:val=&quot;535112B4&quot;/&gt;&lt;wsp:rsid wsp:val=&quot;53511372&quot;/&gt;&lt;wsp:rsid wsp:val=&quot;53541376&quot;/&gt;&lt;wsp:rsid wsp:val=&quot;53542C10&quot;/&gt;&lt;wsp:rsid wsp:val=&quot;53566988&quot;/&gt;&lt;wsp:rsid wsp:val=&quot;53580985&quot;/&gt;&lt;wsp:rsid wsp:val=&quot;535835B1&quot;/&gt;&lt;wsp:rsid wsp:val=&quot;53590226&quot;/&gt;&lt;wsp:rsid wsp:val=&quot;535B0F2F&quot;/&gt;&lt;wsp:rsid wsp:val=&quot;535B3F9E&quot;/&gt;&lt;wsp:rsid wsp:val=&quot;535B5D4C&quot;/&gt;&lt;wsp:rsid wsp:val=&quot;535B7AFB&quot;/&gt;&lt;wsp:rsid wsp:val=&quot;535D220F&quot;/&gt;&lt;wsp:rsid wsp:val=&quot;53603363&quot;/&gt;&lt;wsp:rsid wsp:val=&quot;53620E89&quot;/&gt;&lt;wsp:rsid wsp:val=&quot;536270DB&quot;/&gt;&lt;wsp:rsid wsp:val=&quot;536410A5&quot;/&gt;&lt;wsp:rsid wsp:val=&quot;53650979&quot;/&gt;&lt;wsp:rsid wsp:val=&quot;53654E1D&quot;/&gt;&lt;wsp:rsid wsp:val=&quot;53664C1B&quot;/&gt;&lt;wsp:rsid wsp:val=&quot;53670B95&quot;/&gt;&lt;wsp:rsid wsp:val=&quot;536760AB&quot;/&gt;&lt;wsp:rsid wsp:val=&quot;5367649F&quot;/&gt;&lt;wsp:rsid wsp:val=&quot;53682217&quot;/&gt;&lt;wsp:rsid wsp:val=&quot;5368753B&quot;/&gt;&lt;wsp:rsid wsp:val=&quot;536A40FE&quot;/&gt;&lt;wsp:rsid wsp:val=&quot;536B4A2C&quot;/&gt;&lt;wsp:rsid wsp:val=&quot;536B75FD&quot;/&gt;&lt;wsp:rsid wsp:val=&quot;536C7F5A&quot;/&gt;&lt;wsp:rsid wsp:val=&quot;536E3CD2&quot;/&gt;&lt;wsp:rsid wsp:val=&quot;536E5A80&quot;/&gt;&lt;wsp:rsid wsp:val=&quot;537137C2&quot;/&gt;&lt;wsp:rsid wsp:val=&quot;53715570&quot;/&gt;&lt;wsp:rsid wsp:val=&quot;53760DD8&quot;/&gt;&lt;wsp:rsid wsp:val=&quot;537868FE&quot;/&gt;&lt;wsp:rsid wsp:val=&quot;537961D3&quot;/&gt;&lt;wsp:rsid wsp:val=&quot;537A08C9&quot;/&gt;&lt;wsp:rsid wsp:val=&quot;537B019D&quot;/&gt;&lt;wsp:rsid wsp:val=&quot;537B63EF&quot;/&gt;&lt;wsp:rsid wsp:val=&quot;537D0B6D&quot;/&gt;&lt;wsp:rsid wsp:val=&quot;537D3F15&quot;/&gt;&lt;wsp:rsid wsp:val=&quot;537D4605&quot;/&gt;&lt;wsp:rsid wsp:val=&quot;537E1A3B&quot;/&gt;&lt;wsp:rsid wsp:val=&quot;53800393&quot;/&gt;&lt;wsp:rsid wsp:val=&quot;538057B3&quot;/&gt;&lt;wsp:rsid wsp:val=&quot;5382777D&quot;/&gt;&lt;wsp:rsid wsp:val=&quot;53837051&quot;/&gt;&lt;wsp:rsid wsp:val=&quot;538434F5&quot;/&gt;&lt;wsp:rsid wsp:val=&quot;53852DC9&quot;/&gt;&lt;wsp:rsid wsp:val=&quot;53872B84&quot;/&gt;&lt;wsp:rsid wsp:val=&quot;53874D93&quot;/&gt;&lt;wsp:rsid wsp:val=&quot;53876B42&quot;/&gt;&lt;wsp:rsid wsp:val=&quot;53897FB5&quot;/&gt;&lt;wsp:rsid wsp:val=&quot;538C5F06&quot;/&gt;&lt;wsp:rsid wsp:val=&quot;538C7FF0&quot;/&gt;&lt;wsp:rsid wsp:val=&quot;538E6122&quot;/&gt;&lt;wsp:rsid wsp:val=&quot;538E7ED0&quot;/&gt;&lt;wsp:rsid wsp:val=&quot;53901E9A&quot;/&gt;&lt;wsp:rsid wsp:val=&quot;53915C12&quot;/&gt;&lt;wsp:rsid wsp:val=&quot;539179C0&quot;/&gt;&lt;wsp:rsid wsp:val=&quot;5394125E&quot;/&gt;&lt;wsp:rsid wsp:val=&quot;53955611&quot;/&gt;&lt;wsp:rsid wsp:val=&quot;53955B21&quot;/&gt;&lt;wsp:rsid wsp:val=&quot;53956A7C&quot;/&gt;&lt;wsp:rsid wsp:val=&quot;53963229&quot;/&gt;&lt;wsp:rsid wsp:val=&quot;53980D4F&quot;/&gt;&lt;wsp:rsid wsp:val=&quot;539A4AC7&quot;/&gt;&lt;wsp:rsid wsp:val=&quot;539A6875&quot;/&gt;&lt;wsp:rsid wsp:val=&quot;539D0113&quot;/&gt;&lt;wsp:rsid wsp:val=&quot;539D6365&quot;/&gt;&lt;wsp:rsid wsp:val=&quot;539F21DB&quot;/&gt;&lt;wsp:rsid wsp:val=&quot;53A019B1&quot;/&gt;&lt;wsp:rsid wsp:val=&quot;53A039CC&quot;/&gt;&lt;wsp:rsid wsp:val=&quot;53A05E55&quot;/&gt;&lt;wsp:rsid wsp:val=&quot;53A1505A&quot;/&gt;&lt;wsp:rsid wsp:val=&quot;53A2397B&quot;/&gt;&lt;wsp:rsid wsp:val=&quot;53A30B5C&quot;/&gt;&lt;wsp:rsid wsp:val=&quot;53A414A2&quot;/&gt;&lt;wsp:rsid wsp:val=&quot;53A476F3&quot;/&gt;&lt;wsp:rsid wsp:val=&quot;53A478DD&quot;/&gt;&lt;wsp:rsid wsp:val=&quot;53A55E1D&quot;/&gt;&lt;wsp:rsid wsp:val=&quot;53A92F5C&quot;/&gt;&lt;wsp:rsid wsp:val=&quot;53A94D0A&quot;/&gt;&lt;wsp:rsid wsp:val=&quot;53AC0356&quot;/&gt;&lt;wsp:rsid wsp:val=&quot;53AC5F20&quot;/&gt;&lt;wsp:rsid wsp:val=&quot;53AC65A8&quot;/&gt;&lt;wsp:rsid wsp:val=&quot;53AF1CD0&quot;/&gt;&lt;wsp:rsid wsp:val=&quot;53B042EA&quot;/&gt;&lt;wsp:rsid wsp:val=&quot;53B12890&quot;/&gt;&lt;wsp:rsid wsp:val=&quot;53B20651&quot;/&gt;&lt;wsp:rsid wsp:val=&quot;53B37937&quot;/&gt;&lt;wsp:rsid wsp:val=&quot;53B4545D&quot;/&gt;&lt;wsp:rsid wsp:val=&quot;53B536AF&quot;/&gt;&lt;wsp:rsid wsp:val=&quot;53B54F6C&quot;/&gt;&lt;wsp:rsid wsp:val=&quot;53B611D5&quot;/&gt;&lt;wsp:rsid wsp:val=&quot;53B73292&quot;/&gt;&lt;wsp:rsid wsp:val=&quot;53B8319F&quot;/&gt;&lt;wsp:rsid wsp:val=&quot;53B83AC3&quot;/&gt;&lt;wsp:rsid wsp:val=&quot;53B84F4D&quot;/&gt;&lt;wsp:rsid wsp:val=&quot;53B86CFB&quot;/&gt;&lt;wsp:rsid wsp:val=&quot;53B92A73&quot;/&gt;&lt;wsp:rsid wsp:val=&quot;53BB19B4&quot;/&gt;&lt;wsp:rsid wsp:val=&quot;53BB4A3D&quot;/&gt;&lt;wsp:rsid wsp:val=&quot;53BB67EB&quot;/&gt;&lt;wsp:rsid wsp:val=&quot;53BD07B5&quot;/&gt;&lt;wsp:rsid wsp:val=&quot;53BD2563&quot;/&gt;&lt;wsp:rsid wsp:val=&quot;53BF34E9&quot;/&gt;&lt;wsp:rsid wsp:val=&quot;53BF62DB&quot;/&gt;&lt;wsp:rsid wsp:val=&quot;53C02053&quot;/&gt;&lt;wsp:rsid wsp:val=&quot;53C10883&quot;/&gt;&lt;wsp:rsid wsp:val=&quot;53C20950&quot;/&gt;&lt;wsp:rsid wsp:val=&quot;53C26F1E&quot;/&gt;&lt;wsp:rsid wsp:val=&quot;53C438F2&quot;/&gt;&lt;wsp:rsid wsp:val=&quot;53CD53C4&quot;/&gt;&lt;wsp:rsid wsp:val=&quot;53CD699A&quot;/&gt;&lt;wsp:rsid wsp:val=&quot;53CE29C2&quot;/&gt;&lt;wsp:rsid wsp:val=&quot;53CF08F5&quot;/&gt;&lt;wsp:rsid wsp:val=&quot;53D01589&quot;/&gt;&lt;wsp:rsid wsp:val=&quot;53D0673A&quot;/&gt;&lt;wsp:rsid wsp:val=&quot;53D46EE2&quot;/&gt;&lt;wsp:rsid wsp:val=&quot;53D55AFF&quot;/&gt;&lt;wsp:rsid wsp:val=&quot;53D578AD&quot;/&gt;&lt;wsp:rsid wsp:val=&quot;53DA1367&quot;/&gt;&lt;wsp:rsid wsp:val=&quot;53DC38BE&quot;/&gt;&lt;wsp:rsid wsp:val=&quot;53DD49B3&quot;/&gt;&lt;wsp:rsid wsp:val=&quot;53E06252&quot;/&gt;&lt;wsp:rsid wsp:val=&quot;53E126F6&quot;/&gt;&lt;wsp:rsid wsp:val=&quot;53E16415&quot;/&gt;&lt;wsp:rsid wsp:val=&quot;53E45D42&quot;/&gt;&lt;wsp:rsid wsp:val=&quot;53E47AF0&quot;/&gt;&lt;wsp:rsid wsp:val=&quot;53E709D1&quot;/&gt;&lt;wsp:rsid wsp:val=&quot;53E75832&quot;/&gt;&lt;wsp:rsid wsp:val=&quot;53E77541&quot;/&gt;&lt;wsp:rsid wsp:val=&quot;53E84895&quot;/&gt;&lt;wsp:rsid wsp:val=&quot;53E915AA&quot;/&gt;&lt;wsp:rsid wsp:val=&quot;53E93358&quot;/&gt;&lt;wsp:rsid wsp:val=&quot;53EA0E7E&quot;/&gt;&lt;wsp:rsid wsp:val=&quot;53EB70D0&quot;/&gt;&lt;wsp:rsid wsp:val=&quot;53EC33B3&quot;/&gt;&lt;wsp:rsid wsp:val=&quot;53EE4E13&quot;/&gt;&lt;wsp:rsid wsp:val=&quot;53EE6BC1&quot;/&gt;&lt;wsp:rsid wsp:val=&quot;53F00B8B&quot;/&gt;&lt;wsp:rsid wsp:val=&quot;53F15CD4&quot;/&gt;&lt;wsp:rsid wsp:val=&quot;53F341D7&quot;/&gt;&lt;wsp:rsid wsp:val=&quot;53F34990&quot;/&gt;&lt;wsp:rsid wsp:val=&quot;53F45247&quot;/&gt;&lt;wsp:rsid wsp:val=&quot;53F526AB&quot;/&gt;&lt;wsp:rsid wsp:val=&quot;53F64465&quot;/&gt;&lt;wsp:rsid wsp:val=&quot;53F73CC7&quot;/&gt;&lt;wsp:rsid wsp:val=&quot;53F975CD&quot;/&gt;&lt;wsp:rsid wsp:val=&quot;53FA5565&quot;/&gt;&lt;wsp:rsid wsp:val=&quot;53FB308C&quot;/&gt;&lt;wsp:rsid wsp:val=&quot;53FC752F&quot;/&gt;&lt;wsp:rsid wsp:val=&quot;54014B46&quot;/&gt;&lt;wsp:rsid wsp:val=&quot;540168F4&quot;/&gt;&lt;wsp:rsid wsp:val=&quot;5402441A&quot;/&gt;&lt;wsp:rsid wsp:val=&quot;540255D9&quot;/&gt;&lt;wsp:rsid wsp:val=&quot;540502DC&quot;/&gt;&lt;wsp:rsid wsp:val=&quot;5406215C&quot;/&gt;&lt;wsp:rsid wsp:val=&quot;54063909&quot;/&gt;&lt;wsp:rsid wsp:val=&quot;54063E08&quot;/&gt;&lt;wsp:rsid wsp:val=&quot;54063F0A&quot;/&gt;&lt;wsp:rsid wsp:val=&quot;54077C82&quot;/&gt;&lt;wsp:rsid wsp:val=&quot;54091C4C&quot;/&gt;&lt;wsp:rsid wsp:val=&quot;540939FA&quot;/&gt;&lt;wsp:rsid wsp:val=&quot;540A0A16&quot;/&gt;&lt;wsp:rsid wsp:val=&quot;540B1521&quot;/&gt;&lt;wsp:rsid wsp:val=&quot;540B7773&quot;/&gt;&lt;wsp:rsid wsp:val=&quot;540C7047&quot;/&gt;&lt;wsp:rsid wsp:val=&quot;540C7DCC&quot;/&gt;&lt;wsp:rsid wsp:val=&quot;540E52BD&quot;/&gt;&lt;wsp:rsid wsp:val=&quot;54102FDB&quot;/&gt;&lt;wsp:rsid wsp:val=&quot;541303D5&quot;/&gt;&lt;wsp:rsid wsp:val=&quot;54136627&quot;/&gt;&lt;wsp:rsid wsp:val=&quot;5415239F&quot;/&gt;&lt;wsp:rsid wsp:val=&quot;54161C73&quot;/&gt;&lt;wsp:rsid wsp:val=&quot;54176117&quot;/&gt;&lt;wsp:rsid wsp:val=&quot;54181E8F&quot;/&gt;&lt;wsp:rsid wsp:val=&quot;54183C3E&quot;/&gt;&lt;wsp:rsid wsp:val=&quot;54183C77&quot;/&gt;&lt;wsp:rsid wsp:val=&quot;541859EC&quot;/&gt;&lt;wsp:rsid wsp:val=&quot;541A79B6&quot;/&gt;&lt;wsp:rsid wsp:val=&quot;541C372E&quot;/&gt;&lt;wsp:rsid wsp:val=&quot;541C7A55&quot;/&gt;&lt;wsp:rsid wsp:val=&quot;541D3002&quot;/&gt;&lt;wsp:rsid wsp:val=&quot;541D74A6&quot;/&gt;&lt;wsp:rsid wsp:val=&quot;541E7BFA&quot;/&gt;&lt;wsp:rsid wsp:val=&quot;541F6242&quot;/&gt;&lt;wsp:rsid wsp:val=&quot;542057EF&quot;/&gt;&lt;wsp:rsid wsp:val=&quot;54212AF2&quot;/&gt;&lt;wsp:rsid wsp:val=&quot;542331A5&quot;/&gt;&lt;wsp:rsid wsp:val=&quot;54240834&quot;/&gt;&lt;wsp:rsid wsp:val=&quot;54260108&quot;/&gt;&lt;wsp:rsid wsp:val=&quot;5426635A&quot;/&gt;&lt;wsp:rsid wsp:val=&quot;542720D3&quot;/&gt;&lt;wsp:rsid wsp:val=&quot;54280325&quot;/&gt;&lt;wsp:rsid wsp:val=&quot;542A1C14&quot;/&gt;&lt;wsp:rsid wsp:val=&quot;542B3971&quot;/&gt;&lt;wsp:rsid wsp:val=&quot;542C2C98&quot;/&gt;&lt;wsp:rsid wsp:val=&quot;542D76E9&quot;/&gt;&lt;wsp:rsid wsp:val=&quot;54324CFF&quot;/&gt;&lt;wsp:rsid wsp:val=&quot;54332F77&quot;/&gt;&lt;wsp:rsid wsp:val=&quot;54336CC9&quot;/&gt;&lt;wsp:rsid wsp:val=&quot;543437E8&quot;/&gt;&lt;wsp:rsid wsp:val=&quot;54352A90&quot;/&gt;&lt;wsp:rsid wsp:val=&quot;543640C4&quot;/&gt;&lt;wsp:rsid wsp:val=&quot;54384218&quot;/&gt;&lt;wsp:rsid wsp:val=&quot;543842E0&quot;/&gt;&lt;wsp:rsid wsp:val=&quot;543A0058&quot;/&gt;&lt;wsp:rsid wsp:val=&quot;543A1E06&quot;/&gt;&lt;wsp:rsid wsp:val=&quot;543A3BB4&quot;/&gt;&lt;wsp:rsid wsp:val=&quot;543C16DA&quot;/&gt;&lt;wsp:rsid wsp:val=&quot;543F566E&quot;/&gt;&lt;wsp:rsid wsp:val=&quot;54414F42&quot;/&gt;&lt;wsp:rsid wsp:val=&quot;54420CBA&quot;/&gt;&lt;wsp:rsid wsp:val=&quot;54434A77&quot;/&gt;&lt;wsp:rsid wsp:val=&quot;54442C85&quot;/&gt;&lt;wsp:rsid wsp:val=&quot;5445140E&quot;/&gt;&lt;wsp:rsid wsp:val=&quot;544669FD&quot;/&gt;&lt;wsp:rsid wsp:val=&quot;54482775&quot;/&gt;&lt;wsp:rsid wsp:val=&quot;54483F0B&quot;/&gt;&lt;wsp:rsid wsp:val=&quot;54492049&quot;/&gt;&lt;wsp:rsid wsp:val=&quot;54493DF7&quot;/&gt;&lt;wsp:rsid wsp:val=&quot;544B7B6F&quot;/&gt;&lt;wsp:rsid wsp:val=&quot;544D1B39&quot;/&gt;&lt;wsp:rsid wsp:val=&quot;544E765F&quot;/&gt;&lt;wsp:rsid wsp:val=&quot;545033D7&quot;/&gt;&lt;wsp:rsid wsp:val=&quot;5451338D&quot;/&gt;&lt;wsp:rsid wsp:val=&quot;54520EFE&quot;/&gt;&lt;wsp:rsid wsp:val=&quot;5452714F&quot;/&gt;&lt;wsp:rsid wsp:val=&quot;545509EE&quot;/&gt;&lt;wsp:rsid wsp:val=&quot;545662D1&quot;/&gt;&lt;wsp:rsid wsp:val=&quot;545662D5&quot;/&gt;&lt;wsp:rsid wsp:val=&quot;54574766&quot;/&gt;&lt;wsp:rsid wsp:val=&quot;545A24A8&quot;/&gt;&lt;wsp:rsid wsp:val=&quot;545A4256&quot;/&gt;&lt;wsp:rsid wsp:val=&quot;545A4A0C&quot;/&gt;&lt;wsp:rsid wsp:val=&quot;545C3B2A&quot;/&gt;&lt;wsp:rsid wsp:val=&quot;545C7FCE&quot;/&gt;&lt;wsp:rsid wsp:val=&quot;545D61E4&quot;/&gt;&lt;wsp:rsid wsp:val=&quot;5461621D&quot;/&gt;&lt;wsp:rsid wsp:val=&quot;5463310B&quot;/&gt;&lt;wsp:rsid wsp:val=&quot;54661776&quot;/&gt;&lt;wsp:rsid wsp:val=&quot;54662BFB&quot;/&gt;&lt;wsp:rsid wsp:val=&quot;54694499&quot;/&gt;&lt;wsp:rsid wsp:val=&quot;546B0211&quot;/&gt;&lt;wsp:rsid wsp:val=&quot;546D21DB&quot;/&gt;&lt;wsp:rsid wsp:val=&quot;546D3F89&quot;/&gt;&lt;wsp:rsid wsp:val=&quot;546E05F9&quot;/&gt;&lt;wsp:rsid wsp:val=&quot;546E1AAF&quot;/&gt;&lt;wsp:rsid wsp:val=&quot;546E385E&quot;/&gt;&lt;wsp:rsid wsp:val=&quot;547161C0&quot;/&gt;&lt;wsp:rsid wsp:val=&quot;54720701&quot;/&gt;&lt;wsp:rsid wsp:val=&quot;547215A0&quot;/&gt;&lt;wsp:rsid wsp:val=&quot;547370C6&quot;/&gt;&lt;wsp:rsid wsp:val=&quot;54741EDD&quot;/&gt;&lt;wsp:rsid wsp:val=&quot;54752E3E&quot;/&gt;&lt;wsp:rsid wsp:val=&quot;54776BB6&quot;/&gt;&lt;wsp:rsid wsp:val=&quot;547926B1&quot;/&gt;&lt;wsp:rsid wsp:val=&quot;5479292E&quot;/&gt;&lt;wsp:rsid wsp:val=&quot;547938F9&quot;/&gt;&lt;wsp:rsid wsp:val=&quot;547A0454&quot;/&gt;&lt;wsp:rsid wsp:val=&quot;547A6B9C&quot;/&gt;&lt;wsp:rsid wsp:val=&quot;547C41CC&quot;/&gt;&lt;wsp:rsid wsp:val=&quot;547D1CF3&quot;/&gt;&lt;wsp:rsid wsp:val=&quot;547E469E&quot;/&gt;&lt;wsp:rsid wsp:val=&quot;547E6196&quot;/&gt;&lt;wsp:rsid wsp:val=&quot;547E7F44&quot;/&gt;&lt;wsp:rsid wsp:val=&quot;547F1F0F&quot;/&gt;&lt;wsp:rsid wsp:val=&quot;547F3CBD&quot;/&gt;&lt;wsp:rsid wsp:val=&quot;547F413A&quot;/&gt;&lt;wsp:rsid wsp:val=&quot;54837309&quot;/&gt;&lt;wsp:rsid wsp:val=&quot;54857525&quot;/&gt;&lt;wsp:rsid wsp:val=&quot;54866DF9&quot;/&gt;&lt;wsp:rsid wsp:val=&quot;54882B71&quot;/&gt;&lt;wsp:rsid wsp:val=&quot;548968E9&quot;/&gt;&lt;wsp:rsid wsp:val=&quot;548A4B3B&quot;/&gt;&lt;wsp:rsid wsp:val=&quot;548B08B3&quot;/&gt;&lt;wsp:rsid wsp:val=&quot;548B2661&quot;/&gt;&lt;wsp:rsid wsp:val=&quot;548B440F&quot;/&gt;&lt;wsp:rsid wsp:val=&quot;548B4E7B&quot;/&gt;&lt;wsp:rsid wsp:val=&quot;548D462B&quot;/&gt;&lt;wsp:rsid wsp:val=&quot;548F2152&quot;/&gt;&lt;wsp:rsid wsp:val=&quot;548F4B60&quot;/&gt;&lt;wsp:rsid wsp:val=&quot;54901A26&quot;/&gt;&lt;wsp:rsid wsp:val=&quot;54902503&quot;/&gt;&lt;wsp:rsid wsp:val=&quot;549051C8&quot;/&gt;&lt;wsp:rsid wsp:val=&quot;54913993&quot;/&gt;&lt;wsp:rsid wsp:val=&quot;54921C42&quot;/&gt;&lt;wsp:rsid wsp:val=&quot;549332C4&quot;/&gt;&lt;wsp:rsid wsp:val=&quot;54977258&quot;/&gt;&lt;wsp:rsid wsp:val=&quot;549A4653&quot;/&gt;&lt;wsp:rsid wsp:val=&quot;549C486F&quot;/&gt;&lt;wsp:rsid wsp:val=&quot;549D4996&quot;/&gt;&lt;wsp:rsid wsp:val=&quot;549E05E7&quot;/&gt;&lt;wsp:rsid wsp:val=&quot;549E1B63&quot;/&gt;&lt;wsp:rsid wsp:val=&quot;549E2395&quot;/&gt;&lt;wsp:rsid wsp:val=&quot;549F610D&quot;/&gt;&lt;wsp:rsid wsp:val=&quot;549F7EBB&quot;/&gt;&lt;wsp:rsid wsp:val=&quot;54A31759&quot;/&gt;&lt;wsp:rsid wsp:val=&quot;54A32989&quot;/&gt;&lt;wsp:rsid wsp:val=&quot;54A35BFD&quot;/&gt;&lt;wsp:rsid wsp:val=&quot;54A454D1&quot;/&gt;&lt;wsp:rsid wsp:val=&quot;54A50CCE&quot;/&gt;&lt;wsp:rsid wsp:val=&quot;54A5345E&quot;/&gt;&lt;wsp:rsid wsp:val=&quot;54A714C9&quot;/&gt;&lt;wsp:rsid wsp:val=&quot;54A83213&quot;/&gt;&lt;wsp:rsid wsp:val=&quot;54A84FC1&quot;/&gt;&lt;wsp:rsid wsp:val=&quot;54A86D6F&quot;/&gt;&lt;wsp:rsid wsp:val=&quot;54A87049&quot;/&gt;&lt;wsp:rsid wsp:val=&quot;54A9542E&quot;/&gt;&lt;wsp:rsid wsp:val=&quot;54AB6860&quot;/&gt;&lt;wsp:rsid wsp:val=&quot;54AC4C48&quot;/&gt;&lt;wsp:rsid wsp:val=&quot;54AD25D8&quot;/&gt;&lt;wsp:rsid wsp:val=&quot;54AD4386&quot;/&gt;&lt;wsp:rsid wsp:val=&quot;54AF6350&quot;/&gt;&lt;wsp:rsid wsp:val=&quot;54B0031A&quot;/&gt;&lt;wsp:rsid wsp:val=&quot;54B020C8&quot;/&gt;&lt;wsp:rsid wsp:val=&quot;54B03E76&quot;/&gt;&lt;wsp:rsid wsp:val=&quot;54B12F7D&quot;/&gt;&lt;wsp:rsid wsp:val=&quot;54B24092&quot;/&gt;&lt;wsp:rsid wsp:val=&quot;54B27BEE&quot;/&gt;&lt;wsp:rsid wsp:val=&quot;54B6421E&quot;/&gt;&lt;wsp:rsid wsp:val=&quot;54B756AE&quot;/&gt;&lt;wsp:rsid wsp:val=&quot;54BC281B&quot;/&gt;&lt;wsp:rsid wsp:val=&quot;54BC6CBF&quot;/&gt;&lt;wsp:rsid wsp:val=&quot;54BD4705&quot;/&gt;&lt;wsp:rsid wsp:val=&quot;54BF15CA&quot;/&gt;&lt;wsp:rsid wsp:val=&quot;54BF40B9&quot;/&gt;&lt;wsp:rsid wsp:val=&quot;54C0055D&quot;/&gt;&lt;wsp:rsid wsp:val=&quot;54C01A31&quot;/&gt;&lt;wsp:rsid wsp:val=&quot;54C17E31&quot;/&gt;&lt;wsp:rsid wsp:val=&quot;54C34414&quot;/&gt;&lt;wsp:rsid wsp:val=&quot;54C44F4A&quot;/&gt;&lt;wsp:rsid wsp:val=&quot;54C47921&quot;/&gt;&lt;wsp:rsid wsp:val=&quot;54C51C22&quot;/&gt;&lt;wsp:rsid wsp:val=&quot;54C53DC5&quot;/&gt;&lt;wsp:rsid wsp:val=&quot;54C55B73&quot;/&gt;&lt;wsp:rsid wsp:val=&quot;54C65448&quot;/&gt;&lt;wsp:rsid wsp:val=&quot;54C76D29&quot;/&gt;&lt;wsp:rsid wsp:val=&quot;54C77FF5&quot;/&gt;&lt;wsp:rsid wsp:val=&quot;54C85664&quot;/&gt;&lt;wsp:rsid wsp:val=&quot;54C86632&quot;/&gt;&lt;wsp:rsid wsp:val=&quot;54CA318A&quot;/&gt;&lt;wsp:rsid wsp:val=&quot;54CB6F02&quot;/&gt;&lt;wsp:rsid wsp:val=&quot;54CC1A7D&quot;/&gt;&lt;wsp:rsid wsp:val=&quot;54CC5154&quot;/&gt;&lt;wsp:rsid wsp:val=&quot;54CD4A28&quot;/&gt;&lt;wsp:rsid wsp:val=&quot;54CD67D6&quot;/&gt;&lt;wsp:rsid wsp:val=&quot;54CF329A&quot;/&gt;&lt;wsp:rsid wsp:val=&quot;54CF6505&quot;/&gt;&lt;wsp:rsid wsp:val=&quot;54CF69F2&quot;/&gt;&lt;wsp:rsid wsp:val=&quot;54D07B4B&quot;/&gt;&lt;wsp:rsid wsp:val=&quot;54D1276A&quot;/&gt;&lt;wsp:rsid wsp:val=&quot;54D20290&quot;/&gt;&lt;wsp:rsid wsp:val=&quot;54D45DB6&quot;/&gt;&lt;wsp:rsid wsp:val=&quot;54D70C0B&quot;/&gt;&lt;wsp:rsid wsp:val=&quot;54D758A7&quot;/&gt;&lt;wsp:rsid wsp:val=&quot;54D76C2B&quot;/&gt;&lt;wsp:rsid wsp:val=&quot;54D86127&quot;/&gt;&lt;wsp:rsid wsp:val=&quot;54DB4349&quot;/&gt;&lt;wsp:rsid wsp:val=&quot;54DC110F&quot;/&gt;&lt;wsp:rsid wsp:val=&quot;54DC2EBD&quot;/&gt;&lt;wsp:rsid wsp:val=&quot;54DE09E3&quot;/&gt;&lt;wsp:rsid wsp:val=&quot;54DE4E87&quot;/&gt;&lt;wsp:rsid wsp:val=&quot;54DE6C35&quot;/&gt;&lt;wsp:rsid wsp:val=&quot;54DF56A3&quot;/&gt;&lt;wsp:rsid wsp:val=&quot;54DF6509&quot;/&gt;&lt;wsp:rsid wsp:val=&quot;54E0475B&quot;/&gt;&lt;wsp:rsid wsp:val=&quot;54E35B29&quot;/&gt;&lt;wsp:rsid wsp:val=&quot;54E50F2B&quot;/&gt;&lt;wsp:rsid wsp:val=&quot;54E51D72&quot;/&gt;&lt;wsp:rsid wsp:val=&quot;54E844DB&quot;/&gt;&lt;wsp:rsid wsp:val=&quot;54EA382C&quot;/&gt;&lt;wsp:rsid wsp:val=&quot;54EA7388&quot;/&gt;&lt;wsp:rsid wsp:val=&quot;54EC4594&quot;/&gt;&lt;wsp:rsid wsp:val=&quot;54ED0C26&quot;/&gt;&lt;wsp:rsid wsp:val=&quot;54EF377C&quot;/&gt;&lt;wsp:rsid wsp:val=&quot;54F16CCE&quot;/&gt;&lt;wsp:rsid wsp:val=&quot;54F1782E&quot;/&gt;&lt;wsp:rsid wsp:val=&quot;54F2015E&quot;/&gt;&lt;wsp:rsid wsp:val=&quot;54F2448F&quot;/&gt;&lt;wsp:rsid wsp:val=&quot;54F25228&quot;/&gt;&lt;wsp:rsid wsp:val=&quot;54F2623D&quot;/&gt;&lt;wsp:rsid wsp:val=&quot;54F41FB5&quot;/&gt;&lt;wsp:rsid wsp:val=&quot;54F56767&quot;/&gt;&lt;wsp:rsid wsp:val=&quot;54F63F7F&quot;/&gt;&lt;wsp:rsid wsp:val=&quot;54F71AA5&quot;/&gt;&lt;wsp:rsid wsp:val=&quot;54F73313&quot;/&gt;&lt;wsp:rsid wsp:val=&quot;54F80955&quot;/&gt;&lt;wsp:rsid wsp:val=&quot;54F93A6F&quot;/&gt;&lt;wsp:rsid wsp:val=&quot;54FA3343&quot;/&gt;&lt;wsp:rsid wsp:val=&quot;54FA45B8&quot;/&gt;&lt;wsp:rsid wsp:val=&quot;54FC355F&quot;/&gt;&lt;wsp:rsid wsp:val=&quot;54FF095A&quot;/&gt;&lt;wsp:rsid wsp:val=&quot;55004560&quot;/&gt;&lt;wsp:rsid wsp:val=&quot;55004DFD&quot;/&gt;&lt;wsp:rsid wsp:val=&quot;55012924&quot;/&gt;&lt;wsp:rsid wsp:val=&quot;550146D2&quot;/&gt;&lt;wsp:rsid wsp:val=&quot;55020B76&quot;/&gt;&lt;wsp:rsid wsp:val=&quot;55021394&quot;/&gt;&lt;wsp:rsid wsp:val=&quot;5503044A&quot;/&gt;&lt;wsp:rsid wsp:val=&quot;55032824&quot;/&gt;&lt;wsp:rsid wsp:val=&quot;550348EE&quot;/&gt;&lt;wsp:rsid wsp:val=&quot;550565D4&quot;/&gt;&lt;wsp:rsid wsp:val=&quot;55057D15&quot;/&gt;&lt;wsp:rsid wsp:val=&quot;5507618C&quot;/&gt;&lt;wsp:rsid wsp:val=&quot;55097B6C&quot;/&gt;&lt;wsp:rsid wsp:val=&quot;550A17D8&quot;/&gt;&lt;wsp:rsid wsp:val=&quot;550B5550&quot;/&gt;&lt;wsp:rsid wsp:val=&quot;550F46F6&quot;/&gt;&lt;wsp:rsid wsp:val=&quot;55110AED&quot;/&gt;&lt;wsp:rsid wsp:val=&quot;5512068D&quot;/&gt;&lt;wsp:rsid wsp:val=&quot;55144405&quot;/&gt;&lt;wsp:rsid wsp:val=&quot;551663CF&quot;/&gt;&lt;wsp:rsid wsp:val=&quot;5517089B&quot;/&gt;&lt;wsp:rsid wsp:val=&quot;55172147&quot;/&gt;&lt;wsp:rsid wsp:val=&quot;55180399&quot;/&gt;&lt;wsp:rsid wsp:val=&quot;551835BA&quot;/&gt;&lt;wsp:rsid wsp:val=&quot;55197C6D&quot;/&gt;&lt;wsp:rsid wsp:val=&quot;551A6E19&quot;/&gt;&lt;wsp:rsid wsp:val=&quot;551B1C37&quot;/&gt;&lt;wsp:rsid wsp:val=&quot;551C150B&quot;/&gt;&lt;wsp:rsid wsp:val=&quot;551E34D6&quot;/&gt;&lt;wsp:rsid wsp:val=&quot;55202DAA&quot;/&gt;&lt;wsp:rsid wsp:val=&quot;5520724E&quot;/&gt;&lt;wsp:rsid wsp:val=&quot;55214D74&quot;/&gt;&lt;wsp:rsid wsp:val=&quot;55222FC6&quot;/&gt;&lt;wsp:rsid wsp:val=&quot;5524125E&quot;/&gt;&lt;wsp:rsid wsp:val=&quot;55254864&quot;/&gt;&lt;wsp:rsid wsp:val=&quot;55264138&quot;/&gt;&lt;wsp:rsid wsp:val=&quot;55284354&quot;/&gt;&lt;wsp:rsid wsp:val=&quot;552F0819&quot;/&gt;&lt;wsp:rsid wsp:val=&quot;55306D65&quot;/&gt;&lt;wsp:rsid wsp:val=&quot;5531074F&quot;/&gt;&lt;wsp:rsid wsp:val=&quot;55313209&quot;/&gt;&lt;wsp:rsid wsp:val=&quot;55322ADD&quot;/&gt;&lt;wsp:rsid wsp:val=&quot;55326F81&quot;/&gt;&lt;wsp:rsid wsp:val=&quot;5533209D&quot;/&gt;&lt;wsp:rsid wsp:val=&quot;55344AA7&quot;/&gt;&lt;wsp:rsid wsp:val=&quot;553535EC&quot;/&gt;&lt;wsp:rsid wsp:val=&quot;55366A71&quot;/&gt;&lt;wsp:rsid wsp:val=&quot;553920BD&quot;/&gt;&lt;wsp:rsid wsp:val=&quot;55393E6B&quot;/&gt;&lt;wsp:rsid wsp:val=&quot;553B0A10&quot;/&gt;&lt;wsp:rsid wsp:val=&quot;553B7BE4&quot;/&gt;&lt;wsp:rsid wsp:val=&quot;553C395C&quot;/&gt;&lt;wsp:rsid wsp:val=&quot;553C52A5&quot;/&gt;&lt;wsp:rsid wsp:val=&quot;553E1482&quot;/&gt;&lt;wsp:rsid wsp:val=&quot;553E4440&quot;/&gt;&lt;wsp:rsid wsp:val=&quot;553F6765&quot;/&gt;&lt;wsp:rsid wsp:val=&quot;5540344C&quot;/&gt;&lt;wsp:rsid wsp:val=&quot;55410F72&quot;/&gt;&lt;wsp:rsid wsp:val=&quot;55432F3C&quot;/&gt;&lt;wsp:rsid wsp:val=&quot;5543483E&quot;/&gt;&lt;wsp:rsid wsp:val=&quot;55434CEA&quot;/&gt;&lt;wsp:rsid wsp:val=&quot;55456CB4&quot;/&gt;&lt;wsp:rsid wsp:val=&quot;55482300&quot;/&gt;&lt;wsp:rsid wsp:val=&quot;554967A4&quot;/&gt;&lt;wsp:rsid wsp:val=&quot;554A6079&quot;/&gt;&lt;wsp:rsid wsp:val=&quot;554B05B2&quot;/&gt;&lt;wsp:rsid wsp:val=&quot;554C0043&quot;/&gt;&lt;wsp:rsid wsp:val=&quot;554C0D69&quot;/&gt;&lt;wsp:rsid wsp:val=&quot;554C1DF1&quot;/&gt;&lt;wsp:rsid wsp:val=&quot;554F18E1&quot;/&gt;&lt;wsp:rsid wsp:val=&quot;554F368F&quot;/&gt;&lt;wsp:rsid wsp:val=&quot;555016E8&quot;/&gt;&lt;wsp:rsid wsp:val=&quot;555076EA&quot;/&gt;&lt;wsp:rsid wsp:val=&quot;555170A7&quot;/&gt;&lt;wsp:rsid wsp:val=&quot;5555166D&quot;/&gt;&lt;wsp:rsid wsp:val=&quot;55564A1D&quot;/&gt;&lt;wsp:rsid wsp:val=&quot;555667CB&quot;/&gt;&lt;wsp:rsid wsp:val=&quot;55572544&quot;/&gt;&lt;wsp:rsid wsp:val=&quot;5559450E&quot;/&gt;&lt;wsp:rsid wsp:val=&quot;555A336D&quot;/&gt;&lt;wsp:rsid wsp:val=&quot;555D3FFE&quot;/&gt;&lt;wsp:rsid wsp:val=&quot;555E38D2&quot;/&gt;&lt;wsp:rsid wsp:val=&quot;5563538C&quot;/&gt;&lt;wsp:rsid wsp:val=&quot;556709D9&quot;/&gt;&lt;wsp:rsid wsp:val=&quot;556829A3&quot;/&gt;&lt;wsp:rsid wsp:val=&quot;556A04C9&quot;/&gt;&lt;wsp:rsid wsp:val=&quot;556A4C3B&quot;/&gt;&lt;wsp:rsid wsp:val=&quot;556C4241&quot;/&gt;&lt;wsp:rsid wsp:val=&quot;556C6C12&quot;/&gt;&lt;wsp:rsid wsp:val=&quot;556D4514&quot;/&gt;&lt;wsp:rsid wsp:val=&quot;556E5844&quot;/&gt;&lt;wsp:rsid wsp:val=&quot;556F5ADF&quot;/&gt;&lt;wsp:rsid wsp:val=&quot;55711857&quot;/&gt;&lt;wsp:rsid wsp:val=&quot;55713605&quot;/&gt;&lt;wsp:rsid wsp:val=&quot;5571466F&quot;/&gt;&lt;wsp:rsid wsp:val=&quot;5572737D&quot;/&gt;&lt;wsp:rsid wsp:val=&quot;55733821&quot;/&gt;&lt;wsp:rsid wsp:val=&quot;557355CF&quot;/&gt;&lt;wsp:rsid wsp:val=&quot;55735625&quot;/&gt;&lt;wsp:rsid wsp:val=&quot;55741347&quot;/&gt;&lt;wsp:rsid wsp:val=&quot;55747599&quot;/&gt;&lt;wsp:rsid wsp:val=&quot;55761405&quot;/&gt;&lt;wsp:rsid wsp:val=&quot;557650C0&quot;/&gt;&lt;wsp:rsid wsp:val=&quot;55772728&quot;/&gt;&lt;wsp:rsid wsp:val=&quot;55774994&quot;/&gt;&lt;wsp:rsid wsp:val=&quot;557815D1&quot;/&gt;&lt;wsp:rsid wsp:val=&quot;55793272&quot;/&gt;&lt;wsp:rsid wsp:val=&quot;55794BB0&quot;/&gt;&lt;wsp:rsid wsp:val=&quot;557B26D6&quot;/&gt;&lt;wsp:rsid wsp:val=&quot;557B326D&quot;/&gt;&lt;wsp:rsid wsp:val=&quot;557E2768&quot;/&gt;&lt;wsp:rsid wsp:val=&quot;557F2999&quot;/&gt;&lt;wsp:rsid wsp:val=&quot;55805088&quot;/&gt;&lt;wsp:rsid wsp:val=&quot;558149D7&quot;/&gt;&lt;wsp:rsid wsp:val=&quot;55822579&quot;/&gt;&lt;wsp:rsid wsp:val=&quot;55823A64&quot;/&gt;&lt;wsp:rsid wsp:val=&quot;5583321C&quot;/&gt;&lt;wsp:rsid wsp:val=&quot;55855303&quot;/&gt;&lt;wsp:rsid wsp:val=&quot;5587107B&quot;/&gt;&lt;wsp:rsid wsp:val=&quot;5587536D&quot;/&gt;&lt;wsp:rsid wsp:val=&quot;5588094F&quot;/&gt;&lt;wsp:rsid wsp:val=&quot;55881907&quot;/&gt;&lt;wsp:rsid wsp:val=&quot;55893CEF&quot;/&gt;&lt;wsp:rsid wsp:val=&quot;558D1B4C&quot;/&gt;&lt;wsp:rsid wsp:val=&quot;558E065B&quot;/&gt;&lt;wsp:rsid wsp:val=&quot;558F7F2F&quot;/&gt;&lt;wsp:rsid wsp:val=&quot;55911EF9&quot;/&gt;&lt;wsp:rsid wsp:val=&quot;55943798&quot;/&gt;&lt;wsp:rsid wsp:val=&quot;559467A4&quot;/&gt;&lt;wsp:rsid wsp:val=&quot;55983288&quot;/&gt;&lt;wsp:rsid wsp:val=&quot;559B174B&quot;/&gt;&lt;wsp:rsid wsp:val=&quot;559B68D4&quot;/&gt;&lt;wsp:rsid wsp:val=&quot;559D089E&quot;/&gt;&lt;wsp:rsid wsp:val=&quot;559E63C4&quot;/&gt;&lt;wsp:rsid wsp:val=&quot;55A0038E&quot;/&gt;&lt;wsp:rsid wsp:val=&quot;55A2025E&quot;/&gt;&lt;wsp:rsid wsp:val=&quot;55A25EB5&quot;/&gt;&lt;wsp:rsid wsp:val=&quot;55A439DB&quot;/&gt;&lt;wsp:rsid wsp:val=&quot;55A4470B&quot;/&gt;&lt;wsp:rsid wsp:val=&quot;55A55633&quot;/&gt;&lt;wsp:rsid wsp:val=&quot;55A559A5&quot;/&gt;&lt;wsp:rsid wsp:val=&quot;55A62EFF&quot;/&gt;&lt;wsp:rsid wsp:val=&quot;55A7354E&quot;/&gt;&lt;wsp:rsid wsp:val=&quot;55AA4D69&quot;/&gt;&lt;wsp:rsid wsp:val=&quot;55AA6B17&quot;/&gt;&lt;wsp:rsid wsp:val=&quot;55AD03B6&quot;/&gt;&lt;wsp:rsid wsp:val=&quot;55AD2413&quot;/&gt;&lt;wsp:rsid wsp:val=&quot;55AF7A72&quot;/&gt;&lt;wsp:rsid wsp:val=&quot;55B055F7&quot;/&gt;&lt;wsp:rsid wsp:val=&quot;55B22C42&quot;/&gt;&lt;wsp:rsid wsp:val=&quot;55B300C2&quot;/&gt;&lt;wsp:rsid wsp:val=&quot;55B31E70&quot;/&gt;&lt;wsp:rsid wsp:val=&quot;55B33C1E&quot;/&gt;&lt;wsp:rsid wsp:val=&quot;55B356DD&quot;/&gt;&lt;wsp:rsid wsp:val=&quot;55B41744&quot;/&gt;&lt;wsp:rsid wsp:val=&quot;55B47996&quot;/&gt;&lt;wsp:rsid wsp:val=&quot;55B728F9&quot;/&gt;&lt;wsp:rsid wsp:val=&quot;55B84B89&quot;/&gt;&lt;wsp:rsid wsp:val=&quot;55B92ADD&quot;/&gt;&lt;wsp:rsid wsp:val=&quot;55B94FAC&quot;/&gt;&lt;wsp:rsid wsp:val=&quot;55BA0EA3&quot;/&gt;&lt;wsp:rsid wsp:val=&quot;55BA1450&quot;/&gt;&lt;wsp:rsid wsp:val=&quot;55BB0D24&quot;/&gt;&lt;wsp:rsid wsp:val=&quot;55BD4A9D&quot;/&gt;&lt;wsp:rsid wsp:val=&quot;55BF6A67&quot;/&gt;&lt;wsp:rsid wsp:val=&quot;55C14A4F&quot;/&gt;&lt;wsp:rsid wsp:val=&quot;55C23E61&quot;/&gt;&lt;wsp:rsid wsp:val=&quot;55C24E3B&quot;/&gt;&lt;wsp:rsid wsp:val=&quot;55C51BA3&quot;/&gt;&lt;wsp:rsid wsp:val=&quot;55C67DF5&quot;/&gt;&lt;wsp:rsid wsp:val=&quot;55C776C9&quot;/&gt;&lt;wsp:rsid wsp:val=&quot;55C91693&quot;/&gt;&lt;wsp:rsid wsp:val=&quot;55CB317D&quot;/&gt;&lt;wsp:rsid wsp:val=&quot;55CC4CE0&quot;/&gt;&lt;wsp:rsid wsp:val=&quot;55CE0CF4&quot;/&gt;&lt;wsp:rsid wsp:val=&quot;55CF657E&quot;/&gt;&lt;wsp:rsid wsp:val=&quot;55CF6D84&quot;/&gt;&lt;wsp:rsid wsp:val=&quot;55D10548&quot;/&gt;&lt;wsp:rsid wsp:val=&quot;55D27501&quot;/&gt;&lt;wsp:rsid wsp:val=&quot;55D32512&quot;/&gt;&lt;wsp:rsid wsp:val=&quot;55D342C0&quot;/&gt;&lt;wsp:rsid wsp:val=&quot;55D45AE9&quot;/&gt;&lt;wsp:rsid wsp:val=&quot;55D46901&quot;/&gt;&lt;wsp:rsid wsp:val=&quot;55D512CD&quot;/&gt;&lt;wsp:rsid wsp:val=&quot;55D562C2&quot;/&gt;&lt;wsp:rsid wsp:val=&quot;55D64741&quot;/&gt;&lt;wsp:rsid wsp:val=&quot;55D6790C&quot;/&gt;&lt;wsp:rsid wsp:val=&quot;55D818D6&quot;/&gt;&lt;wsp:rsid wsp:val=&quot;55D83684&quot;/&gt;&lt;wsp:rsid wsp:val=&quot;55D87C9B&quot;/&gt;&lt;wsp:rsid wsp:val=&quot;55DA73FC&quot;/&gt;&lt;wsp:rsid wsp:val=&quot;55DC3184&quot;/&gt;&lt;wsp:rsid wsp:val=&quot;55DE467E&quot;/&gt;&lt;wsp:rsid wsp:val=&quot;55DE5AA4&quot;/&gt;&lt;wsp:rsid wsp:val=&quot;55DF4A13&quot;/&gt;&lt;wsp:rsid wsp:val=&quot;55E069DD&quot;/&gt;&lt;wsp:rsid wsp:val=&quot;55E24503&quot;/&gt;&lt;wsp:rsid wsp:val=&quot;55E4027B&quot;/&gt;&lt;wsp:rsid wsp:val=&quot;55E62245&quot;/&gt;&lt;wsp:rsid wsp:val=&quot;55E64236&quot;/&gt;&lt;wsp:rsid wsp:val=&quot;55E7202A&quot;/&gt;&lt;wsp:rsid wsp:val=&quot;55E738C7&quot;/&gt;&lt;wsp:rsid wsp:val=&quot;55E756C6&quot;/&gt;&lt;wsp:rsid wsp:val=&quot;55EC35D4&quot;/&gt;&lt;wsp:rsid wsp:val=&quot;55EE4C56&quot;/&gt;&lt;wsp:rsid wsp:val=&quot;55F06C20&quot;/&gt;&lt;wsp:rsid wsp:val=&quot;55F14746&quot;/&gt;&lt;wsp:rsid wsp:val=&quot;55F278B8&quot;/&gt;&lt;wsp:rsid wsp:val=&quot;55F3683A&quot;/&gt;&lt;wsp:rsid wsp:val=&quot;55F52488&quot;/&gt;&lt;wsp:rsid wsp:val=&quot;55F54236&quot;/&gt;&lt;wsp:rsid wsp:val=&quot;55F61D5C&quot;/&gt;&lt;wsp:rsid wsp:val=&quot;55F81F79&quot;/&gt;&lt;wsp:rsid wsp:val=&quot;55F8497D&quot;/&gt;&lt;wsp:rsid wsp:val=&quot;55F944C1&quot;/&gt;&lt;wsp:rsid wsp:val=&quot;55FA7A9F&quot;/&gt;&lt;wsp:rsid wsp:val=&quot;55FB55C5&quot;/&gt;&lt;wsp:rsid wsp:val=&quot;55FC3817&quot;/&gt;&lt;wsp:rsid wsp:val=&quot;55FD213A&quot;/&gt;&lt;wsp:rsid wsp:val=&quot;55FF3307&quot;/&gt;&lt;wsp:rsid wsp:val=&quot;5600249D&quot;/&gt;&lt;wsp:rsid wsp:val=&quot;56010E2D&quot;/&gt;&lt;wsp:rsid wsp:val=&quot;56010E3E&quot;/&gt;&lt;wsp:rsid wsp:val=&quot;56024BA5&quot;/&gt;&lt;wsp:rsid wsp:val=&quot;56025E33&quot;/&gt;&lt;wsp:rsid wsp:val=&quot;56033612&quot;/&gt;&lt;wsp:rsid wsp:val=&quot;56040F00&quot;/&gt;&lt;wsp:rsid wsp:val=&quot;560426CB&quot;/&gt;&lt;wsp:rsid wsp:val=&quot;56044479&quot;/&gt;&lt;wsp:rsid wsp:val=&quot;56054F8F&quot;/&gt;&lt;wsp:rsid wsp:val=&quot;56097CE2&quot;/&gt;&lt;wsp:rsid wsp:val=&quot;560E3442&quot;/&gt;&lt;wsp:rsid wsp:val=&quot;560E70A6&quot;/&gt;&lt;wsp:rsid wsp:val=&quot;56100618&quot;/&gt;&lt;wsp:rsid wsp:val=&quot;56101070&quot;/&gt;&lt;wsp:rsid wsp:val=&quot;56114DE8&quot;/&gt;&lt;wsp:rsid wsp:val=&quot;5612303A&quot;/&gt;&lt;wsp:rsid wsp:val=&quot;561437BA&quot;/&gt;&lt;wsp:rsid wsp:val=&quot;56150435&quot;/&gt;&lt;wsp:rsid wsp:val=&quot;56150744&quot;/&gt;&lt;wsp:rsid wsp:val=&quot;561548D9&quot;/&gt;&lt;wsp:rsid wsp:val=&quot;561909F7&quot;/&gt;&lt;wsp:rsid wsp:val=&quot;561A3C9D&quot;/&gt;&lt;wsp:rsid wsp:val=&quot;561A5A4B&quot;/&gt;&lt;wsp:rsid wsp:val=&quot;561B17C3&quot;/&gt;&lt;wsp:rsid wsp:val=&quot;561C7F60&quot;/&gt;&lt;wsp:rsid wsp:val=&quot;561D378D&quot;/&gt;&lt;wsp:rsid wsp:val=&quot;561F5757&quot;/&gt;&lt;wsp:rsid wsp:val=&quot;561F5B08&quot;/&gt;&lt;wsp:rsid wsp:val=&quot;56206DD9&quot;/&gt;&lt;wsp:rsid wsp:val=&quot;5621327D&quot;/&gt;&lt;wsp:rsid wsp:val=&quot;56220DA3&quot;/&gt;&lt;wsp:rsid wsp:val=&quot;56242D6E&quot;/&gt;&lt;wsp:rsid wsp:val=&quot;562543F0&quot;/&gt;&lt;wsp:rsid wsp:val=&quot;56262642&quot;/&gt;&lt;wsp:rsid wsp:val=&quot;56264FFB&quot;/&gt;&lt;wsp:rsid wsp:val=&quot;5626534E&quot;/&gt;&lt;wsp:rsid wsp:val=&quot;56293EE0&quot;/&gt;&lt;wsp:rsid wsp:val=&quot;562B40AB&quot;/&gt;&lt;wsp:rsid wsp:val=&quot;562B40FC&quot;/&gt;&lt;wsp:rsid wsp:val=&quot;562B5EAA&quot;/&gt;&lt;wsp:rsid wsp:val=&quot;562C010C&quot;/&gt;&lt;wsp:rsid wsp:val=&quot;562E599A&quot;/&gt;&lt;wsp:rsid wsp:val=&quot;562E7748&quot;/&gt;&lt;wsp:rsid wsp:val=&quot;5630526E&quot;/&gt;&lt;wsp:rsid wsp:val=&quot;56307F1D&quot;/&gt;&lt;wsp:rsid wsp:val=&quot;56310FE7&quot;/&gt;&lt;wsp:rsid wsp:val=&quot;5632548A&quot;/&gt;&lt;wsp:rsid wsp:val=&quot;5632692F&quot;/&gt;&lt;wsp:rsid wsp:val=&quot;56332FB1&quot;/&gt;&lt;wsp:rsid wsp:val=&quot;56336B0D&quot;/&gt;&lt;wsp:rsid wsp:val=&quot;5634689E&quot;/&gt;&lt;wsp:rsid wsp:val=&quot;56356D29&quot;/&gt;&lt;wsp:rsid wsp:val=&quot;56357908&quot;/&gt;&lt;wsp:rsid wsp:val=&quot;563665FD&quot;/&gt;&lt;wsp:rsid wsp:val=&quot;56372AA1&quot;/&gt;&lt;wsp:rsid wsp:val=&quot;56384123&quot;/&gt;&lt;wsp:rsid wsp:val=&quot;563A433F&quot;/&gt;&lt;wsp:rsid wsp:val=&quot;563A60ED&quot;/&gt;&lt;wsp:rsid wsp:val=&quot;563B3BA0&quot;/&gt;&lt;wsp:rsid wsp:val=&quot;563B3C13&quot;/&gt;&lt;wsp:rsid wsp:val=&quot;563C00B7&quot;/&gt;&lt;wsp:rsid wsp:val=&quot;563C3388&quot;/&gt;&lt;wsp:rsid wsp:val=&quot;563D0DFA&quot;/&gt;&lt;wsp:rsid wsp:val=&quot;563D5BDD&quot;/&gt;&lt;wsp:rsid wsp:val=&quot;563D798B&quot;/&gt;&lt;wsp:rsid wsp:val=&quot;563F3703&quot;/&gt;&lt;wsp:rsid wsp:val=&quot;56424FA2&quot;/&gt;&lt;wsp:rsid wsp:val=&quot;56446F6C&quot;/&gt;&lt;wsp:rsid wsp:val=&quot;56457822&quot;/&gt;&lt;wsp:rsid wsp:val=&quot;5647274D&quot;/&gt;&lt;wsp:rsid wsp:val=&quot;56490775&quot;/&gt;&lt;wsp:rsid wsp:val=&quot;56494582&quot;/&gt;&lt;wsp:rsid wsp:val=&quot;564B3E56&quot;/&gt;&lt;wsp:rsid wsp:val=&quot;564C5E20&quot;/&gt;&lt;wsp:rsid wsp:val=&quot;564D4072&quot;/&gt;&lt;wsp:rsid wsp:val=&quot;564E08D4&quot;/&gt;&lt;wsp:rsid wsp:val=&quot;564E3947&quot;/&gt;&lt;wsp:rsid wsp:val=&quot;564E7DEA&quot;/&gt;&lt;wsp:rsid wsp:val=&quot;564F0DA3&quot;/&gt;&lt;wsp:rsid wsp:val=&quot;565151E5&quot;/&gt;&lt;wsp:rsid wsp:val=&quot;56521689&quot;/&gt;&lt;wsp:rsid wsp:val=&quot;56521E26&quot;/&gt;&lt;wsp:rsid wsp:val=&quot;56530F5D&quot;/&gt;&lt;wsp:rsid wsp:val=&quot;565371AF&quot;/&gt;&lt;wsp:rsid wsp:val=&quot;56544185&quot;/&gt;&lt;wsp:rsid wsp:val=&quot;565458F7&quot;/&gt;&lt;wsp:rsid wsp:val=&quot;56574EF1&quot;/&gt;&lt;wsp:rsid wsp:val=&quot;56596875&quot;/&gt;&lt;wsp:rsid wsp:val=&quot;565C2507&quot;/&gt;&lt;wsp:rsid wsp:val=&quot;565C3800&quot;/&gt;&lt;wsp:rsid wsp:val=&quot;565C42B5&quot;/&gt;&lt;wsp:rsid wsp:val=&quot;565C6063&quot;/&gt;&lt;wsp:rsid wsp:val=&quot;565D002E&quot;/&gt;&lt;wsp:rsid wsp:val=&quot;565D1DDC&quot;/&gt;&lt;wsp:rsid wsp:val=&quot;565F3DA6&quot;/&gt;&lt;wsp:rsid wsp:val=&quot;566118CC&quot;/&gt;&lt;wsp:rsid wsp:val=&quot;5661367A&quot;/&gt;&lt;wsp:rsid wsp:val=&quot;56625644&quot;/&gt;&lt;wsp:rsid wsp:val=&quot;5664316A&quot;/&gt;&lt;wsp:rsid wsp:val=&quot;56666EE2&quot;/&gt;&lt;wsp:rsid wsp:val=&quot;56682C5A&quot;/&gt;&lt;wsp:rsid wsp:val=&quot;56690CC3&quot;/&gt;&lt;wsp:rsid wsp:val=&quot;566B44F9&quot;/&gt;&lt;wsp:rsid wsp:val=&quot;566B62A7&quot;/&gt;&lt;wsp:rsid wsp:val=&quot;566C201F&quot;/&gt;&lt;wsp:rsid wsp:val=&quot;566E5D97&quot;/&gt;&lt;wsp:rsid wsp:val=&quot;566E7EBE&quot;/&gt;&lt;wsp:rsid wsp:val=&quot;56705FB3&quot;/&gt;&lt;wsp:rsid wsp:val=&quot;56711106&quot;/&gt;&lt;wsp:rsid wsp:val=&quot;567333AD&quot;/&gt;&lt;wsp:rsid wsp:val=&quot;567372C9&quot;/&gt;&lt;wsp:rsid wsp:val=&quot;56755377&quot;/&gt;&lt;wsp:rsid wsp:val=&quot;567710EF&quot;/&gt;&lt;wsp:rsid wsp:val=&quot;56777341&quot;/&gt;&lt;wsp:rsid wsp:val=&quot;56786C15&quot;/&gt;&lt;wsp:rsid wsp:val=&quot;56794E67&quot;/&gt;&lt;wsp:rsid wsp:val=&quot;567A7B1E&quot;/&gt;&lt;wsp:rsid wsp:val=&quot;567C4958&quot;/&gt;&lt;wsp:rsid wsp:val=&quot;567D5FDA&quot;/&gt;&lt;wsp:rsid wsp:val=&quot;567E745B&quot;/&gt;&lt;wsp:rsid wsp:val=&quot;567F61F6&quot;/&gt;&lt;wsp:rsid wsp:val=&quot;567F7FA4&quot;/&gt;&lt;wsp:rsid wsp:val=&quot;568022D3&quot;/&gt;&lt;wsp:rsid wsp:val=&quot;56813D1C&quot;/&gt;&lt;wsp:rsid wsp:val=&quot;56821842&quot;/&gt;&lt;wsp:rsid wsp:val=&quot;568277C4&quot;/&gt;&lt;wsp:rsid wsp:val=&quot;568323BF&quot;/&gt;&lt;wsp:rsid wsp:val=&quot;568341A1&quot;/&gt;&lt;wsp:rsid wsp:val=&quot;56835CE6&quot;/&gt;&lt;wsp:rsid wsp:val=&quot;56836083&quot;/&gt;&lt;wsp:rsid wsp:val=&quot;56837A94&quot;/&gt;&lt;wsp:rsid wsp:val=&quot;5684380C&quot;/&gt;&lt;wsp:rsid wsp:val=&quot;56861332&quot;/&gt;&lt;wsp:rsid wsp:val=&quot;56867584&quot;/&gt;&lt;wsp:rsid wsp:val=&quot;56876E58&quot;/&gt;&lt;wsp:rsid wsp:val=&quot;568850AA&quot;/&gt;&lt;wsp:rsid wsp:val=&quot;56887019&quot;/&gt;&lt;wsp:rsid wsp:val=&quot;568A7075&quot;/&gt;&lt;wsp:rsid wsp:val=&quot;56903F5F&quot;/&gt;&lt;wsp:rsid wsp:val=&quot;56905D0D&quot;/&gt;&lt;wsp:rsid wsp:val=&quot;569272B9&quot;/&gt;&lt;wsp:rsid wsp:val=&quot;56927CD7&quot;/&gt;&lt;wsp:rsid wsp:val=&quot;56933A4F&quot;/&gt;&lt;wsp:rsid wsp:val=&quot;56941BD9&quot;/&gt;&lt;wsp:rsid wsp:val=&quot;569577C7&quot;/&gt;&lt;wsp:rsid wsp:val=&quot;5697479B&quot;/&gt;&lt;wsp:rsid wsp:val=&quot;5697709C&quot;/&gt;&lt;wsp:rsid wsp:val=&quot;56981066&quot;/&gt;&lt;wsp:rsid wsp:val=&quot;56982E14&quot;/&gt;&lt;wsp:rsid wsp:val=&quot;569972B8&quot;/&gt;&lt;wsp:rsid wsp:val=&quot;569A4DDE&quot;/&gt;&lt;wsp:rsid wsp:val=&quot;569C478A&quot;/&gt;&lt;wsp:rsid wsp:val=&quot;569D042A&quot;/&gt;&lt;wsp:rsid wsp:val=&quot;569E48CE&quot;/&gt;&lt;wsp:rsid wsp:val=&quot;569E585C&quot;/&gt;&lt;wsp:rsid wsp:val=&quot;569F0646&quot;/&gt;&lt;wsp:rsid wsp:val=&quot;569F22EA&quot;/&gt;&lt;wsp:rsid wsp:val=&quot;56A17F1A&quot;/&gt;&lt;wsp:rsid wsp:val=&quot;56A25A40&quot;/&gt;&lt;wsp:rsid wsp:val=&quot;56A3023E&quot;/&gt;&lt;wsp:rsid wsp:val=&quot;56A31EE4&quot;/&gt;&lt;wsp:rsid wsp:val=&quot;56A45C5C&quot;/&gt;&lt;wsp:rsid wsp:val=&quot;56A619D5&quot;/&gt;&lt;wsp:rsid wsp:val=&quot;56A63783&quot;/&gt;&lt;wsp:rsid wsp:val=&quot;56A874FB&quot;/&gt;&lt;wsp:rsid wsp:val=&quot;56A93273&quot;/&gt;&lt;wsp:rsid wsp:val=&quot;56AB2B47&quot;/&gt;&lt;wsp:rsid wsp:val=&quot;56AB528F&quot;/&gt;&lt;wsp:rsid wsp:val=&quot;56AB69D0&quot;/&gt;&lt;wsp:rsid wsp:val=&quot;56AE43DC&quot;/&gt;&lt;wsp:rsid wsp:val=&quot;56B0015D&quot;/&gt;&lt;wsp:rsid wsp:val=&quot;56B22A9C&quot;/&gt;&lt;wsp:rsid wsp:val=&quot;56B23ED5&quot;/&gt;&lt;wsp:rsid wsp:val=&quot;56B25162&quot;/&gt;&lt;wsp:rsid wsp:val=&quot;56B253B0&quot;/&gt;&lt;wsp:rsid wsp:val=&quot;56B37C4E&quot;/&gt;&lt;wsp:rsid wsp:val=&quot;56B51C18&quot;/&gt;&lt;wsp:rsid wsp:val=&quot;56B75990&quot;/&gt;&lt;wsp:rsid wsp:val=&quot;56BA722E&quot;/&gt;&lt;wsp:rsid wsp:val=&quot;56BC1D83&quot;/&gt;&lt;wsp:rsid wsp:val=&quot;56BC6B02&quot;/&gt;&lt;wsp:rsid wsp:val=&quot;56BD287A&quot;/&gt;&lt;wsp:rsid wsp:val=&quot;56BE0ACC&quot;/&gt;&lt;wsp:rsid wsp:val=&quot;56BE6D1E&quot;/&gt;&lt;wsp:rsid wsp:val=&quot;56BF65F2&quot;/&gt;&lt;wsp:rsid wsp:val=&quot;56C034A1&quot;/&gt;&lt;wsp:rsid wsp:val=&quot;56C34335&quot;/&gt;&lt;wsp:rsid wsp:val=&quot;56C360E3&quot;/&gt;&lt;wsp:rsid wsp:val=&quot;56C500AD&quot;/&gt;&lt;wsp:rsid wsp:val=&quot;56C63E25&quot;/&gt;&lt;wsp:rsid wsp:val=&quot;56C67981&quot;/&gt;&lt;wsp:rsid wsp:val=&quot;56C854A7&quot;/&gt;&lt;wsp:rsid wsp:val=&quot;56C9121F&quot;/&gt;&lt;wsp:rsid wsp:val=&quot;56CE0629&quot;/&gt;&lt;wsp:rsid wsp:val=&quot;56CE6835&quot;/&gt;&lt;wsp:rsid wsp:val=&quot;56CF0F2B&quot;/&gt;&lt;wsp:rsid wsp:val=&quot;56CF468A&quot;/&gt;&lt;wsp:rsid wsp:val=&quot;56D025AE&quot;/&gt;&lt;wsp:rsid wsp:val=&quot;56D06A51&quot;/&gt;&lt;wsp:rsid wsp:val=&quot;56D26326&quot;/&gt;&lt;wsp:rsid wsp:val=&quot;56D35BDC&quot;/&gt;&lt;wsp:rsid wsp:val=&quot;56D54068&quot;/&gt;&lt;wsp:rsid wsp:val=&quot;56D71B8E&quot;/&gt;&lt;wsp:rsid wsp:val=&quot;56D976B4&quot;/&gt;&lt;wsp:rsid wsp:val=&quot;56DA167E&quot;/&gt;&lt;wsp:rsid wsp:val=&quot;56DA342C&quot;/&gt;&lt;wsp:rsid wsp:val=&quot;56DB6848&quot;/&gt;&lt;wsp:rsid wsp:val=&quot;56DB78D0&quot;/&gt;&lt;wsp:rsid wsp:val=&quot;56DC0F52&quot;/&gt;&lt;wsp:rsid wsp:val=&quot;56DD0323&quot;/&gt;&lt;wsp:rsid wsp:val=&quot;56DD5B3B&quot;/&gt;&lt;wsp:rsid wsp:val=&quot;56DE2F1C&quot;/&gt;&lt;wsp:rsid wsp:val=&quot;56DF7E7E&quot;/&gt;&lt;wsp:rsid wsp:val=&quot;56E04EE6&quot;/&gt;&lt;wsp:rsid wsp:val=&quot;56E101E0&quot;/&gt;&lt;wsp:rsid wsp:val=&quot;56E147BB&quot;/&gt;&lt;wsp:rsid wsp:val=&quot;56E16569&quot;/&gt;&lt;wsp:rsid wsp:val=&quot;56E322E1&quot;/&gt;&lt;wsp:rsid wsp:val=&quot;56E36785&quot;/&gt;&lt;wsp:rsid wsp:val=&quot;56E60023&quot;/&gt;&lt;wsp:rsid wsp:val=&quot;56E83D9B&quot;/&gt;&lt;wsp:rsid wsp:val=&quot;56E9366F&quot;/&gt;&lt;wsp:rsid wsp:val=&quot;56EA7B13&quot;/&gt;&lt;wsp:rsid wsp:val=&quot;56EF3F4F&quot;/&gt;&lt;wsp:rsid wsp:val=&quot;56EF6ED8&quot;/&gt;&lt;wsp:rsid wsp:val=&quot;56F11165&quot;/&gt;&lt;wsp:rsid wsp:val=&quot;56F166AD&quot;/&gt;&lt;wsp:rsid wsp:val=&quot;56F20776&quot;/&gt;&lt;wsp:rsid wsp:val=&quot;56F42740&quot;/&gt;&lt;wsp:rsid wsp:val=&quot;56F52014&quot;/&gt;&lt;wsp:rsid wsp:val=&quot;56F61952&quot;/&gt;&lt;wsp:rsid wsp:val=&quot;56F73FDE&quot;/&gt;&lt;wsp:rsid wsp:val=&quot;56F919E5&quot;/&gt;&lt;wsp:rsid wsp:val=&quot;56F9720C&quot;/&gt;&lt;wsp:rsid wsp:val=&quot;56F97D56&quot;/&gt;&lt;wsp:rsid wsp:val=&quot;56F97D88&quot;/&gt;&lt;wsp:rsid wsp:val=&quot;56FA6119&quot;/&gt;&lt;wsp:rsid wsp:val=&quot;56FA61B6&quot;/&gt;&lt;wsp:rsid wsp:val=&quot;56FB0FB3&quot;/&gt;&lt;wsp:rsid wsp:val=&quot;56FB3ACE&quot;/&gt;&lt;wsp:rsid wsp:val=&quot;56FC15F5&quot;/&gt;&lt;wsp:rsid wsp:val=&quot;56FE536D&quot;/&gt;&lt;wsp:rsid wsp:val=&quot;56FF2E93&quot;/&gt;&lt;wsp:rsid wsp:val=&quot;570057F6&quot;/&gt;&lt;wsp:rsid wsp:val=&quot;570109B9&quot;/&gt;&lt;wsp:rsid wsp:val=&quot;57030BD5&quot;/&gt;&lt;wsp:rsid wsp:val=&quot;57032983&quot;/&gt;&lt;wsp:rsid wsp:val=&quot;570401BD&quot;/&gt;&lt;wsp:rsid wsp:val=&quot;570566FB&quot;/&gt;&lt;wsp:rsid wsp:val=&quot;570861EB&quot;/&gt;&lt;wsp:rsid wsp:val=&quot;5709481B&quot;/&gt;&lt;wsp:rsid wsp:val=&quot;570A1F63&quot;/&gt;&lt;wsp:rsid wsp:val=&quot;570B7A8A&quot;/&gt;&lt;wsp:rsid wsp:val=&quot;570E3BC9&quot;/&gt;&lt;wsp:rsid wsp:val=&quot;571050A0&quot;/&gt;&lt;wsp:rsid wsp:val=&quot;571061DA&quot;/&gt;&lt;wsp:rsid wsp:val=&quot;571450FA&quot;/&gt;&lt;wsp:rsid wsp:val=&quot;571526B6&quot;/&gt;&lt;wsp:rsid wsp:val=&quot;57174680&quot;/&gt;&lt;wsp:rsid wsp:val=&quot;5717642E&quot;/&gt;&lt;wsp:rsid wsp:val=&quot;571903F8&quot;/&gt;&lt;wsp:rsid wsp:val=&quot;57193F55&quot;/&gt;&lt;wsp:rsid wsp:val=&quot;571B1801&quot;/&gt;&lt;wsp:rsid wsp:val=&quot;571B2CA5&quot;/&gt;&lt;wsp:rsid wsp:val=&quot;571B5F1F&quot;/&gt;&lt;wsp:rsid wsp:val=&quot;571B7CCD&quot;/&gt;&lt;wsp:rsid wsp:val=&quot;571C57F3&quot;/&gt;&lt;wsp:rsid wsp:val=&quot;571E5A0F&quot;/&gt;&lt;wsp:rsid wsp:val=&quot;571E77BD&quot;/&gt;&lt;wsp:rsid wsp:val=&quot;5721105B&quot;/&gt;&lt;wsp:rsid wsp:val=&quot;572172AD&quot;/&gt;&lt;wsp:rsid wsp:val=&quot;57236B81&quot;/&gt;&lt;wsp:rsid wsp:val=&quot;57241783&quot;/&gt;&lt;wsp:rsid wsp:val=&quot;57250B4B&quot;/&gt;&lt;wsp:rsid wsp:val=&quot;57266671&quot;/&gt;&lt;wsp:rsid wsp:val=&quot;57277DA4&quot;/&gt;&lt;wsp:rsid wsp:val=&quot;57283E05&quot;/&gt;&lt;wsp:rsid wsp:val=&quot;57284198&quot;/&gt;&lt;wsp:rsid wsp:val=&quot;572A6162&quot;/&gt;&lt;wsp:rsid wsp:val=&quot;572B4C8E&quot;/&gt;&lt;wsp:rsid wsp:val=&quot;572E408F&quot;/&gt;&lt;wsp:rsid wsp:val=&quot;5730129E&quot;/&gt;&lt;wsp:rsid wsp:val=&quot;5732261A&quot;/&gt;&lt;wsp:rsid wsp:val=&quot;57322C5A&quot;/&gt;&lt;wsp:rsid wsp:val=&quot;573265F8&quot;/&gt;&lt;wsp:rsid wsp:val=&quot;57332B6E&quot;/&gt;&lt;wsp:rsid wsp:val=&quot;57346FE0&quot;/&gt;&lt;wsp:rsid wsp:val=&quot;573568B4&quot;/&gt;&lt;wsp:rsid wsp:val=&quot;57390153&quot;/&gt;&lt;wsp:rsid wsp:val=&quot;573A3ECB&quot;/&gt;&lt;wsp:rsid wsp:val=&quot;573B036F&quot;/&gt;&lt;wsp:rsid wsp:val=&quot;573C5E95&quot;/&gt;&lt;wsp:rsid wsp:val=&quot;573D1621&quot;/&gt;&lt;wsp:rsid wsp:val=&quot;573E1C0D&quot;/&gt;&lt;wsp:rsid wsp:val=&quot;573E39BB&quot;/&gt;&lt;wsp:rsid wsp:val=&quot;573E7E5F&quot;/&gt;&lt;wsp:rsid wsp:val=&quot;574134AB&quot;/&gt;&lt;wsp:rsid wsp:val=&quot;57430FD1&quot;/&gt;&lt;wsp:rsid wsp:val=&quot;57437223&quot;/&gt;&lt;wsp:rsid wsp:val=&quot;57462870&quot;/&gt;&lt;wsp:rsid wsp:val=&quot;574732BF&quot;/&gt;&lt;wsp:rsid wsp:val=&quot;57476D14&quot;/&gt;&lt;wsp:rsid wsp:val=&quot;574A05B2&quot;/&gt;&lt;wsp:rsid wsp:val=&quot;574B7E86&quot;/&gt;&lt;wsp:rsid wsp:val=&quot;574C0189&quot;/&gt;&lt;wsp:rsid wsp:val=&quot;574D00A2&quot;/&gt;&lt;wsp:rsid wsp:val=&quot;574D3BFE&quot;/&gt;&lt;wsp:rsid wsp:val=&quot;574F7976&quot;/&gt;&lt;wsp:rsid wsp:val=&quot;575256B8&quot;/&gt;&lt;wsp:rsid wsp:val=&quot;57527466&quot;/&gt;&lt;wsp:rsid wsp:val=&quot;57541431&quot;/&gt;&lt;wsp:rsid wsp:val=&quot;575431DF&quot;/&gt;&lt;wsp:rsid wsp:val=&quot;575435C7&quot;/&gt;&lt;wsp:rsid wsp:val=&quot;57550251&quot;/&gt;&lt;wsp:rsid wsp:val=&quot;575529A1&quot;/&gt;&lt;wsp:rsid wsp:val=&quot;57580F21&quot;/&gt;&lt;wsp:rsid wsp:val=&quot;575907F5&quot;/&gt;&lt;wsp:rsid wsp:val=&quot;575A60B2&quot;/&gt;&lt;wsp:rsid wsp:val=&quot;575B456D&quot;/&gt;&lt;wsp:rsid wsp:val=&quot;575C02E5&quot;/&gt;&lt;wsp:rsid wsp:val=&quot;575E13C4&quot;/&gt;&lt;wsp:rsid wsp:val=&quot;575E5E0B&quot;/&gt;&lt;wsp:rsid wsp:val=&quot;575F3ED4&quot;/&gt;&lt;wsp:rsid wsp:val=&quot;57601B83&quot;/&gt;&lt;wsp:rsid wsp:val=&quot;57603931&quot;/&gt;&lt;wsp:rsid wsp:val=&quot;576158FB&quot;/&gt;&lt;wsp:rsid wsp:val=&quot;57631674&quot;/&gt;&lt;wsp:rsid wsp:val=&quot;57647C5C&quot;/&gt;&lt;wsp:rsid wsp:val=&quot;576626E7&quot;/&gt;&lt;wsp:rsid wsp:val=&quot;576A47B0&quot;/&gt;&lt;wsp:rsid wsp:val=&quot;576B22D6&quot;/&gt;&lt;wsp:rsid wsp:val=&quot;576B5048&quot;/&gt;&lt;wsp:rsid wsp:val=&quot;576D5CD7&quot;/&gt;&lt;wsp:rsid wsp:val=&quot;576D604E&quot;/&gt;&lt;wsp:rsid wsp:val=&quot;576F626A&quot;/&gt;&lt;wsp:rsid wsp:val=&quot;57710EBA&quot;/&gt;&lt;wsp:rsid wsp:val=&quot;57711FE2&quot;/&gt;&lt;wsp:rsid wsp:val=&quot;57713D91&quot;/&gt;&lt;wsp:rsid wsp:val=&quot;57723665&quot;/&gt;&lt;wsp:rsid wsp:val=&quot;577613A7&quot;/&gt;&lt;wsp:rsid wsp:val=&quot;57763155&quot;/&gt;&lt;wsp:rsid wsp:val=&quot;577675F9&quot;/&gt;&lt;wsp:rsid wsp:val=&quot;57770C7B&quot;/&gt;&lt;wsp:rsid wsp:val=&quot;5778511F&quot;/&gt;&lt;wsp:rsid wsp:val=&quot;57790E97&quot;/&gt;&lt;wsp:rsid wsp:val=&quot;577A36AD&quot;/&gt;&lt;wsp:rsid wsp:val=&quot;577B5BFD&quot;/&gt;&lt;wsp:rsid wsp:val=&quot;577B69BD&quot;/&gt;&lt;wsp:rsid wsp:val=&quot;577C44E3&quot;/&gt;&lt;wsp:rsid wsp:val=&quot;577D2735&quot;/&gt;&lt;wsp:rsid wsp:val=&quot;577E025B&quot;/&gt;&lt;wsp:rsid wsp:val=&quot;57805D82&quot;/&gt;&lt;wsp:rsid wsp:val=&quot;57811AFA&quot;/&gt;&lt;wsp:rsid wsp:val=&quot;57821E3F&quot;/&gt;&lt;wsp:rsid wsp:val=&quot;57830D79&quot;/&gt;&lt;wsp:rsid wsp:val=&quot;57833AC4&quot;/&gt;&lt;wsp:rsid wsp:val=&quot;57835872&quot;/&gt;&lt;wsp:rsid wsp:val=&quot;57870EFC&quot;/&gt;&lt;wsp:rsid wsp:val=&quot;578735B4&quot;/&gt;&lt;wsp:rsid wsp:val=&quot;578810DA&quot;/&gt;&lt;wsp:rsid wsp:val=&quot;578A1A61&quot;/&gt;&lt;wsp:rsid wsp:val=&quot;578A30A4&quot;/&gt;&lt;wsp:rsid wsp:val=&quot;578A4715&quot;/&gt;&lt;wsp:rsid wsp:val=&quot;578C4726&quot;/&gt;&lt;wsp:rsid wsp:val=&quot;578F06BB&quot;/&gt;&lt;wsp:rsid wsp:val=&quot;57914433&quot;/&gt;&lt;wsp:rsid wsp:val=&quot;579201F3&quot;/&gt;&lt;wsp:rsid wsp:val=&quot;57923D07&quot;/&gt;&lt;wsp:rsid wsp:val=&quot;57925AB5&quot;/&gt;&lt;wsp:rsid wsp:val=&quot;57931F59&quot;/&gt;&lt;wsp:rsid wsp:val=&quot;57947A7F&quot;/&gt;&lt;wsp:rsid wsp:val=&quot;57947EDE&quot;/&gt;&lt;wsp:rsid wsp:val=&quot;579730CB&quot;/&gt;&lt;wsp:rsid wsp:val=&quot;57995095&quot;/&gt;&lt;wsp:rsid wsp:val=&quot;57996E43&quot;/&gt;&lt;wsp:rsid wsp:val=&quot;579B0E0D&quot;/&gt;&lt;wsp:rsid wsp:val=&quot;579B2BBB&quot;/&gt;&lt;wsp:rsid wsp:val=&quot;579B705F&quot;/&gt;&lt;wsp:rsid wsp:val=&quot;579E7AB9&quot;/&gt;&lt;wsp:rsid wsp:val=&quot;57A001D2&quot;/&gt;&lt;wsp:rsid wsp:val=&quot;57A027F7&quot;/&gt;&lt;wsp:rsid wsp:val=&quot;57A06424&quot;/&gt;&lt;wsp:rsid wsp:val=&quot;57A16858&quot;/&gt;&lt;wsp:rsid wsp:val=&quot;57A203EE&quot;/&gt;&lt;wsp:rsid wsp:val=&quot;57A23F4A&quot;/&gt;&lt;wsp:rsid wsp:val=&quot;57A31A70&quot;/&gt;&lt;wsp:rsid wsp:val=&quot;57A442FC&quot;/&gt;&lt;wsp:rsid wsp:val=&quot;57A66A3F&quot;/&gt;&lt;wsp:rsid wsp:val=&quot;57A71560&quot;/&gt;&lt;wsp:rsid wsp:val=&quot;57A8352A&quot;/&gt;&lt;wsp:rsid wsp:val=&quot;57A852D8&quot;/&gt;&lt;wsp:rsid wsp:val=&quot;57AA2DFF&quot;/&gt;&lt;wsp:rsid wsp:val=&quot;57AA72A2&quot;/&gt;&lt;wsp:rsid wsp:val=&quot;57AC4DC9&quot;/&gt;&lt;wsp:rsid wsp:val=&quot;57AC6B77&quot;/&gt;&lt;wsp:rsid wsp:val=&quot;57AE0B41&quot;/&gt;&lt;wsp:rsid wsp:val=&quot;57AF2B0B&quot;/&gt;&lt;wsp:rsid wsp:val=&quot;57AF6667&quot;/&gt;&lt;wsp:rsid wsp:val=&quot;57B40121&quot;/&gt;&lt;wsp:rsid wsp:val=&quot;57B41ECF&quot;/&gt;&lt;wsp:rsid wsp:val=&quot;57B679F5&quot;/&gt;&lt;wsp:rsid wsp:val=&quot;57B72A76&quot;/&gt;&lt;wsp:rsid wsp:val=&quot;57B94ADE&quot;/&gt;&lt;wsp:rsid wsp:val=&quot;57B95737&quot;/&gt;&lt;wsp:rsid wsp:val=&quot;57BB325E&quot;/&gt;&lt;wsp:rsid wsp:val=&quot;57BB500C&quot;/&gt;&lt;wsp:rsid wsp:val=&quot;57BB5B42&quot;/&gt;&lt;wsp:rsid wsp:val=&quot;57BC15F3&quot;/&gt;&lt;wsp:rsid wsp:val=&quot;57BD5228&quot;/&gt;&lt;wsp:rsid wsp:val=&quot;57BD68B0&quot;/&gt;&lt;wsp:rsid wsp:val=&quot;57BF2D4E&quot;/&gt;&lt;wsp:rsid wsp:val=&quot;57BF66C9&quot;/&gt;&lt;wsp:rsid wsp:val=&quot;57C06AC6&quot;/&gt;&lt;wsp:rsid wsp:val=&quot;57C32112&quot;/&gt;&lt;wsp:rsid wsp:val=&quot;57C32AA0&quot;/&gt;&lt;wsp:rsid wsp:val=&quot;57C3426C&quot;/&gt;&lt;wsp:rsid wsp:val=&quot;57C55E8A&quot;/&gt;&lt;wsp:rsid wsp:val=&quot;57C92E92&quot;/&gt;&lt;wsp:rsid wsp:val=&quot;57C945D3&quot;/&gt;&lt;wsp:rsid wsp:val=&quot;57CA34A1&quot;/&gt;&lt;wsp:rsid wsp:val=&quot;57CA524F&quot;/&gt;&lt;wsp:rsid wsp:val=&quot;57CC1813&quot;/&gt;&lt;wsp:rsid wsp:val=&quot;57CC546B&quot;/&gt;&lt;wsp:rsid wsp:val=&quot;57CC7219&quot;/&gt;&lt;wsp:rsid wsp:val=&quot;57CE1F93&quot;/&gt;&lt;wsp:rsid wsp:val=&quot;57CF2865&quot;/&gt;&lt;wsp:rsid wsp:val=&quot;57CF6D09&quot;/&gt;&lt;wsp:rsid wsp:val=&quot;57D07C3C&quot;/&gt;&lt;wsp:rsid wsp:val=&quot;57D12A81&quot;/&gt;&lt;wsp:rsid wsp:val=&quot;57D305A7&quot;/&gt;&lt;wsp:rsid wsp:val=&quot;57D60097&quot;/&gt;&lt;wsp:rsid wsp:val=&quot;57D63BF4&quot;/&gt;&lt;wsp:rsid wsp:val=&quot;57D73675&quot;/&gt;&lt;wsp:rsid wsp:val=&quot;57D83DB7&quot;/&gt;&lt;wsp:rsid wsp:val=&quot;57D91936&quot;/&gt;&lt;wsp:rsid wsp:val=&quot;57D936E4&quot;/&gt;&lt;wsp:rsid wsp:val=&quot;57D93F92&quot;/&gt;&lt;wsp:rsid wsp:val=&quot;57DA0118&quot;/&gt;&lt;wsp:rsid wsp:val=&quot;57DA69E8&quot;/&gt;&lt;wsp:rsid wsp:val=&quot;57DB3900&quot;/&gt;&lt;wsp:rsid wsp:val=&quot;57DB56AE&quot;/&gt;&lt;wsp:rsid wsp:val=&quot;57DD1426&quot;/&gt;&lt;wsp:rsid wsp:val=&quot;57DF519E&quot;/&gt;&lt;wsp:rsid wsp:val=&quot;57E00F16&quot;/&gt;&lt;wsp:rsid wsp:val=&quot;57E079C3&quot;/&gt;&lt;wsp:rsid wsp:val=&quot;57E2517A&quot;/&gt;&lt;wsp:rsid wsp:val=&quot;57E44A19&quot;/&gt;&lt;wsp:rsid wsp:val=&quot;57E47E65&quot;/&gt;&lt;wsp:rsid wsp:val=&quot;57E51FFC&quot;/&gt;&lt;wsp:rsid wsp:val=&quot;57E73521&quot;/&gt;&lt;wsp:rsid wsp:val=&quot;57E74053&quot;/&gt;&lt;wsp:rsid wsp:val=&quot;57E7641B&quot;/&gt;&lt;wsp:rsid wsp:val=&quot;57E85B73&quot;/&gt;&lt;wsp:rsid wsp:val=&quot;57E95BB6&quot;/&gt;&lt;wsp:rsid wsp:val=&quot;57E9601D&quot;/&gt;&lt;wsp:rsid wsp:val=&quot;57EA3B43&quot;/&gt;&lt;wsp:rsid wsp:val=&quot;57EA3E47&quot;/&gt;&lt;wsp:rsid wsp:val=&quot;57EE3633&quot;/&gt;&lt;wsp:rsid wsp:val=&quot;57F0777E&quot;/&gt;&lt;wsp:rsid wsp:val=&quot;57F10A2D&quot;/&gt;&lt;wsp:rsid wsp:val=&quot;57F30C49&quot;/&gt;&lt;wsp:rsid wsp:val=&quot;57F41A29&quot;/&gt;&lt;wsp:rsid wsp:val=&quot;57F4758F&quot;/&gt;&lt;wsp:rsid wsp:val=&quot;57F56770&quot;/&gt;&lt;wsp:rsid wsp:val=&quot;57F66044&quot;/&gt;&lt;wsp:rsid wsp:val=&quot;57F95B34&quot;/&gt;&lt;wsp:rsid wsp:val=&quot;57FA1FD8&quot;/&gt;&lt;wsp:rsid wsp:val=&quot;57FA3D86&quot;/&gt;&lt;wsp:rsid wsp:val=&quot;57FB5D50&quot;/&gt;&lt;wsp:rsid wsp:val=&quot;57FB7AFE&quot;/&gt;&lt;wsp:rsid wsp:val=&quot;57FD3876&quot;/&gt;&lt;wsp:rsid wsp:val=&quot;57FD73D2&quot;/&gt;&lt;wsp:rsid wsp:val=&quot;57FE314A&quot;/&gt;&lt;wsp:rsid wsp:val=&quot;57FF2DC9&quot;/&gt;&lt;wsp:rsid wsp:val=&quot;58001984&quot;/&gt;&lt;wsp:rsid wsp:val=&quot;58022C3B&quot;/&gt;&lt;wsp:rsid wsp:val=&quot;580469B3&quot;/&gt;&lt;wsp:rsid wsp:val=&quot;580538F1&quot;/&gt;&lt;wsp:rsid wsp:val=&quot;580746F5&quot;/&gt;&lt;wsp:rsid wsp:val=&quot;58091E72&quot;/&gt;&lt;wsp:rsid wsp:val=&quot;580A1AEF&quot;/&gt;&lt;wsp:rsid wsp:val=&quot;580C3AB9&quot;/&gt;&lt;wsp:rsid wsp:val=&quot;580D5C0C&quot;/&gt;&lt;wsp:rsid wsp:val=&quot;580E5A83&quot;/&gt;&lt;wsp:rsid wsp:val=&quot;580E7831&quot;/&gt;&lt;wsp:rsid wsp:val=&quot;58107BCF&quot;/&gt;&lt;wsp:rsid wsp:val=&quot;581110D0&quot;/&gt;&lt;wsp:rsid wsp:val=&quot;581356E9&quot;/&gt;&lt;wsp:rsid wsp:val=&quot;58136BF6&quot;/&gt;&lt;wsp:rsid wsp:val=&quot;58146308&quot;/&gt;&lt;wsp:rsid wsp:val=&quot;58150BC0&quot;/&gt;&lt;wsp:rsid wsp:val=&quot;581653E5&quot;/&gt;&lt;wsp:rsid wsp:val=&quot;58171A35&quot;/&gt;&lt;wsp:rsid wsp:val=&quot;5818420C&quot;/&gt;&lt;wsp:rsid wsp:val=&quot;5818698A&quot;/&gt;&lt;wsp:rsid wsp:val=&quot;581A12AA&quot;/&gt;&lt;wsp:rsid wsp:val=&quot;581B5AAA&quot;/&gt;&lt;wsp:rsid wsp:val=&quot;581D1822&quot;/&gt;&lt;wsp:rsid wsp:val=&quot;581D5CC6&quot;/&gt;&lt;wsp:rsid wsp:val=&quot;581E05CE&quot;/&gt;&lt;wsp:rsid wsp:val=&quot;581E5996&quot;/&gt;&lt;wsp:rsid wsp:val=&quot;581F28A3&quot;/&gt;&lt;wsp:rsid wsp:val=&quot;58201313&quot;/&gt;&lt;wsp:rsid wsp:val=&quot;582157B7&quot;/&gt;&lt;wsp:rsid wsp:val=&quot;582165AC&quot;/&gt;&lt;wsp:rsid wsp:val=&quot;5822508B&quot;/&gt;&lt;wsp:rsid wsp:val=&quot;5824666E&quot;/&gt;&lt;wsp:rsid wsp:val=&quot;58256929&quot;/&gt;&lt;wsp:rsid wsp:val=&quot;58260F8E&quot;/&gt;&lt;wsp:rsid wsp:val=&quot;582634BF&quot;/&gt;&lt;wsp:rsid wsp:val=&quot;58264EAA&quot;/&gt;&lt;wsp:rsid wsp:val=&quot;582708F3&quot;/&gt;&lt;wsp:rsid wsp:val=&quot;582726A1&quot;/&gt;&lt;wsp:rsid wsp:val=&quot;582B03E3&quot;/&gt;&lt;wsp:rsid wsp:val=&quot;582B2191&quot;/&gt;&lt;wsp:rsid wsp:val=&quot;582E1C82&quot;/&gt;&lt;wsp:rsid wsp:val=&quot;582E4FF3&quot;/&gt;&lt;wsp:rsid wsp:val=&quot;583077A8&quot;/&gt;&lt;wsp:rsid wsp:val=&quot;583152CE&quot;/&gt;&lt;wsp:rsid wsp:val=&quot;58353010&quot;/&gt;&lt;wsp:rsid wsp:val=&quot;58357612&quot;/&gt;&lt;wsp:rsid wsp:val=&quot;58360B36&quot;/&gt;&lt;wsp:rsid wsp:val=&quot;583628E4&quot;/&gt;&lt;wsp:rsid wsp:val=&quot;58371F07&quot;/&gt;&lt;wsp:rsid wsp:val=&quot;583848AE&quot;/&gt;&lt;wsp:rsid wsp:val=&quot;583A0894&quot;/&gt;&lt;wsp:rsid wsp:val=&quot;583A3465&quot;/&gt;&lt;wsp:rsid wsp:val=&quot;583A6878&quot;/&gt;&lt;wsp:rsid wsp:val=&quot;583B1003&quot;/&gt;&lt;wsp:rsid wsp:val=&quot;583C3675&quot;/&gt;&lt;wsp:rsid wsp:val=&quot;583C439E&quot;/&gt;&lt;wsp:rsid wsp:val=&quot;583E1DE6&quot;/&gt;&lt;wsp:rsid wsp:val=&quot;583F79EB&quot;/&gt;&lt;wsp:rsid wsp:val=&quot;5842572D&quot;/&gt;&lt;wsp:rsid wsp:val=&quot;584274DB&quot;/&gt;&lt;wsp:rsid wsp:val=&quot;58443253&quot;/&gt;&lt;wsp:rsid wsp:val=&quot;58466FCB&quot;/&gt;&lt;wsp:rsid wsp:val=&quot;58476637&quot;/&gt;&lt;wsp:rsid wsp:val=&quot;58484328&quot;/&gt;&lt;wsp:rsid wsp:val=&quot;58487836&quot;/&gt;&lt;wsp:rsid wsp:val=&quot;58496ABB&quot;/&gt;&lt;wsp:rsid wsp:val=&quot;584B2834&quot;/&gt;&lt;wsp:rsid wsp:val=&quot;584C2108&quot;/&gt;&lt;wsp:rsid wsp:val=&quot;58507E4A&quot;/&gt;&lt;wsp:rsid wsp:val=&quot;5851771E&quot;/&gt;&lt;wsp:rsid wsp:val=&quot;585316E8&quot;/&gt;&lt;wsp:rsid wsp:val=&quot;58550FBC&quot;/&gt;&lt;wsp:rsid wsp:val=&quot;5855720E&quot;/&gt;&lt;wsp:rsid wsp:val=&quot;5856065B&quot;/&gt;&lt;wsp:rsid wsp:val=&quot;58561460&quot;/&gt;&lt;wsp:rsid wsp:val=&quot;58584F50&quot;/&gt;&lt;wsp:rsid wsp:val=&quot;58586CFE&quot;/&gt;&lt;wsp:rsid wsp:val=&quot;585969EE&quot;/&gt;&lt;wsp:rsid wsp:val=&quot;585A4D2D&quot;/&gt;&lt;wsp:rsid wsp:val=&quot;585A65D3&quot;/&gt;&lt;wsp:rsid wsp:val=&quot;585A6730&quot;/&gt;&lt;wsp:rsid wsp:val=&quot;585A7E7E&quot;/&gt;&lt;wsp:rsid wsp:val=&quot;585B059D&quot;/&gt;&lt;wsp:rsid wsp:val=&quot;585D2567&quot;/&gt;&lt;wsp:rsid wsp:val=&quot;585D4315&quot;/&gt;&lt;wsp:rsid wsp:val=&quot;585D50BE&quot;/&gt;&lt;wsp:rsid wsp:val=&quot;585E7C8F&quot;/&gt;&lt;wsp:rsid wsp:val=&quot;58615BB3&quot;/&gt;&lt;wsp:rsid wsp:val=&quot;5862192B&quot;/&gt;&lt;wsp:rsid wsp:val=&quot;58627B7D&quot;/&gt;&lt;wsp:rsid wsp:val=&quot;58632671&quot;/&gt;&lt;wsp:rsid wsp:val=&quot;58637281&quot;/&gt;&lt;wsp:rsid wsp:val=&quot;58653994&quot;/&gt;&lt;wsp:rsid wsp:val=&quot;5866141B&quot;/&gt;&lt;wsp:rsid wsp:val=&quot;5866766D&quot;/&gt;&lt;wsp:rsid wsp:val=&quot;58675193&quot;/&gt;&lt;wsp:rsid wsp:val=&quot;58676F42&quot;/&gt;&lt;wsp:rsid wsp:val=&quot;58681E74&quot;/&gt;&lt;wsp:rsid wsp:val=&quot;58694A68&quot;/&gt;&lt;wsp:rsid wsp:val=&quot;586B07E0&quot;/&gt;&lt;wsp:rsid wsp:val=&quot;586B76C2&quot;/&gt;&lt;wsp:rsid wsp:val=&quot;586C6306&quot;/&gt;&lt;wsp:rsid wsp:val=&quot;586E207E&quot;/&gt;&lt;wsp:rsid wsp:val=&quot;58704048&quot;/&gt;&lt;wsp:rsid wsp:val=&quot;58716105&quot;/&gt;&lt;wsp:rsid wsp:val=&quot;58733B38&quot;/&gt;&lt;wsp:rsid wsp:val=&quot;58773629&quot;/&gt;&lt;wsp:rsid wsp:val=&quot;587753D7&quot;/&gt;&lt;wsp:rsid wsp:val=&quot;58781CC6&quot;/&gt;&lt;wsp:rsid wsp:val=&quot;58782EFD&quot;/&gt;&lt;wsp:rsid wsp:val=&quot;58791FDE&quot;/&gt;&lt;wsp:rsid wsp:val=&quot;587949A8&quot;/&gt;&lt;wsp:rsid wsp:val=&quot;587A116F&quot;/&gt;&lt;wsp:rsid wsp:val=&quot;587A4EC7&quot;/&gt;&lt;wsp:rsid wsp:val=&quot;587C0C3F&quot;/&gt;&lt;wsp:rsid wsp:val=&quot;587C29ED&quot;/&gt;&lt;wsp:rsid wsp:val=&quot;587C3671&quot;/&gt;&lt;wsp:rsid wsp:val=&quot;587E5B38&quot;/&gt;&lt;wsp:rsid wsp:val=&quot;587F0709&quot;/&gt;&lt;wsp:rsid wsp:val=&quot;587F072F&quot;/&gt;&lt;wsp:rsid wsp:val=&quot;58825B29&quot;/&gt;&lt;wsp:rsid wsp:val=&quot;588418A2&quot;/&gt;&lt;wsp:rsid wsp:val=&quot;58847AF3&quot;/&gt;&lt;wsp:rsid wsp:val=&quot;58856367&quot;/&gt;&lt;wsp:rsid wsp:val=&quot;588743D1&quot;/&gt;&lt;wsp:rsid wsp:val=&quot;5887701A&quot;/&gt;&lt;wsp:rsid wsp:val=&quot;5889510A&quot;/&gt;&lt;wsp:rsid wsp:val=&quot;588B0E82&quot;/&gt;&lt;wsp:rsid wsp:val=&quot;588C013C&quot;/&gt;&lt;wsp:rsid wsp:val=&quot;588E7DA0&quot;/&gt;&lt;wsp:rsid wsp:val=&quot;58913FBE&quot;/&gt;&lt;wsp:rsid wsp:val=&quot;58920462&quot;/&gt;&lt;wsp:rsid wsp:val=&quot;58931AE5&quot;/&gt;&lt;wsp:rsid wsp:val=&quot;58935F89&quot;/&gt;&lt;wsp:rsid wsp:val=&quot;58960B14&quot;/&gt;&lt;wsp:rsid wsp:val=&quot;58975A79&quot;/&gt;&lt;wsp:rsid wsp:val=&quot;5898534D&quot;/&gt;&lt;wsp:rsid wsp:val=&quot;589A2E73&quot;/&gt;&lt;wsp:rsid wsp:val=&quot;589D0BB5&quot;/&gt;&lt;wsp:rsid wsp:val=&quot;589D2963&quot;/&gt;&lt;wsp:rsid wsp:val=&quot;589F0489&quot;/&gt;&lt;wsp:rsid wsp:val=&quot;589F66DB&quot;/&gt;&lt;wsp:rsid wsp:val=&quot;58A02613&quot;/&gt;&lt;wsp:rsid wsp:val=&quot;58A12453&quot;/&gt;&lt;wsp:rsid wsp:val=&quot;58A261CC&quot;/&gt;&lt;wsp:rsid wsp:val=&quot;58A43CF2&quot;/&gt;&lt;wsp:rsid wsp:val=&quot;58A67A6A&quot;/&gt;&lt;wsp:rsid wsp:val=&quot;58A91308&quot;/&gt;&lt;wsp:rsid wsp:val=&quot;58AD0DF8&quot;/&gt;&lt;wsp:rsid wsp:val=&quot;58AD136C&quot;/&gt;&lt;wsp:rsid wsp:val=&quot;58AD786A&quot;/&gt;&lt;wsp:rsid wsp:val=&quot;58AE4B70&quot;/&gt;&lt;wsp:rsid wsp:val=&quot;58AE691E&quot;/&gt;&lt;wsp:rsid wsp:val=&quot;58AF77DD&quot;/&gt;&lt;wsp:rsid wsp:val=&quot;58B008E9&quot;/&gt;&lt;wsp:rsid wsp:val=&quot;58B06B3A&quot;/&gt;&lt;wsp:rsid wsp:val=&quot;58B313F3&quot;/&gt;&lt;wsp:rsid wsp:val=&quot;58B33CCF&quot;/&gt;&lt;wsp:rsid wsp:val=&quot;58B33F35&quot;/&gt;&lt;wsp:rsid wsp:val=&quot;58B41D6C&quot;/&gt;&lt;wsp:rsid wsp:val=&quot;58B54151&quot;/&gt;&lt;wsp:rsid wsp:val=&quot;58B55EFF&quot;/&gt;&lt;wsp:rsid wsp:val=&quot;58B731C9&quot;/&gt;&lt;wsp:rsid wsp:val=&quot;58B77EC9&quot;/&gt;&lt;wsp:rsid wsp:val=&quot;58B8154B&quot;/&gt;&lt;wsp:rsid wsp:val=&quot;58BA52C3&quot;/&gt;&lt;wsp:rsid wsp:val=&quot;58BD4DB3&quot;/&gt;&lt;wsp:rsid wsp:val=&quot;58BD4E3B&quot;/&gt;&lt;wsp:rsid wsp:val=&quot;58BF0B2C&quot;/&gt;&lt;wsp:rsid wsp:val=&quot;58BF5B9C&quot;/&gt;&lt;wsp:rsid wsp:val=&quot;58BF6D7E&quot;/&gt;&lt;wsp:rsid wsp:val=&quot;58C3061C&quot;/&gt;&lt;wsp:rsid wsp:val=&quot;58C3686E&quot;/&gt;&lt;wsp:rsid wsp:val=&quot;58C57CDC&quot;/&gt;&lt;wsp:rsid wsp:val=&quot;58C6010C&quot;/&gt;&lt;wsp:rsid wsp:val=&quot;58C85C32&quot;/&gt;&lt;wsp:rsid wsp:val=&quot;58C919AA&quot;/&gt;&lt;wsp:rsid wsp:val=&quot;58CB413F&quot;/&gt;&lt;wsp:rsid wsp:val=&quot;58CD3249&quot;/&gt;&lt;wsp:rsid wsp:val=&quot;58CF1137&quot;/&gt;&lt;wsp:rsid wsp:val=&quot;58D20E82&quot;/&gt;&lt;wsp:rsid wsp:val=&quot;58D228D1&quot;/&gt;&lt;wsp:rsid wsp:val=&quot;58D26AB1&quot;/&gt;&lt;wsp:rsid wsp:val=&quot;58D42829&quot;/&gt;&lt;wsp:rsid wsp:val=&quot;58D75E75&quot;/&gt;&lt;wsp:rsid wsp:val=&quot;58D77C23&quot;/&gt;&lt;wsp:rsid wsp:val=&quot;58D97E3F&quot;/&gt;&lt;wsp:rsid wsp:val=&quot;58DA3BB7&quot;/&gt;&lt;wsp:rsid wsp:val=&quot;58DA5965&quot;/&gt;&lt;wsp:rsid wsp:val=&quot;58DA6644&quot;/&gt;&lt;wsp:rsid wsp:val=&quot;58DA7713&quot;/&gt;&lt;wsp:rsid wsp:val=&quot;58DD4CD1&quot;/&gt;&lt;wsp:rsid wsp:val=&quot;58DE7204&quot;/&gt;&lt;wsp:rsid wsp:val=&quot;58DF1E3B&quot;/&gt;&lt;wsp:rsid wsp:val=&quot;58DF2F7C&quot;/&gt;&lt;wsp:rsid wsp:val=&quot;58DF4D2A&quot;/&gt;&lt;wsp:rsid wsp:val=&quot;58E16365&quot;/&gt;&lt;wsp:rsid wsp:val=&quot;58E3481A&quot;/&gt;&lt;wsp:rsid wsp:val=&quot;58E40592&quot;/&gt;&lt;wsp:rsid wsp:val=&quot;58E467E4&quot;/&gt;&lt;wsp:rsid wsp:val=&quot;58E6255C&quot;/&gt;&lt;wsp:rsid wsp:val=&quot;58E6430A&quot;/&gt;&lt;wsp:rsid wsp:val=&quot;58E660B8&quot;/&gt;&lt;wsp:rsid wsp:val=&quot;58E76756&quot;/&gt;&lt;wsp:rsid wsp:val=&quot;58EB1921&quot;/&gt;&lt;wsp:rsid wsp:val=&quot;58EB36CF&quot;/&gt;&lt;wsp:rsid wsp:val=&quot;58EB7B73&quot;/&gt;&lt;wsp:rsid wsp:val=&quot;58EC1B0F&quot;/&gt;&lt;wsp:rsid wsp:val=&quot;58EC6049&quot;/&gt;&lt;wsp:rsid wsp:val=&quot;58ED74D9&quot;/&gt;&lt;wsp:rsid wsp:val=&quot;58EF3C35&quot;/&gt;&lt;wsp:rsid wsp:val=&quot;58F00CE5&quot;/&gt;&lt;wsp:rsid wsp:val=&quot;58F0569F&quot;/&gt;&lt;wsp:rsid wsp:val=&quot;58F06F37&quot;/&gt;&lt;wsp:rsid wsp:val=&quot;58F307D5&quot;/&gt;&lt;wsp:rsid wsp:val=&quot;58F4190E&quot;/&gt;&lt;wsp:rsid wsp:val=&quot;58F42F66&quot;/&gt;&lt;wsp:rsid wsp:val=&quot;58F46BA2&quot;/&gt;&lt;wsp:rsid wsp:val=&quot;58F5279F&quot;/&gt;&lt;wsp:rsid wsp:val=&quot;58F702C5&quot;/&gt;&lt;wsp:rsid wsp:val=&quot;58F72073&quot;/&gt;&lt;wsp:rsid wsp:val=&quot;58F85DEC&quot;/&gt;&lt;wsp:rsid wsp:val=&quot;58F96265&quot;/&gt;&lt;wsp:rsid wsp:val=&quot;58F971BD&quot;/&gt;&lt;wsp:rsid wsp:val=&quot;58FC3B2E&quot;/&gt;&lt;wsp:rsid wsp:val=&quot;58FD3402&quot;/&gt;&lt;wsp:rsid wsp:val=&quot;58FD417F&quot;/&gt;&lt;wsp:rsid wsp:val=&quot;58FE74CE&quot;/&gt;&lt;wsp:rsid wsp:val=&quot;58FF53CC&quot;/&gt;&lt;wsp:rsid wsp:val=&quot;58FF7619&quot;/&gt;&lt;wsp:rsid wsp:val=&quot;5900361E&quot;/&gt;&lt;wsp:rsid wsp:val=&quot;59011144&quot;/&gt;&lt;wsp:rsid wsp:val=&quot;59012EF2&quot;/&gt;&lt;wsp:rsid wsp:val=&quot;590518BF&quot;/&gt;&lt;wsp:rsid wsp:val=&quot;59080725&quot;/&gt;&lt;wsp:rsid wsp:val=&quot;59091DA7&quot;/&gt;&lt;wsp:rsid wsp:val=&quot;59096ED1&quot;/&gt;&lt;wsp:rsid wsp:val=&quot;590A630B&quot;/&gt;&lt;wsp:rsid wsp:val=&quot;590B3D71&quot;/&gt;&lt;wsp:rsid wsp:val=&quot;590C2A62&quot;/&gt;&lt;wsp:rsid wsp:val=&quot;590E6812&quot;/&gt;&lt;wsp:rsid wsp:val=&quot;590F3861&quot;/&gt;&lt;wsp:rsid wsp:val=&quot;59103135&quot;/&gt;&lt;wsp:rsid wsp:val=&quot;59154BEF&quot;/&gt;&lt;wsp:rsid wsp:val=&quot;591620AE&quot;/&gt;&lt;wsp:rsid wsp:val=&quot;59172716&quot;/&gt;&lt;wsp:rsid wsp:val=&quot;5919023C&quot;/&gt;&lt;wsp:rsid wsp:val=&quot;591B0458&quot;/&gt;&lt;wsp:rsid wsp:val=&quot;591E5852&quot;/&gt;&lt;wsp:rsid wsp:val=&quot;591F1B00&quot;/&gt;&lt;wsp:rsid wsp:val=&quot;59215342&quot;/&gt;&lt;wsp:rsid wsp:val=&quot;5923730C&quot;/&gt;&lt;wsp:rsid wsp:val=&quot;59246BE1&quot;/&gt;&lt;wsp:rsid wsp:val=&quot;59260BAB&quot;/&gt;&lt;wsp:rsid wsp:val=&quot;59282B75&quot;/&gt;&lt;wsp:rsid wsp:val=&quot;59284CA9&quot;/&gt;&lt;wsp:rsid wsp:val=&quot;592A2449&quot;/&gt;&lt;wsp:rsid wsp:val=&quot;592B61C1&quot;/&gt;&lt;wsp:rsid wsp:val=&quot;592D3CE7&quot;/&gt;&lt;wsp:rsid wsp:val=&quot;592E180D&quot;/&gt;&lt;wsp:rsid wsp:val=&quot;592E7BFA&quot;/&gt;&lt;wsp:rsid wsp:val=&quot;592F728C&quot;/&gt;&lt;wsp:rsid wsp:val=&quot;59301A29&quot;/&gt;&lt;wsp:rsid wsp:val=&quot;593162FA&quot;/&gt;&lt;wsp:rsid wsp:val=&quot;593212FE&quot;/&gt;&lt;wsp:rsid wsp:val=&quot;5932754F&quot;/&gt;&lt;wsp:rsid wsp:val=&quot;59345076&quot;/&gt;&lt;wsp:rsid wsp:val=&quot;59352B9C&quot;/&gt;&lt;wsp:rsid wsp:val=&quot;59374B66&quot;/&gt;&lt;wsp:rsid wsp:val=&quot;593A439E&quot;/&gt;&lt;wsp:rsid wsp:val=&quot;593A6404&quot;/&gt;&lt;wsp:rsid wsp:val=&quot;593A768F&quot;/&gt;&lt;wsp:rsid wsp:val=&quot;593B28A8&quot;/&gt;&lt;wsp:rsid wsp:val=&quot;593C03CE&quot;/&gt;&lt;wsp:rsid wsp:val=&quot;593C0B52&quot;/&gt;&lt;wsp:rsid wsp:val=&quot;593C3F2A&quot;/&gt;&lt;wsp:rsid wsp:val=&quot;593C4479&quot;/&gt;&lt;wsp:rsid wsp:val=&quot;593C54D3&quot;/&gt;&lt;wsp:rsid wsp:val=&quot;59405C8C&quot;/&gt;&lt;wsp:rsid wsp:val=&quot;594228A6&quot;/&gt;&lt;wsp:rsid wsp:val=&quot;594352B9&quot;/&gt;&lt;wsp:rsid wsp:val=&quot;59436B91&quot;/&gt;&lt;wsp:rsid wsp:val=&quot;59445A94&quot;/&gt;&lt;wsp:rsid wsp:val=&quot;59452BF2&quot;/&gt;&lt;wsp:rsid wsp:val=&quot;59462FFB&quot;/&gt;&lt;wsp:rsid wsp:val=&quot;59464DA9&quot;/&gt;&lt;wsp:rsid wsp:val=&quot;594700E3&quot;/&gt;&lt;wsp:rsid wsp:val=&quot;59480B21&quot;/&gt;&lt;wsp:rsid wsp:val=&quot;594828CF&quot;/&gt;&lt;wsp:rsid wsp:val=&quot;59492735&quot;/&gt;&lt;wsp:rsid wsp:val=&quot;594B0AC4&quot;/&gt;&lt;wsp:rsid wsp:val=&quot;594C7EF4&quot;/&gt;&lt;wsp:rsid wsp:val=&quot;594D6137&quot;/&gt;&lt;wsp:rsid wsp:val=&quot;594E53E5&quot;/&gt;&lt;wsp:rsid wsp:val=&quot;594F2016&quot;/&gt;&lt;wsp:rsid wsp:val=&quot;594F370E&quot;/&gt;&lt;wsp:rsid wsp:val=&quot;594F3C5E&quot;/&gt;&lt;wsp:rsid wsp:val=&quot;595079D6&quot;/&gt;&lt;wsp:rsid wsp:val=&quot;59513E7A&quot;/&gt;&lt;wsp:rsid wsp:val=&quot;595219A0&quot;/&gt;&lt;wsp:rsid wsp:val=&quot;5954396A&quot;/&gt;&lt;wsp:rsid wsp:val=&quot;59561490&quot;/&gt;&lt;wsp:rsid wsp:val=&quot;59594ADC&quot;/&gt;&lt;wsp:rsid wsp:val=&quot;595B4CF8&quot;/&gt;&lt;wsp:rsid wsp:val=&quot;595E4EDA&quot;/&gt;&lt;wsp:rsid wsp:val=&quot;595E6596&quot;/&gt;&lt;wsp:rsid wsp:val=&quot;59633BAD&quot;/&gt;&lt;wsp:rsid wsp:val=&quot;5963595B&quot;/&gt;&lt;wsp:rsid wsp:val=&quot;59641B83&quot;/&gt;&lt;wsp:rsid wsp:val=&quot;59684D1F&quot;/&gt;&lt;wsp:rsid wsp:val=&quot;596A34DE&quot;/&gt;&lt;wsp:rsid wsp:val=&quot;596C0CB3&quot;/&gt;&lt;wsp:rsid wsp:val=&quot;596F2552&quot;/&gt;&lt;wsp:rsid wsp:val=&quot;5971077F&quot;/&gt;&lt;wsp:rsid wsp:val=&quot;597162CA&quot;/&gt;&lt;wsp:rsid wsp:val=&quot;59722042&quot;/&gt;&lt;wsp:rsid wsp:val=&quot;59725B9E&quot;/&gt;&lt;wsp:rsid wsp:val=&quot;5974452F&quot;/&gt;&lt;wsp:rsid wsp:val=&quot;597467F0&quot;/&gt;&lt;wsp:rsid wsp:val=&quot;5975743C&quot;/&gt;&lt;wsp:rsid wsp:val=&quot;597638E0&quot;/&gt;&lt;wsp:rsid wsp:val=&quot;597731B4&quot;/&gt;&lt;wsp:rsid wsp:val=&quot;597933D0&quot;/&gt;&lt;wsp:rsid wsp:val=&quot;597A3BB3&quot;/&gt;&lt;wsp:rsid wsp:val=&quot;597B2CA5&quot;/&gt;&lt;wsp:rsid wsp:val=&quot;597C6A1D&quot;/&gt;&lt;wsp:rsid wsp:val=&quot;597D0E01&quot;/&gt;&lt;wsp:rsid wsp:val=&quot;597D4C6F&quot;/&gt;&lt;wsp:rsid wsp:val=&quot;597D7FB6&quot;/&gt;&lt;wsp:rsid wsp:val=&quot;597E09E7&quot;/&gt;&lt;wsp:rsid wsp:val=&quot;597E2795&quot;/&gt;&lt;wsp:rsid wsp:val=&quot;59815DE1&quot;/&gt;&lt;wsp:rsid wsp:val=&quot;59851D75&quot;/&gt;&lt;wsp:rsid wsp:val=&quot;598633F7&quot;/&gt;&lt;wsp:rsid wsp:val=&quot;5988716F&quot;/&gt;&lt;wsp:rsid wsp:val=&quot;598962AA&quot;/&gt;&lt;wsp:rsid wsp:val=&quot;598A113A&quot;/&gt;&lt;wsp:rsid wsp:val=&quot;598A550B&quot;/&gt;&lt;wsp:rsid wsp:val=&quot;598B6C60&quot;/&gt;&lt;wsp:rsid wsp:val=&quot;598C4EB2&quot;/&gt;&lt;wsp:rsid wsp:val=&quot;598D0473&quot;/&gt;&lt;wsp:rsid wsp:val=&quot;598F36EC&quot;/&gt;&lt;wsp:rsid wsp:val=&quot;598F6750&quot;/&gt;&lt;wsp:rsid wsp:val=&quot;59904667&quot;/&gt;&lt;wsp:rsid wsp:val=&quot;599124C8&quot;/&gt;&lt;wsp:rsid wsp:val=&quot;59922E34&quot;/&gt;&lt;wsp:rsid wsp:val=&quot;59933B19&quot;/&gt;&lt;wsp:rsid wsp:val=&quot;59934492&quot;/&gt;&lt;wsp:rsid wsp:val=&quot;59943D66&quot;/&gt;&lt;wsp:rsid wsp:val=&quot;5999137D&quot;/&gt;&lt;wsp:rsid wsp:val=&quot;5999312B&quot;/&gt;&lt;wsp:rsid wsp:val=&quot;59995821&quot;/&gt;&lt;wsp:rsid wsp:val=&quot;599E2FD8&quot;/&gt;&lt;wsp:rsid wsp:val=&quot;59A0270B&quot;/&gt;&lt;wsp:rsid wsp:val=&quot;59A10231&quot;/&gt;&lt;wsp:rsid wsp:val=&quot;59A57D21&quot;/&gt;&lt;wsp:rsid wsp:val=&quot;59A631F0&quot;/&gt;&lt;wsp:rsid wsp:val=&quot;59A65848&quot;/&gt;&lt;wsp:rsid wsp:val=&quot;59A73043&quot;/&gt;&lt;wsp:rsid wsp:val=&quot;59A73A9A&quot;/&gt;&lt;wsp:rsid wsp:val=&quot;59A91713&quot;/&gt;&lt;wsp:rsid wsp:val=&quot;59AA17DC&quot;/&gt;&lt;wsp:rsid wsp:val=&quot;59AB6B3D&quot;/&gt;&lt;wsp:rsid wsp:val=&quot;59AC10B0&quot;/&gt;&lt;wsp:rsid wsp:val=&quot;59AC3230&quot;/&gt;&lt;wsp:rsid wsp:val=&quot;59AF0BA0&quot;/&gt;&lt;wsp:rsid wsp:val=&quot;59B144D1&quot;/&gt;&lt;wsp:rsid wsp:val=&quot;59B14918&quot;/&gt;&lt;wsp:rsid wsp:val=&quot;59B241EC&quot;/&gt;&lt;wsp:rsid wsp:val=&quot;59B30690&quot;/&gt;&lt;wsp:rsid wsp:val=&quot;59B461B6&quot;/&gt;&lt;wsp:rsid wsp:val=&quot;59B61F2F&quot;/&gt;&lt;wsp:rsid wsp:val=&quot;59B63CDD&quot;/&gt;&lt;wsp:rsid wsp:val=&quot;59B70343&quot;/&gt;&lt;wsp:rsid wsp:val=&quot;59B91A1F&quot;/&gt;&lt;wsp:rsid wsp:val=&quot;59B9557B&quot;/&gt;&lt;wsp:rsid wsp:val=&quot;59BA5B29&quot;/&gt;&lt;wsp:rsid wsp:val=&quot;59BC0878&quot;/&gt;&lt;wsp:rsid wsp:val=&quot;59BC506B&quot;/&gt;&lt;wsp:rsid wsp:val=&quot;59BD2407&quot;/&gt;&lt;wsp:rsid wsp:val=&quot;59BF7C35&quot;/&gt;&lt;wsp:rsid wsp:val=&quot;59C0439F&quot;/&gt;&lt;wsp:rsid wsp:val=&quot;59C12681&quot;/&gt;&lt;wsp:rsid wsp:val=&quot;59C3464B&quot;/&gt;&lt;wsp:rsid wsp:val=&quot;59C414B7&quot;/&gt;&lt;wsp:rsid wsp:val=&quot;59C77E38&quot;/&gt;&lt;wsp:rsid wsp:val=&quot;59C81C62&quot;/&gt;&lt;wsp:rsid wsp:val=&quot;59CA3C2C&quot;/&gt;&lt;wsp:rsid wsp:val=&quot;59CA7788&quot;/&gt;&lt;wsp:rsid wsp:val=&quot;59CC1752&quot;/&gt;&lt;wsp:rsid wsp:val=&quot;59CD1026&quot;/&gt;&lt;wsp:rsid wsp:val=&quot;59CF1242&quot;/&gt;&lt;wsp:rsid wsp:val=&quot;59CF57B7&quot;/&gt;&lt;wsp:rsid wsp:val=&quot;59D13ABB&quot;/&gt;&lt;wsp:rsid wsp:val=&quot;59D423B5&quot;/&gt;&lt;wsp:rsid wsp:val=&quot;59D625D1&quot;/&gt;&lt;wsp:rsid wsp:val=&quot;59D6612D&quot;/&gt;&lt;wsp:rsid wsp:val=&quot;59D979CB&quot;/&gt;&lt;wsp:rsid wsp:val=&quot;59DB3743&quot;/&gt;&lt;wsp:rsid wsp:val=&quot;59DC1F2E&quot;/&gt;&lt;wsp:rsid wsp:val=&quot;59DD74BB&quot;/&gt;&lt;wsp:rsid wsp:val=&quot;59DE1485&quot;/&gt;&lt;wsp:rsid wsp:val=&quot;59DE3B00&quot;/&gt;&lt;wsp:rsid wsp:val=&quot;59E00D5A&quot;/&gt;&lt;wsp:rsid wsp:val=&quot;59E22D24&quot;/&gt;&lt;wsp:rsid wsp:val=&quot;59E25F3A&quot;/&gt;&lt;wsp:rsid wsp:val=&quot;59E30AA1&quot;/&gt;&lt;wsp:rsid wsp:val=&quot;59E31FE6&quot;/&gt;&lt;wsp:rsid wsp:val=&quot;59E52814&quot;/&gt;&lt;wsp:rsid wsp:val=&quot;59E720E8&quot;/&gt;&lt;wsp:rsid wsp:val=&quot;59E85E60&quot;/&gt;&lt;wsp:rsid wsp:val=&quot;59E940B2&quot;/&gt;&lt;wsp:rsid wsp:val=&quot;59EA1BD8&quot;/&gt;&lt;wsp:rsid wsp:val=&quot;59EA6CCF&quot;/&gt;&lt;wsp:rsid wsp:val=&quot;59EA7E2A&quot;/&gt;&lt;wsp:rsid wsp:val=&quot;59EC3BA2&quot;/&gt;&lt;wsp:rsid wsp:val=&quot;59EC3E95&quot;/&gt;&lt;wsp:rsid wsp:val=&quot;59EC76FE&quot;/&gt;&lt;wsp:rsid wsp:val=&quot;59ED3476&quot;/&gt;&lt;wsp:rsid wsp:val=&quot;59EE2013&quot;/&gt;&lt;wsp:rsid wsp:val=&quot;59EF3692&quot;/&gt;&lt;wsp:rsid wsp:val=&quot;59EF5441&quot;/&gt;&lt;wsp:rsid wsp:val=&quot;59EF5DF4&quot;/&gt;&lt;wsp:rsid wsp:val=&quot;59EF71EF&quot;/&gt;&lt;wsp:rsid wsp:val=&quot;59F01C15&quot;/&gt;&lt;wsp:rsid wsp:val=&quot;59F04B44&quot;/&gt;&lt;wsp:rsid wsp:val=&quot;59F14D15&quot;/&gt;&lt;wsp:rsid wsp:val=&quot;59F20A8D&quot;/&gt;&lt;wsp:rsid wsp:val=&quot;59F6057D&quot;/&gt;&lt;wsp:rsid wsp:val=&quot;59F667CF&quot;/&gt;&lt;wsp:rsid wsp:val=&quot;59FB2037&quot;/&gt;&lt;wsp:rsid wsp:val=&quot;59FB5B93&quot;/&gt;&lt;wsp:rsid wsp:val=&quot;59FD3560&quot;/&gt;&lt;wsp:rsid wsp:val=&quot;59FE5684&quot;/&gt;&lt;wsp:rsid wsp:val=&quot;5A007FC9&quot;/&gt;&lt;wsp:rsid wsp:val=&quot;5A0233C6&quot;/&gt;&lt;wsp:rsid wsp:val=&quot;5A025174&quot;/&gt;&lt;wsp:rsid wsp:val=&quot;5A040EEC&quot;/&gt;&lt;wsp:rsid wsp:val=&quot;5A04713E&quot;/&gt;&lt;wsp:rsid wsp:val=&quot;5A0507C0&quot;/&gt;&lt;wsp:rsid wsp:val=&quot;5A074538&quot;/&gt;&lt;wsp:rsid wsp:val=&quot;5A0802B0&quot;/&gt;&lt;wsp:rsid wsp:val=&quot;5A0A227A&quot;/&gt;&lt;wsp:rsid wsp:val=&quot;5A0A4028&quot;/&gt;&lt;wsp:rsid wsp:val=&quot;5A0A5DD6&quot;/&gt;&lt;wsp:rsid wsp:val=&quot;5A0B48A1&quot;/&gt;&lt;wsp:rsid wsp:val=&quot;5A0C1B4F&quot;/&gt;&lt;wsp:rsid wsp:val=&quot;5A0C7DA1&quot;/&gt;&lt;wsp:rsid wsp:val=&quot;5A0D79FC&quot;/&gt;&lt;wsp:rsid wsp:val=&quot;5A0E25CD&quot;/&gt;&lt;wsp:rsid wsp:val=&quot;5A0F163F&quot;/&gt;&lt;wsp:rsid wsp:val=&quot;5A0F7891&quot;/&gt;&lt;wsp:rsid wsp:val=&quot;5A105AE3&quot;/&gt;&lt;wsp:rsid wsp:val=&quot;5A150D5F&quot;/&gt;&lt;wsp:rsid wsp:val=&quot;5A1530F9&quot;/&gt;&lt;wsp:rsid wsp:val=&quot;5A1629CD&quot;/&gt;&lt;wsp:rsid wsp:val=&quot;5A166E71&quot;/&gt;&lt;wsp:rsid wsp:val=&quot;5A17353D&quot;/&gt;&lt;wsp:rsid wsp:val=&quot;5A1D0200&quot;/&gt;&lt;wsp:rsid wsp:val=&quot;5A1D0C32&quot;/&gt;&lt;wsp:rsid wsp:val=&quot;5A1D3E97&quot;/&gt;&lt;wsp:rsid wsp:val=&quot;5A1D5B0A&quot;/&gt;&lt;wsp:rsid wsp:val=&quot;5A1E5F89&quot;/&gt;&lt;wsp:rsid wsp:val=&quot;5A225816&quot;/&gt;&lt;wsp:rsid wsp:val=&quot;5A2275C4&quot;/&gt;&lt;wsp:rsid wsp:val=&quot;5A2450EA&quot;/&gt;&lt;wsp:rsid wsp:val=&quot;5A272E2C&quot;/&gt;&lt;wsp:rsid wsp:val=&quot;5A274BDA&quot;/&gt;&lt;wsp:rsid wsp:val=&quot;5A292701&quot;/&gt;&lt;wsp:rsid wsp:val=&quot;5A2A6479&quot;/&gt;&lt;wsp:rsid wsp:val=&quot;5A2C11B4&quot;/&gt;&lt;wsp:rsid wsp:val=&quot;5A2C3F9F&quot;/&gt;&lt;wsp:rsid wsp:val=&quot;5A2E0476&quot;/&gt;&lt;wsp:rsid wsp:val=&quot;5A2E2FAF&quot;/&gt;&lt;wsp:rsid wsp:val=&quot;5A2E3047&quot;/&gt;&lt;wsp:rsid wsp:val=&quot;5A2F1CE1&quot;/&gt;&lt;wsp:rsid wsp:val=&quot;5A30337A&quot;/&gt;&lt;wsp:rsid wsp:val=&quot;5A307F33&quot;/&gt;&lt;wsp:rsid wsp:val=&quot;5A3115B5&quot;/&gt;&lt;wsp:rsid wsp:val=&quot;5A315A59&quot;/&gt;&lt;wsp:rsid wsp:val=&quot;5A362E88&quot;/&gt;&lt;wsp:rsid wsp:val=&quot;5A366BCB&quot;/&gt;&lt;wsp:rsid wsp:val=&quot;5A382944&quot;/&gt;&lt;wsp:rsid wsp:val=&quot;5A3840F9&quot;/&gt;&lt;wsp:rsid wsp:val=&quot;5A385205&quot;/&gt;&lt;wsp:rsid wsp:val=&quot;5A3966BC&quot;/&gt;&lt;wsp:rsid wsp:val=&quot;5A396D82&quot;/&gt;&lt;wsp:rsid wsp:val=&quot;5A3A2B60&quot;/&gt;&lt;wsp:rsid wsp:val=&quot;5A3A490E&quot;/&gt;&lt;wsp:rsid wsp:val=&quot;5A3B0686&quot;/&gt;&lt;wsp:rsid wsp:val=&quot;5A3D43FE&quot;/&gt;&lt;wsp:rsid wsp:val=&quot;5A3F0176&quot;/&gt;&lt;wsp:rsid wsp:val=&quot;5A3F1F24&quot;/&gt;&lt;wsp:rsid wsp:val=&quot;5A407A4A&quot;/&gt;&lt;wsp:rsid wsp:val=&quot;5A41632E&quot;/&gt;&lt;wsp:rsid wsp:val=&quot;5A4232B6&quot;/&gt;&lt;wsp:rsid wsp:val=&quot;5A4237C2&quot;/&gt;&lt;wsp:rsid wsp:val=&quot;5A44753A&quot;/&gt;&lt;wsp:rsid wsp:val=&quot;5A4532B2&quot;/&gt;&lt;wsp:rsid wsp:val=&quot;5A461504&quot;/&gt;&lt;wsp:rsid wsp:val=&quot;5A47702B&quot;/&gt;&lt;wsp:rsid wsp:val=&quot;5A4B6B1B&quot;/&gt;&lt;wsp:rsid wsp:val=&quot;5A4C3186&quot;/&gt;&lt;wsp:rsid wsp:val=&quot;5A4E03B9&quot;/&gt;&lt;wsp:rsid wsp:val=&quot;5A4E660B&quot;/&gt;&lt;wsp:rsid wsp:val=&quot;5A4F5EDF&quot;/&gt;&lt;wsp:rsid wsp:val=&quot;5A513A05&quot;/&gt;&lt;wsp:rsid wsp:val=&quot;5A5A0B0C&quot;/&gt;&lt;wsp:rsid wsp:val=&quot;5A5A76B3&quot;/&gt;&lt;wsp:rsid wsp:val=&quot;5A5B2AD6&quot;/&gt;&lt;wsp:rsid wsp:val=&quot;5A5D684E&quot;/&gt;&lt;wsp:rsid wsp:val=&quot;5A5F1E75&quot;/&gt;&lt;wsp:rsid wsp:val=&quot;5A5F25C6&quot;/&gt;&lt;wsp:rsid wsp:val=&quot;5A5F770D&quot;/&gt;&lt;wsp:rsid wsp:val=&quot;5A601E9A&quot;/&gt;&lt;wsp:rsid wsp:val=&quot;5A614795&quot;/&gt;&lt;wsp:rsid wsp:val=&quot;5A6279C1&quot;/&gt;&lt;wsp:rsid wsp:val=&quot;5A6307F6&quot;/&gt;&lt;wsp:rsid wsp:val=&quot;5A643739&quot;/&gt;&lt;wsp:rsid wsp:val=&quot;5A644677&quot;/&gt;&lt;wsp:rsid wsp:val=&quot;5A647BDD&quot;/&gt;&lt;wsp:rsid wsp:val=&quot;5A655703&quot;/&gt;&lt;wsp:rsid wsp:val=&quot;5A6574B1&quot;/&gt;&lt;wsp:rsid wsp:val=&quot;5A6776CD&quot;/&gt;&lt;wsp:rsid wsp:val=&quot;5A6951F3&quot;/&gt;&lt;wsp:rsid wsp:val=&quot;5A696FA1&quot;/&gt;&lt;wsp:rsid wsp:val=&quot;5A6A3F7A&quot;/&gt;&lt;wsp:rsid wsp:val=&quot;5A6C083F&quot;/&gt;&lt;wsp:rsid wsp:val=&quot;5A6C691B&quot;/&gt;&lt;wsp:rsid wsp:val=&quot;5A6E0A5B&quot;/&gt;&lt;wsp:rsid wsp:val=&quot;5A70032F&quot;/&gt;&lt;wsp:rsid wsp:val=&quot;5A7122F9&quot;/&gt;&lt;wsp:rsid wsp:val=&quot;5A71428A&quot;/&gt;&lt;wsp:rsid wsp:val=&quot;5A736072&quot;/&gt;&lt;wsp:rsid wsp:val=&quot;5A7661FB&quot;/&gt;&lt;wsp:rsid wsp:val=&quot;5A767910&quot;/&gt;&lt;wsp:rsid wsp:val=&quot;5A785436&quot;/&gt;&lt;wsp:rsid wsp:val=&quot;5A7A7400&quot;/&gt;&lt;wsp:rsid wsp:val=&quot;5A7B0A82&quot;/&gt;&lt;wsp:rsid wsp:val=&quot;5A7B6CD4&quot;/&gt;&lt;wsp:rsid wsp:val=&quot;5A7C35E5&quot;/&gt;&lt;wsp:rsid wsp:val=&quot;5A7D1AFD&quot;/&gt;&lt;wsp:rsid wsp:val=&quot;5A7D47FA&quot;/&gt;&lt;wsp:rsid wsp:val=&quot;5A8111AE&quot;/&gt;&lt;wsp:rsid wsp:val=&quot;5A820063&quot;/&gt;&lt;wsp:rsid wsp:val=&quot;5A843DDB&quot;/&gt;&lt;wsp:rsid wsp:val=&quot;5A845B89&quot;/&gt;&lt;wsp:rsid wsp:val=&quot;5A851901&quot;/&gt;&lt;wsp:rsid wsp:val=&quot;5A867B53&quot;/&gt;&lt;wsp:rsid wsp:val=&quot;5A881081&quot;/&gt;&lt;wsp:rsid wsp:val=&quot;5A8913F1&quot;/&gt;&lt;wsp:rsid wsp:val=&quot;5A8B33BB&quot;/&gt;&lt;wsp:rsid wsp:val=&quot;5A8B4E31&quot;/&gt;&lt;wsp:rsid wsp:val=&quot;5A8C0EE1&quot;/&gt;&lt;wsp:rsid wsp:val=&quot;5A8D7133&quot;/&gt;&lt;wsp:rsid wsp:val=&quot;5A8E4C59&quot;/&gt;&lt;wsp:rsid wsp:val=&quot;5A8E4EF3&quot;/&gt;&lt;wsp:rsid wsp:val=&quot;5A8F55FB&quot;/&gt;&lt;wsp:rsid wsp:val=&quot;5A902780&quot;/&gt;&lt;wsp:rsid wsp:val=&quot;5A905A12&quot;/&gt;&lt;wsp:rsid wsp:val=&quot;5A910CA3&quot;/&gt;&lt;wsp:rsid wsp:val=&quot;5A932270&quot;/&gt;&lt;wsp:rsid wsp:val=&quot;5A93401E&quot;/&gt;&lt;wsp:rsid wsp:val=&quot;5A9421F5&quot;/&gt;&lt;wsp:rsid wsp:val=&quot;5A957D96&quot;/&gt;&lt;wsp:rsid wsp:val=&quot;5A963B0E&quot;/&gt;&lt;wsp:rsid wsp:val=&quot;5A96705E&quot;/&gt;&lt;wsp:rsid wsp:val=&quot;5A9D018C&quot;/&gt;&lt;wsp:rsid wsp:val=&quot;5A9D30EE&quot;/&gt;&lt;wsp:rsid wsp:val=&quot;5A9D6C4B&quot;/&gt;&lt;wsp:rsid wsp:val=&quot;5A9F6E67&quot;/&gt;&lt;wsp:rsid wsp:val=&quot;5AA150A9&quot;/&gt;&lt;wsp:rsid wsp:val=&quot;5AA1673B&quot;/&gt;&lt;wsp:rsid wsp:val=&quot;5AA20705&quot;/&gt;&lt;wsp:rsid wsp:val=&quot;5AA247F9&quot;/&gt;&lt;wsp:rsid wsp:val=&quot;5AA35C89&quot;/&gt;&lt;wsp:rsid wsp:val=&quot;5AA75D1B&quot;/&gt;&lt;wsp:rsid wsp:val=&quot;5AA77AC9&quot;/&gt;&lt;wsp:rsid wsp:val=&quot;5AA91A93&quot;/&gt;&lt;wsp:rsid wsp:val=&quot;5AA93841&quot;/&gt;&lt;wsp:rsid wsp:val=&quot;5AA955EF&quot;/&gt;&lt;wsp:rsid wsp:val=&quot;5AAB75B9&quot;/&gt;&lt;wsp:rsid wsp:val=&quot;5AAC50E0&quot;/&gt;&lt;wsp:rsid wsp:val=&quot;5AAD1584&quot;/&gt;&lt;wsp:rsid wsp:val=&quot;5AAE0E58&quot;/&gt;&lt;wsp:rsid wsp:val=&quot;5AB02E22&quot;/&gt;&lt;wsp:rsid wsp:val=&quot;5AB0697E&quot;/&gt;&lt;wsp:rsid wsp:val=&quot;5AB126F6&quot;/&gt;&lt;wsp:rsid wsp:val=&quot;5AB26B9A&quot;/&gt;&lt;wsp:rsid wsp:val=&quot;5AB3021C&quot;/&gt;&lt;wsp:rsid wsp:val=&quot;5AB50438&quot;/&gt;&lt;wsp:rsid wsp:val=&quot;5AB62A7A&quot;/&gt;&lt;wsp:rsid wsp:val=&quot;5AB650D6&quot;/&gt;&lt;wsp:rsid wsp:val=&quot;5ABA3CA0&quot;/&gt;&lt;wsp:rsid wsp:val=&quot;5ABA3F0F&quot;/&gt;&lt;wsp:rsid wsp:val=&quot;5ABA5A4E&quot;/&gt;&lt;wsp:rsid wsp:val=&quot;5ABA77FD&quot;/&gt;&lt;wsp:rsid wsp:val=&quot;5ABB5323&quot;/&gt;&lt;wsp:rsid wsp:val=&quot;5ABD109B&quot;/&gt;&lt;wsp:rsid wsp:val=&quot;5ABD72ED&quot;/&gt;&lt;wsp:rsid wsp:val=&quot;5ABE2233&quot;/&gt;&lt;wsp:rsid wsp:val=&quot;5ABF316C&quot;/&gt;&lt;wsp:rsid wsp:val=&quot;5ABF408D&quot;/&gt;&lt;wsp:rsid wsp:val=&quot;5AC104C5&quot;/&gt;&lt;wsp:rsid wsp:val=&quot;5AC15DCF&quot;/&gt;&lt;wsp:rsid wsp:val=&quot;5AC23B1A&quot;/&gt;&lt;wsp:rsid wsp:val=&quot;5AC97A40&quot;/&gt;&lt;wsp:rsid wsp:val=&quot;5ACB1A0A&quot;/&gt;&lt;wsp:rsid wsp:val=&quot;5ACB37B8&quot;/&gt;&lt;wsp:rsid wsp:val=&quot;5ACD5782&quot;/&gt;&lt;wsp:rsid wsp:val=&quot;5ACD7F2B&quot;/&gt;&lt;wsp:rsid wsp:val=&quot;5ACE14FA&quot;/&gt;&lt;wsp:rsid wsp:val=&quot;5ACE32A8&quot;/&gt;&lt;wsp:rsid wsp:val=&quot;5AD50B17&quot;/&gt;&lt;wsp:rsid wsp:val=&quot;5AD557D9&quot;/&gt;&lt;wsp:rsid wsp:val=&quot;5AD703AE&quot;/&gt;&lt;wsp:rsid wsp:val=&quot;5AD73A98&quot;/&gt;&lt;wsp:rsid wsp:val=&quot;5AD92379&quot;/&gt;&lt;wsp:rsid wsp:val=&quot;5ADA34F9&quot;/&gt;&lt;wsp:rsid wsp:val=&quot;5ADC3C17&quot;/&gt;&lt;wsp:rsid wsp:val=&quot;5ADC59C5&quot;/&gt;&lt;wsp:rsid wsp:val=&quot;5ADD34EB&quot;/&gt;&lt;wsp:rsid wsp:val=&quot;5ADF1011&quot;/&gt;&lt;wsp:rsid wsp:val=&quot;5ADF54B5&quot;/&gt;&lt;wsp:rsid wsp:val=&quot;5ADF7263&quot;/&gt;&lt;wsp:rsid wsp:val=&quot;5AE40D1D&quot;/&gt;&lt;wsp:rsid wsp:val=&quot;5AE42ACB&quot;/&gt;&lt;wsp:rsid wsp:val=&quot;5AE435F6&quot;/&gt;&lt;wsp:rsid wsp:val=&quot;5AE44879&quot;/&gt;&lt;wsp:rsid wsp:val=&quot;5AE62E65&quot;/&gt;&lt;wsp:rsid wsp:val=&quot;5AE66844&quot;/&gt;&lt;wsp:rsid wsp:val=&quot;5AE71390&quot;/&gt;&lt;wsp:rsid wsp:val=&quot;5AE74E31&quot;/&gt;&lt;wsp:rsid wsp:val=&quot;5AE76118&quot;/&gt;&lt;wsp:rsid wsp:val=&quot;5AE825BC&quot;/&gt;&lt;wsp:rsid wsp:val=&quot;5AE85AFD&quot;/&gt;&lt;wsp:rsid wsp:val=&quot;5AE91E90&quot;/&gt;&lt;wsp:rsid wsp:val=&quot;5AEC2D3D&quot;/&gt;&lt;wsp:rsid wsp:val=&quot;5AED1980&quot;/&gt;&lt;wsp:rsid wsp:val=&quot;5AEE56F8&quot;/&gt;&lt;wsp:rsid wsp:val=&quot;5AEF0AF8&quot;/&gt;&lt;wsp:rsid wsp:val=&quot;5AF34ABD&quot;/&gt;&lt;wsp:rsid wsp:val=&quot;5AF820D3&quot;/&gt;&lt;wsp:rsid wsp:val=&quot;5AFC5403&quot;/&gt;&lt;wsp:rsid wsp:val=&quot;5AFF16B3&quot;/&gt;&lt;wsp:rsid wsp:val=&quot;5AFF3461&quot;/&gt;&lt;wsp:rsid wsp:val=&quot;5B04316E&quot;/&gt;&lt;wsp:rsid wsp:val=&quot;5B062A42&quot;/&gt;&lt;wsp:rsid wsp:val=&quot;5B0647F0&quot;/&gt;&lt;wsp:rsid wsp:val=&quot;5B070DD5&quot;/&gt;&lt;wsp:rsid wsp:val=&quot;5B072DD0&quot;/&gt;&lt;wsp:rsid wsp:val=&quot;5B0818FB&quot;/&gt;&lt;wsp:rsid wsp:val=&quot;5B0867BA&quot;/&gt;&lt;wsp:rsid wsp:val=&quot;5B092532&quot;/&gt;&lt;wsp:rsid wsp:val=&quot;5B0942E0&quot;/&gt;&lt;wsp:rsid wsp:val=&quot;5B0A0784&quot;/&gt;&lt;wsp:rsid wsp:val=&quot;5B0E5A07&quot;/&gt;&lt;wsp:rsid wsp:val=&quot;5B1038C0&quot;/&gt;&lt;wsp:rsid wsp:val=&quot;5B123195&quot;/&gt;&lt;wsp:rsid wsp:val=&quot;5B12588A&quot;/&gt;&lt;wsp:rsid wsp:val=&quot;5B127639&quot;/&gt;&lt;wsp:rsid wsp:val=&quot;5B184523&quot;/&gt;&lt;wsp:rsid wsp:val=&quot;5B1909C7&quot;/&gt;&lt;wsp:rsid wsp:val=&quot;5B1A473F&quot;/&gt;&lt;wsp:rsid wsp:val=&quot;5B1A64ED&quot;/&gt;&lt;wsp:rsid wsp:val=&quot;5B1C06DB&quot;/&gt;&lt;wsp:rsid wsp:val=&quot;5B1C7924&quot;/&gt;&lt;wsp:rsid wsp:val=&quot;5B1E422F&quot;/&gt;&lt;wsp:rsid wsp:val=&quot;5B1F0772&quot;/&gt;&lt;wsp:rsid wsp:val=&quot;5B21454D&quot;/&gt;&lt;wsp:rsid wsp:val=&quot;5B215ACE&quot;/&gt;&lt;wsp:rsid wsp:val=&quot;5B264E92&quot;/&gt;&lt;wsp:rsid wsp:val=&quot;5B280C0A&quot;/&gt;&lt;wsp:rsid wsp:val=&quot;5B293D6B&quot;/&gt;&lt;wsp:rsid wsp:val=&quot;5B294982&quot;/&gt;&lt;wsp:rsid wsp:val=&quot;5B296730&quot;/&gt;&lt;wsp:rsid wsp:val=&quot;5B2D2AF0&quot;/&gt;&lt;wsp:rsid wsp:val=&quot;5B2D4472&quot;/&gt;&lt;wsp:rsid wsp:val=&quot;5B2D7FCE&quot;/&gt;&lt;wsp:rsid wsp:val=&quot;5B2E68CB&quot;/&gt;&lt;wsp:rsid wsp:val=&quot;5B3255E5&quot;/&gt;&lt;wsp:rsid wsp:val=&quot;5B345801&quot;/&gt;&lt;wsp:rsid wsp:val=&quot;5B370E4D&quot;/&gt;&lt;wsp:rsid wsp:val=&quot;5B372BFB&quot;/&gt;&lt;wsp:rsid wsp:val=&quot;5B374C33&quot;/&gt;&lt;wsp:rsid wsp:val=&quot;5B386973&quot;/&gt;&lt;wsp:rsid wsp:val=&quot;5B3C2907&quot;/&gt;&lt;wsp:rsid wsp:val=&quot;5B3C41A8&quot;/&gt;&lt;wsp:rsid wsp:val=&quot;5B3E21DC&quot;/&gt;&lt;wsp:rsid wsp:val=&quot;5B3F5F54&quot;/&gt;&lt;wsp:rsid wsp:val=&quot;5B3F7D02&quot;/&gt;&lt;wsp:rsid wsp:val=&quot;5B4041A6&quot;/&gt;&lt;wsp:rsid wsp:val=&quot;5B413A7A&quot;/&gt;&lt;wsp:rsid wsp:val=&quot;5B4223F6&quot;/&gt;&lt;wsp:rsid wsp:val=&quot;5B435A44&quot;/&gt;&lt;wsp:rsid wsp:val=&quot;5B436BBA&quot;/&gt;&lt;wsp:rsid wsp:val=&quot;5B44356A&quot;/&gt;&lt;wsp:rsid wsp:val=&quot;5B445318&quot;/&gt;&lt;wsp:rsid wsp:val=&quot;5B4812AC&quot;/&gt;&lt;wsp:rsid wsp:val=&quot;5B484E08&quot;/&gt;&lt;wsp:rsid wsp:val=&quot;5B490B80&quot;/&gt;&lt;wsp:rsid wsp:val=&quot;5B4B66A7&quot;/&gt;&lt;wsp:rsid wsp:val=&quot;5B4D241F&quot;/&gt;&lt;wsp:rsid wsp:val=&quot;5B557525&quot;/&gt;&lt;wsp:rsid wsp:val=&quot;5B5949C4&quot;/&gt;&lt;wsp:rsid wsp:val=&quot;5B595267&quot;/&gt;&lt;wsp:rsid wsp:val=&quot;5B5A2D8E&quot;/&gt;&lt;wsp:rsid wsp:val=&quot;5B5C4D58&quot;/&gt;&lt;wsp:rsid wsp:val=&quot;5B5F03A4&quot;/&gt;&lt;wsp:rsid wsp:val=&quot;5B6065F6&quot;/&gt;&lt;wsp:rsid wsp:val=&quot;5B61236E&quot;/&gt;&lt;wsp:rsid wsp:val=&quot;5B61411C&quot;/&gt;&lt;wsp:rsid wsp:val=&quot;5B652FF7&quot;/&gt;&lt;wsp:rsid wsp:val=&quot;5B6676B2&quot;/&gt;&lt;wsp:rsid wsp:val=&quot;5B694D7F&quot;/&gt;&lt;wsp:rsid wsp:val=&quot;5B6A1223&quot;/&gt;&lt;wsp:rsid wsp:val=&quot;5B6A2D43&quot;/&gt;&lt;wsp:rsid wsp:val=&quot;5B6B4F9B&quot;/&gt;&lt;wsp:rsid wsp:val=&quot;5B6B6D49&quot;/&gt;&lt;wsp:rsid wsp:val=&quot;5B6D644F&quot;/&gt;&lt;wsp:rsid wsp:val=&quot;5B6D7095&quot;/&gt;&lt;wsp:rsid wsp:val=&quot;5B6F05E7&quot;/&gt;&lt;wsp:rsid wsp:val=&quot;5B7200D7&quot;/&gt;&lt;wsp:rsid wsp:val=&quot;5B726329&quot;/&gt;&lt;wsp:rsid wsp:val=&quot;5B733E67&quot;/&gt;&lt;wsp:rsid wsp:val=&quot;5B735536&quot;/&gt;&lt;wsp:rsid wsp:val=&quot;5B74073A&quot;/&gt;&lt;wsp:rsid wsp:val=&quot;5B743C65&quot;/&gt;&lt;wsp:rsid wsp:val=&quot;5B743E4F&quot;/&gt;&lt;wsp:rsid wsp:val=&quot;5B745BFD&quot;/&gt;&lt;wsp:rsid wsp:val=&quot;5B7A6F8C&quot;/&gt;&lt;wsp:rsid wsp:val=&quot;5B7B1DEA&quot;/&gt;&lt;wsp:rsid wsp:val=&quot;5B7B51DE&quot;/&gt;&lt;wsp:rsid wsp:val=&quot;5B7E5A57&quot;/&gt;&lt;wsp:rsid wsp:val=&quot;5B7F2398&quot;/&gt;&lt;wsp:rsid wsp:val=&quot;5B8147BE&quot;/&gt;&lt;wsp:rsid wsp:val=&quot;5B835E40&quot;/&gt;&lt;wsp:rsid wsp:val=&quot;5B880665&quot;/&gt;&lt;wsp:rsid wsp:val=&quot;5B8862CC&quot;/&gt;&lt;wsp:rsid wsp:val=&quot;5B8B1199&quot;/&gt;&lt;wsp:rsid wsp:val=&quot;5B8C73EB&quot;/&gt;&lt;wsp:rsid wsp:val=&quot;5B8D6CBF&quot;/&gt;&lt;wsp:rsid wsp:val=&quot;5B8F2A37&quot;/&gt;&lt;wsp:rsid wsp:val=&quot;5B904A5E&quot;/&gt;&lt;wsp:rsid wsp:val=&quot;5B914A01&quot;/&gt;&lt;wsp:rsid wsp:val=&quot;5B94004E&quot;/&gt;&lt;wsp:rsid wsp:val=&quot;5B962018&quot;/&gt;&lt;wsp:rsid wsp:val=&quot;5B96750E&quot;/&gt;&lt;wsp:rsid wsp:val=&quot;5B995664&quot;/&gt;&lt;wsp:rsid wsp:val=&quot;5B9A33D5&quot;/&gt;&lt;wsp:rsid wsp:val=&quot;5B9B13DC&quot;/&gt;&lt;wsp:rsid wsp:val=&quot;5B9B5880&quot;/&gt;&lt;wsp:rsid wsp:val=&quot;5B9B762E&quot;/&gt;&lt;wsp:rsid wsp:val=&quot;5B9C33A6&quot;/&gt;&lt;wsp:rsid wsp:val=&quot;5B9C6F02&quot;/&gt;&lt;wsp:rsid wsp:val=&quot;5B9D42BD&quot;/&gt;&lt;wsp:rsid wsp:val=&quot;5B9D6A33&quot;/&gt;&lt;wsp:rsid wsp:val=&quot;5B9D7062&quot;/&gt;&lt;wsp:rsid wsp:val=&quot;5B9E5921&quot;/&gt;&lt;wsp:rsid wsp:val=&quot;5BA04C44&quot;/&gt;&lt;wsp:rsid wsp:val=&quot;5BA069F2&quot;/&gt;&lt;wsp:rsid wsp:val=&quot;5BA504AD&quot;/&gt;&lt;wsp:rsid wsp:val=&quot;5BA72CE5&quot;/&gt;&lt;wsp:rsid wsp:val=&quot;5BA741CE&quot;/&gt;&lt;wsp:rsid wsp:val=&quot;5BA74225&quot;/&gt;&lt;wsp:rsid wsp:val=&quot;5BA81D4B&quot;/&gt;&lt;wsp:rsid wsp:val=&quot;5BA95B6E&quot;/&gt;&lt;wsp:rsid wsp:val=&quot;5BAA161F&quot;/&gt;&lt;wsp:rsid wsp:val=&quot;5BAA5AC3&quot;/&gt;&lt;wsp:rsid wsp:val=&quot;5BAD10FA&quot;/&gt;&lt;wsp:rsid wsp:val=&quot;5BAE7FE7&quot;/&gt;&lt;wsp:rsid wsp:val=&quot;5BAF079E&quot;/&gt;&lt;wsp:rsid wsp:val=&quot;5BAF30D9&quot;/&gt;&lt;wsp:rsid wsp:val=&quot;5BAF4E87&quot;/&gt;&lt;wsp:rsid wsp:val=&quot;5BAF6C35&quot;/&gt;&lt;wsp:rsid wsp:val=&quot;5BB02907&quot;/&gt;&lt;wsp:rsid wsp:val=&quot;5BB029AE&quot;/&gt;&lt;wsp:rsid wsp:val=&quot;5BB13D97&quot;/&gt;&lt;wsp:rsid wsp:val=&quot;5BB22BCA&quot;/&gt;&lt;wsp:rsid wsp:val=&quot;5BB41802&quot;/&gt;&lt;wsp:rsid wsp:val=&quot;5BB4249E&quot;/&gt;&lt;wsp:rsid wsp:val=&quot;5BB57FC4&quot;/&gt;&lt;wsp:rsid wsp:val=&quot;5BB93F58&quot;/&gt;&lt;wsp:rsid wsp:val=&quot;5BBB1A7E&quot;/&gt;&lt;wsp:rsid wsp:val=&quot;5BBD57F6&quot;/&gt;&lt;wsp:rsid wsp:val=&quot;5BC00E43&quot;/&gt;&lt;wsp:rsid wsp:val=&quot;5BC16969&quot;/&gt;&lt;wsp:rsid wsp:val=&quot;5BC22E0D&quot;/&gt;&lt;wsp:rsid wsp:val=&quot;5BC30933&quot;/&gt;&lt;wsp:rsid wsp:val=&quot;5BC340FB&quot;/&gt;&lt;wsp:rsid wsp:val=&quot;5BC36B85&quot;/&gt;&lt;wsp:rsid wsp:val=&quot;5BC459C9&quot;/&gt;&lt;wsp:rsid wsp:val=&quot;5BC528FD&quot;/&gt;&lt;wsp:rsid wsp:val=&quot;5BC56459&quot;/&gt;&lt;wsp:rsid wsp:val=&quot;5BC621D1&quot;/&gt;&lt;wsp:rsid wsp:val=&quot;5BC8419B&quot;/&gt;&lt;wsp:rsid wsp:val=&quot;5BC87CF7&quot;/&gt;&lt;wsp:rsid wsp:val=&quot;5BCA1CC1&quot;/&gt;&lt;wsp:rsid wsp:val=&quot;5BCA7F13&quot;/&gt;&lt;wsp:rsid wsp:val=&quot;5BCC5A39&quot;/&gt;&lt;wsp:rsid wsp:val=&quot;5BCD355F&quot;/&gt;&lt;wsp:rsid wsp:val=&quot;5BCF552A&quot;/&gt;&lt;wsp:rsid wsp:val=&quot;5BCF72D8&quot;/&gt;&lt;wsp:rsid wsp:val=&quot;5BD20B76&quot;/&gt;&lt;wsp:rsid wsp:val=&quot;5BD26DC8&quot;/&gt;&lt;wsp:rsid wsp:val=&quot;5BD3501A&quot;/&gt;&lt;wsp:rsid wsp:val=&quot;5BD40D92&quot;/&gt;&lt;wsp:rsid wsp:val=&quot;5BD946E4&quot;/&gt;&lt;wsp:rsid wsp:val=&quot;5BDB68E4&quot;/&gt;&lt;wsp:rsid wsp:val=&quot;5BDB6ED0&quot;/&gt;&lt;wsp:rsid wsp:val=&quot;5BDC19F5&quot;/&gt;&lt;wsp:rsid wsp:val=&quot;5BDE05F0&quot;/&gt;&lt;wsp:rsid wsp:val=&quot;5BDE39BF&quot;/&gt;&lt;wsp:rsid wsp:val=&quot;5BDE576D&quot;/&gt;&lt;wsp:rsid wsp:val=&quot;5BDE751B&quot;/&gt;&lt;wsp:rsid wsp:val=&quot;5BDE7648&quot;/&gt;&lt;wsp:rsid wsp:val=&quot;5BDF5D95&quot;/&gt;&lt;wsp:rsid wsp:val=&quot;5BE018CB&quot;/&gt;&lt;wsp:rsid wsp:val=&quot;5BE10DB9&quot;/&gt;&lt;wsp:rsid wsp:val=&quot;5BE11735&quot;/&gt;&lt;wsp:rsid wsp:val=&quot;5BE228E5&quot;/&gt;&lt;wsp:rsid wsp:val=&quot;5BE30FD5&quot;/&gt;&lt;wsp:rsid wsp:val=&quot;5BE417F7&quot;/&gt;&lt;wsp:rsid wsp:val=&quot;5BE54D4D&quot;/&gt;&lt;wsp:rsid wsp:val=&quot;5BE82147&quot;/&gt;&lt;wsp:rsid wsp:val=&quot;5BE86A37&quot;/&gt;&lt;wsp:rsid wsp:val=&quot;5BEA3F28&quot;/&gt;&lt;wsp:rsid wsp:val=&quot;5BEA4111&quot;/&gt;&lt;wsp:rsid wsp:val=&quot;5BEC1C38&quot;/&gt;&lt;wsp:rsid wsp:val=&quot;5BED775E&quot;/&gt;&lt;wsp:rsid wsp:val=&quot;5BEE547A&quot;/&gt;&lt;wsp:rsid wsp:val=&quot;5BEF34D6&quot;/&gt;&lt;wsp:rsid wsp:val=&quot;5BF1122A&quot;/&gt;&lt;wsp:rsid wsp:val=&quot;5BF154A0&quot;/&gt;&lt;wsp:rsid wsp:val=&quot;5BF22FC6&quot;/&gt;&lt;wsp:rsid wsp:val=&quot;5BF31218&quot;/&gt;&lt;wsp:rsid wsp:val=&quot;5BF46D3E&quot;/&gt;&lt;wsp:rsid wsp:val=&quot;5BF474D4&quot;/&gt;&lt;wsp:rsid wsp:val=&quot;5BF60D08&quot;/&gt;&lt;wsp:rsid wsp:val=&quot;5BF62AB6&quot;/&gt;&lt;wsp:rsid wsp:val=&quot;5BF75F2D&quot;/&gt;&lt;wsp:rsid wsp:val=&quot;5BF907F8&quot;/&gt;&lt;wsp:rsid wsp:val=&quot;5BFB1E7B&quot;/&gt;&lt;wsp:rsid wsp:val=&quot;5BFC7A7E&quot;/&gt;&lt;wsp:rsid wsp:val=&quot;5BFD239E&quot;/&gt;&lt;wsp:rsid wsp:val=&quot;5BFD3E45&quot;/&gt;&lt;wsp:rsid wsp:val=&quot;5BFE7528&quot;/&gt;&lt;wsp:rsid wsp:val=&quot;5BFF3339&quot;/&gt;&lt;wsp:rsid wsp:val=&quot;5C001B87&quot;/&gt;&lt;wsp:rsid wsp:val=&quot;5C007491&quot;/&gt;&lt;wsp:rsid wsp:val=&quot;5C013209&quot;/&gt;&lt;wsp:rsid wsp:val=&quot;5C036210&quot;/&gt;&lt;wsp:rsid wsp:val=&quot;5C043425&quot;/&gt;&lt;wsp:rsid wsp:val=&quot;5C050F4B&quot;/&gt;&lt;wsp:rsid wsp:val=&quot;5C05719D&quot;/&gt;&lt;wsp:rsid wsp:val=&quot;5C074730&quot;/&gt;&lt;wsp:rsid wsp:val=&quot;5C074B91&quot;/&gt;&lt;wsp:rsid wsp:val=&quot;5C086021&quot;/&gt;&lt;wsp:rsid wsp:val=&quot;5C0A0310&quot;/&gt;&lt;wsp:rsid wsp:val=&quot;5C0A3512&quot;/&gt;&lt;wsp:rsid wsp:val=&quot;5C0A47B4&quot;/&gt;&lt;wsp:rsid wsp:val=&quot;5C0D1BAE&quot;/&gt;&lt;wsp:rsid wsp:val=&quot;5C0D7E00&quot;/&gt;&lt;wsp:rsid wsp:val=&quot;5C0E6052&quot;/&gt;&lt;wsp:rsid wsp:val=&quot;5C121CA4&quot;/&gt;&lt;wsp:rsid wsp:val=&quot;5C1318BA&quot;/&gt;&lt;wsp:rsid wsp:val=&quot;5C131C1F&quot;/&gt;&lt;wsp:rsid wsp:val=&quot;5C137D9F&quot;/&gt;&lt;wsp:rsid wsp:val=&quot;5C142F3C&quot;/&gt;&lt;wsp:rsid wsp:val=&quot;5C163158&quot;/&gt;&lt;wsp:rsid wsp:val=&quot;5C1774FA&quot;/&gt;&lt;wsp:rsid wsp:val=&quot;5C183CFC&quot;/&gt;&lt;wsp:rsid wsp:val=&quot;5C186619&quot;/&gt;&lt;wsp:rsid wsp:val=&quot;5C186FA6&quot;/&gt;&lt;wsp:rsid wsp:val=&quot;5C1A5E4D&quot;/&gt;&lt;wsp:rsid wsp:val=&quot;5C1B251D&quot;/&gt;&lt;wsp:rsid wsp:val=&quot;5C1C5927&quot;/&gt;&lt;wsp:rsid wsp:val=&quot;5C1E5055&quot;/&gt;&lt;wsp:rsid wsp:val=&quot;5C207B33&quot;/&gt;&lt;wsp:rsid wsp:val=&quot;5C2238AB&quot;/&gt;&lt;wsp:rsid wsp:val=&quot;5C25339C&quot;/&gt;&lt;wsp:rsid wsp:val=&quot;5C270EC2&quot;/&gt;&lt;wsp:rsid wsp:val=&quot;5C2A09B2&quot;/&gt;&lt;wsp:rsid wsp:val=&quot;5C2A2760&quot;/&gt;&lt;wsp:rsid wsp:val=&quot;5C2C0286&quot;/&gt;&lt;wsp:rsid wsp:val=&quot;5C2C64D8&quot;/&gt;&lt;wsp:rsid wsp:val=&quot;5C2D3FFE&quot;/&gt;&lt;wsp:rsid wsp:val=&quot;5C2E04A2&quot;/&gt;&lt;wsp:rsid wsp:val=&quot;5C322223&quot;/&gt;&lt;wsp:rsid wsp:val=&quot;5C335AB8&quot;/&gt;&lt;wsp:rsid wsp:val=&quot;5C341831&quot;/&gt;&lt;wsp:rsid wsp:val=&quot;5C361105&quot;/&gt;&lt;wsp:rsid wsp:val=&quot;5C37252E&quot;/&gt;&lt;wsp:rsid wsp:val=&quot;5C381321&quot;/&gt;&lt;wsp:rsid wsp:val=&quot;5C3929A3&quot;/&gt;&lt;wsp:rsid wsp:val=&quot;5C3A5B1E&quot;/&gt;&lt;wsp:rsid wsp:val=&quot;5C3B671B&quot;/&gt;&lt;wsp:rsid wsp:val=&quot;5C3E620B&quot;/&gt;&lt;wsp:rsid wsp:val=&quot;5C3F3891&quot;/&gt;&lt;wsp:rsid wsp:val=&quot;5C3F445D&quot;/&gt;&lt;wsp:rsid wsp:val=&quot;5C410E57&quot;/&gt;&lt;wsp:rsid wsp:val=&quot;5C423F4D&quot;/&gt;&lt;wsp:rsid wsp:val=&quot;5C433822&quot;/&gt;&lt;wsp:rsid wsp:val=&quot;5C441A74&quot;/&gt;&lt;wsp:rsid wsp:val=&quot;5C45759A&quot;/&gt;&lt;wsp:rsid wsp:val=&quot;5C480700&quot;/&gt;&lt;wsp:rsid wsp:val=&quot;5C4A4BB0&quot;/&gt;&lt;wsp:rsid wsp:val=&quot;5C4B1054&quot;/&gt;&lt;wsp:rsid wsp:val=&quot;5C4C0928&quot;/&gt;&lt;wsp:rsid wsp:val=&quot;5C4C26D6&quot;/&gt;&lt;wsp:rsid wsp:val=&quot;5C4C6B7A&quot;/&gt;&lt;wsp:rsid wsp:val=&quot;5C4D6FFA&quot;/&gt;&lt;wsp:rsid wsp:val=&quot;5C4E5963&quot;/&gt;&lt;wsp:rsid wsp:val=&quot;5C4E644E&quot;/&gt;&lt;wsp:rsid wsp:val=&quot;5C515F3F&quot;/&gt;&lt;wsp:rsid wsp:val=&quot;5C541A56&quot;/&gt;&lt;wsp:rsid wsp:val=&quot;5C5423ED&quot;/&gt;&lt;wsp:rsid wsp:val=&quot;5C5477DD&quot;/&gt;&lt;wsp:rsid wsp:val=&quot;5C5513E4&quot;/&gt;&lt;wsp:rsid wsp:val=&quot;5C583771&quot;/&gt;&lt;wsp:rsid wsp:val=&quot;5C58551F&quot;/&gt;&lt;wsp:rsid wsp:val=&quot;5C5907FE&quot;/&gt;&lt;wsp:rsid wsp:val=&quot;5C593045&quot;/&gt;&lt;wsp:rsid wsp:val=&quot;5C594DF3&quot;/&gt;&lt;wsp:rsid wsp:val=&quot;5C5A1297&quot;/&gt;&lt;wsp:rsid wsp:val=&quot;5C5A6D58&quot;/&gt;&lt;wsp:rsid wsp:val=&quot;5C5B500F&quot;/&gt;&lt;wsp:rsid wsp:val=&quot;5C5D2B35&quot;/&gt;&lt;wsp:rsid wsp:val=&quot;5C5D48E3&quot;/&gt;&lt;wsp:rsid wsp:val=&quot;5C5F065B&quot;/&gt;&lt;wsp:rsid wsp:val=&quot;5C602626&quot;/&gt;&lt;wsp:rsid wsp:val=&quot;5C606182&quot;/&gt;&lt;wsp:rsid wsp:val=&quot;5C614E33&quot;/&gt;&lt;wsp:rsid wsp:val=&quot;5C621EFA&quot;/&gt;&lt;wsp:rsid wsp:val=&quot;5C62639E&quot;/&gt;&lt;wsp:rsid wsp:val=&quot;5C6739B4&quot;/&gt;&lt;wsp:rsid wsp:val=&quot;5C675762&quot;/&gt;&lt;wsp:rsid wsp:val=&quot;5C686185&quot;/&gt;&lt;wsp:rsid wsp:val=&quot;5C6914DA&quot;/&gt;&lt;wsp:rsid wsp:val=&quot;5C69772C&quot;/&gt;&lt;wsp:rsid wsp:val=&quot;5C6A7000&quot;/&gt;&lt;wsp:rsid wsp:val=&quot;5C6B34A4&quot;/&gt;&lt;wsp:rsid wsp:val=&quot;5C6C2D78&quot;/&gt;&lt;wsp:rsid wsp:val=&quot;5C6C4B26&quot;/&gt;&lt;wsp:rsid wsp:val=&quot;5C703C88&quot;/&gt;&lt;wsp:rsid wsp:val=&quot;5C71085E&quot;/&gt;&lt;wsp:rsid wsp:val=&quot;5C7165E1&quot;/&gt;&lt;wsp:rsid wsp:val=&quot;5C726994&quot;/&gt;&lt;wsp:rsid wsp:val=&quot;5C735EB5&quot;/&gt;&lt;wsp:rsid wsp:val=&quot;5C746D31&quot;/&gt;&lt;wsp:rsid wsp:val=&quot;5C761E49&quot;/&gt;&lt;wsp:rsid wsp:val=&quot;5C764DF0&quot;/&gt;&lt;wsp:rsid wsp:val=&quot;5C78171D&quot;/&gt;&lt;wsp:rsid wsp:val=&quot;5C78194C&quot;/&gt;&lt;wsp:rsid wsp:val=&quot;5C797243&quot;/&gt;&lt;wsp:rsid wsp:val=&quot;5C7A36E7&quot;/&gt;&lt;wsp:rsid wsp:val=&quot;5C7B7517&quot;/&gt;&lt;wsp:rsid wsp:val=&quot;5C7B77D2&quot;/&gt;&lt;wsp:rsid wsp:val=&quot;5C7D31D8&quot;/&gt;&lt;wsp:rsid wsp:val=&quot;5C7D4F86&quot;/&gt;&lt;wsp:rsid wsp:val=&quot;5C7F0D24&quot;/&gt;&lt;wsp:rsid wsp:val=&quot;5C7F2AAC&quot;/&gt;&lt;wsp:rsid wsp:val=&quot;5C8005D2&quot;/&gt;&lt;wsp:rsid wsp:val=&quot;5C806824&quot;/&gt;&lt;wsp:rsid wsp:val=&quot;5C814A76&quot;/&gt;&lt;wsp:rsid wsp:val=&quot;5C824AD4&quot;/&gt;&lt;wsp:rsid wsp:val=&quot;5C841E70&quot;/&gt;&lt;wsp:rsid wsp:val=&quot;5C844566&quot;/&gt;&lt;wsp:rsid wsp:val=&quot;5C86208C&quot;/&gt;&lt;wsp:rsid wsp:val=&quot;5C8648E5&quot;/&gt;&lt;wsp:rsid wsp:val=&quot;5C877BB2&quot;/&gt;&lt;wsp:rsid wsp:val=&quot;5C884E70&quot;/&gt;&lt;wsp:rsid wsp:val=&quot;5C89392A&quot;/&gt;&lt;wsp:rsid wsp:val=&quot;5C8956D8&quot;/&gt;&lt;wsp:rsid wsp:val=&quot;5C8A31FF&quot;/&gt;&lt;wsp:rsid wsp:val=&quot;5C8B72C7&quot;/&gt;&lt;wsp:rsid wsp:val=&quot;5C8B76A2&quot;/&gt;&lt;wsp:rsid wsp:val=&quot;5C8C341B&quot;/&gt;&lt;wsp:rsid wsp:val=&quot;5C952F0A&quot;/&gt;&lt;wsp:rsid wsp:val=&quot;5C967DF5&quot;/&gt;&lt;wsp:rsid wsp:val=&quot;5C97586A&quot;/&gt;&lt;wsp:rsid wsp:val=&quot;5C983B6D&quot;/&gt;&lt;wsp:rsid wsp:val=&quot;5C98591B&quot;/&gt;&lt;wsp:rsid wsp:val=&quot;5C9A5B38&quot;/&gt;&lt;wsp:rsid wsp:val=&quot;5C9B154D&quot;/&gt;&lt;wsp:rsid wsp:val=&quot;5C9B365E&quot;/&gt;&lt;wsp:rsid wsp:val=&quot;5C9B540C&quot;/&gt;&lt;wsp:rsid wsp:val=&quot;5C9C05B9&quot;/&gt;&lt;wsp:rsid wsp:val=&quot;5C9D16DC&quot;/&gt;&lt;wsp:rsid wsp:val=&quot;5C9D73D6&quot;/&gt;&lt;wsp:rsid wsp:val=&quot;5C9E6468&quot;/&gt;&lt;wsp:rsid wsp:val=&quot;5C9F314E&quot;/&gt;&lt;wsp:rsid wsp:val=&quot;5CA02A22&quot;/&gt;&lt;wsp:rsid wsp:val=&quot;5CA2679A&quot;/&gt;&lt;wsp:rsid wsp:val=&quot;5CA35125&quot;/&gt;&lt;wsp:rsid wsp:val=&quot;5CA35DAD&quot;/&gt;&lt;wsp:rsid wsp:val=&quot;5CA42512&quot;/&gt;&lt;wsp:rsid wsp:val=&quot;5CA644DC&quot;/&gt;&lt;wsp:rsid wsp:val=&quot;5CA72002&quot;/&gt;&lt;wsp:rsid wsp:val=&quot;5CA73DB1&quot;/&gt;&lt;wsp:rsid wsp:val=&quot;5CA93FCD&quot;/&gt;&lt;wsp:rsid wsp:val=&quot;5CA97B29&quot;/&gt;&lt;wsp:rsid wsp:val=&quot;5CAB38A1&quot;/&gt;&lt;wsp:rsid wsp:val=&quot;5CAC13C7&quot;/&gt;&lt;wsp:rsid wsp:val=&quot;5CAC586B&quot;/&gt;&lt;wsp:rsid wsp:val=&quot;5CAC7619&quot;/&gt;&lt;wsp:rsid wsp:val=&quot;5CAE513F&quot;/&gt;&lt;wsp:rsid wsp:val=&quot;5CAF2C65&quot;/&gt;&lt;wsp:rsid wsp:val=&quot;5CB12E81&quot;/&gt;&lt;wsp:rsid wsp:val=&quot;5CB14C2F&quot;/&gt;&lt;wsp:rsid wsp:val=&quot;5CB52971&quot;/&gt;&lt;wsp:rsid wsp:val=&quot;5CB5471F&quot;/&gt;&lt;wsp:rsid wsp:val=&quot;5CB62246&quot;/&gt;&lt;wsp:rsid wsp:val=&quot;5CB63FF4&quot;/&gt;&lt;wsp:rsid wsp:val=&quot;5CB65E6A&quot;/&gt;&lt;wsp:rsid wsp:val=&quot;5CB85FBE&quot;/&gt;&lt;wsp:rsid wsp:val=&quot;5CB87D6C&quot;/&gt;&lt;wsp:rsid wsp:val=&quot;5CBF10FA&quot;/&gt;&lt;wsp:rsid wsp:val=&quot;5CC22998&quot;/&gt;&lt;wsp:rsid wsp:val=&quot;5CC2508E&quot;/&gt;&lt;wsp:rsid wsp:val=&quot;5CC42BB4&quot;/&gt;&lt;wsp:rsid wsp:val=&quot;5CC44962&quot;/&gt;&lt;wsp:rsid wsp:val=&quot;5CC46711&quot;/&gt;&lt;wsp:rsid wsp:val=&quot;5CC508E8&quot;/&gt;&lt;wsp:rsid wsp:val=&quot;5CC77165&quot;/&gt;&lt;wsp:rsid wsp:val=&quot;5CCA2516&quot;/&gt;&lt;wsp:rsid wsp:val=&quot;5CCA30ED&quot;/&gt;&lt;wsp:rsid wsp:val=&quot;5CCA7946&quot;/&gt;&lt;wsp:rsid wsp:val=&quot;5CCB7A9F&quot;/&gt;&lt;wsp:rsid wsp:val=&quot;5CCC3817&quot;/&gt;&lt;wsp:rsid wsp:val=&quot;5CCC52A0&quot;/&gt;&lt;wsp:rsid wsp:val=&quot;5CCD2A21&quot;/&gt;&lt;wsp:rsid wsp:val=&quot;5CCE758F&quot;/&gt;&lt;wsp:rsid wsp:val=&quot;5CCF2529&quot;/&gt;&lt;wsp:rsid wsp:val=&quot;5CD01559&quot;/&gt;&lt;wsp:rsid wsp:val=&quot;5CD252D1&quot;/&gt;&lt;wsp:rsid wsp:val=&quot;5CD3463B&quot;/&gt;&lt;wsp:rsid wsp:val=&quot;5CD728E8&quot;/&gt;&lt;wsp:rsid wsp:val=&quot;5CD72CFD&quot;/&gt;&lt;wsp:rsid wsp:val=&quot;5CD821BC&quot;/&gt;&lt;wsp:rsid wsp:val=&quot;5CD86660&quot;/&gt;&lt;wsp:rsid wsp:val=&quot;5CDC56DF&quot;/&gt;&lt;wsp:rsid wsp:val=&quot;5CDD43A4&quot;/&gt;&lt;wsp:rsid wsp:val=&quot;5CDD5A24&quot;/&gt;&lt;wsp:rsid wsp:val=&quot;5CDF179C&quot;/&gt;&lt;wsp:rsid wsp:val=&quot;5CE10AF8&quot;/&gt;&lt;wsp:rsid wsp:val=&quot;5CE13766&quot;/&gt;&lt;wsp:rsid wsp:val=&quot;5CE172C2&quot;/&gt;&lt;wsp:rsid wsp:val=&quot;5CE2128D&quot;/&gt;&lt;wsp:rsid wsp:val=&quot;5CE21551&quot;/&gt;&lt;wsp:rsid wsp:val=&quot;5CE2303B&quot;/&gt;&lt;wsp:rsid wsp:val=&quot;5CE4447B&quot;/&gt;&lt;wsp:rsid wsp:val=&quot;5CE515C0&quot;/&gt;&lt;wsp:rsid wsp:val=&quot;5CE62B2B&quot;/&gt;&lt;wsp:rsid wsp:val=&quot;5CE84AF5&quot;/&gt;&lt;wsp:rsid wsp:val=&quot;5CE9261B&quot;/&gt;&lt;wsp:rsid wsp:val=&quot;5CEB0141&quot;/&gt;&lt;wsp:rsid wsp:val=&quot;5CEB2603&quot;/&gt;&lt;wsp:rsid wsp:val=&quot;5CED210B&quot;/&gt;&lt;wsp:rsid wsp:val=&quot;5CED3EB9&quot;/&gt;&lt;wsp:rsid wsp:val=&quot;5CEE7AF4&quot;/&gt;&lt;wsp:rsid wsp:val=&quot;5CF039A9&quot;/&gt;&lt;wsp:rsid wsp:val=&quot;5CF05758&quot;/&gt;&lt;wsp:rsid wsp:val=&quot;5CF07506&quot;/&gt;&lt;wsp:rsid wsp:val=&quot;5CF27722&quot;/&gt;&lt;wsp:rsid wsp:val=&quot;5CF457A7&quot;/&gt;&lt;wsp:rsid wsp:val=&quot;5CF474D5&quot;/&gt;&lt;wsp:rsid wsp:val=&quot;5CF54B1C&quot;/&gt;&lt;wsp:rsid wsp:val=&quot;5CF60894&quot;/&gt;&lt;wsp:rsid wsp:val=&quot;5CF67716&quot;/&gt;&lt;wsp:rsid wsp:val=&quot;5CF70718&quot;/&gt;&lt;wsp:rsid wsp:val=&quot;5CF75A0F&quot;/&gt;&lt;wsp:rsid wsp:val=&quot;5CF76AE6&quot;/&gt;&lt;wsp:rsid wsp:val=&quot;5CF80AB0&quot;/&gt;&lt;wsp:rsid wsp:val=&quot;5CFA03D2&quot;/&gt;&lt;wsp:rsid wsp:val=&quot;5CFA65D6&quot;/&gt;&lt;wsp:rsid wsp:val=&quot;5CFB5EAA&quot;/&gt;&lt;wsp:rsid wsp:val=&quot;5CFC40FC&quot;/&gt;&lt;wsp:rsid wsp:val=&quot;5CFD1C22&quot;/&gt;&lt;wsp:rsid wsp:val=&quot;5D016DFC&quot;/&gt;&lt;wsp:rsid wsp:val=&quot;5D017965&quot;/&gt;&lt;wsp:rsid wsp:val=&quot;5D02548B&quot;/&gt;&lt;wsp:rsid wsp:val=&quot;5D0336DD&quot;/&gt;&lt;wsp:rsid wsp:val=&quot;5D0379F9&quot;/&gt;&lt;wsp:rsid wsp:val=&quot;5D041203&quot;/&gt;&lt;wsp:rsid wsp:val=&quot;5D042FB1&quot;/&gt;&lt;wsp:rsid wsp:val=&quot;5D055D7B&quot;/&gt;&lt;wsp:rsid wsp:val=&quot;5D07484F&quot;/&gt;&lt;wsp:rsid wsp:val=&quot;5D080CF3&quot;/&gt;&lt;wsp:rsid wsp:val=&quot;5D086F45&quot;/&gt;&lt;wsp:rsid wsp:val=&quot;5D0905C7&quot;/&gt;&lt;wsp:rsid wsp:val=&quot;5D0B433F&quot;/&gt;&lt;wsp:rsid wsp:val=&quot;5D0C1301&quot;/&gt;&lt;wsp:rsid wsp:val=&quot;5D0E3E30&quot;/&gt;&lt;wsp:rsid wsp:val=&quot;5D0E5BDE&quot;/&gt;&lt;wsp:rsid wsp:val=&quot;5D0F6E2D&quot;/&gt;&lt;wsp:rsid wsp:val=&quot;5D101956&quot;/&gt;&lt;wsp:rsid wsp:val=&quot;5D156F6C&quot;/&gt;&lt;wsp:rsid wsp:val=&quot;5D186A5C&quot;/&gt;&lt;wsp:rsid wsp:val=&quot;5D192F00&quot;/&gt;&lt;wsp:rsid wsp:val=&quot;5D1A27D4&quot;/&gt;&lt;wsp:rsid wsp:val=&quot;5D1B2729&quot;/&gt;&lt;wsp:rsid wsp:val=&quot;5D1C02FB&quot;/&gt;&lt;wsp:rsid wsp:val=&quot;5D1C479E&quot;/&gt;&lt;wsp:rsid wsp:val=&quot;5D1D22C5&quot;/&gt;&lt;wsp:rsid wsp:val=&quot;5D1D4073&quot;/&gt;&lt;wsp:rsid wsp:val=&quot;5D1E3B0E&quot;/&gt;&lt;wsp:rsid wsp:val=&quot;5D1F428F&quot;/&gt;&lt;wsp:rsid wsp:val=&quot;5D215911&quot;/&gt;&lt;wsp:rsid wsp:val=&quot;5D221689&quot;/&gt;&lt;wsp:rsid wsp:val=&quot;5D23054D&quot;/&gt;&lt;wsp:rsid wsp:val=&quot;5D235B2D&quot;/&gt;&lt;wsp:rsid wsp:val=&quot;5D2418A5&quot;/&gt;&lt;wsp:rsid wsp:val=&quot;5D276C9F&quot;/&gt;&lt;wsp:rsid wsp:val=&quot;5D283143&quot;/&gt;&lt;wsp:rsid wsp:val=&quot;5D284EF1&quot;/&gt;&lt;wsp:rsid wsp:val=&quot;5D290C69&quot;/&gt;&lt;wsp:rsid wsp:val=&quot;5D292A17&quot;/&gt;&lt;wsp:rsid wsp:val=&quot;5D2B2C34&quot;/&gt;&lt;wsp:rsid wsp:val=&quot;5D2E6280&quot;/&gt;&lt;wsp:rsid wsp:val=&quot;5D2F62FF&quot;/&gt;&lt;wsp:rsid wsp:val=&quot;5D303DA6&quot;/&gt;&lt;wsp:rsid wsp:val=&quot;5D325D70&quot;/&gt;&lt;wsp:rsid wsp:val=&quot;5D327B1E&quot;/&gt;&lt;wsp:rsid wsp:val=&quot;5D347D3A&quot;/&gt;&lt;wsp:rsid wsp:val=&quot;5D3715D8&quot;/&gt;&lt;wsp:rsid wsp:val=&quot;5D37764E&quot;/&gt;&lt;wsp:rsid wsp:val=&quot;5D380EAD&quot;/&gt;&lt;wsp:rsid wsp:val=&quot;5D3A3358&quot;/&gt;&lt;wsp:rsid wsp:val=&quot;5D3C274B&quot;/&gt;&lt;wsp:rsid wsp:val=&quot;5D3F048D&quot;/&gt;&lt;wsp:rsid wsp:val=&quot;5D3F66DF&quot;/&gt;&lt;wsp:rsid wsp:val=&quot;5D445AA3&quot;/&gt;&lt;wsp:rsid wsp:val=&quot;5D447851&quot;/&gt;&lt;wsp:rsid wsp:val=&quot;5D46181B&quot;/&gt;&lt;wsp:rsid wsp:val=&quot;5D466025&quot;/&gt;&lt;wsp:rsid wsp:val=&quot;5D4806FF&quot;/&gt;&lt;wsp:rsid wsp:val=&quot;5D4810F0&quot;/&gt;&lt;wsp:rsid wsp:val=&quot;5D487342&quot;/&gt;&lt;wsp:rsid wsp:val=&quot;5D49044E&quot;/&gt;&lt;wsp:rsid wsp:val=&quot;5D4930A8&quot;/&gt;&lt;wsp:rsid wsp:val=&quot;5D494E68&quot;/&gt;&lt;wsp:rsid wsp:val=&quot;5D4B44AF&quot;/&gt;&lt;wsp:rsid wsp:val=&quot;5D4D2BAA&quot;/&gt;&lt;wsp:rsid wsp:val=&quot;5D504448&quot;/&gt;&lt;wsp:rsid wsp:val=&quot;5D505070&quot;/&gt;&lt;wsp:rsid wsp:val=&quot;5D513680&quot;/&gt;&lt;wsp:rsid wsp:val=&quot;5D562CB2&quot;/&gt;&lt;wsp:rsid wsp:val=&quot;5D577585&quot;/&gt;&lt;wsp:rsid wsp:val=&quot;5D5850AB&quot;/&gt;&lt;wsp:rsid wsp:val=&quot;5D59154F&quot;/&gt;&lt;wsp:rsid wsp:val=&quot;5D5932FD&quot;/&gt;&lt;wsp:rsid wsp:val=&quot;5D5C2DED&quot;/&gt;&lt;wsp:rsid wsp:val=&quot;5D5C4B9B&quot;/&gt;&lt;wsp:rsid wsp:val=&quot;5D5E46D6&quot;/&gt;&lt;wsp:rsid wsp:val=&quot;5D610403&quot;/&gt;&lt;wsp:rsid wsp:val=&quot;5D616655&quot;/&gt;&lt;wsp:rsid wsp:val=&quot;5D635F29&quot;/&gt;&lt;wsp:rsid wsp:val=&quot;5D647EF4&quot;/&gt;&lt;wsp:rsid wsp:val=&quot;5D665A1A&quot;/&gt;&lt;wsp:rsid wsp:val=&quot;5D6677C8&quot;/&gt;&lt;wsp:rsid wsp:val=&quot;5D6B1282&quot;/&gt;&lt;wsp:rsid wsp:val=&quot;5D6B3030&quot;/&gt;&lt;wsp:rsid wsp:val=&quot;5D6C63B9&quot;/&gt;&lt;wsp:rsid wsp:val=&quot;5D6C66E6&quot;/&gt;&lt;wsp:rsid wsp:val=&quot;5D6D0F8A&quot;/&gt;&lt;wsp:rsid wsp:val=&quot;5D6D6DA8&quot;/&gt;&lt;wsp:rsid wsp:val=&quot;5D6D7849&quot;/&gt;&lt;wsp:rsid wsp:val=&quot;5D6E48CE&quot;/&gt;&lt;wsp:rsid wsp:val=&quot;5D6F0D72&quot;/&gt;&lt;wsp:rsid wsp:val=&quot;5D7243BE&quot;/&gt;&lt;wsp:rsid wsp:val=&quot;5D740137&quot;/&gt;&lt;wsp:rsid wsp:val=&quot;5D753EAF&quot;/&gt;&lt;wsp:rsid wsp:val=&quot;5D7719D5&quot;/&gt;&lt;wsp:rsid wsp:val=&quot;5D78495C&quot;/&gt;&lt;wsp:rsid wsp:val=&quot;5D796328&quot;/&gt;&lt;wsp:rsid wsp:val=&quot;5D7A7717&quot;/&gt;&lt;wsp:rsid wsp:val=&quot;5D7C348F&quot;/&gt;&lt;wsp:rsid wsp:val=&quot;5D7C6FEB&quot;/&gt;&lt;wsp:rsid wsp:val=&quot;5D7E07CE&quot;/&gt;&lt;wsp:rsid wsp:val=&quot;5D7E0FB5&quot;/&gt;&lt;wsp:rsid wsp:val=&quot;5D7F4944&quot;/&gt;&lt;wsp:rsid wsp:val=&quot;5D810AA5&quot;/&gt;&lt;wsp:rsid wsp:val=&quot;5D814602&quot;/&gt;&lt;wsp:rsid wsp:val=&quot;5D845EA0&quot;/&gt;&lt;wsp:rsid wsp:val=&quot;5D852344&quot;/&gt;&lt;wsp:rsid wsp:val=&quot;5D8660BC&quot;/&gt;&lt;wsp:rsid wsp:val=&quot;5D8A795A&quot;/&gt;&lt;wsp:rsid wsp:val=&quot;5D8B722E&quot;/&gt;&lt;wsp:rsid wsp:val=&quot;5D8C2B4C&quot;/&gt;&lt;wsp:rsid wsp:val=&quot;5D8D11F8&quot;/&gt;&lt;wsp:rsid wsp:val=&quot;5D8F1753&quot;/&gt;&lt;wsp:rsid wsp:val=&quot;5D8F31C2&quot;/&gt;&lt;wsp:rsid wsp:val=&quot;5D8F6D1E&quot;/&gt;&lt;wsp:rsid wsp:val=&quot;5D916F3A&quot;/&gt;&lt;wsp:rsid wsp:val=&quot;5D924A61&quot;/&gt;&lt;wsp:rsid wsp:val=&quot;5D92680F&quot;/&gt;&lt;wsp:rsid wsp:val=&quot;5D9978C0&quot;/&gt;&lt;wsp:rsid wsp:val=&quot;5D997B9D&quot;/&gt;&lt;wsp:rsid wsp:val=&quot;5D9B28C6&quot;/&gt;&lt;wsp:rsid wsp:val=&quot;5D9C143B&quot;/&gt;&lt;wsp:rsid wsp:val=&quot;5D9E3405&quot;/&gt;&lt;wsp:rsid wsp:val=&quot;5D9F0F2C&quot;/&gt;&lt;wsp:rsid wsp:val=&quot;5DA0717E&quot;/&gt;&lt;wsp:rsid wsp:val=&quot;5DA24FF7&quot;/&gt;&lt;wsp:rsid wsp:val=&quot;5DA32799&quot;/&gt;&lt;wsp:rsid wsp:val=&quot;5DA327CA&quot;/&gt;&lt;wsp:rsid wsp:val=&quot;5DA402F0&quot;/&gt;&lt;wsp:rsid wsp:val=&quot;5DA463E6&quot;/&gt;&lt;wsp:rsid wsp:val=&quot;5DA53978&quot;/&gt;&lt;wsp:rsid wsp:val=&quot;5DA70E69&quot;/&gt;&lt;wsp:rsid wsp:val=&quot;5DA757FB&quot;/&gt;&lt;wsp:rsid wsp:val=&quot;5DAA7A9B&quot;/&gt;&lt;wsp:rsid wsp:val=&quot;5DAB5B22&quot;/&gt;&lt;wsp:rsid wsp:val=&quot;5DAB78D0&quot;/&gt;&lt;wsp:rsid wsp:val=&quot;5DAD189A&quot;/&gt;&lt;wsp:rsid wsp:val=&quot;5DAD53F7&quot;/&gt;&lt;wsp:rsid wsp:val=&quot;5DAF5613&quot;/&gt;&lt;wsp:rsid wsp:val=&quot;5DAF73C1&quot;/&gt;&lt;wsp:rsid wsp:val=&quot;5DB20C5F&quot;/&gt;&lt;wsp:rsid wsp:val=&quot;5DB42C29&quot;/&gt;&lt;wsp:rsid wsp:val=&quot;5DB46785&quot;/&gt;&lt;wsp:rsid wsp:val=&quot;5DB524FD&quot;/&gt;&lt;wsp:rsid wsp:val=&quot;5DB6074F&quot;/&gt;&lt;wsp:rsid wsp:val=&quot;5DB9023F&quot;/&gt;&lt;wsp:rsid wsp:val=&quot;5DB91684&quot;/&gt;&lt;wsp:rsid wsp:val=&quot;5DBA7B13&quot;/&gt;&lt;wsp:rsid wsp:val=&quot;5DBB1FBD&quot;/&gt;&lt;wsp:rsid wsp:val=&quot;5DBB5D65&quot;/&gt;&lt;wsp:rsid wsp:val=&quot;5DBC388C&quot;/&gt;&lt;wsp:rsid wsp:val=&quot;5DBE5856&quot;/&gt;&lt;wsp:rsid wsp:val=&quot;5DBF512A&quot;/&gt;&lt;wsp:rsid wsp:val=&quot;5DC32E6C&quot;/&gt;&lt;wsp:rsid wsp:val=&quot;5DC34C1A&quot;/&gt;&lt;wsp:rsid wsp:val=&quot;5DC56BE4&quot;/&gt;&lt;wsp:rsid wsp:val=&quot;5DC57AFA&quot;/&gt;&lt;wsp:rsid wsp:val=&quot;5DC82230&quot;/&gt;&lt;wsp:rsid wsp:val=&quot;5DC9056B&quot;/&gt;&lt;wsp:rsid wsp:val=&quot;5DCA244C&quot;/&gt;&lt;wsp:rsid wsp:val=&quot;5DCA7D57&quot;/&gt;&lt;wsp:rsid wsp:val=&quot;5DCB1D21&quot;/&gt;&lt;wsp:rsid wsp:val=&quot;5DCB3ACF&quot;/&gt;&lt;wsp:rsid wsp:val=&quot;5DCC7F73&quot;/&gt;&lt;wsp:rsid wsp:val=&quot;5DCD2F93&quot;/&gt;&lt;wsp:rsid wsp:val=&quot;5DCD7847&quot;/&gt;&lt;wsp:rsid wsp:val=&quot;5DCF35BF&quot;/&gt;&lt;wsp:rsid wsp:val=&quot;5DCF7A63&quot;/&gt;&lt;wsp:rsid wsp:val=&quot;5DD07337&quot;/&gt;&lt;wsp:rsid wsp:val=&quot;5DD230AF&quot;/&gt;&lt;wsp:rsid wsp:val=&quot;5DD34186&quot;/&gt;&lt;wsp:rsid wsp:val=&quot;5DD706C5&quot;/&gt;&lt;wsp:rsid wsp:val=&quot;5DD91A5B&quot;/&gt;&lt;wsp:rsid wsp:val=&quot;5DD92690&quot;/&gt;&lt;wsp:rsid wsp:val=&quot;5DDA20F9&quot;/&gt;&lt;wsp:rsid wsp:val=&quot;5DDD2180&quot;/&gt;&lt;wsp:rsid wsp:val=&quot;5DE057CC&quot;/&gt;&lt;wsp:rsid wsp:val=&quot;5DE132F2&quot;/&gt;&lt;wsp:rsid wsp:val=&quot;5DE60909&quot;/&gt;&lt;wsp:rsid wsp:val=&quot;5DE77A3D&quot;/&gt;&lt;wsp:rsid wsp:val=&quot;5DE84681&quot;/&gt;&lt;wsp:rsid wsp:val=&quot;5DE97CB3&quot;/&gt;&lt;wsp:rsid wsp:val=&quot;5DEC23C3&quot;/&gt;&lt;wsp:rsid wsp:val=&quot;5DED5CFC&quot;/&gt;&lt;wsp:rsid wsp:val=&quot;5DEE6257&quot;/&gt;&lt;wsp:rsid wsp:val=&quot;5DEF1EB3&quot;/&gt;&lt;wsp:rsid wsp:val=&quot;5DF00658&quot;/&gt;&lt;wsp:rsid wsp:val=&quot;5DF10E34&quot;/&gt;&lt;wsp:rsid wsp:val=&quot;5DF11787&quot;/&gt;&lt;wsp:rsid wsp:val=&quot;5DF159A8&quot;/&gt;&lt;wsp:rsid wsp:val=&quot;5DF47470&quot;/&gt;&lt;wsp:rsid wsp:val=&quot;5DF474C9&quot;/&gt;&lt;wsp:rsid wsp:val=&quot;5DF63241&quot;/&gt;&lt;wsp:rsid wsp:val=&quot;5DF64FF0&quot;/&gt;&lt;wsp:rsid wsp:val=&quot;5DF9688E&quot;/&gt;&lt;wsp:rsid wsp:val=&quot;5DFB0858&quot;/&gt;&lt;wsp:rsid wsp:val=&quot;5DFC1EDA&quot;/&gt;&lt;wsp:rsid wsp:val=&quot;5DFC59C2&quot;/&gt;&lt;wsp:rsid wsp:val=&quot;5DFD637E&quot;/&gt;&lt;wsp:rsid wsp:val=&quot;5DFE20F6&quot;/&gt;&lt;wsp:rsid wsp:val=&quot;5DFE5C52&quot;/&gt;&lt;wsp:rsid wsp:val=&quot;5E0019CA&quot;/&gt;&lt;wsp:rsid wsp:val=&quot;5E015742&quot;/&gt;&lt;wsp:rsid wsp:val=&quot;5E0170BB&quot;/&gt;&lt;wsp:rsid wsp:val=&quot;5E0314BA&quot;/&gt;&lt;wsp:rsid wsp:val=&quot;5E034394&quot;/&gt;&lt;wsp:rsid wsp:val=&quot;5E03459C&quot;/&gt;&lt;wsp:rsid wsp:val=&quot;5E035AD5&quot;/&gt;&lt;wsp:rsid wsp:val=&quot;5E044B93&quot;/&gt;&lt;wsp:rsid wsp:val=&quot;5E055781&quot;/&gt;&lt;wsp:rsid wsp:val=&quot;5E056FE1&quot;/&gt;&lt;wsp:rsid wsp:val=&quot;5E062D59&quot;/&gt;&lt;wsp:rsid wsp:val=&quot;5E0736C9&quot;/&gt;&lt;wsp:rsid wsp:val=&quot;5E0771FD&quot;/&gt;&lt;wsp:rsid wsp:val=&quot;5E082F75&quot;/&gt;&lt;wsp:rsid wsp:val=&quot;5E0A693F&quot;/&gt;&lt;wsp:rsid wsp:val=&quot;5E0D2339&quot;/&gt;&lt;wsp:rsid wsp:val=&quot;5E0D31DF&quot;/&gt;&lt;wsp:rsid wsp:val=&quot;5E0D40E7&quot;/&gt;&lt;wsp:rsid wsp:val=&quot;5E0E2BE8&quot;/&gt;&lt;wsp:rsid wsp:val=&quot;5E105508&quot;/&gt;&lt;wsp:rsid wsp:val=&quot;5E1100D9&quot;/&gt;&lt;wsp:rsid wsp:val=&quot;5E120BD4&quot;/&gt;&lt;wsp:rsid wsp:val=&quot;5E1216FE&quot;/&gt;&lt;wsp:rsid wsp:val=&quot;5E125E49&quot;/&gt;&lt;wsp:rsid wsp:val=&quot;5E14191A&quot;/&gt;&lt;wsp:rsid wsp:val=&quot;5E1436C8&quot;/&gt;&lt;wsp:rsid wsp:val=&quot;5E183C9A&quot;/&gt;&lt;wsp:rsid wsp:val=&quot;5E1B2CA8&quot;/&gt;&lt;wsp:rsid wsp:val=&quot;5E1B4A56&quot;/&gt;&lt;wsp:rsid wsp:val=&quot;5E1B6804&quot;/&gt;&lt;wsp:rsid wsp:val=&quot;5E1C257C&quot;/&gt;&lt;wsp:rsid wsp:val=&quot;5E1E00A2&quot;/&gt;&lt;wsp:rsid wsp:val=&quot;5E1E4546&quot;/&gt;&lt;wsp:rsid wsp:val=&quot;5E1E62F4&quot;/&gt;&lt;wsp:rsid wsp:val=&quot;5E20206C&quot;/&gt;&lt;wsp:rsid wsp:val=&quot;5E203E1A&quot;/&gt;&lt;wsp:rsid wsp:val=&quot;5E224037&quot;/&gt;&lt;wsp:rsid wsp:val=&quot;5E2301EB&quot;/&gt;&lt;wsp:rsid wsp:val=&quot;5E23390B&quot;/&gt;&lt;wsp:rsid wsp:val=&quot;5E2467F1&quot;/&gt;&lt;wsp:rsid wsp:val=&quot;5E27164D&quot;/&gt;&lt;wsp:rsid wsp:val=&quot;5E2751A9&quot;/&gt;&lt;wsp:rsid wsp:val=&quot;5E28030B&quot;/&gt;&lt;wsp:rsid wsp:val=&quot;5E287173&quot;/&gt;&lt;wsp:rsid wsp:val=&quot;5E2A4C99&quot;/&gt;&lt;wsp:rsid wsp:val=&quot;5E2A782D&quot;/&gt;&lt;wsp:rsid wsp:val=&quot;5E2B60EE&quot;/&gt;&lt;wsp:rsid wsp:val=&quot;5E2C0A11&quot;/&gt;&lt;wsp:rsid wsp:val=&quot;5E2F405E&quot;/&gt;&lt;wsp:rsid wsp:val=&quot;5E300CA7&quot;/&gt;&lt;wsp:rsid wsp:val=&quot;5E301A5C&quot;/&gt;&lt;wsp:rsid wsp:val=&quot;5E30583F&quot;/&gt;&lt;wsp:rsid wsp:val=&quot;5E321FE3&quot;/&gt;&lt;wsp:rsid wsp:val=&quot;5E3304DB&quot;/&gt;&lt;wsp:rsid wsp:val=&quot;5E334442&quot;/&gt;&lt;wsp:rsid wsp:val=&quot;5E341674&quot;/&gt;&lt;wsp:rsid wsp:val=&quot;5E343D6A&quot;/&gt;&lt;wsp:rsid wsp:val=&quot;5E344903&quot;/&gt;&lt;wsp:rsid wsp:val=&quot;5E361890&quot;/&gt;&lt;wsp:rsid wsp:val=&quot;5E36363E&quot;/&gt;&lt;wsp:rsid wsp:val=&quot;5E394EDC&quot;/&gt;&lt;wsp:rsid wsp:val=&quot;5E3D313F&quot;/&gt;&lt;wsp:rsid wsp:val=&quot;5E3E0745&quot;/&gt;&lt;wsp:rsid wsp:val=&quot;5E40270F&quot;/&gt;&lt;wsp:rsid wsp:val=&quot;5E4044BD&quot;/&gt;&lt;wsp:rsid wsp:val=&quot;5E40626B&quot;/&gt;&lt;wsp:rsid wsp:val=&quot;5E413D91&quot;/&gt;&lt;wsp:rsid wsp:val=&quot;5E421FE3&quot;/&gt;&lt;wsp:rsid wsp:val=&quot;5E47584B&quot;/&gt;&lt;wsp:rsid wsp:val=&quot;5E483371&quot;/&gt;&lt;wsp:rsid wsp:val=&quot;5E4A6B29&quot;/&gt;&lt;wsp:rsid wsp:val=&quot;5E4C2E61&quot;/&gt;&lt;wsp:rsid wsp:val=&quot;5E4D3CA8&quot;/&gt;&lt;wsp:rsid wsp:val=&quot;5E4E4E2C&quot;/&gt;&lt;wsp:rsid wsp:val=&quot;5E4F14E0&quot;/&gt;&lt;wsp:rsid wsp:val=&quot;5E4F64AE&quot;/&gt;&lt;wsp:rsid wsp:val=&quot;5E5166CA&quot;/&gt;&lt;wsp:rsid wsp:val=&quot;5E531CE2&quot;/&gt;&lt;wsp:rsid wsp:val=&quot;5E5341F0&quot;/&gt;&lt;wsp:rsid wsp:val=&quot;5E543AC4&quot;/&gt;&lt;wsp:rsid wsp:val=&quot;5E55537D&quot;/&gt;&lt;wsp:rsid wsp:val=&quot;5E56783C&quot;/&gt;&lt;wsp:rsid wsp:val=&quot;5E587A58&quot;/&gt;&lt;wsp:rsid wsp:val=&quot;5E5A37D0&quot;/&gt;&lt;wsp:rsid wsp:val=&quot;5E5B6A7F&quot;/&gt;&lt;wsp:rsid wsp:val=&quot;5E5C0A2E&quot;/&gt;&lt;wsp:rsid wsp:val=&quot;5E6006BB&quot;/&gt;&lt;wsp:rsid wsp:val=&quot;5E604B5F&quot;/&gt;&lt;wsp:rsid wsp:val=&quot;5E624433&quot;/&gt;&lt;wsp:rsid wsp:val=&quot;5E631F59&quot;/&gt;&lt;wsp:rsid wsp:val=&quot;5E635C5B&quot;/&gt;&lt;wsp:rsid wsp:val=&quot;5E6463FD&quot;/&gt;&lt;wsp:rsid wsp:val=&quot;5E654E72&quot;/&gt;&lt;wsp:rsid wsp:val=&quot;5E655CD1&quot;/&gt;&lt;wsp:rsid wsp:val=&quot;5E667A07&quot;/&gt;&lt;wsp:rsid wsp:val=&quot;5E6737F7&quot;/&gt;&lt;wsp:rsid wsp:val=&quot;5E68756F&quot;/&gt;&lt;wsp:rsid wsp:val=&quot;5E693A13&quot;/&gt;&lt;wsp:rsid wsp:val=&quot;5E6A153A&quot;/&gt;&lt;wsp:rsid wsp:val=&quot;5E6C6845&quot;/&gt;&lt;wsp:rsid wsp:val=&quot;5E6C7060&quot;/&gt;&lt;wsp:rsid wsp:val=&quot;5E6F4DA2&quot;/&gt;&lt;wsp:rsid wsp:val=&quot;5E71702C&quot;/&gt;&lt;wsp:rsid wsp:val=&quot;5E7423B8&quot;/&gt;&lt;wsp:rsid wsp:val=&quot;5E752625&quot;/&gt;&lt;wsp:rsid wsp:val=&quot;5E761C8C&quot;/&gt;&lt;wsp:rsid wsp:val=&quot;5E766130&quot;/&gt;&lt;wsp:rsid wsp:val=&quot;5E767EDE&quot;/&gt;&lt;wsp:rsid wsp:val=&quot;5E781EA8&quot;/&gt;&lt;wsp:rsid wsp:val=&quot;5E783C56&quot;/&gt;&lt;wsp:rsid wsp:val=&quot;5E79352B&quot;/&gt;&lt;wsp:rsid wsp:val=&quot;5E7A44C7&quot;/&gt;&lt;wsp:rsid wsp:val=&quot;5E7A5C21&quot;/&gt;&lt;wsp:rsid wsp:val=&quot;5E7E0D08&quot;/&gt;&lt;wsp:rsid wsp:val=&quot;5E8048B9&quot;/&gt;&lt;wsp:rsid wsp:val=&quot;5E810661&quot;/&gt;&lt;wsp:rsid wsp:val=&quot;5E820631&quot;/&gt;&lt;wsp:rsid wsp:val=&quot;5E8445BE&quot;/&gt;&lt;wsp:rsid wsp:val=&quot;5E873E9A&quot;/&gt;&lt;wsp:rsid wsp:val=&quot;5E8B6B8D&quot;/&gt;&lt;wsp:rsid wsp:val=&quot;5E8C001D&quot;/&gt;&lt;wsp:rsid wsp:val=&quot;5E8D5DEC&quot;/&gt;&lt;wsp:rsid wsp:val=&quot;5E8F0FA0&quot;/&gt;&lt;wsp:rsid wsp:val=&quot;5E912F6A&quot;/&gt;&lt;wsp:rsid wsp:val=&quot;5E914D18&quot;/&gt;&lt;wsp:rsid wsp:val=&quot;5E92274E&quot;/&gt;&lt;wsp:rsid wsp:val=&quot;5E945177&quot;/&gt;&lt;wsp:rsid wsp:val=&quot;5E960581&quot;/&gt;&lt;wsp:rsid wsp:val=&quot;5E9640DD&quot;/&gt;&lt;wsp:rsid wsp:val=&quot;5E987E55&quot;/&gt;&lt;wsp:rsid wsp:val=&quot;5E993BCD&quot;/&gt;&lt;wsp:rsid wsp:val=&quot;5E9B512E&quot;/&gt;&lt;wsp:rsid wsp:val=&quot;5E9B5B97&quot;/&gt;&lt;wsp:rsid wsp:val=&quot;5E9D4750&quot;/&gt;&lt;wsp:rsid wsp:val=&quot;5E9E2432&quot;/&gt;&lt;wsp:rsid wsp:val=&quot;5E9F7435&quot;/&gt;&lt;wsp:rsid wsp:val=&quot;5EA06D09&quot;/&gt;&lt;wsp:rsid wsp:val=&quot;5EA26F25&quot;/&gt;&lt;wsp:rsid wsp:val=&quot;5EA507C4&quot;/&gt;&lt;wsp:rsid wsp:val=&quot;5EA50BC4&quot;/&gt;&lt;wsp:rsid wsp:val=&quot;5EA670A6&quot;/&gt;&lt;wsp:rsid wsp:val=&quot;5EA70098&quot;/&gt;&lt;wsp:rsid wsp:val=&quot;5EAA63C1&quot;/&gt;&lt;wsp:rsid wsp:val=&quot;5EAA7B88&quot;/&gt;&lt;wsp:rsid wsp:val=&quot;5EAB4A36&quot;/&gt;&lt;wsp:rsid wsp:val=&quot;5EAC1B52&quot;/&gt;&lt;wsp:rsid wsp:val=&quot;5EAC3900&quot;/&gt;&lt;wsp:rsid wsp:val=&quot;5EAD1F27&quot;/&gt;&lt;wsp:rsid wsp:val=&quot;5EAE1426&quot;/&gt;&lt;wsp:rsid wsp:val=&quot;5EAE58CA&quot;/&gt;&lt;wsp:rsid wsp:val=&quot;5EB10F16&quot;/&gt;&lt;wsp:rsid wsp:val=&quot;5EB21E57&quot;/&gt;&lt;wsp:rsid wsp:val=&quot;5EB32EE1&quot;/&gt;&lt;wsp:rsid wsp:val=&quot;5EB34C8F&quot;/&gt;&lt;wsp:rsid wsp:val=&quot;5EB41A42&quot;/&gt;&lt;wsp:rsid wsp:val=&quot;5EB629D1&quot;/&gt;&lt;wsp:rsid wsp:val=&quot;5EB86749&quot;/&gt;&lt;wsp:rsid wsp:val=&quot;5EBA601D&quot;/&gt;&lt;wsp:rsid wsp:val=&quot;5EBB1D95&quot;/&gt;&lt;wsp:rsid wsp:val=&quot;5EBB3B43&quot;/&gt;&lt;wsp:rsid wsp:val=&quot;5EBB5591&quot;/&gt;&lt;wsp:rsid wsp:val=&quot;5EBC40CD&quot;/&gt;&lt;wsp:rsid wsp:val=&quot;5EC073AC&quot;/&gt;&lt;wsp:rsid wsp:val=&quot;5EC155FD&quot;/&gt;&lt;wsp:rsid wsp:val=&quot;5EC165E7&quot;/&gt;&lt;wsp:rsid wsp:val=&quot;5EC16C5C&quot;/&gt;&lt;wsp:rsid wsp:val=&quot;5EC24ED2&quot;/&gt;&lt;wsp:rsid wsp:val=&quot;5EC56A6D&quot;/&gt;&lt;wsp:rsid wsp:val=&quot;5EC642D2&quot;/&gt;&lt;wsp:rsid wsp:val=&quot;5EC7073A&quot;/&gt;&lt;wsp:rsid wsp:val=&quot;5EC724E8&quot;/&gt;&lt;wsp:rsid wsp:val=&quot;5EC92704&quot;/&gt;&lt;wsp:rsid wsp:val=&quot;5ECA1FD8&quot;/&gt;&lt;wsp:rsid wsp:val=&quot;5ECA3D86&quot;/&gt;&lt;wsp:rsid wsp:val=&quot;5ECB647C&quot;/&gt;&lt;wsp:rsid wsp:val=&quot;5ECC5D50&quot;/&gt;&lt;wsp:rsid wsp:val=&quot;5ECE7DD0&quot;/&gt;&lt;wsp:rsid wsp:val=&quot;5ECE7EF9&quot;/&gt;&lt;wsp:rsid wsp:val=&quot;5ECF79AB&quot;/&gt;&lt;wsp:rsid wsp:val=&quot;5ED115B9&quot;/&gt;&lt;wsp:rsid wsp:val=&quot;5ED13367&quot;/&gt;&lt;wsp:rsid wsp:val=&quot;5ED2780B&quot;/&gt;&lt;wsp:rsid wsp:val=&quot;5ED370DF&quot;/&gt;&lt;wsp:rsid wsp:val=&quot;5ED545B3&quot;/&gt;&lt;wsp:rsid wsp:val=&quot;5ED667E8&quot;/&gt;&lt;wsp:rsid wsp:val=&quot;5ED66BCF&quot;/&gt;&lt;wsp:rsid wsp:val=&quot;5ED679F2&quot;/&gt;&lt;wsp:rsid wsp:val=&quot;5ED846F5&quot;/&gt;&lt;wsp:rsid wsp:val=&quot;5ED864A3&quot;/&gt;&lt;wsp:rsid wsp:val=&quot;5EDA66BF&quot;/&gt;&lt;wsp:rsid wsp:val=&quot;5EDB41E5&quot;/&gt;&lt;wsp:rsid wsp:val=&quot;5EDC2827&quot;/&gt;&lt;wsp:rsid wsp:val=&quot;5EDD4C6D&quot;/&gt;&lt;wsp:rsid wsp:val=&quot;5EDF4663&quot;/&gt;&lt;wsp:rsid wsp:val=&quot;5EE02BC4&quot;/&gt;&lt;wsp:rsid wsp:val=&quot;5EE222A7&quot;/&gt;&lt;wsp:rsid wsp:val=&quot;5EE44E48&quot;/&gt;&lt;wsp:rsid wsp:val=&quot;5EE70977&quot;/&gt;&lt;wsp:rsid wsp:val=&quot;5EE720B8&quot;/&gt;&lt;wsp:rsid wsp:val=&quot;5EE74938&quot;/&gt;&lt;wsp:rsid wsp:val=&quot;5EE975A9&quot;/&gt;&lt;wsp:rsid wsp:val=&quot;5EEC1F4F&quot;/&gt;&lt;wsp:rsid wsp:val=&quot;5EEE5CC7&quot;/&gt;&lt;wsp:rsid wsp:val=&quot;5EF26718&quot;/&gt;&lt;wsp:rsid wsp:val=&quot;5EF332DD&quot;/&gt;&lt;wsp:rsid wsp:val=&quot;5EF35C6C&quot;/&gt;&lt;wsp:rsid wsp:val=&quot;5EF7101F&quot;/&gt;&lt;wsp:rsid wsp:val=&quot;5EF808F3&quot;/&gt;&lt;wsp:rsid wsp:val=&quot;5EF944CD&quot;/&gt;&lt;wsp:rsid wsp:val=&quot;5EF9708D&quot;/&gt;&lt;wsp:rsid wsp:val=&quot;5EFA052E&quot;/&gt;&lt;wsp:rsid wsp:val=&quot;5EFA466C&quot;/&gt;&lt;wsp:rsid wsp:val=&quot;5EFB19BE&quot;/&gt;&lt;wsp:rsid wsp:val=&quot;5EFC2E4E&quot;/&gt;&lt;wsp:rsid wsp:val=&quot;5EFD415C&quot;/&gt;&lt;wsp:rsid wsp:val=&quot;5EFE7149&quot;/&gt;&lt;wsp:rsid wsp:val=&quot;5F0059FA&quot;/&gt;&lt;wsp:rsid wsp:val=&quot;5F011E9E&quot;/&gt;&lt;wsp:rsid wsp:val=&quot;5F0279C4&quot;/&gt;&lt;wsp:rsid wsp:val=&quot;5F034C6F&quot;/&gt;&lt;wsp:rsid wsp:val=&quot;5F0454EA&quot;/&gt;&lt;wsp:rsid wsp:val=&quot;5F04649D&quot;/&gt;&lt;wsp:rsid wsp:val=&quot;5F090814&quot;/&gt;&lt;wsp:rsid wsp:val=&quot;5F090D52&quot;/&gt;&lt;wsp:rsid wsp:val=&quot;5F092B01&quot;/&gt;&lt;wsp:rsid wsp:val=&quot;5F0A712A&quot;/&gt;&lt;wsp:rsid wsp:val=&quot;5F0B4827&quot;/&gt;&lt;wsp:rsid wsp:val=&quot;5F0F3ED5&quot;/&gt;&lt;wsp:rsid wsp:val=&quot;5F103E8F&quot;/&gt;&lt;wsp:rsid wsp:val=&quot;5F1059FA&quot;/&gt;&lt;wsp:rsid wsp:val=&quot;5F105C3D&quot;/&gt;&lt;wsp:rsid wsp:val=&quot;5F137E9E&quot;/&gt;&lt;wsp:rsid wsp:val=&quot;5F140576&quot;/&gt;&lt;wsp:rsid wsp:val=&quot;5F144214&quot;/&gt;&lt;wsp:rsid wsp:val=&quot;5F1539F4&quot;/&gt;&lt;wsp:rsid wsp:val=&quot;5F155949&quot;/&gt;&lt;wsp:rsid wsp:val=&quot;5F1576F7&quot;/&gt;&lt;wsp:rsid wsp:val=&quot;5F157F77&quot;/&gt;&lt;wsp:rsid wsp:val=&quot;5F16521D&quot;/&gt;&lt;wsp:rsid wsp:val=&quot;5F182D44&quot;/&gt;&lt;wsp:rsid wsp:val=&quot;5F1871E8&quot;/&gt;&lt;wsp:rsid wsp:val=&quot;5F1A2B43&quot;/&gt;&lt;wsp:rsid wsp:val=&quot;5F1A2F60&quot;/&gt;&lt;wsp:rsid wsp:val=&quot;5F1C0A86&quot;/&gt;&lt;wsp:rsid wsp:val=&quot;5F1C6CD8&quot;/&gt;&lt;wsp:rsid wsp:val=&quot;5F1D65AC&quot;/&gt;&lt;wsp:rsid wsp:val=&quot;5F1E2676&quot;/&gt;&lt;wsp:rsid wsp:val=&quot;5F1E4D57&quot;/&gt;&lt;wsp:rsid wsp:val=&quot;5F200DE7&quot;/&gt;&lt;wsp:rsid wsp:val=&quot;5F217E4A&quot;/&gt;&lt;wsp:rsid wsp:val=&quot;5F221E14&quot;/&gt;&lt;wsp:rsid wsp:val=&quot;5F223BC2&quot;/&gt;&lt;wsp:rsid wsp:val=&quot;5F225970&quot;/&gt;&lt;wsp:rsid wsp:val=&quot;5F2356B6&quot;/&gt;&lt;wsp:rsid wsp:val=&quot;5F265461&quot;/&gt;&lt;wsp:rsid wsp:val=&quot;5F2711D9&quot;/&gt;&lt;wsp:rsid wsp:val=&quot;5F27635C&quot;/&gt;&lt;wsp:rsid wsp:val=&quot;5F27742B&quot;/&gt;&lt;wsp:rsid wsp:val=&quot;5F2A6503&quot;/&gt;&lt;wsp:rsid wsp:val=&quot;5F2B0CC9&quot;/&gt;&lt;wsp:rsid wsp:val=&quot;5F2C01C7&quot;/&gt;&lt;wsp:rsid wsp:val=&quot;5F2D4A41&quot;/&gt;&lt;wsp:rsid wsp:val=&quot;5F2E484C&quot;/&gt;&lt;wsp:rsid wsp:val=&quot;5F30008D&quot;/&gt;&lt;wsp:rsid wsp:val=&quot;5F3202A9&quot;/&gt;&lt;wsp:rsid wsp:val=&quot;5F322057&quot;/&gt;&lt;wsp:rsid wsp:val=&quot;5F322F1C&quot;/&gt;&lt;wsp:rsid wsp:val=&quot;5F3439F6&quot;/&gt;&lt;wsp:rsid wsp:val=&quot;5F357D99&quot;/&gt;&lt;wsp:rsid wsp:val=&quot;5F372DE1&quot;/&gt;&lt;wsp:rsid wsp:val=&quot;5F3758C0&quot;/&gt;&lt;wsp:rsid wsp:val=&quot;5F37766E&quot;/&gt;&lt;wsp:rsid wsp:val=&quot;5F381638&quot;/&gt;&lt;wsp:rsid wsp:val=&quot;5F3861E3&quot;/&gt;&lt;wsp:rsid wsp:val=&quot;5F387474&quot;/&gt;&lt;wsp:rsid wsp:val=&quot;5F3A0F0C&quot;/&gt;&lt;wsp:rsid wsp:val=&quot;5F3C1D4C&quot;/&gt;&lt;wsp:rsid wsp:val=&quot;5F3D09FC&quot;/&gt;&lt;wsp:rsid wsp:val=&quot;5F3F29C6&quot;/&gt;&lt;wsp:rsid wsp:val=&quot;5F434264&quot;/&gt;&lt;wsp:rsid wsp:val=&quot;5F443B39&quot;/&gt;&lt;wsp:rsid wsp:val=&quot;5F465B03&quot;/&gt;&lt;wsp:rsid wsp:val=&quot;5F4678B1&quot;/&gt;&lt;wsp:rsid wsp:val=&quot;5F48187B&quot;/&gt;&lt;wsp:rsid wsp:val=&quot;5F4A0903&quot;/&gt;&lt;wsp:rsid wsp:val=&quot;5F4B136B&quot;/&gt;&lt;wsp:rsid wsp:val=&quot;5F503032&quot;/&gt;&lt;wsp:rsid wsp:val=&quot;5F5226F9&quot;/&gt;&lt;wsp:rsid wsp:val=&quot;5F531FCE&quot;/&gt;&lt;wsp:rsid wsp:val=&quot;5F5521EA&quot;/&gt;&lt;wsp:rsid wsp:val=&quot;5F577D10&quot;/&gt;&lt;wsp:rsid wsp:val=&quot;5F597808&quot;/&gt;&lt;wsp:rsid wsp:val=&quot;5F5A15AE&quot;/&gt;&lt;wsp:rsid wsp:val=&quot;5F5C0E82&quot;/&gt;&lt;wsp:rsid wsp:val=&quot;5F5F0972&quot;/&gt;&lt;wsp:rsid wsp:val=&quot;5F5F6BC4&quot;/&gt;&lt;wsp:rsid wsp:val=&quot;5F63217C&quot;/&gt;&lt;wsp:rsid wsp:val=&quot;5F6366B5&quot;/&gt;&lt;wsp:rsid wsp:val=&quot;5F645F89&quot;/&gt;&lt;wsp:rsid wsp:val=&quot;5F66666A&quot;/&gt;&lt;wsp:rsid wsp:val=&quot;5F667F53&quot;/&gt;&lt;wsp:rsid wsp:val=&quot;5F683CCB&quot;/&gt;&lt;wsp:rsid wsp:val=&quot;5F697A43&quot;/&gt;&lt;wsp:rsid wsp:val=&quot;5F6B47EE&quot;/&gt;&lt;wsp:rsid wsp:val=&quot;5F6B5569&quot;/&gt;&lt;wsp:rsid wsp:val=&quot;5F6D308F&quot;/&gt;&lt;wsp:rsid wsp:val=&quot;5F6D7533&quot;/&gt;&lt;wsp:rsid wsp:val=&quot;5F6E316F&quot;/&gt;&lt;wsp:rsid wsp:val=&quot;5F6F21A7&quot;/&gt;&lt;wsp:rsid wsp:val=&quot;5F700DD2&quot;/&gt;&lt;wsp:rsid wsp:val=&quot;5F702B80&quot;/&gt;&lt;wsp:rsid wsp:val=&quot;5F713021&quot;/&gt;&lt;wsp:rsid wsp:val=&quot;5F73441E&quot;/&gt;&lt;wsp:rsid wsp:val=&quot;5F761901&quot;/&gt;&lt;wsp:rsid wsp:val=&quot;5F767385&quot;/&gt;&lt;wsp:rsid wsp:val=&quot;5F784221&quot;/&gt;&lt;wsp:rsid wsp:val=&quot;5F7A1C50&quot;/&gt;&lt;wsp:rsid wsp:val=&quot;5F7A2817&quot;/&gt;&lt;wsp:rsid wsp:val=&quot;5F7A39FE&quot;/&gt;&lt;wsp:rsid wsp:val=&quot;5F7A755A&quot;/&gt;&lt;wsp:rsid wsp:val=&quot;5F7D704B&quot;/&gt;&lt;wsp:rsid wsp:val=&quot;5F7F2DC3&quot;/&gt;&lt;wsp:rsid wsp:val=&quot;5F800C39&quot;/&gt;&lt;wsp:rsid wsp:val=&quot;5F8108E9&quot;/&gt;&lt;wsp:rsid wsp:val=&quot;5F812FDF&quot;/&gt;&lt;wsp:rsid wsp:val=&quot;5F814D8D&quot;/&gt;&lt;wsp:rsid wsp:val=&quot;5F830B05&quot;/&gt;&lt;wsp:rsid wsp:val=&quot;5F8403D9&quot;/&gt;&lt;wsp:rsid wsp:val=&quot;5F84662B&quot;/&gt;&lt;wsp:rsid wsp:val=&quot;5F8605F5&quot;/&gt;&lt;wsp:rsid wsp:val=&quot;5F8623A3&quot;/&gt;&lt;wsp:rsid wsp:val=&quot;5F864151&quot;/&gt;&lt;wsp:rsid wsp:val=&quot;5F883D16&quot;/&gt;&lt;wsp:rsid wsp:val=&quot;5F8960B6&quot;/&gt;&lt;wsp:rsid wsp:val=&quot;5F8A1E93&quot;/&gt;&lt;wsp:rsid wsp:val=&quot;5F8A5A57&quot;/&gt;&lt;wsp:rsid wsp:val=&quot;5F8D54E0&quot;/&gt;&lt;wsp:rsid wsp:val=&quot;5F904FD0&quot;/&gt;&lt;wsp:rsid wsp:val=&quot;5F920A6A&quot;/&gt;&lt;wsp:rsid wsp:val=&quot;5F920D48&quot;/&gt;&lt;wsp:rsid wsp:val=&quot;5F922AF6&quot;/&gt;&lt;wsp:rsid wsp:val=&quot;5F940EF3&quot;/&gt;&lt;wsp:rsid wsp:val=&quot;5F942D12&quot;/&gt;&lt;wsp:rsid wsp:val=&quot;5F9439FA&quot;/&gt;&lt;wsp:rsid wsp:val=&quot;5F961351&quot;/&gt;&lt;wsp:rsid wsp:val=&quot;5F97237B&quot;/&gt;&lt;wsp:rsid wsp:val=&quot;5F9C1BC7&quot;/&gt;&lt;wsp:rsid wsp:val=&quot;5F9E76ED&quot;/&gt;&lt;wsp:rsid wsp:val=&quot;5F9F3465&quot;/&gt;&lt;wsp:rsid wsp:val=&quot;5F9F5213&quot;/&gt;&lt;wsp:rsid wsp:val=&quot;5FA32F55&quot;/&gt;&lt;wsp:rsid wsp:val=&quot;5FA36AB1&quot;/&gt;&lt;wsp:rsid wsp:val=&quot;5FA42829&quot;/&gt;&lt;wsp:rsid wsp:val=&quot;5FA6034F&quot;/&gt;&lt;wsp:rsid wsp:val=&quot;5FA647F3&quot;/&gt;&lt;wsp:rsid wsp:val=&quot;5FA6729F&quot;/&gt;&lt;wsp:rsid wsp:val=&quot;5FA72F90&quot;/&gt;&lt;wsp:rsid wsp:val=&quot;5FA8056B&quot;/&gt;&lt;wsp:rsid wsp:val=&quot;5FA937A9&quot;/&gt;&lt;wsp:rsid wsp:val=&quot;5FA94790&quot;/&gt;&lt;wsp:rsid wsp:val=&quot;5FA97E40&quot;/&gt;&lt;wsp:rsid wsp:val=&quot;5FAA6092&quot;/&gt;&lt;wsp:rsid wsp:val=&quot;5FAA7620&quot;/&gt;&lt;wsp:rsid wsp:val=&quot;5FAB1E0A&quot;/&gt;&lt;wsp:rsid wsp:val=&quot;5FAC3111&quot;/&gt;&lt;wsp:rsid wsp:val=&quot;5FAD16DE&quot;/&gt;&lt;wsp:rsid wsp:val=&quot;5FAD269E&quot;/&gt;&lt;wsp:rsid wsp:val=&quot;5FAD5B82&quot;/&gt;&lt;wsp:rsid wsp:val=&quot;5FAD7930&quot;/&gt;&lt;wsp:rsid wsp:val=&quot;5FAE51AE&quot;/&gt;&lt;wsp:rsid wsp:val=&quot;5FAF36A8&quot;/&gt;&lt;wsp:rsid wsp:val=&quot;5FB20AF9&quot;/&gt;&lt;wsp:rsid wsp:val=&quot;5FB47151&quot;/&gt;&lt;wsp:rsid wsp:val=&quot;5FB567E4&quot;/&gt;&lt;wsp:rsid wsp:val=&quot;5FB641C3&quot;/&gt;&lt;wsp:rsid wsp:val=&quot;5FB7255D&quot;/&gt;&lt;wsp:rsid wsp:val=&quot;5FB76A00&quot;/&gt;&lt;wsp:rsid wsp:val=&quot;5FB837BB&quot;/&gt;&lt;wsp:rsid wsp:val=&quot;5FB8795D&quot;/&gt;&lt;wsp:rsid wsp:val=&quot;5FB92779&quot;/&gt;&lt;wsp:rsid wsp:val=&quot;5FB94285&quot;/&gt;&lt;wsp:rsid wsp:val=&quot;5FB94527&quot;/&gt;&lt;wsp:rsid wsp:val=&quot;5FB962D5&quot;/&gt;&lt;wsp:rsid wsp:val=&quot;5FBA7980&quot;/&gt;&lt;wsp:rsid wsp:val=&quot;5FBB3CC2&quot;/&gt;&lt;wsp:rsid wsp:val=&quot;5FBC14C5&quot;/&gt;&lt;wsp:rsid wsp:val=&quot;5FBC4017&quot;/&gt;&lt;wsp:rsid wsp:val=&quot;5FBC5DC5&quot;/&gt;&lt;wsp:rsid wsp:val=&quot;5FBD4096&quot;/&gt;&lt;wsp:rsid wsp:val=&quot;5FBF1411&quot;/&gt;&lt;wsp:rsid wsp:val=&quot;5FC14B14&quot;/&gt;&lt;wsp:rsid wsp:val=&quot;5FC27D70&quot;/&gt;&lt;wsp:rsid wsp:val=&quot;5FC37153&quot;/&gt;&lt;wsp:rsid wsp:val=&quot;5FC627A0&quot;/&gt;&lt;wsp:rsid wsp:val=&quot;5FCB425A&quot;/&gt;&lt;wsp:rsid wsp:val=&quot;5FCB604A&quot;/&gt;&lt;wsp:rsid wsp:val=&quot;5FCD1D80&quot;/&gt;&lt;wsp:rsid wsp:val=&quot;5FCD7FD2&quot;/&gt;&lt;wsp:rsid wsp:val=&quot;5FCF3D4A&quot;/&gt;&lt;wsp:rsid wsp:val=&quot;5FD0047F&quot;/&gt;&lt;wsp:rsid wsp:val=&quot;5FD026F7&quot;/&gt;&lt;wsp:rsid wsp:val=&quot;5FD21144&quot;/&gt;&lt;wsp:rsid wsp:val=&quot;5FD2383A&quot;/&gt;&lt;wsp:rsid wsp:val=&quot;5FD255E8&quot;/&gt;&lt;wsp:rsid wsp:val=&quot;5FD4310E&quot;/&gt;&lt;wsp:rsid wsp:val=&quot;5FD454B8&quot;/&gt;&lt;wsp:rsid wsp:val=&quot;5FD50BDC&quot;/&gt;&lt;wsp:rsid wsp:val=&quot;5FD50C35&quot;/&gt;&lt;wsp:rsid wsp:val=&quot;5FD51606&quot;/&gt;&lt;wsp:rsid wsp:val=&quot;5FD87822&quot;/&gt;&lt;wsp:rsid wsp:val=&quot;5FD924D3&quot;/&gt;&lt;wsp:rsid wsp:val=&quot;5FDA624B&quot;/&gt;&lt;wsp:rsid wsp:val=&quot;5FDB26EF&quot;/&gt;&lt;wsp:rsid wsp:val=&quot;5FDC1FC3&quot;/&gt;&lt;wsp:rsid wsp:val=&quot;5FDC6467&quot;/&gt;&lt;wsp:rsid wsp:val=&quot;5FDE3F8D&quot;/&gt;&lt;wsp:rsid wsp:val=&quot;5FE04C08&quot;/&gt;&lt;wsp:rsid wsp:val=&quot;5FE07430&quot;/&gt;&lt;wsp:rsid wsp:val=&quot;5FE07D05&quot;/&gt;&lt;wsp:rsid wsp:val=&quot;5FE13A7D&quot;/&gt;&lt;wsp:rsid wsp:val=&quot;5FE1582B&quot;/&gt;&lt;wsp:rsid wsp:val=&quot;5FE175D9&quot;/&gt;&lt;wsp:rsid wsp:val=&quot;5FE17AD8&quot;/&gt;&lt;wsp:rsid wsp:val=&quot;5FE315A4&quot;/&gt;&lt;wsp:rsid wsp:val=&quot;5FE52D7F&quot;/&gt;&lt;wsp:rsid wsp:val=&quot;5FE62E42&quot;/&gt;&lt;wsp:rsid wsp:val=&quot;5FE64BF0&quot;/&gt;&lt;wsp:rsid wsp:val=&quot;5FE80968&quot;/&gt;&lt;wsp:rsid wsp:val=&quot;5FE84E0C&quot;/&gt;&lt;wsp:rsid wsp:val=&quot;5FE86BBA&quot;/&gt;&lt;wsp:rsid wsp:val=&quot;5FEB2206&quot;/&gt;&lt;wsp:rsid wsp:val=&quot;5FEC05A4&quot;/&gt;&lt;wsp:rsid wsp:val=&quot;5FED0D8A&quot;/&gt;&lt;wsp:rsid wsp:val=&quot;5FED5F7E&quot;/&gt;&lt;wsp:rsid wsp:val=&quot;5FF501C6&quot;/&gt;&lt;wsp:rsid wsp:val=&quot;5FF56C7C&quot;/&gt;&lt;wsp:rsid wsp:val=&quot;5FF7504F&quot;/&gt;&lt;wsp:rsid wsp:val=&quot;5FF90DC7&quot;/&gt;&lt;wsp:rsid wsp:val=&quot;5FFC2FA7&quot;/&gt;&lt;wsp:rsid wsp:val=&quot;5FFC4413&quot;/&gt;&lt;wsp:rsid wsp:val=&quot;5FFD572B&quot;/&gt;&lt;wsp:rsid wsp:val=&quot;5FFE26E6&quot;/&gt;&lt;wsp:rsid wsp:val=&quot;60003F04&quot;/&gt;&lt;wsp:rsid wsp:val=&quot;60011A2A&quot;/&gt;&lt;wsp:rsid wsp:val=&quot;6005282E&quot;/&gt;&lt;wsp:rsid wsp:val=&quot;600532C8&quot;/&gt;&lt;wsp:rsid wsp:val=&quot;60057804&quot;/&gt;&lt;wsp:rsid wsp:val=&quot;6008100A&quot;/&gt;&lt;wsp:rsid wsp:val=&quot;600B28A8&quot;/&gt;&lt;wsp:rsid wsp:val=&quot;600B4656&quot;/&gt;&lt;wsp:rsid wsp:val=&quot;600C6FB6&quot;/&gt;&lt;wsp:rsid wsp:val=&quot;600D03CE&quot;/&gt;&lt;wsp:rsid wsp:val=&quot;600F4147&quot;/&gt;&lt;wsp:rsid wsp:val=&quot;601107A2&quot;/&gt;&lt;wsp:rsid wsp:val=&quot;60114363&quot;/&gt;&lt;wsp:rsid wsp:val=&quot;60116111&quot;/&gt;&lt;wsp:rsid wsp:val=&quot;6014175D&quot;/&gt;&lt;wsp:rsid wsp:val=&quot;60143F17&quot;/&gt;&lt;wsp:rsid wsp:val=&quot;60173560&quot;/&gt;&lt;wsp:rsid wsp:val=&quot;601847EC&quot;/&gt;&lt;wsp:rsid wsp:val=&quot;60193217&quot;/&gt;&lt;wsp:rsid wsp:val=&quot;60196D73&quot;/&gt;&lt;wsp:rsid wsp:val=&quot;601B2AEB&quot;/&gt;&lt;wsp:rsid wsp:val=&quot;601D2D07&quot;/&gt;&lt;wsp:rsid wsp:val=&quot;601D6342&quot;/&gt;&lt;wsp:rsid wsp:val=&quot;601E082E&quot;/&gt;&lt;wsp:rsid wsp:val=&quot;601F5B30&quot;/&gt;&lt;wsp:rsid wsp:val=&quot;60206354&quot;/&gt;&lt;wsp:rsid wsp:val=&quot;60213E7A&quot;/&gt;&lt;wsp:rsid wsp:val=&quot;60225083&quot;/&gt;&lt;wsp:rsid wsp:val=&quot;60233110&quot;/&gt;&lt;wsp:rsid wsp:val=&quot;6025396A&quot;/&gt;&lt;wsp:rsid wsp:val=&quot;60255718&quot;/&gt;&lt;wsp:rsid wsp:val=&quot;60285208&quot;/&gt;&lt;wsp:rsid wsp:val=&quot;602A0F80&quot;/&gt;&lt;wsp:rsid wsp:val=&quot;602A71D2&quot;/&gt;&lt;wsp:rsid wsp:val=&quot;602C4CF9&quot;/&gt;&lt;wsp:rsid wsp:val=&quot;602F2A3B&quot;/&gt;&lt;wsp:rsid wsp:val=&quot;602F6597&quot;/&gt;&lt;wsp:rsid wsp:val=&quot;6031230F&quot;/&gt;&lt;wsp:rsid wsp:val=&quot;60327E35&quot;/&gt;&lt;wsp:rsid wsp:val=&quot;60341DFF&quot;/&gt;&lt;wsp:rsid wsp:val=&quot;60343BAD&quot;/&gt;&lt;wsp:rsid wsp:val=&quot;6035022A&quot;/&gt;&lt;wsp:rsid wsp:val=&quot;6037369D&quot;/&gt;&lt;wsp:rsid wsp:val=&quot;603B13E0&quot;/&gt;&lt;wsp:rsid wsp:val=&quot;603B14CB&quot;/&gt;&lt;wsp:rsid wsp:val=&quot;603B318E&quot;/&gt;&lt;wsp:rsid wsp:val=&quot;603B4F3C&quot;/&gt;&lt;wsp:rsid wsp:val=&quot;603C522D&quot;/&gt;&lt;wsp:rsid wsp:val=&quot;603E2C7E&quot;/&gt;&lt;wsp:rsid wsp:val=&quot;603F3EAD&quot;/&gt;&lt;wsp:rsid wsp:val=&quot;604007A4&quot;/&gt;&lt;wsp:rsid wsp:val=&quot;60402552&quot;/&gt;&lt;wsp:rsid wsp:val=&quot;604128AE&quot;/&gt;&lt;wsp:rsid wsp:val=&quot;60432042&quot;/&gt;&lt;wsp:rsid wsp:val=&quot;6043466C&quot;/&gt;&lt;wsp:rsid wsp:val=&quot;604364E6&quot;/&gt;&lt;wsp:rsid wsp:val=&quot;60450D7A&quot;/&gt;&lt;wsp:rsid wsp:val=&quot;6045400C&quot;/&gt;&lt;wsp:rsid wsp:val=&quot;60455DBA&quot;/&gt;&lt;wsp:rsid wsp:val=&quot;60471B32&quot;/&gt;&lt;wsp:rsid wsp:val=&quot;604765C1&quot;/&gt;&lt;wsp:rsid wsp:val=&quot;6048238E&quot;/&gt;&lt;wsp:rsid wsp:val=&quot;60483AFC&quot;/&gt;&lt;wsp:rsid wsp:val=&quot;604858AA&quot;/&gt;&lt;wsp:rsid wsp:val=&quot;604A33D1&quot;/&gt;&lt;wsp:rsid wsp:val=&quot;604C0EF7&quot;/&gt;&lt;wsp:rsid wsp:val=&quot;604C539B&quot;/&gt;&lt;wsp:rsid wsp:val=&quot;604E6200&quot;/&gt;&lt;wsp:rsid wsp:val=&quot;604F6C39&quot;/&gt;&lt;wsp:rsid wsp:val=&quot;60502261&quot;/&gt;&lt;wsp:rsid wsp:val=&quot;6051650D&quot;/&gt;&lt;wsp:rsid wsp:val=&quot;60536729&quot;/&gt;&lt;wsp:rsid wsp:val=&quot;605424A1&quot;/&gt;&lt;wsp:rsid wsp:val=&quot;60543D2E&quot;/&gt;&lt;wsp:rsid wsp:val=&quot;60545FFD&quot;/&gt;&lt;wsp:rsid wsp:val=&quot;60554EEF&quot;/&gt;&lt;wsp:rsid wsp:val=&quot;60575AEE&quot;/&gt;&lt;wsp:rsid wsp:val=&quot;6057789C&quot;/&gt;&lt;wsp:rsid wsp:val=&quot;60583D40&quot;/&gt;&lt;wsp:rsid wsp:val=&quot;60591866&quot;/&gt;&lt;wsp:rsid wsp:val=&quot;605B55DE&quot;/&gt;&lt;wsp:rsid wsp:val=&quot;605C4EB2&quot;/&gt;&lt;wsp:rsid wsp:val=&quot;605D1356&quot;/&gt;&lt;wsp:rsid wsp:val=&quot;605D41C0&quot;/&gt;&lt;wsp:rsid wsp:val=&quot;605D4865&quot;/&gt;&lt;wsp:rsid wsp:val=&quot;605E0C2A&quot;/&gt;&lt;wsp:rsid wsp:val=&quot;60603D90&quot;/&gt;&lt;wsp:rsid wsp:val=&quot;60625B06&quot;/&gt;&lt;wsp:rsid wsp:val=&quot;6063192E&quot;/&gt;&lt;wsp:rsid wsp:val=&quot;60640C85&quot;/&gt;&lt;wsp:rsid wsp:val=&quot;60651FB9&quot;/&gt;&lt;wsp:rsid wsp:val=&quot;6065645C&quot;/&gt;&lt;wsp:rsid wsp:val=&quot;60667058&quot;/&gt;&lt;wsp:rsid wsp:val=&quot;60673F26&quot;/&gt;&lt;wsp:rsid wsp:val=&quot;60683065&quot;/&gt;&lt;wsp:rsid wsp:val=&quot;606B6ED9&quot;/&gt;&lt;wsp:rsid wsp:val=&quot;606C77EB&quot;/&gt;&lt;wsp:rsid wsp:val=&quot;606E3563&quot;/&gt;&lt;wsp:rsid wsp:val=&quot;606F1089&quot;/&gt;&lt;wsp:rsid wsp:val=&quot;606F4BE5&quot;/&gt;&lt;wsp:rsid wsp:val=&quot;6070184B&quot;/&gt;&lt;wsp:rsid wsp:val=&quot;60716BAF&quot;/&gt;&lt;wsp:rsid wsp:val=&quot;607271D5&quot;/&gt;&lt;wsp:rsid wsp:val=&quot;60732927&quot;/&gt;&lt;wsp:rsid wsp:val=&quot;607448F1&quot;/&gt;&lt;wsp:rsid wsp:val=&quot;607466A0&quot;/&gt;&lt;wsp:rsid wsp:val=&quot;607641C6&quot;/&gt;&lt;wsp:rsid wsp:val=&quot;60771CEC&quot;/&gt;&lt;wsp:rsid wsp:val=&quot;60786190&quot;/&gt;&lt;wsp:rsid wsp:val=&quot;60787F3E&quot;/&gt;&lt;wsp:rsid wsp:val=&quot;60791F08&quot;/&gt;&lt;wsp:rsid wsp:val=&quot;607A5BA6&quot;/&gt;&lt;wsp:rsid wsp:val=&quot;607B21B4&quot;/&gt;&lt;wsp:rsid wsp:val=&quot;607B521D&quot;/&gt;&lt;wsp:rsid wsp:val=&quot;607C5DEE&quot;/&gt;&lt;wsp:rsid wsp:val=&quot;607C641A&quot;/&gt;&lt;wsp:rsid wsp:val=&quot;60807BFF&quot;/&gt;&lt;wsp:rsid wsp:val=&quot;608151BE&quot;/&gt;&lt;wsp:rsid wsp:val=&quot;60822B6A&quot;/&gt;&lt;wsp:rsid wsp:val=&quot;60830691&quot;/&gt;&lt;wsp:rsid wsp:val=&quot;60844B35&quot;/&gt;&lt;wsp:rsid wsp:val=&quot;6085265B&quot;/&gt;&lt;wsp:rsid wsp:val=&quot;60854409&quot;/&gt;&lt;wsp:rsid wsp:val=&quot;60885CA7&quot;/&gt;&lt;wsp:rsid wsp:val=&quot;6089214B&quot;/&gt;&lt;wsp:rsid wsp:val=&quot;608923C4&quot;/&gt;&lt;wsp:rsid wsp:val=&quot;608A06B3&quot;/&gt;&lt;wsp:rsid wsp:val=&quot;608A1A1F&quot;/&gt;&lt;wsp:rsid wsp:val=&quot;608A3882&quot;/&gt;&lt;wsp:rsid wsp:val=&quot;608A427B&quot;/&gt;&lt;wsp:rsid wsp:val=&quot;608C39E9&quot;/&gt;&lt;wsp:rsid wsp:val=&quot;608C5797&quot;/&gt;&lt;wsp:rsid wsp:val=&quot;608D150F&quot;/&gt;&lt;wsp:rsid wsp:val=&quot;608E7761&quot;/&gt;&lt;wsp:rsid wsp:val=&quot;60912DAE&quot;/&gt;&lt;wsp:rsid wsp:val=&quot;60917251&quot;/&gt;&lt;wsp:rsid wsp:val=&quot;60924BE4&quot;/&gt;&lt;wsp:rsid wsp:val=&quot;60934D78&quot;/&gt;&lt;wsp:rsid wsp:val=&quot;6094289E&quot;/&gt;&lt;wsp:rsid wsp:val=&quot;60956D42&quot;/&gt;&lt;wsp:rsid wsp:val=&quot;60964868&quot;/&gt;&lt;wsp:rsid wsp:val=&quot;60966616&quot;/&gt;&lt;wsp:rsid wsp:val=&quot;609741B5&quot;/&gt;&lt;wsp:rsid wsp:val=&quot;6098238E&quot;/&gt;&lt;wsp:rsid wsp:val=&quot;60994DBA&quot;/&gt;&lt;wsp:rsid wsp:val=&quot;60996106&quot;/&gt;&lt;wsp:rsid wsp:val=&quot;609B508E&quot;/&gt;&lt;wsp:rsid wsp:val=&quot;609C5C96&quot;/&gt;&lt;wsp:rsid wsp:val=&quot;609E371C&quot;/&gt;&lt;wsp:rsid wsp:val=&quot;609F196E&quot;/&gt;&lt;wsp:rsid wsp:val=&quot;609F27FF&quot;/&gt;&lt;wsp:rsid wsp:val=&quot;60A01D65&quot;/&gt;&lt;wsp:rsid wsp:val=&quot;60A056E7&quot;/&gt;&lt;wsp:rsid wsp:val=&quot;60A05AA7&quot;/&gt;&lt;wsp:rsid wsp:val=&quot;60A07495&quot;/&gt;&lt;wsp:rsid wsp:val=&quot;60A1148A&quot;/&gt;&lt;wsp:rsid wsp:val=&quot;60A2320D&quot;/&gt;&lt;wsp:rsid wsp:val=&quot;60A46625&quot;/&gt;&lt;wsp:rsid wsp:val=&quot;60A46F85&quot;/&gt;&lt;wsp:rsid wsp:val=&quot;60A56859&quot;/&gt;&lt;wsp:rsid wsp:val=&quot;60A90FEE&quot;/&gt;&lt;wsp:rsid wsp:val=&quot;60A919DB&quot;/&gt;&lt;wsp:rsid wsp:val=&quot;60AA20C1&quot;/&gt;&lt;wsp:rsid wsp:val=&quot;60AC62E9&quot;/&gt;&lt;wsp:rsid wsp:val=&quot;60AD570E&quot;/&gt;&lt;wsp:rsid wsp:val=&quot;60AE1BB1&quot;/&gt;&lt;wsp:rsid wsp:val=&quot;60AF592A&quot;/&gt;&lt;wsp:rsid wsp:val=&quot;60B151FE&quot;/&gt;&lt;wsp:rsid wsp:val=&quot;60B60A66&quot;/&gt;&lt;wsp:rsid wsp:val=&quot;60B62814&quot;/&gt;&lt;wsp:rsid wsp:val=&quot;60B66CB8&quot;/&gt;&lt;wsp:rsid wsp:val=&quot;60B847DE&quot;/&gt;&lt;wsp:rsid wsp:val=&quot;60BA0556&quot;/&gt;&lt;wsp:rsid wsp:val=&quot;60BB607C&quot;/&gt;&lt;wsp:rsid wsp:val=&quot;60BD1DF5&quot;/&gt;&lt;wsp:rsid wsp:val=&quot;60BD3BA3&quot;/&gt;&lt;wsp:rsid wsp:val=&quot;60BE791B&quot;/&gt;&lt;wsp:rsid wsp:val=&quot;60BF3DBF&quot;/&gt;&lt;wsp:rsid wsp:val=&quot;60BF5826&quot;/&gt;&lt;wsp:rsid wsp:val=&quot;60C018E5&quot;/&gt;&lt;wsp:rsid wsp:val=&quot;60C07C62&quot;/&gt;&lt;wsp:rsid wsp:val=&quot;60C22582&quot;/&gt;&lt;wsp:rsid wsp:val=&quot;60C34F31&quot;/&gt;&lt;wsp:rsid wsp:val=&quot;60C44EA2&quot;/&gt;&lt;wsp:rsid wsp:val=&quot;60C703C2&quot;/&gt;&lt;wsp:rsid wsp:val=&quot;60C767CF&quot;/&gt;&lt;wsp:rsid wsp:val=&quot;60CA3479&quot;/&gt;&lt;wsp:rsid wsp:val=&quot;60CA62C0&quot;/&gt;&lt;wsp:rsid wsp:val=&quot;60CB21A4&quot;/&gt;&lt;wsp:rsid wsp:val=&quot;60CC405A&quot;/&gt;&lt;wsp:rsid wsp:val=&quot;60CD6505&quot;/&gt;&lt;wsp:rsid wsp:val=&quot;60CE5DB0&quot;/&gt;&lt;wsp:rsid wsp:val=&quot;60CF38D6&quot;/&gt;&lt;wsp:rsid wsp:val=&quot;60D13B11&quot;/&gt;&lt;wsp:rsid wsp:val=&quot;60D158A0&quot;/&gt;&lt;wsp:rsid wsp:val=&quot;60D1764E&quot;/&gt;&lt;wsp:rsid wsp:val=&quot;60D20D76&quot;/&gt;&lt;wsp:rsid wsp:val=&quot;60D2370C&quot;/&gt;&lt;wsp:rsid wsp:val=&quot;60D31618&quot;/&gt;&lt;wsp:rsid wsp:val=&quot;60D333C6&quot;/&gt;&lt;wsp:rsid wsp:val=&quot;60D550A2&quot;/&gt;&lt;wsp:rsid wsp:val=&quot;60D55390&quot;/&gt;&lt;wsp:rsid wsp:val=&quot;60D73318&quot;/&gt;&lt;wsp:rsid wsp:val=&quot;60D75B37&quot;/&gt;&lt;wsp:rsid wsp:val=&quot;60D809DC&quot;/&gt;&lt;wsp:rsid wsp:val=&quot;60D847A8&quot;/&gt;&lt;wsp:rsid wsp:val=&quot;60DA0BF8&quot;/&gt;&lt;wsp:rsid wsp:val=&quot;60DA2890&quot;/&gt;&lt;wsp:rsid wsp:val=&quot;60DA29A7&quot;/&gt;&lt;wsp:rsid wsp:val=&quot;60DB04CD&quot;/&gt;&lt;wsp:rsid wsp:val=&quot;60DB227B&quot;/&gt;&lt;wsp:rsid wsp:val=&quot;60DD3C0F&quot;/&gt;&lt;wsp:rsid wsp:val=&quot;60DD4245&quot;/&gt;&lt;wsp:rsid wsp:val=&quot;60DD5FF3&quot;/&gt;&lt;wsp:rsid wsp:val=&quot;60E03D35&quot;/&gt;&lt;wsp:rsid wsp:val=&quot;60E05AE3&quot;/&gt;&lt;wsp:rsid wsp:val=&quot;60E2185B&quot;/&gt;&lt;wsp:rsid wsp:val=&quot;60E42D4B&quot;/&gt;&lt;wsp:rsid wsp:val=&quot;60E455D3&quot;/&gt;&lt;wsp:rsid wsp:val=&quot;60E530F9&quot;/&gt;&lt;wsp:rsid wsp:val=&quot;60E750C3&quot;/&gt;&lt;wsp:rsid wsp:val=&quot;60E80369&quot;/&gt;&lt;wsp:rsid wsp:val=&quot;60E92BEA&quot;/&gt;&lt;wsp:rsid wsp:val=&quot;60EA0710&quot;/&gt;&lt;wsp:rsid wsp:val=&quot;60EA6962&quot;/&gt;&lt;wsp:rsid wsp:val=&quot;60EB4BB4&quot;/&gt;&lt;wsp:rsid wsp:val=&quot;60EC6236&quot;/&gt;&lt;wsp:rsid wsp:val=&quot;60ED40AE&quot;/&gt;&lt;wsp:rsid wsp:val=&quot;60EE2705&quot;/&gt;&lt;wsp:rsid wsp:val=&quot;60EE6452&quot;/&gt;&lt;wsp:rsid wsp:val=&quot;60EF5D26&quot;/&gt;&lt;wsp:rsid wsp:val=&quot;60F00BC5&quot;/&gt;&lt;wsp:rsid wsp:val=&quot;60F03F78&quot;/&gt;&lt;wsp:rsid wsp:val=&quot;60F07B25&quot;/&gt;&lt;wsp:rsid wsp:val=&quot;60F11A9E&quot;/&gt;&lt;wsp:rsid wsp:val=&quot;60F24707&quot;/&gt;&lt;wsp:rsid wsp:val=&quot;60F313B0&quot;/&gt;&lt;wsp:rsid wsp:val=&quot;60F33A68&quot;/&gt;&lt;wsp:rsid wsp:val=&quot;60F34B13&quot;/&gt;&lt;wsp:rsid wsp:val=&quot;60F375C4&quot;/&gt;&lt;wsp:rsid wsp:val=&quot;60F4333C&quot;/&gt;&lt;wsp:rsid wsp:val=&quot;60F5158E&quot;/&gt;&lt;wsp:rsid wsp:val=&quot;60F63558&quot;/&gt;&lt;wsp:rsid wsp:val=&quot;60F664B8&quot;/&gt;&lt;wsp:rsid wsp:val=&quot;60F670B5&quot;/&gt;&lt;wsp:rsid wsp:val=&quot;60F730F7&quot;/&gt;&lt;wsp:rsid wsp:val=&quot;60F8107F&quot;/&gt;&lt;wsp:rsid wsp:val=&quot;60FA6BA5&quot;/&gt;&lt;wsp:rsid wsp:val=&quot;60FB291D&quot;/&gt;&lt;wsp:rsid wsp:val=&quot;60FD6695&quot;/&gt;&lt;wsp:rsid wsp:val=&quot;60FE64C3&quot;/&gt;&lt;wsp:rsid wsp:val=&quot;61023CAB&quot;/&gt;&lt;wsp:rsid wsp:val=&quot;61073070&quot;/&gt;&lt;wsp:rsid wsp:val=&quot;61077514&quot;/&gt;&lt;wsp:rsid wsp:val=&quot;61096DE8&quot;/&gt;&lt;wsp:rsid wsp:val=&quot;610A2B60&quot;/&gt;&lt;wsp:rsid wsp:val=&quot;610B0DB2&quot;/&gt;&lt;wsp:rsid wsp:val=&quot;610B0F9A&quot;/&gt;&lt;wsp:rsid wsp:val=&quot;610B4DAD&quot;/&gt;&lt;wsp:rsid wsp:val=&quot;610C0686&quot;/&gt;&lt;wsp:rsid wsp:val=&quot;610C3698&quot;/&gt;&lt;wsp:rsid wsp:val=&quot;610C68D8&quot;/&gt;&lt;wsp:rsid wsp:val=&quot;610F75D9&quot;/&gt;&lt;wsp:rsid wsp:val=&quot;611063C8&quot;/&gt;&lt;wsp:rsid wsp:val=&quot;61112140&quot;/&gt;&lt;wsp:rsid wsp:val=&quot;61113EEE&quot;/&gt;&lt;wsp:rsid wsp:val=&quot;61131A15&quot;/&gt;&lt;wsp:rsid wsp:val=&quot;61151C31&quot;/&gt;&lt;wsp:rsid wsp:val=&quot;61152F7C&quot;/&gt;&lt;wsp:rsid wsp:val=&quot;611834CF&quot;/&gt;&lt;wsp:rsid wsp:val=&quot;611D6D37&quot;/&gt;&lt;wsp:rsid wsp:val=&quot;611F27A3&quot;/&gt;&lt;wsp:rsid wsp:val=&quot;612105D5&quot;/&gt;&lt;wsp:rsid wsp:val=&quot;61226A41&quot;/&gt;&lt;wsp:rsid wsp:val=&quot;61241E74&quot;/&gt;&lt;wsp:rsid wsp:val=&quot;6126423F&quot;/&gt;&lt;wsp:rsid wsp:val=&quot;61273712&quot;/&gt;&lt;wsp:rsid wsp:val=&quot;61291238&quot;/&gt;&lt;wsp:rsid wsp:val=&quot;612B3202&quot;/&gt;&lt;wsp:rsid wsp:val=&quot;612C0D28&quot;/&gt;&lt;wsp:rsid wsp:val=&quot;612C6F7A&quot;/&gt;&lt;wsp:rsid wsp:val=&quot;61300818&quot;/&gt;&lt;wsp:rsid wsp:val=&quot;61304D5B&quot;/&gt;&lt;wsp:rsid wsp:val=&quot;6131379E&quot;/&gt;&lt;wsp:rsid wsp:val=&quot;61330105&quot;/&gt;&lt;wsp:rsid wsp:val=&quot;613320B7&quot;/&gt;&lt;wsp:rsid wsp:val=&quot;613528A4&quot;/&gt;&lt;wsp:rsid wsp:val=&quot;61354081&quot;/&gt;&lt;wsp:rsid wsp:val=&quot;61355E2F&quot;/&gt;&lt;wsp:rsid wsp:val=&quot;61363955&quot;/&gt;&lt;wsp:rsid wsp:val=&quot;61371BA7&quot;/&gt;&lt;wsp:rsid wsp:val=&quot;613A3445&quot;/&gt;&lt;wsp:rsid wsp:val=&quot;613C71BD&quot;/&gt;&lt;wsp:rsid wsp:val=&quot;613D2F35&quot;/&gt;&lt;wsp:rsid wsp:val=&quot;613F6CAD&quot;/&gt;&lt;wsp:rsid wsp:val=&quot;61412A26&quot;/&gt;&lt;wsp:rsid wsp:val=&quot;614442C4&quot;/&gt;&lt;wsp:rsid wsp:val=&quot;61475B62&quot;/&gt;&lt;wsp:rsid wsp:val=&quot;61477910&quot;/&gt;&lt;wsp:rsid wsp:val=&quot;61493688&quot;/&gt;&lt;wsp:rsid wsp:val=&quot;614C3178&quot;/&gt;&lt;wsp:rsid wsp:val=&quot;614C4F26&quot;/&gt;&lt;wsp:rsid wsp:val=&quot;614D0B2B&quot;/&gt;&lt;wsp:rsid wsp:val=&quot;614E5143&quot;/&gt;&lt;wsp:rsid wsp:val=&quot;61502C69&quot;/&gt;&lt;wsp:rsid wsp:val=&quot;6151078F&quot;/&gt;&lt;wsp:rsid wsp:val=&quot;6151253D&quot;/&gt;&lt;wsp:rsid wsp:val=&quot;61534507&quot;/&gt;&lt;wsp:rsid wsp:val=&quot;6155027F&quot;/&gt;&lt;wsp:rsid wsp:val=&quot;61572249&quot;/&gt;&lt;wsp:rsid wsp:val=&quot;61573FF7&quot;/&gt;&lt;wsp:rsid wsp:val=&quot;615838CB&quot;/&gt;&lt;wsp:rsid wsp:val=&quot;61587D6F&quot;/&gt;&lt;wsp:rsid wsp:val=&quot;6159055E&quot;/&gt;&lt;wsp:rsid wsp:val=&quot;615B69F6&quot;/&gt;&lt;wsp:rsid wsp:val=&quot;615D5386&quot;/&gt;&lt;wsp:rsid wsp:val=&quot;615D7134&quot;/&gt;&lt;wsp:rsid wsp:val=&quot;615E35D8&quot;/&gt;&lt;wsp:rsid wsp:val=&quot;61607856&quot;/&gt;&lt;wsp:rsid wsp:val=&quot;616109D2&quot;/&gt;&lt;wsp:rsid wsp:val=&quot;61616C24&quot;/&gt;&lt;wsp:rsid wsp:val=&quot;61620180&quot;/&gt;&lt;wsp:rsid wsp:val=&quot;6162474A&quot;/&gt;&lt;wsp:rsid wsp:val=&quot;616606D1&quot;/&gt;&lt;wsp:rsid wsp:val=&quot;6166324A&quot;/&gt;&lt;wsp:rsid wsp:val=&quot;6166423A&quot;/&gt;&lt;wsp:rsid wsp:val=&quot;61667493&quot;/&gt;&lt;wsp:rsid wsp:val=&quot;61672B62&quot;/&gt;&lt;wsp:rsid wsp:val=&quot;61695AD8&quot;/&gt;&lt;wsp:rsid wsp:val=&quot;616B1851&quot;/&gt;&lt;wsp:rsid wsp:val=&quot;616C7377&quot;/&gt;&lt;wsp:rsid wsp:val=&quot;616E1341&quot;/&gt;&lt;wsp:rsid wsp:val=&quot;616F65A9&quot;/&gt;&lt;wsp:rsid wsp:val=&quot;6170330B&quot;/&gt;&lt;wsp:rsid wsp:val=&quot;61706E67&quot;/&gt;&lt;wsp:rsid wsp:val=&quot;61750921&quot;/&gt;&lt;wsp:rsid wsp:val=&quot;617701F5&quot;/&gt;&lt;wsp:rsid wsp:val=&quot;61785D1C&quot;/&gt;&lt;wsp:rsid wsp:val=&quot;617D4D88&quot;/&gt;&lt;wsp:rsid wsp:val=&quot;617F6000&quot;/&gt;&lt;wsp:rsid wsp:val=&quot;617F70AA&quot;/&gt;&lt;wsp:rsid wsp:val=&quot;61826B9A&quot;/&gt;&lt;wsp:rsid wsp:val=&quot;61834DEC&quot;/&gt;&lt;wsp:rsid wsp:val=&quot;61840B64&quot;/&gt;&lt;wsp:rsid wsp:val=&quot;618648DC&quot;/&gt;&lt;wsp:rsid wsp:val=&quot;6186668A&quot;/&gt;&lt;wsp:rsid wsp:val=&quot;61872477&quot;/&gt;&lt;wsp:rsid wsp:val=&quot;618748BD&quot;/&gt;&lt;wsp:rsid wsp:val=&quot;6189617B&quot;/&gt;&lt;wsp:rsid wsp:val=&quot;6189763D&quot;/&gt;&lt;wsp:rsid wsp:val=&quot;618B1E56&quot;/&gt;&lt;wsp:rsid wsp:val=&quot;618D744E&quot;/&gt;&lt;wsp:rsid wsp:val=&quot;618E2A59&quot;/&gt;&lt;wsp:rsid wsp:val=&quot;618E3791&quot;/&gt;&lt;wsp:rsid wsp:val=&quot;618F19E3&quot;/&gt;&lt;wsp:rsid wsp:val=&quot;61907509&quot;/&gt;&lt;wsp:rsid wsp:val=&quot;61921A34&quot;/&gt;&lt;wsp:rsid wsp:val=&quot;619306EF&quot;/&gt;&lt;wsp:rsid wsp:val=&quot;61930DA7&quot;/&gt;&lt;wsp:rsid wsp:val=&quot;61954B1F&quot;/&gt;&lt;wsp:rsid wsp:val=&quot;61963666&quot;/&gt;&lt;wsp:rsid wsp:val=&quot;619667CA&quot;/&gt;&lt;wsp:rsid wsp:val=&quot;61970898&quot;/&gt;&lt;wsp:rsid wsp:val=&quot;619743F4&quot;/&gt;&lt;wsp:rsid wsp:val=&quot;619863BE&quot;/&gt;&lt;wsp:rsid wsp:val=&quot;619A2136&quot;/&gt;&lt;wsp:rsid wsp:val=&quot;619A2D73&quot;/&gt;&lt;wsp:rsid wsp:val=&quot;619A3EE4&quot;/&gt;&lt;wsp:rsid wsp:val=&quot;619B3FD0&quot;/&gt;&lt;wsp:rsid wsp:val=&quot;619C1A0A&quot;/&gt;&lt;wsp:rsid wsp:val=&quot;619D5782&quot;/&gt;&lt;wsp:rsid wsp:val=&quot;619F2ADA&quot;/&gt;&lt;wsp:rsid wsp:val=&quot;619F599E&quot;/&gt;&lt;wsp:rsid wsp:val=&quot;619F774C&quot;/&gt;&lt;wsp:rsid wsp:val=&quot;61A30FEA&quot;/&gt;&lt;wsp:rsid wsp:val=&quot;61A34870&quot;/&gt;&lt;wsp:rsid wsp:val=&quot;61A3723C&quot;/&gt;&lt;wsp:rsid wsp:val=&quot;61A46B11&quot;/&gt;&lt;wsp:rsid wsp:val=&quot;61B01959&quot;/&gt;&lt;wsp:rsid wsp:val=&quot;61B03707&quot;/&gt;&lt;wsp:rsid wsp:val=&quot;61B17A3F&quot;/&gt;&lt;wsp:rsid wsp:val=&quot;61B2122D&quot;/&gt;&lt;wsp:rsid wsp:val=&quot;61B336CF&quot;/&gt;&lt;wsp:rsid wsp:val=&quot;61B50D1E&quot;/&gt;&lt;wsp:rsid wsp:val=&quot;61B551C2&quot;/&gt;&lt;wsp:rsid wsp:val=&quot;61B56F70&quot;/&gt;&lt;wsp:rsid wsp:val=&quot;61B72CE8&quot;/&gt;&lt;wsp:rsid wsp:val=&quot;61B80F7A&quot;/&gt;&lt;wsp:rsid wsp:val=&quot;61B9080E&quot;/&gt;&lt;wsp:rsid wsp:val=&quot;61B96A60&quot;/&gt;&lt;wsp:rsid wsp:val=&quot;61BA27D8&quot;/&gt;&lt;wsp:rsid wsp:val=&quot;61BA4586&quot;/&gt;&lt;wsp:rsid wsp:val=&quot;61BA6334&quot;/&gt;&lt;wsp:rsid wsp:val=&quot;61BC02FE&quot;/&gt;&lt;wsp:rsid wsp:val=&quot;61BC24CC&quot;/&gt;&lt;wsp:rsid wsp:val=&quot;61BD7BD2&quot;/&gt;&lt;wsp:rsid wsp:val=&quot;61BE4076&quot;/&gt;&lt;wsp:rsid wsp:val=&quot;61C0178A&quot;/&gt;&lt;wsp:rsid wsp:val=&quot;61C15914&quot;/&gt;&lt;wsp:rsid wsp:val=&quot;61C176C2&quot;/&gt;&lt;wsp:rsid wsp:val=&quot;61C251E9&quot;/&gt;&lt;wsp:rsid wsp:val=&quot;61C3343B&quot;/&gt;&lt;wsp:rsid wsp:val=&quot;61C40F61&quot;/&gt;&lt;wsp:rsid wsp:val=&quot;61C5764C&quot;/&gt;&lt;wsp:rsid wsp:val=&quot;61C62F2B&quot;/&gt;&lt;wsp:rsid wsp:val=&quot;61C8409B&quot;/&gt;&lt;wsp:rsid wsp:val=&quot;61C86CA3&quot;/&gt;&lt;wsp:rsid wsp:val=&quot;61C96577&quot;/&gt;&lt;wsp:rsid wsp:val=&quot;61CA5CBF&quot;/&gt;&lt;wsp:rsid wsp:val=&quot;61CA657B&quot;/&gt;&lt;wsp:rsid wsp:val=&quot;61CB6793&quot;/&gt;&lt;wsp:rsid wsp:val=&quot;61CF0031&quot;/&gt;&lt;wsp:rsid wsp:val=&quot;61D11B21&quot;/&gt;&lt;wsp:rsid wsp:val=&quot;61D218D0&quot;/&gt;&lt;wsp:rsid wsp:val=&quot;61D27B22&quot;/&gt;&lt;wsp:rsid wsp:val=&quot;61D4389A&quot;/&gt;&lt;wsp:rsid wsp:val=&quot;61D54F1C&quot;/&gt;&lt;wsp:rsid wsp:val=&quot;61D6007B&quot;/&gt;&lt;wsp:rsid wsp:val=&quot;61D90EB0&quot;/&gt;&lt;wsp:rsid wsp:val=&quot;61D94A0C&quot;/&gt;&lt;wsp:rsid wsp:val=&quot;61E00186&quot;/&gt;&lt;wsp:rsid wsp:val=&quot;61E17D65&quot;/&gt;&lt;wsp:rsid wsp:val=&quot;61E215D8&quot;/&gt;&lt;wsp:rsid wsp:val=&quot;61E6537B&quot;/&gt;&lt;wsp:rsid wsp:val=&quot;61E84C4F&quot;/&gt;&lt;wsp:rsid wsp:val=&quot;61EB2991&quot;/&gt;&lt;wsp:rsid wsp:val=&quot;61EB473F&quot;/&gt;&lt;wsp:rsid wsp:val=&quot;61EC7CB3&quot;/&gt;&lt;wsp:rsid wsp:val=&quot;61ED04B8&quot;/&gt;&lt;wsp:rsid wsp:val=&quot;61ED12FA&quot;/&gt;&lt;wsp:rsid wsp:val=&quot;61EE237D&quot;/&gt;&lt;wsp:rsid wsp:val=&quot;61EF4230&quot;/&gt;&lt;wsp:rsid wsp:val=&quot;61EF4C53&quot;/&gt;&lt;wsp:rsid wsp:val=&quot;61F2259B&quot;/&gt;&lt;wsp:rsid wsp:val=&quot;61F335F4&quot;/&gt;&lt;wsp:rsid wsp:val=&quot;61F33CE1&quot;/&gt;&lt;wsp:rsid wsp:val=&quot;61F44EBB&quot;/&gt;&lt;wsp:rsid wsp:val=&quot;61F53810&quot;/&gt;&lt;wsp:rsid wsp:val=&quot;61F71336&quot;/&gt;&lt;wsp:rsid wsp:val=&quot;61F730E4&quot;/&gt;&lt;wsp:rsid wsp:val=&quot;61F93300&quot;/&gt;&lt;wsp:rsid wsp:val=&quot;61F95704&quot;/&gt;&lt;wsp:rsid wsp:val=&quot;61FA2BD4&quot;/&gt;&lt;wsp:rsid wsp:val=&quot;61FA4982&quot;/&gt;&lt;wsp:rsid wsp:val=&quot;61FB21BD&quot;/&gt;&lt;wsp:rsid wsp:val=&quot;61FB4D8E&quot;/&gt;&lt;wsp:rsid wsp:val=&quot;61FC622B&quot;/&gt;&lt;wsp:rsid wsp:val=&quot;62045801&quot;/&gt;&lt;wsp:rsid wsp:val=&quot;62053A53&quot;/&gt;&lt;wsp:rsid wsp:val=&quot;62092E18&quot;/&gt;&lt;wsp:rsid wsp:val=&quot;620A1069&quot;/&gt;&lt;wsp:rsid wsp:val=&quot;620B2183&quot;/&gt;&lt;wsp:rsid wsp:val=&quot;620B41EB&quot;/&gt;&lt;wsp:rsid wsp:val=&quot;620C3034&quot;/&gt;&lt;wsp:rsid wsp:val=&quot;620C5D12&quot;/&gt;&lt;wsp:rsid wsp:val=&quot;620D0B5A&quot;/&gt;&lt;wsp:rsid wsp:val=&quot;620F48D2&quot;/&gt;&lt;wsp:rsid wsp:val=&quot;62141908&quot;/&gt;&lt;wsp:rsid wsp:val=&quot;62141EE8&quot;/&gt;&lt;wsp:rsid wsp:val=&quot;62143C96&quot;/&gt;&lt;wsp:rsid wsp:val=&quot;621517BC&quot;/&gt;&lt;wsp:rsid wsp:val=&quot;62165C60&quot;/&gt;&lt;wsp:rsid wsp:val=&quot;621718F7&quot;/&gt;&lt;wsp:rsid wsp:val=&quot;62173786&quot;/&gt;&lt;wsp:rsid wsp:val=&quot;621842B5&quot;/&gt;&lt;wsp:rsid wsp:val=&quot;62195750&quot;/&gt;&lt;wsp:rsid wsp:val=&quot;621B3775&quot;/&gt;&lt;wsp:rsid wsp:val=&quot;621D41B6&quot;/&gt;&lt;wsp:rsid wsp:val=&quot;621E4B15&quot;/&gt;&lt;wsp:rsid wsp:val=&quot;621E68C3&quot;/&gt;&lt;wsp:rsid wsp:val=&quot;621F43E9&quot;/&gt;&lt;wsp:rsid wsp:val=&quot;6220088D&quot;/&gt;&lt;wsp:rsid wsp:val=&quot;6220263B&quot;/&gt;&lt;wsp:rsid wsp:val=&quot;62206ADF&quot;/&gt;&lt;wsp:rsid wsp:val=&quot;622163B3&quot;/&gt;&lt;wsp:rsid wsp:val=&quot;622201F3&quot;/&gt;&lt;wsp:rsid wsp:val=&quot;62226E43&quot;/&gt;&lt;wsp:rsid wsp:val=&quot;62227C87&quot;/&gt;&lt;wsp:rsid wsp:val=&quot;6223037D&quot;/&gt;&lt;wsp:rsid wsp:val=&quot;62231F9D&quot;/&gt;&lt;wsp:rsid wsp:val=&quot;6223212B&quot;/&gt;&lt;wsp:rsid wsp:val=&quot;62257C51&quot;/&gt;&lt;wsp:rsid wsp:val=&quot;62261C1B&quot;/&gt;&lt;wsp:rsid wsp:val=&quot;62265778&quot;/&gt;&lt;wsp:rsid wsp:val=&quot;62266801&quot;/&gt;&lt;wsp:rsid wsp:val=&quot;622814F0&quot;/&gt;&lt;wsp:rsid wsp:val=&quot;622A34BA&quot;/&gt;&lt;wsp:rsid wsp:val=&quot;622C2AF7&quot;/&gt;&lt;wsp:rsid wsp:val=&quot;622D2FAA&quot;/&gt;&lt;wsp:rsid wsp:val=&quot;622D6B06&quot;/&gt;&lt;wsp:rsid wsp:val=&quot;622F0AD0&quot;/&gt;&lt;wsp:rsid wsp:val=&quot;622F287E&quot;/&gt;&lt;wsp:rsid wsp:val=&quot;622F6D22&quot;/&gt;&lt;wsp:rsid wsp:val=&quot;623065F6&quot;/&gt;&lt;wsp:rsid wsp:val=&quot;623600B0&quot;/&gt;&lt;wsp:rsid wsp:val=&quot;62360F7F&quot;/&gt;&lt;wsp:rsid wsp:val=&quot;62364782&quot;/&gt;&lt;wsp:rsid wsp:val=&quot;62377985&quot;/&gt;&lt;wsp:rsid wsp:val=&quot;6239194F&quot;/&gt;&lt;wsp:rsid wsp:val=&quot;62392789&quot;/&gt;&lt;wsp:rsid wsp:val=&quot;623936FD&quot;/&gt;&lt;wsp:rsid wsp:val=&quot;623954AB&quot;/&gt;&lt;wsp:rsid wsp:val=&quot;62397BA1&quot;/&gt;&lt;wsp:rsid wsp:val=&quot;623A0D90&quot;/&gt;&lt;wsp:rsid wsp:val=&quot;623E51B7&quot;/&gt;&lt;wsp:rsid wsp:val=&quot;623E6F65&quot;/&gt;&lt;wsp:rsid wsp:val=&quot;623F6839&quot;/&gt;&lt;wsp:rsid wsp:val=&quot;6240165B&quot;/&gt;&lt;wsp:rsid wsp:val=&quot;62404A8B&quot;/&gt;&lt;wsp:rsid wsp:val=&quot;624520A2&quot;/&gt;&lt;wsp:rsid wsp:val=&quot;62457B6A&quot;/&gt;&lt;wsp:rsid wsp:val=&quot;62465E1A&quot;/&gt;&lt;wsp:rsid wsp:val=&quot;62471F04&quot;/&gt;&lt;wsp:rsid wsp:val=&quot;6247406C&quot;/&gt;&lt;wsp:rsid wsp:val=&quot;624A590A&quot;/&gt;&lt;wsp:rsid wsp:val=&quot;624B7144&quot;/&gt;&lt;wsp:rsid wsp:val=&quot;624C31A5&quot;/&gt;&lt;wsp:rsid wsp:val=&quot;624D3FDD&quot;/&gt;&lt;wsp:rsid wsp:val=&quot;624D53FA&quot;/&gt;&lt;wsp:rsid wsp:val=&quot;624F1B26&quot;/&gt;&lt;wsp:rsid wsp:val=&quot;62515B87&quot;/&gt;&lt;wsp:rsid wsp:val=&quot;625255ED&quot;/&gt;&lt;wsp:rsid wsp:val=&quot;6252656D&quot;/&gt;&lt;wsp:rsid wsp:val=&quot;62540537&quot;/&gt;&lt;wsp:rsid wsp:val=&quot;62555001&quot;/&gt;&lt;wsp:rsid wsp:val=&quot;62570027&quot;/&gt;&lt;wsp:rsid wsp:val=&quot;625702B8&quot;/&gt;&lt;wsp:rsid wsp:val=&quot;62571DD5&quot;/&gt;&lt;wsp:rsid wsp:val=&quot;625966A2&quot;/&gt;&lt;wsp:rsid wsp:val=&quot;625B7B17&quot;/&gt;&lt;wsp:rsid wsp:val=&quot;625C563D&quot;/&gt;&lt;wsp:rsid wsp:val=&quot;625D388F&quot;/&gt;&lt;wsp:rsid wsp:val=&quot;625E3163&quot;/&gt;&lt;wsp:rsid wsp:val=&quot;625E55BA&quot;/&gt;&lt;wsp:rsid wsp:val=&quot;6260512D&quot;/&gt;&lt;wsp:rsid wsp:val=&quot;626224BF&quot;/&gt;&lt;wsp:rsid wsp:val=&quot;626253CB&quot;/&gt;&lt;wsp:rsid wsp:val=&quot;62634C1E&quot;/&gt;&lt;wsp:rsid wsp:val=&quot;6267026A&quot;/&gt;&lt;wsp:rsid wsp:val=&quot;626744AF&quot;/&gt;&lt;wsp:rsid wsp:val=&quot;62677DAD&quot;/&gt;&lt;wsp:rsid wsp:val=&quot;62682234&quot;/&gt;&lt;wsp:rsid wsp:val=&quot;626C3AD2&quot;/&gt;&lt;wsp:rsid wsp:val=&quot;626C5880&quot;/&gt;&lt;wsp:rsid wsp:val=&quot;626D15F8&quot;/&gt;&lt;wsp:rsid wsp:val=&quot;62704626&quot;/&gt;&lt;wsp:rsid wsp:val=&quot;627110E9&quot;/&gt;&lt;wsp:rsid wsp:val=&quot;62724E61&quot;/&gt;&lt;wsp:rsid wsp:val=&quot;62726C0F&quot;/&gt;&lt;wsp:rsid wsp:val=&quot;62732B60&quot;/&gt;&lt;wsp:rsid wsp:val=&quot;62740BD9&quot;/&gt;&lt;wsp:rsid wsp:val=&quot;62775FD3&quot;/&gt;&lt;wsp:rsid wsp:val=&quot;62776161&quot;/&gt;&lt;wsp:rsid wsp:val=&quot;62791D4B&quot;/&gt;&lt;wsp:rsid wsp:val=&quot;62797F9D&quot;/&gt;&lt;wsp:rsid wsp:val=&quot;627B2649&quot;/&gt;&lt;wsp:rsid wsp:val=&quot;627D432D&quot;/&gt;&lt;wsp:rsid wsp:val=&quot;628030DA&quot;/&gt;&lt;wsp:rsid wsp:val=&quot;6280757E&quot;/&gt;&lt;wsp:rsid wsp:val=&quot;62811AFD&quot;/&gt;&lt;wsp:rsid wsp:val=&quot;6283706E&quot;/&gt;&lt;wsp:rsid wsp:val=&quot;628726BA&quot;/&gt;&lt;wsp:rsid wsp:val=&quot;62894684&quot;/&gt;&lt;wsp:rsid wsp:val=&quot;628A3147&quot;/&gt;&lt;wsp:rsid wsp:val=&quot;628C1A7E&quot;/&gt;&lt;wsp:rsid wsp:val=&quot;628C5F22&quot;/&gt;&lt;wsp:rsid wsp:val=&quot;628D3A49&quot;/&gt;&lt;wsp:rsid wsp:val=&quot;628E2F58&quot;/&gt;&lt;wsp:rsid wsp:val=&quot;628F156F&quot;/&gt;&lt;wsp:rsid wsp:val=&quot;629152E7&quot;/&gt;&lt;wsp:rsid wsp:val=&quot;6292105F&quot;/&gt;&lt;wsp:rsid wsp:val=&quot;62922E0D&quot;/&gt;&lt;wsp:rsid wsp:val=&quot;62950A77&quot;/&gt;&lt;wsp:rsid wsp:val=&quot;62953FE3&quot;/&gt;&lt;wsp:rsid wsp:val=&quot;62960B4F&quot;/&gt;&lt;wsp:rsid wsp:val=&quot;62970423&quot;/&gt;&lt;wsp:rsid wsp:val=&quot;62976675&quot;/&gt;&lt;wsp:rsid wsp:val=&quot;629923ED&quot;/&gt;&lt;wsp:rsid wsp:val=&quot;629A2C3C&quot;/&gt;&lt;wsp:rsid wsp:val=&quot;629B4C6D&quot;/&gt;&lt;wsp:rsid wsp:val=&quot;629D15BD&quot;/&gt;&lt;wsp:rsid wsp:val=&quot;629D2462&quot;/&gt;&lt;wsp:rsid wsp:val=&quot;629E1CF3&quot;/&gt;&lt;wsp:rsid wsp:val=&quot;629E52B8&quot;/&gt;&lt;wsp:rsid wsp:val=&quot;62A0552A&quot;/&gt;&lt;wsp:rsid wsp:val=&quot;62A212A2&quot;/&gt;&lt;wsp:rsid wsp:val=&quot;62A25746&quot;/&gt;&lt;wsp:rsid wsp:val=&quot;62A3326C&quot;/&gt;&lt;wsp:rsid wsp:val=&quot;62A3501A&quot;/&gt;&lt;wsp:rsid wsp:val=&quot;62A36DC8&quot;/&gt;&lt;wsp:rsid wsp:val=&quot;62A4089F&quot;/&gt;&lt;wsp:rsid wsp:val=&quot;62A50D92&quot;/&gt;&lt;wsp:rsid wsp:val=&quot;62A5630D&quot;/&gt;&lt;wsp:rsid wsp:val=&quot;62A57D4F&quot;/&gt;&lt;wsp:rsid wsp:val=&quot;62A73AFF&quot;/&gt;&lt;wsp:rsid wsp:val=&quot;62A74B0A&quot;/&gt;&lt;wsp:rsid wsp:val=&quot;62A768B8&quot;/&gt;&lt;wsp:rsid wsp:val=&quot;62A96AD4&quot;/&gt;&lt;wsp:rsid wsp:val=&quot;62AA0157&quot;/&gt;&lt;wsp:rsid wsp:val=&quot;62AA63A9&quot;/&gt;&lt;wsp:rsid wsp:val=&quot;62AB5051&quot;/&gt;&lt;wsp:rsid wsp:val=&quot;62AB5B07&quot;/&gt;&lt;wsp:rsid wsp:val=&quot;62AC2121&quot;/&gt;&lt;wsp:rsid wsp:val=&quot;62AE0E01&quot;/&gt;&lt;wsp:rsid wsp:val=&quot;62AE40EB&quot;/&gt;&lt;wsp:rsid wsp:val=&quot;62AF39BF&quot;/&gt;&lt;wsp:rsid wsp:val=&quot;62B1428E&quot;/&gt;&lt;wsp:rsid wsp:val=&quot;62B34B26&quot;/&gt;&lt;wsp:rsid wsp:val=&quot;62B45479&quot;/&gt;&lt;wsp:rsid wsp:val=&quot;62B47227&quot;/&gt;&lt;wsp:rsid wsp:val=&quot;62B611F1&quot;/&gt;&lt;wsp:rsid wsp:val=&quot;62BC7E8A&quot;/&gt;&lt;wsp:rsid wsp:val=&quot;62BD3DDA&quot;/&gt;&lt;wsp:rsid wsp:val=&quot;62BD432E&quot;/&gt;&lt;wsp:rsid wsp:val=&quot;62BD60DC&quot;/&gt;&lt;wsp:rsid wsp:val=&quot;62BF00A6&quot;/&gt;&lt;wsp:rsid wsp:val=&quot;62C03E1E&quot;/&gt;&lt;wsp:rsid wsp:val=&quot;62C0797A&quot;/&gt;&lt;wsp:rsid wsp:val=&quot;62C332D8&quot;/&gt;&lt;wsp:rsid wsp:val=&quot;62C43D91&quot;/&gt;&lt;wsp:rsid wsp:val=&quot;62C456BC&quot;/&gt;&lt;wsp:rsid wsp:val=&quot;62C51434&quot;/&gt;&lt;wsp:rsid wsp:val=&quot;62C54F90&quot;/&gt;&lt;wsp:rsid wsp:val=&quot;62C84C3C&quot;/&gt;&lt;wsp:rsid wsp:val=&quot;62CA05DA&quot;/&gt;&lt;wsp:rsid wsp:val=&quot;62CA07F9&quot;/&gt;&lt;wsp:rsid wsp:val=&quot;62CA6A4B&quot;/&gt;&lt;wsp:rsid wsp:val=&quot;62CC27C3&quot;/&gt;&lt;wsp:rsid wsp:val=&quot;62CD70A4&quot;/&gt;&lt;wsp:rsid wsp:val=&quot;62CE090B&quot;/&gt;&lt;wsp:rsid wsp:val=&quot;62CE653B&quot;/&gt;&lt;wsp:rsid wsp:val=&quot;62CF4061&quot;/&gt;&lt;wsp:rsid wsp:val=&quot;62CF7BBD&quot;/&gt;&lt;wsp:rsid wsp:val=&quot;62D11B87&quot;/&gt;&lt;wsp:rsid wsp:val=&quot;62D12A63&quot;/&gt;&lt;wsp:rsid wsp:val=&quot;62D13935&quot;/&gt;&lt;wsp:rsid wsp:val=&quot;62D13BE4&quot;/&gt;&lt;wsp:rsid wsp:val=&quot;62D358FF&quot;/&gt;&lt;wsp:rsid wsp:val=&quot;62D43425&quot;/&gt;&lt;wsp:rsid wsp:val=&quot;62DA4EE0&quot;/&gt;&lt;wsp:rsid wsp:val=&quot;62DB0C58&quot;/&gt;&lt;wsp:rsid wsp:val=&quot;62DB2A06&quot;/&gt;&lt;wsp:rsid wsp:val=&quot;62DD22DA&quot;/&gt;&lt;wsp:rsid wsp:val=&quot;62DD657A&quot;/&gt;&lt;wsp:rsid wsp:val=&quot;62DD677E&quot;/&gt;&lt;wsp:rsid wsp:val=&quot;62DD7F00&quot;/&gt;&lt;wsp:rsid wsp:val=&quot;62DE42A4&quot;/&gt;&lt;wsp:rsid wsp:val=&quot;62DF24F6&quot;/&gt;&lt;wsp:rsid wsp:val=&quot;62E25B42&quot;/&gt;&lt;wsp:rsid wsp:val=&quot;62E32561&quot;/&gt;&lt;wsp:rsid wsp:val=&quot;62E33669&quot;/&gt;&lt;wsp:rsid wsp:val=&quot;62E418BB&quot;/&gt;&lt;wsp:rsid wsp:val=&quot;62E47B0C&quot;/&gt;&lt;wsp:rsid wsp:val=&quot;62E53885&quot;/&gt;&lt;wsp:rsid wsp:val=&quot;62E6028B&quot;/&gt;&lt;wsp:rsid wsp:val=&quot;62E713AB&quot;/&gt;&lt;wsp:rsid wsp:val=&quot;62E71689&quot;/&gt;&lt;wsp:rsid wsp:val=&quot;62E73159&quot;/&gt;&lt;wsp:rsid wsp:val=&quot;62E94565&quot;/&gt;&lt;wsp:rsid wsp:val=&quot;62E95123&quot;/&gt;&lt;wsp:rsid wsp:val=&quot;62E95A0A&quot;/&gt;&lt;wsp:rsid wsp:val=&quot;62EA0E9B&quot;/&gt;&lt;wsp:rsid wsp:val=&quot;62EA49F7&quot;/&gt;&lt;wsp:rsid wsp:val=&quot;62EC076F&quot;/&gt;&lt;wsp:rsid wsp:val=&quot;62EC69C1&quot;/&gt;&lt;wsp:rsid wsp:val=&quot;62EE098B&quot;/&gt;&lt;wsp:rsid wsp:val=&quot;62EF0E65&quot;/&gt;&lt;wsp:rsid wsp:val=&quot;62EF1E79&quot;/&gt;&lt;wsp:rsid wsp:val=&quot;62EF200D&quot;/&gt;&lt;wsp:rsid wsp:val=&quot;62EF2532&quot;/&gt;&lt;wsp:rsid wsp:val=&quot;62F04EC6&quot;/&gt;&lt;wsp:rsid wsp:val=&quot;62F0766A&quot;/&gt;&lt;wsp:rsid wsp:val=&quot;62F13FD7&quot;/&gt;&lt;wsp:rsid wsp:val=&quot;62F16356&quot;/&gt;&lt;wsp:rsid wsp:val=&quot;62F615EE&quot;/&gt;&lt;wsp:rsid wsp:val=&quot;62F6339C&quot;/&gt;&lt;wsp:rsid wsp:val=&quot;62F72908&quot;/&gt;&lt;wsp:rsid wsp:val=&quot;62F92E8C&quot;/&gt;&lt;wsp:rsid wsp:val=&quot;62F93315&quot;/&gt;&lt;wsp:rsid wsp:val=&quot;62FA7330&quot;/&gt;&lt;wsp:rsid wsp:val=&quot;62FD0BCE&quot;/&gt;&lt;wsp:rsid wsp:val=&quot;62FD297C&quot;/&gt;&lt;wsp:rsid wsp:val=&quot;62FF66F4&quot;/&gt;&lt;wsp:rsid wsp:val=&quot;630006BE&quot;/&gt;&lt;wsp:rsid wsp:val=&quot;63021D41&quot;/&gt;&lt;wsp:rsid wsp:val=&quot;63043DEE&quot;/&gt;&lt;wsp:rsid wsp:val=&quot;630755A9&quot;/&gt;&lt;wsp:rsid wsp:val=&quot;630759AB&quot;/&gt;&lt;wsp:rsid wsp:val=&quot;630A5099&quot;/&gt;&lt;wsp:rsid wsp:val=&quot;630C7063&quot;/&gt;&lt;wsp:rsid wsp:val=&quot;630E06AB&quot;/&gt;&lt;wsp:rsid wsp:val=&quot;630E2DDB&quot;/&gt;&lt;wsp:rsid wsp:val=&quot;630E6937&quot;/&gt;&lt;wsp:rsid wsp:val=&quot;630F24DE&quot;/&gt;&lt;wsp:rsid wsp:val=&quot;63100901&quot;/&gt;&lt;wsp:rsid wsp:val=&quot;63101B7A&quot;/&gt;&lt;wsp:rsid wsp:val=&quot;63106007&quot;/&gt;&lt;wsp:rsid wsp:val=&quot;631101D6&quot;/&gt;&lt;wsp:rsid wsp:val=&quot;6312568F&quot;/&gt;&lt;wsp:rsid wsp:val=&quot;631400CC&quot;/&gt;&lt;wsp:rsid wsp:val=&quot;6315416A&quot;/&gt;&lt;wsp:rsid wsp:val=&quot;63155479&quot;/&gt;&lt;wsp:rsid wsp:val=&quot;63155F18&quot;/&gt;&lt;wsp:rsid wsp:val=&quot;63181501&quot;/&gt;&lt;wsp:rsid wsp:val=&quot;63185A08&quot;/&gt;&lt;wsp:rsid wsp:val=&quot;631877B6&quot;/&gt;&lt;wsp:rsid wsp:val=&quot;631A16A8&quot;/&gt;&lt;wsp:rsid wsp:val=&quot;631A52DC&quot;/&gt;&lt;wsp:rsid wsp:val=&quot;631C5D81&quot;/&gt;&lt;wsp:rsid wsp:val=&quot;631D3892&quot;/&gt;&lt;wsp:rsid wsp:val=&quot;631D4DCC&quot;/&gt;&lt;wsp:rsid wsp:val=&quot;631D6B7A&quot;/&gt;&lt;wsp:rsid wsp:val=&quot;632223E3&quot;/&gt;&lt;wsp:rsid wsp:val=&quot;63233877&quot;/&gt;&lt;wsp:rsid wsp:val=&quot;632443AD&quot;/&gt;&lt;wsp:rsid wsp:val=&quot;6324615B&quot;/&gt;&lt;wsp:rsid wsp:val=&quot;63251ED3&quot;/&gt;&lt;wsp:rsid wsp:val=&quot;63273CB8&quot;/&gt;&lt;wsp:rsid wsp:val=&quot;63275C4B&quot;/&gt;&lt;wsp:rsid wsp:val=&quot;632779F9&quot;/&gt;&lt;wsp:rsid wsp:val=&quot;63293771&quot;/&gt;&lt;wsp:rsid wsp:val=&quot;632C14B3&quot;/&gt;&lt;wsp:rsid wsp:val=&quot;632C3261&quot;/&gt;&lt;wsp:rsid wsp:val=&quot;632D2297&quot;/&gt;&lt;wsp:rsid wsp:val=&quot;632D2FE1&quot;/&gt;&lt;wsp:rsid wsp:val=&quot;632F68AE&quot;/&gt;&lt;wsp:rsid wsp:val=&quot;63323318&quot;/&gt;&lt;wsp:rsid wsp:val=&quot;63343EC4&quot;/&gt;&lt;wsp:rsid wsp:val=&quot;63350368&quot;/&gt;&lt;wsp:rsid wsp:val=&quot;633635FA&quot;/&gt;&lt;wsp:rsid wsp:val=&quot;63367C3C&quot;/&gt;&lt;wsp:rsid wsp:val=&quot;633A597E&quot;/&gt;&lt;wsp:rsid wsp:val=&quot;633A772C&quot;/&gt;&lt;wsp:rsid wsp:val=&quot;633B746C&quot;/&gt;&lt;wsp:rsid wsp:val=&quot;633B7E21&quot;/&gt;&lt;wsp:rsid wsp:val=&quot;633D721D&quot;/&gt;&lt;wsp:rsid wsp:val=&quot;633F4D43&quot;/&gt;&lt;wsp:rsid wsp:val=&quot;63400ABB&quot;/&gt;&lt;wsp:rsid wsp:val=&quot;63402869&quot;/&gt;&lt;wsp:rsid wsp:val=&quot;634033DE&quot;/&gt;&lt;wsp:rsid wsp:val=&quot;63405B3C&quot;/&gt;&lt;wsp:rsid wsp:val=&quot;63422A85&quot;/&gt;&lt;wsp:rsid wsp:val=&quot;634405AB&quot;/&gt;&lt;wsp:rsid wsp:val=&quot;63442359&quot;/&gt;&lt;wsp:rsid wsp:val=&quot;6344708E&quot;/&gt;&lt;wsp:rsid wsp:val=&quot;634560D1&quot;/&gt;&lt;wsp:rsid wsp:val=&quot;634619AE&quot;/&gt;&lt;wsp:rsid wsp:val=&quot;63472E3E&quot;/&gt;&lt;wsp:rsid wsp:val=&quot;63473BF7&quot;/&gt;&lt;wsp:rsid wsp:val=&quot;63495077&quot;/&gt;&lt;wsp:rsid wsp:val=&quot;634B193A&quot;/&gt;&lt;wsp:rsid wsp:val=&quot;634C3904&quot;/&gt;&lt;wsp:rsid wsp:val=&quot;634C56B2&quot;/&gt;&lt;wsp:rsid wsp:val=&quot;63521E02&quot;/&gt;&lt;wsp:rsid wsp:val=&quot;6353259C&quot;/&gt;&lt;wsp:rsid wsp:val=&quot;635400F5&quot;/&gt;&lt;wsp:rsid wsp:val=&quot;63550013&quot;/&gt;&lt;wsp:rsid wsp:val=&quot;63554566&quot;/&gt;&lt;wsp:rsid wsp:val=&quot;63564760&quot;/&gt;&lt;wsp:rsid wsp:val=&quot;63576530&quot;/&gt;&lt;wsp:rsid wsp:val=&quot;63584057&quot;/&gt;&lt;wsp:rsid wsp:val=&quot;63595888&quot;/&gt;&lt;wsp:rsid wsp:val=&quot;635D64B4&quot;/&gt;&lt;wsp:rsid wsp:val=&quot;63604299&quot;/&gt;&lt;wsp:rsid wsp:val=&quot;636109F6&quot;/&gt;&lt;wsp:rsid wsp:val=&quot;63612F0B&quot;/&gt;&lt;wsp:rsid wsp:val=&quot;63622617&quot;/&gt;&lt;wsp:rsid wsp:val=&quot;63657B08&quot;/&gt;&lt;wsp:rsid wsp:val=&quot;63666773&quot;/&gt;&lt;wsp:rsid wsp:val=&quot;63676CDA&quot;/&gt;&lt;wsp:rsid wsp:val=&quot;636B5B38&quot;/&gt;&lt;wsp:rsid wsp:val=&quot;636C18B0&quot;/&gt;&lt;wsp:rsid wsp:val=&quot;636D5D54&quot;/&gt;&lt;wsp:rsid wsp:val=&quot;637034DA&quot;/&gt;&lt;wsp:rsid wsp:val=&quot;637118D5&quot;/&gt;&lt;wsp:rsid wsp:val=&quot;6372336A&quot;/&gt;&lt;wsp:rsid wsp:val=&quot;6372753B&quot;/&gt;&lt;wsp:rsid wsp:val=&quot;63750765&quot;/&gt;&lt;wsp:rsid wsp:val=&quot;63780255&quot;/&gt;&lt;wsp:rsid wsp:val=&quot;637864A7&quot;/&gt;&lt;wsp:rsid wsp:val=&quot;637A089E&quot;/&gt;&lt;wsp:rsid wsp:val=&quot;637A5D7B&quot;/&gt;&lt;wsp:rsid wsp:val=&quot;637B0BF4&quot;/&gt;&lt;wsp:rsid wsp:val=&quot;637C4FE4&quot;/&gt;&lt;wsp:rsid wsp:val=&quot;637D5B70&quot;/&gt;&lt;wsp:rsid wsp:val=&quot;637D74A2&quot;/&gt;&lt;wsp:rsid wsp:val=&quot;6381535B&quot;/&gt;&lt;wsp:rsid wsp:val=&quot;63844E4C&quot;/&gt;&lt;wsp:rsid wsp:val=&quot;63846BFA&quot;/&gt;&lt;wsp:rsid wsp:val=&quot;63864720&quot;/&gt;&lt;wsp:rsid wsp:val=&quot;6388493C&quot;/&gt;&lt;wsp:rsid wsp:val=&quot;638906B4&quot;/&gt;&lt;wsp:rsid wsp:val=&quot;63894210&quot;/&gt;&lt;wsp:rsid wsp:val=&quot;638A0244&quot;/&gt;&lt;wsp:rsid wsp:val=&quot;638D15D3&quot;/&gt;&lt;wsp:rsid wsp:val=&quot;639332E1&quot;/&gt;&lt;wsp:rsid wsp:val=&quot;6393508F&quot;/&gt;&lt;wsp:rsid wsp:val=&quot;6394356A&quot;/&gt;&lt;wsp:rsid wsp:val=&quot;63947179&quot;/&gt;&lt;wsp:rsid wsp:val=&quot;63950E07&quot;/&gt;&lt;wsp:rsid wsp:val=&quot;63971BF0&quot;/&gt;&lt;wsp:rsid wsp:val=&quot;6397692D&quot;/&gt;&lt;wsp:rsid wsp:val=&quot;639808F7&quot;/&gt;&lt;wsp:rsid wsp:val=&quot;639D5F0D&quot;/&gt;&lt;wsp:rsid wsp:val=&quot;639F3A33&quot;/&gt;&lt;wsp:rsid wsp:val=&quot;639F57E1&quot;/&gt;&lt;wsp:rsid wsp:val=&quot;63A1155A&quot;/&gt;&lt;wsp:rsid wsp:val=&quot;63A177AC&quot;/&gt;&lt;wsp:rsid wsp:val=&quot;63A23524&quot;/&gt;&lt;wsp:rsid wsp:val=&quot;63A30F39&quot;/&gt;&lt;wsp:rsid wsp:val=&quot;63A6642A&quot;/&gt;&lt;wsp:rsid wsp:val=&quot;63A70B3A&quot;/&gt;&lt;wsp:rsid wsp:val=&quot;63A728E8&quot;/&gt;&lt;wsp:rsid wsp:val=&quot;63A86BDE&quot;/&gt;&lt;wsp:rsid wsp:val=&quot;63AA739B&quot;/&gt;&lt;wsp:rsid wsp:val=&quot;63AE1EC8&quot;/&gt;&lt;wsp:rsid wsp:val=&quot;63AE7DF4&quot;/&gt;&lt;wsp:rsid wsp:val=&quot;63B2759E&quot;/&gt;&lt;wsp:rsid wsp:val=&quot;63B30A2E&quot;/&gt;&lt;wsp:rsid wsp:val=&quot;63B35731&quot;/&gt;&lt;wsp:rsid wsp:val=&quot;63B374DF&quot;/&gt;&lt;wsp:rsid wsp:val=&quot;63B52B0E&quot;/&gt;&lt;wsp:rsid wsp:val=&quot;63B53322&quot;/&gt;&lt;wsp:rsid wsp:val=&quot;63B55005&quot;/&gt;&lt;wsp:rsid wsp:val=&quot;63B55D20&quot;/&gt;&lt;wsp:rsid wsp:val=&quot;63B61BC6&quot;/&gt;&lt;wsp:rsid wsp:val=&quot;63B70D7D&quot;/&gt;&lt;wsp:rsid wsp:val=&quot;63B75221&quot;/&gt;&lt;wsp:rsid wsp:val=&quot;63B76FCF&quot;/&gt;&lt;wsp:rsid wsp:val=&quot;63B868A3&quot;/&gt;&lt;wsp:rsid wsp:val=&quot;63B919F1&quot;/&gt;&lt;wsp:rsid wsp:val=&quot;63BD210C&quot;/&gt;&lt;wsp:rsid wsp:val=&quot;63BE2F70&quot;/&gt;&lt;wsp:rsid wsp:val=&quot;63BF40D6&quot;/&gt;&lt;wsp:rsid wsp:val=&quot;63C139AA&quot;/&gt;&lt;wsp:rsid wsp:val=&quot;63C15078&quot;/&gt;&lt;wsp:rsid wsp:val=&quot;63C17E4E&quot;/&gt;&lt;wsp:rsid wsp:val=&quot;63C2075B&quot;/&gt;&lt;wsp:rsid wsp:val=&quot;63C27722&quot;/&gt;&lt;wsp:rsid wsp:val=&quot;63C40272&quot;/&gt;&lt;wsp:rsid wsp:val=&quot;63C41852&quot;/&gt;&lt;wsp:rsid wsp:val=&quot;63C60FC0&quot;/&gt;&lt;wsp:rsid wsp:val=&quot;63C61B2C&quot;/&gt;&lt;wsp:rsid wsp:val=&quot;63C65464&quot;/&gt;&lt;wsp:rsid wsp:val=&quot;63C70334&quot;/&gt;&lt;wsp:rsid wsp:val=&quot;63C70EAE&quot;/&gt;&lt;wsp:rsid wsp:val=&quot;63C74D38&quot;/&gt;&lt;wsp:rsid wsp:val=&quot;63C801D9&quot;/&gt;&lt;wsp:rsid wsp:val=&quot;63C811DC&quot;/&gt;&lt;wsp:rsid wsp:val=&quot;63C82F8A&quot;/&gt;&lt;wsp:rsid wsp:val=&quot;63C84053&quot;/&gt;&lt;wsp:rsid wsp:val=&quot;63C94F54&quot;/&gt;&lt;wsp:rsid wsp:val=&quot;63C96D02&quot;/&gt;&lt;wsp:rsid wsp:val=&quot;63CB4828&quot;/&gt;&lt;wsp:rsid wsp:val=&quot;63CB5574&quot;/&gt;&lt;wsp:rsid wsp:val=&quot;63CD585D&quot;/&gt;&lt;wsp:rsid wsp:val=&quot;63CE69D8&quot;/&gt;&lt;wsp:rsid wsp:val=&quot;63CF256B&quot;/&gt;&lt;wsp:rsid wsp:val=&quot;63CF3EF5&quot;/&gt;&lt;wsp:rsid wsp:val=&quot;63D00091&quot;/&gt;&lt;wsp:rsid wsp:val=&quot;63D17BC5&quot;/&gt;&lt;wsp:rsid wsp:val=&quot;63D17BFA&quot;/&gt;&lt;wsp:rsid wsp:val=&quot;63D22876&quot;/&gt;&lt;wsp:rsid wsp:val=&quot;63D23E09&quot;/&gt;&lt;wsp:rsid wsp:val=&quot;63D336DD&quot;/&gt;&lt;wsp:rsid wsp:val=&quot;63D368D7&quot;/&gt;&lt;wsp:rsid wsp:val=&quot;63D40BE9&quot;/&gt;&lt;wsp:rsid wsp:val=&quot;63D47B81&quot;/&gt;&lt;wsp:rsid wsp:val=&quot;63D511F7&quot;/&gt;&lt;wsp:rsid wsp:val=&quot;63D538F9&quot;/&gt;&lt;wsp:rsid wsp:val=&quot;63D556A7&quot;/&gt;&lt;wsp:rsid wsp:val=&quot;63D5650B&quot;/&gt;&lt;wsp:rsid wsp:val=&quot;63D77671&quot;/&gt;&lt;wsp:rsid wsp:val=&quot;63D80CF3&quot;/&gt;&lt;wsp:rsid wsp:val=&quot;63D86F45&quot;/&gt;&lt;wsp:rsid wsp:val=&quot;63D95197&quot;/&gt;&lt;wsp:rsid wsp:val=&quot;63DA3640&quot;/&gt;&lt;wsp:rsid wsp:val=&quot;63DB65C3&quot;/&gt;&lt;wsp:rsid wsp:val=&quot;63DC4C88&quot;/&gt;&lt;wsp:rsid wsp:val=&quot;63DF02D4&quot;/&gt;&lt;wsp:rsid wsp:val=&quot;63DF2082&quot;/&gt;&lt;wsp:rsid wsp:val=&quot;63DF6BCB&quot;/&gt;&lt;wsp:rsid wsp:val=&quot;63E2236B&quot;/&gt;&lt;wsp:rsid wsp:val=&quot;63E31B72&quot;/&gt;&lt;wsp:rsid wsp:val=&quot;63E37DC4&quot;/&gt;&lt;wsp:rsid wsp:val=&quot;63E8362C&quot;/&gt;&lt;wsp:rsid wsp:val=&quot;63E91153&quot;/&gt;&lt;wsp:rsid wsp:val=&quot;63E94CAF&quot;/&gt;&lt;wsp:rsid wsp:val=&quot;63EA73A4&quot;/&gt;&lt;wsp:rsid wsp:val=&quot;63EB4C62&quot;/&gt;&lt;wsp:rsid wsp:val=&quot;63EB4ECB&quot;/&gt;&lt;wsp:rsid wsp:val=&quot;63ED204F&quot;/&gt;&lt;wsp:rsid wsp:val=&quot;63EE6769&quot;/&gt;&lt;wsp:rsid wsp:val=&quot;63F0603D&quot;/&gt;&lt;wsp:rsid wsp:val=&quot;63F20007&quot;/&gt;&lt;wsp:rsid wsp:val=&quot;63F26259&quot;/&gt;&lt;wsp:rsid wsp:val=&quot;63F55D49&quot;/&gt;&lt;wsp:rsid wsp:val=&quot;63F7561D&quot;/&gt;&lt;wsp:rsid wsp:val=&quot;63F773CC&quot;/&gt;&lt;wsp:rsid wsp:val=&quot;63F91396&quot;/&gt;&lt;wsp:rsid wsp:val=&quot;63F975E8&quot;/&gt;&lt;wsp:rsid wsp:val=&quot;63FD075A&quot;/&gt;&lt;wsp:rsid wsp:val=&quot;63FF44D2&quot;/&gt;&lt;wsp:rsid wsp:val=&quot;63FF4772&quot;/&gt;&lt;wsp:rsid wsp:val=&quot;63FF5EE3&quot;/&gt;&lt;wsp:rsid wsp:val=&quot;6401649C&quot;/&gt;&lt;wsp:rsid wsp:val=&quot;64030466&quot;/&gt;&lt;wsp:rsid wsp:val=&quot;64032214&quot;/&gt;&lt;wsp:rsid wsp:val=&quot;64055F8C&quot;/&gt;&lt;wsp:rsid wsp:val=&quot;64061766&quot;/&gt;&lt;wsp:rsid wsp:val=&quot;64061D04&quot;/&gt;&lt;wsp:rsid wsp:val=&quot;64063AB3&quot;/&gt;&lt;wsp:rsid wsp:val=&quot;64065FA7&quot;/&gt;&lt;wsp:rsid wsp:val=&quot;6408782B&quot;/&gt;&lt;wsp:rsid wsp:val=&quot;640970FF&quot;/&gt;&lt;wsp:rsid wsp:val=&quot;640B10C9&quot;/&gt;&lt;wsp:rsid wsp:val=&quot;640B731B&quot;/&gt;&lt;wsp:rsid wsp:val=&quot;6410048D&quot;/&gt;&lt;wsp:rsid wsp:val=&quot;64102431&quot;/&gt;&lt;wsp:rsid wsp:val=&quot;64104931&quot;/&gt;&lt;wsp:rsid wsp:val=&quot;64106469&quot;/&gt;&lt;wsp:rsid wsp:val=&quot;641206A9&quot;/&gt;&lt;wsp:rsid wsp:val=&quot;64133D6A&quot;/&gt;&lt;wsp:rsid wsp:val=&quot;641362A1&quot;/&gt;&lt;wsp:rsid wsp:val=&quot;64144421&quot;/&gt;&lt;wsp:rsid wsp:val=&quot;64151F48&quot;/&gt;&lt;wsp:rsid wsp:val=&quot;64155AA4&quot;/&gt;&lt;wsp:rsid wsp:val=&quot;6416019A&quot;/&gt;&lt;wsp:rsid wsp:val=&quot;6416578E&quot;/&gt;&lt;wsp:rsid wsp:val=&quot;64167F7B&quot;/&gt;&lt;wsp:rsid wsp:val=&quot;64175CC0&quot;/&gt;&lt;wsp:rsid wsp:val=&quot;64177A6E&quot;/&gt;&lt;wsp:rsid wsp:val=&quot;641937E6&quot;/&gt;&lt;wsp:rsid wsp:val=&quot;641A755E&quot;/&gt;&lt;wsp:rsid wsp:val=&quot;641B57B0&quot;/&gt;&lt;wsp:rsid wsp:val=&quot;641C6E32&quot;/&gt;&lt;wsp:rsid wsp:val=&quot;641E0DFC&quot;/&gt;&lt;wsp:rsid wsp:val=&quot;64216B3E&quot;/&gt;&lt;wsp:rsid wsp:val=&quot;642277FE&quot;/&gt;&lt;wsp:rsid wsp:val=&quot;64234664&quot;/&gt;&lt;wsp:rsid wsp:val=&quot;64234D3C&quot;/&gt;&lt;wsp:rsid wsp:val=&quot;6424218B&quot;/&gt;&lt;wsp:rsid wsp:val=&quot;64252510&quot;/&gt;&lt;wsp:rsid wsp:val=&quot;642730B8&quot;/&gt;&lt;wsp:rsid wsp:val=&quot;64287ECD&quot;/&gt;&lt;wsp:rsid wsp:val=&quot;642D7291&quot;/&gt;&lt;wsp:rsid wsp:val=&quot;642E6B65&quot;/&gt;&lt;wsp:rsid wsp:val=&quot;642E7465&quot;/&gt;&lt;wsp:rsid wsp:val=&quot;642F125B&quot;/&gt;&lt;wsp:rsid wsp:val=&quot;642F1BE3&quot;/&gt;&lt;wsp:rsid wsp:val=&quot;642F4DB7&quot;/&gt;&lt;wsp:rsid wsp:val=&quot;643028DD&quot;/&gt;&lt;wsp:rsid wsp:val=&quot;64303292&quot;/&gt;&lt;wsp:rsid wsp:val=&quot;64340620&quot;/&gt;&lt;wsp:rsid wsp:val=&quot;64357EF4&quot;/&gt;&lt;wsp:rsid wsp:val=&quot;64370594&quot;/&gt;&lt;wsp:rsid wsp:val=&quot;64373C6C&quot;/&gt;&lt;wsp:rsid wsp:val=&quot;64395A85&quot;/&gt;&lt;wsp:rsid wsp:val=&quot;64395C36&quot;/&gt;&lt;wsp:rsid wsp:val=&quot;643B19AE&quot;/&gt;&lt;wsp:rsid wsp:val=&quot;643B64F1&quot;/&gt;&lt;wsp:rsid wsp:val=&quot;643C1282&quot;/&gt;&lt;wsp:rsid wsp:val=&quot;643E324C&quot;/&gt;&lt;wsp:rsid wsp:val=&quot;643E5896&quot;/&gt;&lt;wsp:rsid wsp:val=&quot;64405216&quot;/&gt;&lt;wsp:rsid wsp:val=&quot;64406FC4&quot;/&gt;&lt;wsp:rsid wsp:val=&quot;64426DE8&quot;/&gt;&lt;wsp:rsid wsp:val=&quot;64430863&quot;/&gt;&lt;wsp:rsid wsp:val=&quot;64451A7E&quot;/&gt;&lt;wsp:rsid wsp:val=&quot;64451BDD&quot;/&gt;&lt;wsp:rsid wsp:val=&quot;644545DB&quot;/&gt;&lt;wsp:rsid wsp:val=&quot;6446790D&quot;/&gt;&lt;wsp:rsid wsp:val=&quot;6448479B&quot;/&gt;&lt;wsp:rsid wsp:val=&quot;64487C27&quot;/&gt;&lt;wsp:rsid wsp:val=&quot;644B4E0B&quot;/&gt;&lt;wsp:rsid wsp:val=&quot;644B5969&quot;/&gt;&lt;wsp:rsid wsp:val=&quot;644D16E1&quot;/&gt;&lt;wsp:rsid wsp:val=&quot;644F0FB6&quot;/&gt;&lt;wsp:rsid wsp:val=&quot;64520AA6&quot;/&gt;&lt;wsp:rsid wsp:val=&quot;6452474A&quot;/&gt;&lt;wsp:rsid wsp:val=&quot;64550596&quot;/&gt;&lt;wsp:rsid wsp:val=&quot;645646AB&quot;/&gt;&lt;wsp:rsid wsp:val=&quot;645A795A&quot;/&gt;&lt;wsp:rsid wsp:val=&quot;645B3DFE&quot;/&gt;&lt;wsp:rsid wsp:val=&quot;645B7E78&quot;/&gt;&lt;wsp:rsid wsp:val=&quot;645C2560&quot;/&gt;&lt;wsp:rsid wsp:val=&quot;645C43B0&quot;/&gt;&lt;wsp:rsid wsp:val=&quot;645D6540&quot;/&gt;&lt;wsp:rsid wsp:val=&quot;645E569D&quot;/&gt;&lt;wsp:rsid wsp:val=&quot;645F013B&quot;/&gt;&lt;wsp:rsid wsp:val=&quot;64614447&quot;/&gt;&lt;wsp:rsid wsp:val=&quot;6461518D&quot;/&gt;&lt;wsp:rsid wsp:val=&quot;646507D9&quot;/&gt;&lt;wsp:rsid wsp:val=&quot;64654C7D&quot;/&gt;&lt;wsp:rsid wsp:val=&quot;64664551&quot;/&gt;&lt;wsp:rsid wsp:val=&quot;646709F5&quot;/&gt;&lt;wsp:rsid wsp:val=&quot;646802C9&quot;/&gt;&lt;wsp:rsid wsp:val=&quot;64682077&quot;/&gt;&lt;wsp:rsid wsp:val=&quot;646B6B0C&quot;/&gt;&lt;wsp:rsid wsp:val=&quot;646B7DB9&quot;/&gt;&lt;wsp:rsid wsp:val=&quot;646C600B&quot;/&gt;&lt;wsp:rsid wsp:val=&quot;646F1658&quot;/&gt;&lt;wsp:rsid wsp:val=&quot;646F78AA&quot;/&gt;&lt;wsp:rsid wsp:val=&quot;6472739A&quot;/&gt;&lt;wsp:rsid wsp:val=&quot;64747186&quot;/&gt;&lt;wsp:rsid wsp:val=&quot;64764597&quot;/&gt;&lt;wsp:rsid wsp:val=&quot;64764DFE&quot;/&gt;&lt;wsp:rsid wsp:val=&quot;647924D6&quot;/&gt;&lt;wsp:rsid wsp:val=&quot;647A1DAB&quot;/&gt;&lt;wsp:rsid wsp:val=&quot;647B173E&quot;/&gt;&lt;wsp:rsid wsp:val=&quot;647B5838&quot;/&gt;&lt;wsp:rsid wsp:val=&quot;647B624F&quot;/&gt;&lt;wsp:rsid wsp:val=&quot;647B7FFD&quot;/&gt;&lt;wsp:rsid wsp:val=&quot;647C1FC7&quot;/&gt;&lt;wsp:rsid wsp:val=&quot;647C3D75&quot;/&gt;&lt;wsp:rsid wsp:val=&quot;647C6CC8&quot;/&gt;&lt;wsp:rsid wsp:val=&quot;647D29C9&quot;/&gt;&lt;wsp:rsid wsp:val=&quot;64805613&quot;/&gt;&lt;wsp:rsid wsp:val=&quot;64805649&quot;/&gt;&lt;wsp:rsid wsp:val=&quot;64805BFE&quot;/&gt;&lt;wsp:rsid wsp:val=&quot;648275DD&quot;/&gt;&lt;wsp:rsid wsp:val=&quot;64835103&quot;/&gt;&lt;wsp:rsid wsp:val=&quot;64850E7B&quot;/&gt;&lt;wsp:rsid wsp:val=&quot;648614BB&quot;/&gt;&lt;wsp:rsid wsp:val=&quot;64882719&quot;/&gt;&lt;wsp:rsid wsp:val=&quot;648844C8&quot;/&gt;&lt;wsp:rsid wsp:val=&quot;6489157D&quot;/&gt;&lt;wsp:rsid wsp:val=&quot;648A0240&quot;/&gt;&lt;wsp:rsid wsp:val=&quot;648A3E9D&quot;/&gt;&lt;wsp:rsid wsp:val=&quot;648A446A&quot;/&gt;&lt;wsp:rsid wsp:val=&quot;648B3FB8&quot;/&gt;&lt;wsp:rsid wsp:val=&quot;648C045C&quot;/&gt;&lt;wsp:rsid wsp:val=&quot;648D1ADE&quot;/&gt;&lt;wsp:rsid wsp:val=&quot;648D7D30&quot;/&gt;&lt;wsp:rsid wsp:val=&quot;649317EA&quot;/&gt;&lt;wsp:rsid wsp:val=&quot;649461BE&quot;/&gt;&lt;wsp:rsid wsp:val=&quot;64950FB0&quot;/&gt;&lt;wsp:rsid wsp:val=&quot;64983A60&quot;/&gt;&lt;wsp:rsid wsp:val=&quot;64986E00&quot;/&gt;&lt;wsp:rsid wsp:val=&quot;64994927&quot;/&gt;&lt;wsp:rsid wsp:val=&quot;649B069F&quot;/&gt;&lt;wsp:rsid wsp:val=&quot;649E018F&quot;/&gt;&lt;wsp:rsid wsp:val=&quot;64A01811&quot;/&gt;&lt;wsp:rsid wsp:val=&quot;64A07A63&quot;/&gt;&lt;wsp:rsid wsp:val=&quot;64A10C94&quot;/&gt;&lt;wsp:rsid wsp:val=&quot;64A21A2D&quot;/&gt;&lt;wsp:rsid wsp:val=&quot;64A33930&quot;/&gt;&lt;wsp:rsid wsp:val=&quot;64A5243A&quot;/&gt;&lt;wsp:rsid wsp:val=&quot;64A55079&quot;/&gt;&lt;wsp:rsid wsp:val=&quot;64AA2690&quot;/&gt;&lt;wsp:rsid wsp:val=&quot;64AA6B34&quot;/&gt;&lt;wsp:rsid wsp:val=&quot;64AC31D6&quot;/&gt;&lt;wsp:rsid wsp:val=&quot;64AC55EF&quot;/&gt;&lt;wsp:rsid wsp:val=&quot;64AC6408&quot;/&gt;&lt;wsp:rsid wsp:val=&quot;64AD3F2E&quot;/&gt;&lt;wsp:rsid wsp:val=&quot;64B17EC2&quot;/&gt;&lt;wsp:rsid wsp:val=&quot;64B21544&quot;/&gt;&lt;wsp:rsid wsp:val=&quot;64B21B87&quot;/&gt;&lt;wsp:rsid wsp:val=&quot;64B41760&quot;/&gt;&lt;wsp:rsid wsp:val=&quot;64B452BD&quot;/&gt;&lt;wsp:rsid wsp:val=&quot;64B61035&quot;/&gt;&lt;wsp:rsid wsp:val=&quot;64B74DAD&quot;/&gt;&lt;wsp:rsid wsp:val=&quot;64B82FFF&quot;/&gt;&lt;wsp:rsid wsp:val=&quot;64B957DA&quot;/&gt;&lt;wsp:rsid wsp:val=&quot;64BB2AEF&quot;/&gt;&lt;wsp:rsid wsp:val=&quot;64BC58BD&quot;/&gt;&lt;wsp:rsid wsp:val=&quot;64BD0615&quot;/&gt;&lt;wsp:rsid wsp:val=&quot;64BE2D8D&quot;/&gt;&lt;wsp:rsid wsp:val=&quot;64BE438D&quot;/&gt;&lt;wsp:rsid wsp:val=&quot;64BF1012&quot;/&gt;&lt;wsp:rsid wsp:val=&quot;64BF17B2&quot;/&gt;&lt;wsp:rsid wsp:val=&quot;64C00105&quot;/&gt;&lt;wsp:rsid wsp:val=&quot;64C03C61&quot;/&gt;&lt;wsp:rsid wsp:val=&quot;64C179D9&quot;/&gt;&lt;wsp:rsid wsp:val=&quot;64C33752&quot;/&gt;&lt;wsp:rsid wsp:val=&quot;64C3600D&quot;/&gt;&lt;wsp:rsid wsp:val=&quot;64C5571C&quot;/&gt;&lt;wsp:rsid wsp:val=&quot;64C67DDE&quot;/&gt;&lt;wsp:rsid wsp:val=&quot;64C71494&quot;/&gt;&lt;wsp:rsid wsp:val=&quot;64C934FE&quot;/&gt;&lt;wsp:rsid wsp:val=&quot;64CA0F84&quot;/&gt;&lt;wsp:rsid wsp:val=&quot;64CA2D32&quot;/&gt;&lt;wsp:rsid wsp:val=&quot;64CA4AE0&quot;/&gt;&lt;wsp:rsid wsp:val=&quot;64CB56F9&quot;/&gt;&lt;wsp:rsid wsp:val=&quot;64CC3C50&quot;/&gt;&lt;wsp:rsid wsp:val=&quot;64CE2822&quot;/&gt;&lt;wsp:rsid wsp:val=&quot;64D140C0&quot;/&gt;&lt;wsp:rsid wsp:val=&quot;64D21BE7&quot;/&gt;&lt;wsp:rsid wsp:val=&quot;64D4018C&quot;/&gt;&lt;wsp:rsid wsp:val=&quot;64D4368D&quot;/&gt;&lt;wsp:rsid wsp:val=&quot;64D43BB1&quot;/&gt;&lt;wsp:rsid wsp:val=&quot;64D4595F&quot;/&gt;&lt;wsp:rsid wsp:val=&quot;64D4770D&quot;/&gt;&lt;wsp:rsid wsp:val=&quot;64D67929&quot;/&gt;&lt;wsp:rsid wsp:val=&quot;64D70FAB&quot;/&gt;&lt;wsp:rsid wsp:val=&quot;64D771FD&quot;/&gt;&lt;wsp:rsid wsp:val=&quot;64D836A1&quot;/&gt;&lt;wsp:rsid wsp:val=&quot;64D8723F&quot;/&gt;&lt;wsp:rsid wsp:val=&quot;64DA2C7F&quot;/&gt;&lt;wsp:rsid wsp:val=&quot;64DB0A9B&quot;/&gt;&lt;wsp:rsid wsp:val=&quot;64DB6CED&quot;/&gt;&lt;wsp:rsid wsp:val=&quot;64DC3A26&quot;/&gt;&lt;wsp:rsid wsp:val=&quot;64DD08C1&quot;/&gt;&lt;wsp:rsid wsp:val=&quot;64DD2A65&quot;/&gt;&lt;wsp:rsid wsp:val=&quot;64DE2339&quot;/&gt;&lt;wsp:rsid wsp:val=&quot;64E02555&quot;/&gt;&lt;wsp:rsid wsp:val=&quot;64E04304&quot;/&gt;&lt;wsp:rsid wsp:val=&quot;64E149E6&quot;/&gt;&lt;wsp:rsid wsp:val=&quot;64E24CD0&quot;/&gt;&lt;wsp:rsid wsp:val=&quot;64E35106&quot;/&gt;&lt;wsp:rsid wsp:val=&quot;64E35BA2&quot;/&gt;&lt;wsp:rsid wsp:val=&quot;64E70858&quot;/&gt;&lt;wsp:rsid wsp:val=&quot;64E835EB&quot;/&gt;&lt;wsp:rsid wsp:val=&quot;64E9765C&quot;/&gt;&lt;wsp:rsid wsp:val=&quot;64EA33D4&quot;/&gt;&lt;wsp:rsid wsp:val=&quot;64EE0C2F&quot;/&gt;&lt;wsp:rsid wsp:val=&quot;64EE4C72&quot;/&gt;&lt;wsp:rsid wsp:val=&quot;64EE6A20&quot;/&gt;&lt;wsp:rsid wsp:val=&quot;64EF4547&quot;/&gt;&lt;wsp:rsid wsp:val=&quot;64F1206D&quot;/&gt;&lt;wsp:rsid wsp:val=&quot;64F14763&quot;/&gt;&lt;wsp:rsid wsp:val=&quot;64F16511&quot;/&gt;&lt;wsp:rsid wsp:val=&quot;64F223F4&quot;/&gt;&lt;wsp:rsid wsp:val=&quot;64F31CDE&quot;/&gt;&lt;wsp:rsid wsp:val=&quot;64F41B5D&quot;/&gt;&lt;wsp:rsid wsp:val=&quot;64F47DAF&quot;/&gt;&lt;wsp:rsid wsp:val=&quot;64F531DE&quot;/&gt;&lt;wsp:rsid wsp:val=&quot;64F658D5&quot;/&gt;&lt;wsp:rsid wsp:val=&quot;64F8164D&quot;/&gt;&lt;wsp:rsid wsp:val=&quot;64F93617&quot;/&gt;&lt;wsp:rsid wsp:val=&quot;64FA3156&quot;/&gt;&lt;wsp:rsid wsp:val=&quot;64FD6C64&quot;/&gt;&lt;wsp:rsid wsp:val=&quot;64FE6262&quot;/&gt;&lt;wsp:rsid wsp:val=&quot;650049A6&quot;/&gt;&lt;wsp:rsid wsp:val=&quot;650224CC&quot;/&gt;&lt;wsp:rsid wsp:val=&quot;65046244&quot;/&gt;&lt;wsp:rsid wsp:val=&quot;65046EDB&quot;/&gt;&lt;wsp:rsid wsp:val=&quot;65047D7F&quot;/&gt;&lt;wsp:rsid wsp:val=&quot;65050F77&quot;/&gt;&lt;wsp:rsid wsp:val=&quot;65051FBC&quot;/&gt;&lt;wsp:rsid wsp:val=&quot;65052950&quot;/&gt;&lt;wsp:rsid wsp:val=&quot;650575AA&quot;/&gt;&lt;wsp:rsid wsp:val=&quot;65067DF9&quot;/&gt;&lt;wsp:rsid wsp:val=&quot;650700DC&quot;/&gt;&lt;wsp:rsid wsp:val=&quot;65075D34&quot;/&gt;&lt;wsp:rsid wsp:val=&quot;6509385A&quot;/&gt;&lt;wsp:rsid wsp:val=&quot;650A1380&quot;/&gt;&lt;wsp:rsid wsp:val=&quot;650A312E&quot;/&gt;&lt;wsp:rsid wsp:val=&quot;650A5824&quot;/&gt;&lt;wsp:rsid wsp:val=&quot;650B0753&quot;/&gt;&lt;wsp:rsid wsp:val=&quot;650C0660&quot;/&gt;&lt;wsp:rsid wsp:val=&quot;650C334B&quot;/&gt;&lt;wsp:rsid wsp:val=&quot;650D2572&quot;/&gt;&lt;wsp:rsid wsp:val=&quot;650D2C1F&quot;/&gt;&lt;wsp:rsid wsp:val=&quot;650E70C3&quot;/&gt;&lt;wsp:rsid wsp:val=&quot;650F4BE9&quot;/&gt;&lt;wsp:rsid wsp:val=&quot;650F65D3&quot;/&gt;&lt;wsp:rsid wsp:val=&quot;65130235&quot;/&gt;&lt;wsp:rsid wsp:val=&quot;65167D25&quot;/&gt;&lt;wsp:rsid wsp:val=&quot;65197815&quot;/&gt;&lt;wsp:rsid wsp:val=&quot;651A3869&quot;/&gt;&lt;wsp:rsid wsp:val=&quot;651D10B4&quot;/&gt;&lt;wsp:rsid wsp:val=&quot;651D2E62&quot;/&gt;&lt;wsp:rsid wsp:val=&quot;651E4C38&quot;/&gt;&lt;wsp:rsid wsp:val=&quot;651E4E2C&quot;/&gt;&lt;wsp:rsid wsp:val=&quot;651F307E&quot;/&gt;&lt;wsp:rsid wsp:val=&quot;65206DF6&quot;/&gt;&lt;wsp:rsid wsp:val=&quot;65222B6E&quot;/&gt;&lt;wsp:rsid wsp:val=&quot;6522491C&quot;/&gt;&lt;wsp:rsid wsp:val=&quot;652561BA&quot;/&gt;&lt;wsp:rsid wsp:val=&quot;65257F68&quot;/&gt;&lt;wsp:rsid wsp:val=&quot;65270472&quot;/&gt;&lt;wsp:rsid wsp:val=&quot;65271F32&quot;/&gt;&lt;wsp:rsid wsp:val=&quot;65283023&quot;/&gt;&lt;wsp:rsid wsp:val=&quot;6529060A&quot;/&gt;&lt;wsp:rsid wsp:val=&quot;65297A59&quot;/&gt;&lt;wsp:rsid wsp:val=&quot;652A37D1&quot;/&gt;&lt;wsp:rsid wsp:val=&quot;653105BE&quot;/&gt;&lt;wsp:rsid wsp:val=&quot;65314B5F&quot;/&gt;&lt;wsp:rsid wsp:val=&quot;6534475C&quot;/&gt;&lt;wsp:rsid wsp:val=&quot;653463FD&quot;/&gt;&lt;wsp:rsid wsp:val=&quot;6535464F&quot;/&gt;&lt;wsp:rsid wsp:val=&quot;653603C7&quot;/&gt;&lt;wsp:rsid wsp:val=&quot;65363F24&quot;/&gt;&lt;wsp:rsid wsp:val=&quot;65366619&quot;/&gt;&lt;wsp:rsid wsp:val=&quot;65373578&quot;/&gt;&lt;wsp:rsid wsp:val=&quot;65385EEE&quot;/&gt;&lt;wsp:rsid wsp:val=&quot;653A252B&quot;/&gt;&lt;wsp:rsid wsp:val=&quot;653B3C30&quot;/&gt;&lt;wsp:rsid wsp:val=&quot;653B59DE&quot;/&gt;&lt;wsp:rsid wsp:val=&quot;653D6AD9&quot;/&gt;&lt;wsp:rsid wsp:val=&quot;653E102A&quot;/&gt;&lt;wsp:rsid wsp:val=&quot;653F36D2&quot;/&gt;&lt;wsp:rsid wsp:val=&quot;653F54CE&quot;/&gt;&lt;wsp:rsid wsp:val=&quot;65401246&quot;/&gt;&lt;wsp:rsid wsp:val=&quot;65411462&quot;/&gt;&lt;wsp:rsid wsp:val=&quot;65436640&quot;/&gt;&lt;wsp:rsid wsp:val=&quot;65444892&quot;/&gt;&lt;wsp:rsid wsp:val=&quot;654523B9&quot;/&gt;&lt;wsp:rsid wsp:val=&quot;6546685C&quot;/&gt;&lt;wsp:rsid wsp:val=&quot;654725D5&quot;/&gt;&lt;wsp:rsid wsp:val=&quot;65476131&quot;/&gt;&lt;wsp:rsid wsp:val=&quot;6548255E&quot;/&gt;&lt;wsp:rsid wsp:val=&quot;654C1999&quot;/&gt;&lt;wsp:rsid wsp:val=&quot;654C6575&quot;/&gt;&lt;wsp:rsid wsp:val=&quot;654C7BEB&quot;/&gt;&lt;wsp:rsid wsp:val=&quot;654D5E54&quot;/&gt;&lt;wsp:rsid wsp:val=&quot;654E3187&quot;/&gt;&lt;wsp:rsid wsp:val=&quot;654F3237&quot;/&gt;&lt;wsp:rsid wsp:val=&quot;65533877&quot;/&gt;&lt;wsp:rsid wsp:val=&quot;65534AD5&quot;/&gt;&lt;wsp:rsid wsp:val=&quot;6555563A&quot;/&gt;&lt;wsp:rsid wsp:val=&quot;65562818&quot;/&gt;&lt;wsp:rsid wsp:val=&quot;65566374&quot;/&gt;&lt;wsp:rsid wsp:val=&quot;65577A76&quot;/&gt;&lt;wsp:rsid wsp:val=&quot;655A5107&quot;/&gt;&lt;wsp:rsid wsp:val=&quot;655B398A&quot;/&gt;&lt;wsp:rsid wsp:val=&quot;655D5954&quot;/&gt;&lt;wsp:rsid wsp:val=&quot;655F1E1A&quot;/&gt;&lt;wsp:rsid wsp:val=&quot;655F791E&quot;/&gt;&lt;wsp:rsid wsp:val=&quot;65605444&quot;/&gt;&lt;wsp:rsid wsp:val=&quot;6565085D&quot;/&gt;&lt;wsp:rsid wsp:val=&quot;65652A5B&quot;/&gt;&lt;wsp:rsid wsp:val=&quot;65654809&quot;/&gt;&lt;wsp:rsid wsp:val=&quot;65660CAD&quot;/&gt;&lt;wsp:rsid wsp:val=&quot;6569254B&quot;/&gt;&lt;wsp:rsid wsp:val=&quot;656B46CF&quot;/&gt;&lt;wsp:rsid wsp:val=&quot;656C203B&quot;/&gt;&lt;wsp:rsid wsp:val=&quot;656C5B5F&quot;/&gt;&lt;wsp:rsid wsp:val=&quot;656C5B97&quot;/&gt;&lt;wsp:rsid wsp:val=&quot;65702D9F&quot;/&gt;&lt;wsp:rsid wsp:val=&quot;65717652&quot;/&gt;&lt;wsp:rsid wsp:val=&quot;65735178&quot;/&gt;&lt;wsp:rsid wsp:val=&quot;65744A4C&quot;/&gt;&lt;wsp:rsid wsp:val=&quot;65752C9E&quot;/&gt;&lt;wsp:rsid wsp:val=&quot;65770F9E&quot;/&gt;&lt;wsp:rsid wsp:val=&quot;65784102&quot;/&gt;&lt;wsp:rsid wsp:val=&quot;657A02B4&quot;/&gt;&lt;wsp:rsid wsp:val=&quot;657A6506&quot;/&gt;&lt;wsp:rsid wsp:val=&quot;657D5FF6&quot;/&gt;&lt;wsp:rsid wsp:val=&quot;657E2F39&quot;/&gt;&lt;wsp:rsid wsp:val=&quot;65817895&quot;/&gt;&lt;wsp:rsid wsp:val=&quot;65866706&quot;/&gt;&lt;wsp:rsid wsp:val=&quot;65876AF7&quot;/&gt;&lt;wsp:rsid wsp:val=&quot;65876E75&quot;/&gt;&lt;wsp:rsid wsp:val=&quot;65881026&quot;/&gt;&lt;wsp:rsid wsp:val=&quot;6589499B&quot;/&gt;&lt;wsp:rsid wsp:val=&quot;658A7C58&quot;/&gt;&lt;wsp:rsid wsp:val=&quot;658E1FB1&quot;/&gt;&lt;wsp:rsid wsp:val=&quot;658E3D60&quot;/&gt;&lt;wsp:rsid wsp:val=&quot;658E7A69&quot;/&gt;&lt;wsp:rsid wsp:val=&quot;65904F5A&quot;/&gt;&lt;wsp:rsid wsp:val=&quot;65913850&quot;/&gt;&lt;wsp:rsid wsp:val=&quot;659155FE&quot;/&gt;&lt;wsp:rsid wsp:val=&quot;659163EA&quot;/&gt;&lt;wsp:rsid wsp:val=&quot;65930B2B&quot;/&gt;&lt;wsp:rsid wsp:val=&quot;65956E9C&quot;/&gt;&lt;wsp:rsid wsp:val=&quot;6597262F&quot;/&gt;&lt;wsp:rsid wsp:val=&quot;65982E30&quot;/&gt;&lt;wsp:rsid wsp:val=&quot;659A0C16&quot;/&gt;&lt;wsp:rsid wsp:val=&quot;659A2704&quot;/&gt;&lt;wsp:rsid wsp:val=&quot;659B206D&quot;/&gt;&lt;wsp:rsid wsp:val=&quot;659B5909&quot;/&gt;&lt;wsp:rsid wsp:val=&quot;659D0447&quot;/&gt;&lt;wsp:rsid wsp:val=&quot;659D1DBC&quot;/&gt;&lt;wsp:rsid wsp:val=&quot;65A11CE5&quot;/&gt;&lt;wsp:rsid wsp:val=&quot;65A215B9&quot;/&gt;&lt;wsp:rsid wsp:val=&quot;65A417D5&quot;/&gt;&lt;wsp:rsid wsp:val=&quot;65A44A7B&quot;/&gt;&lt;wsp:rsid wsp:val=&quot;65A45331&quot;/&gt;&lt;wsp:rsid wsp:val=&quot;65A6554D&quot;/&gt;&lt;wsp:rsid wsp:val=&quot;65A74D5F&quot;/&gt;&lt;wsp:rsid wsp:val=&quot;65A75A3F&quot;/&gt;&lt;wsp:rsid wsp:val=&quot;65A803C6&quot;/&gt;&lt;wsp:rsid wsp:val=&quot;65A90B99&quot;/&gt;&lt;wsp:rsid wsp:val=&quot;65AC2438&quot;/&gt;&lt;wsp:rsid wsp:val=&quot;65B25CA0&quot;/&gt;&lt;wsp:rsid wsp:val=&quot;65B337C6&quot;/&gt;&lt;wsp:rsid wsp:val=&quot;65B44217&quot;/&gt;&lt;wsp:rsid wsp:val=&quot;65B65064&quot;/&gt;&lt;wsp:rsid wsp:val=&quot;65BC6272&quot;/&gt;&lt;wsp:rsid wsp:val=&quot;65BD2897&quot;/&gt;&lt;wsp:rsid wsp:val=&quot;65BD3F77&quot;/&gt;&lt;wsp:rsid wsp:val=&quot;65BE21B3&quot;/&gt;&lt;wsp:rsid wsp:val=&quot;65BE7A9A&quot;/&gt;&lt;wsp:rsid wsp:val=&quot;65C07C91&quot;/&gt;&lt;wsp:rsid wsp:val=&quot;65C15EE3&quot;/&gt;&lt;wsp:rsid wsp:val=&quot;65C22647&quot;/&gt;&lt;wsp:rsid wsp:val=&quot;65C37EAD&quot;/&gt;&lt;wsp:rsid wsp:val=&quot;65C43C25&quot;/&gt;&lt;wsp:rsid wsp:val=&quot;65C634F9&quot;/&gt;&lt;wsp:rsid wsp:val=&quot;65C6799D&quot;/&gt;&lt;wsp:rsid wsp:val=&quot;65C82D60&quot;/&gt;&lt;wsp:rsid wsp:val=&quot;65C854C3&quot;/&gt;&lt;wsp:rsid wsp:val=&quot;65C92FEA&quot;/&gt;&lt;wsp:rsid wsp:val=&quot;65C96FBC&quot;/&gt;&lt;wsp:rsid wsp:val=&quot;65CB6D62&quot;/&gt;&lt;wsp:rsid wsp:val=&quot;65CD0D2C&quot;/&gt;&lt;wsp:rsid wsp:val=&quot;65D1748D&quot;/&gt;&lt;wsp:rsid wsp:val=&quot;65D35C16&quot;/&gt;&lt;wsp:rsid wsp:val=&quot;65D3619D&quot;/&gt;&lt;wsp:rsid wsp:val=&quot;65D379C4&quot;/&gt;&lt;wsp:rsid wsp:val=&quot;65D50ABD&quot;/&gt;&lt;wsp:rsid wsp:val=&quot;65D75707&quot;/&gt;&lt;wsp:rsid wsp:val=&quot;65DA0D53&quot;/&gt;&lt;wsp:rsid wsp:val=&quot;65DA51F7&quot;/&gt;&lt;wsp:rsid wsp:val=&quot;65DA6FA5&quot;/&gt;&lt;wsp:rsid wsp:val=&quot;65DB484A&quot;/&gt;&lt;wsp:rsid wsp:val=&quot;65DD6A95&quot;/&gt;&lt;wsp:rsid wsp:val=&quot;65DF280D&quot;/&gt;&lt;wsp:rsid wsp:val=&quot;65E05BD0&quot;/&gt;&lt;wsp:rsid wsp:val=&quot;65E120E1&quot;/&gt;&lt;wsp:rsid wsp:val=&quot;65E6594A&quot;/&gt;&lt;wsp:rsid wsp:val=&quot;65E676F8&quot;/&gt;&lt;wsp:rsid wsp:val=&quot;65E816C2&quot;/&gt;&lt;wsp:rsid wsp:val=&quot;65EE2A50&quot;/&gt;&lt;wsp:rsid wsp:val=&quot;65EE47FE&quot;/&gt;&lt;wsp:rsid wsp:val=&quot;65F10513&quot;/&gt;&lt;wsp:rsid wsp:val=&quot;65F22BB6&quot;/&gt;&lt;wsp:rsid wsp:val=&quot;65F35787&quot;/&gt;&lt;wsp:rsid wsp:val=&quot;65F8567D&quot;/&gt;&lt;wsp:rsid wsp:val=&quot;65F870F1&quot;/&gt;&lt;wsp:rsid wsp:val=&quot;65F9692B&quot;/&gt;&lt;wsp:rsid wsp:val=&quot;65F97EB8&quot;/&gt;&lt;wsp:rsid wsp:val=&quot;65FA31A3&quot;/&gt;&lt;wsp:rsid wsp:val=&quot;65FA7647&quot;/&gt;&lt;wsp:rsid wsp:val=&quot;65FC516D&quot;/&gt;&lt;wsp:rsid wsp:val=&quot;65FC6EF7&quot;/&gt;&lt;wsp:rsid wsp:val=&quot;65FC6F1B&quot;/&gt;&lt;wsp:rsid wsp:val=&quot;66012783&quot;/&gt;&lt;wsp:rsid wsp:val=&quot;66041731&quot;/&gt;&lt;wsp:rsid wsp:val=&quot;66053E26&quot;/&gt;&lt;wsp:rsid wsp:val=&quot;66063E90&quot;/&gt;&lt;wsp:rsid wsp:val=&quot;66065FEC&quot;/&gt;&lt;wsp:rsid wsp:val=&quot;66066425&quot;/&gt;&lt;wsp:rsid wsp:val=&quot;6607435A&quot;/&gt;&lt;wsp:rsid wsp:val=&quot;66091638&quot;/&gt;&lt;wsp:rsid wsp:val=&quot;66096324&quot;/&gt;&lt;wsp:rsid wsp:val=&quot;660B3602&quot;/&gt;&lt;wsp:rsid wsp:val=&quot;660B3A0E&quot;/&gt;&lt;wsp:rsid wsp:val=&quot;660B53B0&quot;/&gt;&lt;wsp:rsid wsp:val=&quot;660C1021&quot;/&gt;&lt;wsp:rsid wsp:val=&quot;660D1128&quot;/&gt;&lt;wsp:rsid wsp:val=&quot;660E4EA0&quot;/&gt;&lt;wsp:rsid wsp:val=&quot;660F30F2&quot;/&gt;&lt;wsp:rsid wsp:val=&quot;6611613F&quot;/&gt;&lt;wsp:rsid wsp:val=&quot;66141EEF&quot;/&gt;&lt;wsp:rsid wsp:val=&quot;66154481&quot;/&gt;&lt;wsp:rsid wsp:val=&quot;66155F50&quot;/&gt;&lt;wsp:rsid wsp:val=&quot;6615622F&quot;/&gt;&lt;wsp:rsid wsp:val=&quot;66157FDD&quot;/&gt;&lt;wsp:rsid wsp:val=&quot;661673E0&quot;/&gt;&lt;wsp:rsid wsp:val=&quot;6618187B&quot;/&gt;&lt;wsp:rsid wsp:val=&quot;66187ACD&quot;/&gt;&lt;wsp:rsid wsp:val=&quot;661A1A97&quot;/&gt;&lt;wsp:rsid wsp:val=&quot;661B3A5F&quot;/&gt;&lt;wsp:rsid wsp:val=&quot;661C580F&quot;/&gt;&lt;wsp:rsid wsp:val=&quot;661C75BD&quot;/&gt;&lt;wsp:rsid wsp:val=&quot;661E50E3&quot;/&gt;&lt;wsp:rsid wsp:val=&quot;66257C5E&quot;/&gt;&lt;wsp:rsid wsp:val=&quot;6626043C&quot;/&gt;&lt;wsp:rsid wsp:val=&quot;662621EA&quot;/&gt;&lt;wsp:rsid wsp:val=&quot;66263F98&quot;/&gt;&lt;wsp:rsid wsp:val=&quot;662841B4&quot;/&gt;&lt;wsp:rsid wsp:val=&quot;6628494E&quot;/&gt;&lt;wsp:rsid wsp:val=&quot;66291CDA&quot;/&gt;&lt;wsp:rsid wsp:val=&quot;66293A88&quot;/&gt;&lt;wsp:rsid wsp:val=&quot;662B15AE&quot;/&gt;&lt;wsp:rsid wsp:val=&quot;662C2D47&quot;/&gt;&lt;wsp:rsid wsp:val=&quot;662F16C8&quot;/&gt;&lt;wsp:rsid wsp:val=&quot;662F5543&quot;/&gt;&lt;wsp:rsid wsp:val=&quot;66302B58&quot;/&gt;&lt;wsp:rsid wsp:val=&quot;663150E3&quot;/&gt;&lt;wsp:rsid wsp:val=&quot;663629CA&quot;/&gt;&lt;wsp:rsid wsp:val=&quot;663761A5&quot;/&gt;&lt;wsp:rsid wsp:val=&quot;66383CCB&quot;/&gt;&lt;wsp:rsid wsp:val=&quot;663859C3&quot;/&gt;&lt;wsp:rsid wsp:val=&quot;66391F1D&quot;/&gt;&lt;wsp:rsid wsp:val=&quot;663C7C5F&quot;/&gt;&lt;wsp:rsid wsp:val=&quot;663D12E2&quot;/&gt;&lt;wsp:rsid wsp:val=&quot;663E7D2D&quot;/&gt;&lt;wsp:rsid wsp:val=&quot;663F505A&quot;/&gt;&lt;wsp:rsid wsp:val=&quot;66415276&quot;/&gt;&lt;wsp:rsid wsp:val=&quot;66434B4A&quot;/&gt;&lt;wsp:rsid wsp:val=&quot;66467226&quot;/&gt;&lt;wsp:rsid wsp:val=&quot;66481DB3&quot;/&gt;&lt;wsp:rsid wsp:val=&quot;66482160&quot;/&gt;&lt;wsp:rsid wsp:val=&quot;66495ED8&quot;/&gt;&lt;wsp:rsid wsp:val=&quot;664A237C&quot;/&gt;&lt;wsp:rsid wsp:val=&quot;664B7EA3&quot;/&gt;&lt;wsp:rsid wsp:val=&quot;664E34EF&quot;/&gt;&lt;wsp:rsid wsp:val=&quot;664F7993&quot;/&gt;&lt;wsp:rsid wsp:val=&quot;66501015&quot;/&gt;&lt;wsp:rsid wsp:val=&quot;66507267&quot;/&gt;&lt;wsp:rsid wsp:val=&quot;66544FA9&quot;/&gt;&lt;wsp:rsid wsp:val=&quot;66546D57&quot;/&gt;&lt;wsp:rsid wsp:val=&quot;6655487D&quot;/&gt;&lt;wsp:rsid wsp:val=&quot;66560D21&quot;/&gt;&lt;wsp:rsid wsp:val=&quot;66576847&quot;/&gt;&lt;wsp:rsid wsp:val=&quot;665808D4&quot;/&gt;&lt;wsp:rsid wsp:val=&quot;665925BF&quot;/&gt;&lt;wsp:rsid wsp:val=&quot;665931F4&quot;/&gt;&lt;wsp:rsid wsp:val=&quot;66594935&quot;/&gt;&lt;wsp:rsid wsp:val=&quot;665C20B0&quot;/&gt;&lt;wsp:rsid wsp:val=&quot;665C3E5E&quot;/&gt;&lt;wsp:rsid wsp:val=&quot;665E07E4&quot;/&gt;&lt;wsp:rsid wsp:val=&quot;665E3732&quot;/&gt;&lt;wsp:rsid wsp:val=&quot;665F74AA&quot;/&gt;&lt;wsp:rsid wsp:val=&quot;66623C97&quot;/&gt;&lt;wsp:rsid wsp:val=&quot;66644AC0&quot;/&gt;&lt;wsp:rsid wsp:val=&quot;66650F64&quot;/&gt;&lt;wsp:rsid wsp:val=&quot;66666A8A&quot;/&gt;&lt;wsp:rsid wsp:val=&quot;666A4179&quot;/&gt;&lt;wsp:rsid wsp:val=&quot;666B22F3&quot;/&gt;&lt;wsp:rsid wsp:val=&quot;666D7E19&quot;/&gt;&lt;wsp:rsid wsp:val=&quot;666F3B91&quot;/&gt;&lt;wsp:rsid wsp:val=&quot;66704F4C&quot;/&gt;&lt;wsp:rsid wsp:val=&quot;6672542F&quot;/&gt;&lt;wsp:rsid wsp:val=&quot;667271DD&quot;/&gt;&lt;wsp:rsid wsp:val=&quot;667473F9&quot;/&gt;&lt;wsp:rsid wsp:val=&quot;66756CCD&quot;/&gt;&lt;wsp:rsid wsp:val=&quot;66781110&quot;/&gt;&lt;wsp:rsid wsp:val=&quot;66783C17&quot;/&gt;&lt;wsp:rsid wsp:val=&quot;6679056C&quot;/&gt;&lt;wsp:rsid wsp:val=&quot;66794A10&quot;/&gt;&lt;wsp:rsid wsp:val=&quot;667A42E4&quot;/&gt;&lt;wsp:rsid wsp:val=&quot;667C4500&quot;/&gt;&lt;wsp:rsid wsp:val=&quot;667D2745&quot;/&gt;&lt;wsp:rsid wsp:val=&quot;667E2026&quot;/&gt;&lt;wsp:rsid wsp:val=&quot;667F18FA&quot;/&gt;&lt;wsp:rsid wsp:val=&quot;66815672&quot;/&gt;&lt;wsp:rsid wsp:val=&quot;66824BFA&quot;/&gt;&lt;wsp:rsid wsp:val=&quot;66833198&quot;/&gt;&lt;wsp:rsid wsp:val=&quot;66846F11&quot;/&gt;&lt;wsp:rsid wsp:val=&quot;66855163&quot;/&gt;&lt;wsp:rsid wsp:val=&quot;6688057E&quot;/&gt;&lt;wsp:rsid wsp:val=&quot;668A4527&quot;/&gt;&lt;wsp:rsid wsp:val=&quot;668B029F&quot;/&gt;&lt;wsp:rsid wsp:val=&quot;668D4017&quot;/&gt;&lt;wsp:rsid wsp:val=&quot;668E7F43&quot;/&gt;&lt;wsp:rsid wsp:val=&quot;668F5FE1&quot;/&gt;&lt;wsp:rsid wsp:val=&quot;669075D4&quot;/&gt;&lt;wsp:rsid wsp:val=&quot;6694184A&quot;/&gt;&lt;wsp:rsid wsp:val=&quot;66961D05&quot;/&gt;&lt;wsp:rsid wsp:val=&quot;669748D6&quot;/&gt;&lt;wsp:rsid wsp:val=&quot;66975BC3&quot;/&gt;&lt;wsp:rsid wsp:val=&quot;66975E95&quot;/&gt;&lt;wsp:rsid wsp:val=&quot;66990C0E&quot;/&gt;&lt;wsp:rsid wsp:val=&quot;66991DC7&quot;/&gt;&lt;wsp:rsid wsp:val=&quot;66993733&quot;/&gt;&lt;wsp:rsid wsp:val=&quot;669B2BD8&quot;/&gt;&lt;wsp:rsid wsp:val=&quot;669C06FE&quot;/&gt;&lt;wsp:rsid wsp:val=&quot;669C24AC&quot;/&gt;&lt;wsp:rsid wsp:val=&quot;669E6224&quot;/&gt;&lt;wsp:rsid wsp:val=&quot;66A03D4A&quot;/&gt;&lt;wsp:rsid wsp:val=&quot;66A11C6C&quot;/&gt;&lt;wsp:rsid wsp:val=&quot;66A14EEF&quot;/&gt;&lt;wsp:rsid wsp:val=&quot;66A25987&quot;/&gt;&lt;wsp:rsid wsp:val=&quot;66A31A8D&quot;/&gt;&lt;wsp:rsid wsp:val=&quot;66A32B8D&quot;/&gt;&lt;wsp:rsid wsp:val=&quot;66A3383B&quot;/&gt;&lt;wsp:rsid wsp:val=&quot;66A617FA&quot;/&gt;&lt;wsp:rsid wsp:val=&quot;66A650D9&quot;/&gt;&lt;wsp:rsid wsp:val=&quot;66A852F5&quot;/&gt;&lt;wsp:rsid wsp:val=&quot;66A870A3&quot;/&gt;&lt;wsp:rsid wsp:val=&quot;66AA6977&quot;/&gt;&lt;wsp:rsid wsp:val=&quot;66AD290B&quot;/&gt;&lt;wsp:rsid wsp:val=&quot;66AF3F8D&quot;/&gt;&lt;wsp:rsid wsp:val=&quot;66B07D06&quot;/&gt;&lt;wsp:rsid wsp:val=&quot;66B15F58&quot;/&gt;&lt;wsp:rsid wsp:val=&quot;66B1691C&quot;/&gt;&lt;wsp:rsid wsp:val=&quot;66B23A7E&quot;/&gt;&lt;wsp:rsid wsp:val=&quot;66B43DFE&quot;/&gt;&lt;wsp:rsid wsp:val=&quot;66B477F6&quot;/&gt;&lt;wsp:rsid wsp:val=&quot;66B50BA4&quot;/&gt;&lt;wsp:rsid wsp:val=&quot;66B617C0&quot;/&gt;&lt;wsp:rsid wsp:val=&quot;66B6356E&quot;/&gt;&lt;wsp:rsid wsp:val=&quot;66B754CF&quot;/&gt;&lt;wsp:rsid wsp:val=&quot;66B772E6&quot;/&gt;&lt;wsp:rsid wsp:val=&quot;66B8128A&quot;/&gt;&lt;wsp:rsid wsp:val=&quot;66B867E0&quot;/&gt;&lt;wsp:rsid wsp:val=&quot;66B9305E&quot;/&gt;&lt;wsp:rsid wsp:val=&quot;66BB5028&quot;/&gt;&lt;wsp:rsid wsp:val=&quot;66BC2B4E&quot;/&gt;&lt;wsp:rsid wsp:val=&quot;66C0263F&quot;/&gt;&lt;wsp:rsid wsp:val=&quot;66C04F72&quot;/&gt;&lt;wsp:rsid wsp:val=&quot;66C13CC1&quot;/&gt;&lt;wsp:rsid wsp:val=&quot;66C51A03&quot;/&gt;&lt;wsp:rsid wsp:val=&quot;66C551E2&quot;/&gt;&lt;wsp:rsid wsp:val=&quot;66C7577B&quot;/&gt;&lt;wsp:rsid wsp:val=&quot;66C91D02&quot;/&gt;&lt;wsp:rsid wsp:val=&quot;66C97765&quot;/&gt;&lt;wsp:rsid wsp:val=&quot;66CA5709&quot;/&gt;&lt;wsp:rsid wsp:val=&quot;66CC0D83&quot;/&gt;&lt;wsp:rsid wsp:val=&quot;66CE7576&quot;/&gt;&lt;wsp:rsid wsp:val=&quot;66CF2882&quot;/&gt;&lt;wsp:rsid wsp:val=&quot;66CF4630&quot;/&gt;&lt;wsp:rsid wsp:val=&quot;66D103A8&quot;/&gt;&lt;wsp:rsid wsp:val=&quot;66D20057&quot;/&gt;&lt;wsp:rsid wsp:val=&quot;66D32372&quot;/&gt;&lt;wsp:rsid wsp:val=&quot;66D71736&quot;/&gt;&lt;wsp:rsid wsp:val=&quot;66D87988&quot;/&gt;&lt;wsp:rsid wsp:val=&quot;66D95E57&quot;/&gt;&lt;wsp:rsid wsp:val=&quot;66D9725C&quot;/&gt;&lt;wsp:rsid wsp:val=&quot;66DB5200&quot;/&gt;&lt;wsp:rsid wsp:val=&quot;66DE0D17&quot;/&gt;&lt;wsp:rsid wsp:val=&quot;66E005EB&quot;/&gt;&lt;wsp:rsid wsp:val=&quot;66E02DA4&quot;/&gt;&lt;wsp:rsid wsp:val=&quot;66E20A12&quot;/&gt;&lt;wsp:rsid wsp:val=&quot;66E300DB&quot;/&gt;&lt;wsp:rsid wsp:val=&quot;66E61FFF&quot;/&gt;&lt;wsp:rsid wsp:val=&quot;66E621C0&quot;/&gt;&lt;wsp:rsid wsp:val=&quot;66E75E1D&quot;/&gt;&lt;wsp:rsid wsp:val=&quot;66E77BCB&quot;/&gt;&lt;wsp:rsid wsp:val=&quot;66E815AD&quot;/&gt;&lt;wsp:rsid wsp:val=&quot;66E83943&quot;/&gt;&lt;wsp:rsid wsp:val=&quot;66E92A3D&quot;/&gt;&lt;wsp:rsid wsp:val=&quot;66EB24C9&quot;/&gt;&lt;wsp:rsid wsp:val=&quot;66EC6F90&quot;/&gt;&lt;wsp:rsid wsp:val=&quot;66ED0F5A&quot;/&gt;&lt;wsp:rsid wsp:val=&quot;66ED4AB6&quot;/&gt;&lt;wsp:rsid wsp:val=&quot;66EE13A4&quot;/&gt;&lt;wsp:rsid wsp:val=&quot;66EF4CD2&quot;/&gt;&lt;wsp:rsid wsp:val=&quot;66EF6A80&quot;/&gt;&lt;wsp:rsid wsp:val=&quot;66F41291&quot;/&gt;&lt;wsp:rsid wsp:val=&quot;66F422E8&quot;/&gt;&lt;wsp:rsid wsp:val=&quot;66F44096&quot;/&gt;&lt;wsp:rsid wsp:val=&quot;66F81DD8&quot;/&gt;&lt;wsp:rsid wsp:val=&quot;66F83B86&quot;/&gt;&lt;wsp:rsid wsp:val=&quot;66FA6CD3&quot;/&gt;&lt;wsp:rsid wsp:val=&quot;66FC5818&quot;/&gt;&lt;wsp:rsid wsp:val=&quot;66FD119D&quot;/&gt;&lt;wsp:rsid wsp:val=&quot;66FE4F15&quot;/&gt;&lt;wsp:rsid wsp:val=&quot;66FE6CC3&quot;/&gt;&lt;wsp:rsid wsp:val=&quot;66FF0F75&quot;/&gt;&lt;wsp:rsid wsp:val=&quot;67000C8D&quot;/&gt;&lt;wsp:rsid wsp:val=&quot;67006EDF&quot;/&gt;&lt;wsp:rsid wsp:val=&quot;67010561&quot;/&gt;&lt;wsp:rsid wsp:val=&quot;67011AE9&quot;/&gt;&lt;wsp:rsid wsp:val=&quot;67017C22&quot;/&gt;&lt;wsp:rsid wsp:val=&quot;67030D86&quot;/&gt;&lt;wsp:rsid wsp:val=&quot;6707201B&quot;/&gt;&lt;wsp:rsid wsp:val=&quot;67072E52&quot;/&gt;&lt;wsp:rsid wsp:val=&quot;67077D99&quot;/&gt;&lt;wsp:rsid wsp:val=&quot;670818F0&quot;/&gt;&lt;wsp:rsid wsp:val=&quot;67087745&quot;/&gt;&lt;wsp:rsid wsp:val=&quot;67087B42&quot;/&gt;&lt;wsp:rsid wsp:val=&quot;670A38BA&quot;/&gt;&lt;wsp:rsid wsp:val=&quot;670C13E0&quot;/&gt;&lt;wsp:rsid wsp:val=&quot;670C7632&quot;/&gt;&lt;wsp:rsid wsp:val=&quot;670E33AA&quot;/&gt;&lt;wsp:rsid wsp:val=&quot;670F0ED0&quot;/&gt;&lt;wsp:rsid wsp:val=&quot;67114C48&quot;/&gt;&lt;wsp:rsid wsp:val=&quot;671169F6&quot;/&gt;&lt;wsp:rsid wsp:val=&quot;6712276E&quot;/&gt;&lt;wsp:rsid wsp:val=&quot;67135CAA&quot;/&gt;&lt;wsp:rsid wsp:val=&quot;67136C12&quot;/&gt;&lt;wsp:rsid wsp:val=&quot;671505CA&quot;/&gt;&lt;wsp:rsid wsp:val=&quot;6716225F&quot;/&gt;&lt;wsp:rsid wsp:val=&quot;67191C1F&quot;/&gt;&lt;wsp:rsid wsp:val=&quot;67191D4F&quot;/&gt;&lt;wsp:rsid wsp:val=&quot;671966A8&quot;/&gt;&lt;wsp:rsid wsp:val=&quot;671B5AC7&quot;/&gt;&lt;wsp:rsid wsp:val=&quot;671B7875&quot;/&gt;&lt;wsp:rsid wsp:val=&quot;671C1B08&quot;/&gt;&lt;wsp:rsid wsp:val=&quot;671D183F&quot;/&gt;&lt;wsp:rsid wsp:val=&quot;671E1113&quot;/&gt;&lt;wsp:rsid wsp:val=&quot;671F124A&quot;/&gt;&lt;wsp:rsid wsp:val=&quot;671F55B7&quot;/&gt;&lt;wsp:rsid wsp:val=&quot;67204E8B&quot;/&gt;&lt;wsp:rsid wsp:val=&quot;67206C39&quot;/&gt;&lt;wsp:rsid wsp:val=&quot;67241800&quot;/&gt;&lt;wsp:rsid wsp:val=&quot;67244F5F&quot;/&gt;&lt;wsp:rsid wsp:val=&quot;67255C66&quot;/&gt;&lt;wsp:rsid wsp:val=&quot;67256946&quot;/&gt;&lt;wsp:rsid wsp:val=&quot;67257BC4&quot;/&gt;&lt;wsp:rsid wsp:val=&quot;6727446C&quot;/&gt;&lt;wsp:rsid wsp:val=&quot;67277FC8&quot;/&gt;&lt;wsp:rsid wsp:val=&quot;67286A40&quot;/&gt;&lt;wsp:rsid wsp:val=&quot;672901E4&quot;/&gt;&lt;wsp:rsid wsp:val=&quot;672B56F4&quot;/&gt;&lt;wsp:rsid wsp:val=&quot;672C0A07&quot;/&gt;&lt;wsp:rsid wsp:val=&quot;672C7CD4&quot;/&gt;&lt;wsp:rsid wsp:val=&quot;672E28B2&quot;/&gt;&lt;wsp:rsid wsp:val=&quot;672E57FA&quot;/&gt;&lt;wsp:rsid wsp:val=&quot;672F3320&quot;/&gt;&lt;wsp:rsid wsp:val=&quot;673114E2&quot;/&gt;&lt;wsp:rsid wsp:val=&quot;673152EA&quot;/&gt;&lt;wsp:rsid wsp:val=&quot;67332E10&quot;/&gt;&lt;wsp:rsid wsp:val=&quot;67334BBF&quot;/&gt;&lt;wsp:rsid wsp:val=&quot;67346B89&quot;/&gt;&lt;wsp:rsid wsp:val=&quot;673512D8&quot;/&gt;&lt;wsp:rsid wsp:val=&quot;67367682&quot;/&gt;&lt;wsp:rsid wsp:val=&quot;67380427&quot;/&gt;&lt;wsp:rsid wsp:val=&quot;67383032&quot;/&gt;&lt;wsp:rsid wsp:val=&quot;6739419F&quot;/&gt;&lt;wsp:rsid wsp:val=&quot;67394B42&quot;/&gt;&lt;wsp:rsid wsp:val=&quot;67395F4D&quot;/&gt;&lt;wsp:rsid wsp:val=&quot;673B1CC5&quot;/&gt;&lt;wsp:rsid wsp:val=&quot;673F6A54&quot;/&gt;&lt;wsp:rsid wsp:val=&quot;673F7A07&quot;/&gt;&lt;wsp:rsid wsp:val=&quot;67401089&quot;/&gt;&lt;wsp:rsid wsp:val=&quot;6741564F&quot;/&gt;&lt;wsp:rsid wsp:val=&quot;67430B7A&quot;/&gt;&lt;wsp:rsid wsp:val=&quot;6747066A&quot;/&gt;&lt;wsp:rsid wsp:val=&quot;674848E9&quot;/&gt;&lt;wsp:rsid wsp:val=&quot;674A015A&quot;/&gt;&lt;wsp:rsid wsp:val=&quot;674A63AC&quot;/&gt;&lt;wsp:rsid wsp:val=&quot;674B0ED2&quot;/&gt;&lt;wsp:rsid wsp:val=&quot;674B143B&quot;/&gt;&lt;wsp:rsid wsp:val=&quot;674C13C9&quot;/&gt;&lt;wsp:rsid wsp:val=&quot;674C3ED2&quot;/&gt;&lt;wsp:rsid wsp:val=&quot;674E72A6&quot;/&gt;&lt;wsp:rsid wsp:val=&quot;6750022D&quot;/&gt;&lt;wsp:rsid wsp:val=&quot;675114E9&quot;/&gt;&lt;wsp:rsid wsp:val=&quot;67515045&quot;/&gt;&lt;wsp:rsid wsp:val=&quot;6751773B&quot;/&gt;&lt;wsp:rsid wsp:val=&quot;6753700F&quot;/&gt;&lt;wsp:rsid wsp:val=&quot;67542D87&quot;/&gt;&lt;wsp:rsid wsp:val=&quot;675445CD&quot;/&gt;&lt;wsp:rsid wsp:val=&quot;67566AFF&quot;/&gt;&lt;wsp:rsid wsp:val=&quot;67572F4E&quot;/&gt;&lt;wsp:rsid wsp:val=&quot;67580AC9&quot;/&gt;&lt;wsp:rsid wsp:val=&quot;67582877&quot;/&gt;&lt;wsp:rsid wsp:val=&quot;6759214B&quot;/&gt;&lt;wsp:rsid wsp:val=&quot;675A1C36&quot;/&gt;&lt;wsp:rsid wsp:val=&quot;675B2367&quot;/&gt;&lt;wsp:rsid wsp:val=&quot;675B2D5F&quot;/&gt;&lt;wsp:rsid wsp:val=&quot;6760172C&quot;/&gt;&lt;wsp:rsid wsp:val=&quot;676034DA&quot;/&gt;&lt;wsp:rsid wsp:val=&quot;6760797E&quot;/&gt;&lt;wsp:rsid wsp:val=&quot;676254A4&quot;/&gt;&lt;wsp:rsid wsp:val=&quot;6762658C&quot;/&gt;&lt;wsp:rsid wsp:val=&quot;67636EB6&quot;/&gt;&lt;wsp:rsid wsp:val=&quot;67650123&quot;/&gt;&lt;wsp:rsid wsp:val=&quot;676669E2&quot;/&gt;&lt;wsp:rsid wsp:val=&quot;67670484&quot;/&gt;&lt;wsp:rsid wsp:val=&quot;67672ABA&quot;/&gt;&lt;wsp:rsid wsp:val=&quot;676905E0&quot;/&gt;&lt;wsp:rsid wsp:val=&quot;67696832&quot;/&gt;&lt;wsp:rsid wsp:val=&quot;676A4358&quot;/&gt;&lt;wsp:rsid wsp:val=&quot;676A6106&quot;/&gt;&lt;wsp:rsid wsp:val=&quot;676B07FC&quot;/&gt;&lt;wsp:rsid wsp:val=&quot;676C00D0&quot;/&gt;&lt;wsp:rsid wsp:val=&quot;676F11D5&quot;/&gt;&lt;wsp:rsid wsp:val=&quot;676F196F&quot;/&gt;&lt;wsp:rsid wsp:val=&quot;67705236&quot;/&gt;&lt;wsp:rsid wsp:val=&quot;677403BA&quot;/&gt;&lt;wsp:rsid wsp:val=&quot;67746F85&quot;/&gt;&lt;wsp:rsid wsp:val=&quot;67753429&quot;/&gt;&lt;wsp:rsid wsp:val=&quot;677551D7&quot;/&gt;&lt;wsp:rsid wsp:val=&quot;67797A29&quot;/&gt;&lt;wsp:rsid wsp:val=&quot;677A33C6&quot;/&gt;&lt;wsp:rsid wsp:val=&quot;677B0314&quot;/&gt;&lt;wsp:rsid wsp:val=&quot;677B47B7&quot;/&gt;&lt;wsp:rsid wsp:val=&quot;677C605D&quot;/&gt;&lt;wsp:rsid wsp:val=&quot;677D22DE&quot;/&gt;&lt;wsp:rsid wsp:val=&quot;677D408C&quot;/&gt;&lt;wsp:rsid wsp:val=&quot;677F1C8E&quot;/&gt;&lt;wsp:rsid wsp:val=&quot;677F7E04&quot;/&gt;&lt;wsp:rsid wsp:val=&quot;6780592A&quot;/&gt;&lt;wsp:rsid wsp:val=&quot;6784541A&quot;/&gt;&lt;wsp:rsid wsp:val=&quot;67860D92&quot;/&gt;&lt;wsp:rsid wsp:val=&quot;678673E4&quot;/&gt;&lt;wsp:rsid wsp:val=&quot;6787315C&quot;/&gt;&lt;wsp:rsid wsp:val=&quot;67883263&quot;/&gt;&lt;wsp:rsid wsp:val=&quot;678834BD&quot;/&gt;&lt;wsp:rsid wsp:val=&quot;67892A30&quot;/&gt;&lt;wsp:rsid wsp:val=&quot;678A67A9&quot;/&gt;&lt;wsp:rsid wsp:val=&quot;678B49FB&quot;/&gt;&lt;wsp:rsid wsp:val=&quot;678E252D&quot;/&gt;&lt;wsp:rsid wsp:val=&quot;67902011&quot;/&gt;&lt;wsp:rsid wsp:val=&quot;679127AC&quot;/&gt;&lt;wsp:rsid wsp:val=&quot;67915D89&quot;/&gt;&lt;wsp:rsid wsp:val=&quot;679413D5&quot;/&gt;&lt;wsp:rsid wsp:val=&quot;679531A0&quot;/&gt;&lt;wsp:rsid wsp:val=&quot;6796514D&quot;/&gt;&lt;wsp:rsid wsp:val=&quot;67987117&quot;/&gt;&lt;wsp:rsid wsp:val=&quot;679A4C3E&quot;/&gt;&lt;wsp:rsid wsp:val=&quot;679A69EC&quot;/&gt;&lt;wsp:rsid wsp:val=&quot;679B1F3D&quot;/&gt;&lt;wsp:rsid wsp:val=&quot;679C2DC3&quot;/&gt;&lt;wsp:rsid wsp:val=&quot;679C6C08&quot;/&gt;&lt;wsp:rsid wsp:val=&quot;679D028A&quot;/&gt;&lt;wsp:rsid wsp:val=&quot;679D472E&quot;/&gt;&lt;wsp:rsid wsp:val=&quot;679D64DC&quot;/&gt;&lt;wsp:rsid wsp:val=&quot;679F02B4&quot;/&gt;&lt;wsp:rsid wsp:val=&quot;67A122A9&quot;/&gt;&lt;wsp:rsid wsp:val=&quot;67A127C2&quot;/&gt;&lt;wsp:rsid wsp:val=&quot;67A23AF2&quot;/&gt;&lt;wsp:rsid wsp:val=&quot;67A45ABC&quot;/&gt;&lt;wsp:rsid wsp:val=&quot;67A555B6&quot;/&gt;&lt;wsp:rsid wsp:val=&quot;67A61834&quot;/&gt;&lt;wsp:rsid wsp:val=&quot;67A84660&quot;/&gt;&lt;wsp:rsid wsp:val=&quot;67A91325&quot;/&gt;&lt;wsp:rsid wsp:val=&quot;67AA29A7&quot;/&gt;&lt;wsp:rsid wsp:val=&quot;67AC1177&quot;/&gt;&lt;wsp:rsid wsp:val=&quot;67AE1C1C&quot;/&gt;&lt;wsp:rsid wsp:val=&quot;67AE2497&quot;/&gt;&lt;wsp:rsid wsp:val=&quot;67AF1239&quot;/&gt;&lt;wsp:rsid wsp:val=&quot;67B0620F&quot;/&gt;&lt;wsp:rsid wsp:val=&quot;67B11F87&quot;/&gt;&lt;wsp:rsid wsp:val=&quot;67B51A77&quot;/&gt;&lt;wsp:rsid wsp:val=&quot;67B524DA&quot;/&gt;&lt;wsp:rsid wsp:val=&quot;67B6134C&quot;/&gt;&lt;wsp:rsid wsp:val=&quot;67B83777&quot;/&gt;&lt;wsp:rsid wsp:val=&quot;67B850C4&quot;/&gt;&lt;wsp:rsid wsp:val=&quot;67B918F5&quot;/&gt;&lt;wsp:rsid wsp:val=&quot;67BB4BB4&quot;/&gt;&lt;wsp:rsid wsp:val=&quot;67BC2E06&quot;/&gt;&lt;wsp:rsid wsp:val=&quot;67BF6452&quot;/&gt;&lt;wsp:rsid wsp:val=&quot;67C10A7D&quot;/&gt;&lt;wsp:rsid wsp:val=&quot;67C223E6&quot;/&gt;&lt;wsp:rsid wsp:val=&quot;67C43A69&quot;/&gt;&lt;wsp:rsid wsp:val=&quot;67C47F0C&quot;/&gt;&lt;wsp:rsid wsp:val=&quot;67C5088E&quot;/&gt;&lt;wsp:rsid wsp:val=&quot;67C61B84&quot;/&gt;&lt;wsp:rsid wsp:val=&quot;67C717AB&quot;/&gt;&lt;wsp:rsid wsp:val=&quot;67C8720F&quot;/&gt;&lt;wsp:rsid wsp:val=&quot;67CA3C10&quot;/&gt;&lt;wsp:rsid wsp:val=&quot;67CA4DF7&quot;/&gt;&lt;wsp:rsid wsp:val=&quot;67CB3049&quot;/&gt;&lt;wsp:rsid wsp:val=&quot;67CD770E&quot;/&gt;&lt;wsp:rsid wsp:val=&quot;67CE0D8B&quot;/&gt;&lt;wsp:rsid wsp:val=&quot;67CF405C&quot;/&gt;&lt;wsp:rsid wsp:val=&quot;67CF4511&quot;/&gt;&lt;wsp:rsid wsp:val=&quot;67CF5C52&quot;/&gt;&lt;wsp:rsid wsp:val=&quot;67D0065F&quot;/&gt;&lt;wsp:rsid wsp:val=&quot;67D22A2B&quot;/&gt;&lt;wsp:rsid wsp:val=&quot;67D35195&quot;/&gt;&lt;wsp:rsid wsp:val=&quot;67D35A63&quot;/&gt;&lt;wsp:rsid wsp:val=&quot;67D363A2&quot;/&gt;&lt;wsp:rsid wsp:val=&quot;67D87514&quot;/&gt;&lt;wsp:rsid wsp:val=&quot;67DA1624&quot;/&gt;&lt;wsp:rsid wsp:val=&quot;67DB0DB2&quot;/&gt;&lt;wsp:rsid wsp:val=&quot;67DD0FCE&quot;/&gt;&lt;wsp:rsid wsp:val=&quot;67E05496&quot;/&gt;&lt;wsp:rsid wsp:val=&quot;67E16926&quot;/&gt;&lt;wsp:rsid wsp:val=&quot;67E20393&quot;/&gt;&lt;wsp:rsid wsp:val=&quot;67E265E5&quot;/&gt;&lt;wsp:rsid wsp:val=&quot;67E4235D&quot;/&gt;&lt;wsp:rsid wsp:val=&quot;67E46F50&quot;/&gt;&lt;wsp:rsid wsp:val=&quot;67E51A4D&quot;/&gt;&lt;wsp:rsid wsp:val=&quot;67E57A45&quot;/&gt;&lt;wsp:rsid wsp:val=&quot;67E73BFB&quot;/&gt;&lt;wsp:rsid wsp:val=&quot;67E934CF&quot;/&gt;&lt;wsp:rsid wsp:val=&quot;67E97C88&quot;/&gt;&lt;wsp:rsid wsp:val=&quot;67EB36EB&quot;/&gt;&lt;wsp:rsid wsp:val=&quot;67EE31DB&quot;/&gt;&lt;wsp:rsid wsp:val=&quot;67EE4F89&quot;/&gt;&lt;wsp:rsid wsp:val=&quot;67F2247B&quot;/&gt;&lt;wsp:rsid wsp:val=&quot;67F22877&quot;/&gt;&lt;wsp:rsid wsp:val=&quot;67F51E74&quot;/&gt;&lt;wsp:rsid wsp:val=&quot;67F87BB6&quot;/&gt;&lt;wsp:rsid wsp:val=&quot;67FA3534&quot;/&gt;&lt;wsp:rsid wsp:val=&quot;67FA392E&quot;/&gt;&lt;wsp:rsid wsp:val=&quot;67FA56DC&quot;/&gt;&lt;wsp:rsid wsp:val=&quot;67FC76A6&quot;/&gt;&lt;wsp:rsid wsp:val=&quot;67FD6F7B&quot;/&gt;&lt;wsp:rsid wsp:val=&quot;67FF0F45&quot;/&gt;&lt;wsp:rsid wsp:val=&quot;67FF7197&quot;/&gt;&lt;wsp:rsid wsp:val=&quot;68012F0F&quot;/&gt;&lt;wsp:rsid wsp:val=&quot;680227E3&quot;/&gt;&lt;wsp:rsid wsp:val=&quot;6803682D&quot;/&gt;&lt;wsp:rsid wsp:val=&quot;68064081&quot;/&gt;&lt;wsp:rsid wsp:val=&quot;68071BA7&quot;/&gt;&lt;wsp:rsid wsp:val=&quot;68086659&quot;/&gt;&lt;wsp:rsid wsp:val=&quot;68091DC3&quot;/&gt;&lt;wsp:rsid wsp:val=&quot;68093B71&quot;/&gt;&lt;wsp:rsid wsp:val=&quot;68095B31&quot;/&gt;&lt;wsp:rsid wsp:val=&quot;680B78E9&quot;/&gt;&lt;wsp:rsid wsp:val=&quot;680C5410&quot;/&gt;&lt;wsp:rsid wsp:val=&quot;68104F00&quot;/&gt;&lt;wsp:rsid wsp:val=&quot;68120C78&quot;/&gt;&lt;wsp:rsid wsp:val=&quot;68126ECA&quot;/&gt;&lt;wsp:rsid wsp:val=&quot;68150768&quot;/&gt;&lt;wsp:rsid wsp:val=&quot;68172BC2&quot;/&gt;&lt;wsp:rsid wsp:val=&quot;681744E0&quot;/&gt;&lt;wsp:rsid wsp:val=&quot;68182006&quot;/&gt;&lt;wsp:rsid wsp:val=&quot;68183DB4&quot;/&gt;&lt;wsp:rsid wsp:val=&quot;681A7B2C&quot;/&gt;&lt;wsp:rsid wsp:val=&quot;681F3395&quot;/&gt;&lt;wsp:rsid wsp:val=&quot;681F6961&quot;/&gt;&lt;wsp:rsid wsp:val=&quot;6820312D&quot;/&gt;&lt;wsp:rsid wsp:val=&quot;68216989&quot;/&gt;&lt;wsp:rsid wsp:val=&quot;68224C33&quot;/&gt;&lt;wsp:rsid wsp:val=&quot;68246BFD&quot;/&gt;&lt;wsp:rsid wsp:val=&quot;6826129E&quot;/&gt;&lt;wsp:rsid wsp:val=&quot;68262FBC&quot;/&gt;&lt;wsp:rsid wsp:val=&quot;68264723&quot;/&gt;&lt;wsp:rsid wsp:val=&quot;68273FF7&quot;/&gt;&lt;wsp:rsid wsp:val=&quot;68282249&quot;/&gt;&lt;wsp:rsid wsp:val=&quot;68294213&quot;/&gt;&lt;wsp:rsid wsp:val=&quot;682A7955&quot;/&gt;&lt;wsp:rsid wsp:val=&quot;682B3AE8&quot;/&gt;&lt;wsp:rsid wsp:val=&quot;682B7A3B&quot;/&gt;&lt;wsp:rsid wsp:val=&quot;682C1C8B&quot;/&gt;&lt;wsp:rsid wsp:val=&quot;682D5AB2&quot;/&gt;&lt;wsp:rsid wsp:val=&quot;682D7860&quot;/&gt;&lt;wsp:rsid wsp:val=&quot;683055A2&quot;/&gt;&lt;wsp:rsid wsp:val=&quot;683243DC&quot;/&gt;&lt;wsp:rsid wsp:val=&quot;68334284&quot;/&gt;&lt;wsp:rsid wsp:val=&quot;683344CF&quot;/&gt;&lt;wsp:rsid wsp:val=&quot;68352BB8&quot;/&gt;&lt;wsp:rsid wsp:val=&quot;683536BE&quot;/&gt;&lt;wsp:rsid wsp:val=&quot;68354966&quot;/&gt;&lt;wsp:rsid wsp:val=&quot;68376930&quot;/&gt;&lt;wsp:rsid wsp:val=&quot;68394457&quot;/&gt;&lt;wsp:rsid wsp:val=&quot;683A1F7D&quot;/&gt;&lt;wsp:rsid wsp:val=&quot;683A3D2B&quot;/&gt;&lt;wsp:rsid wsp:val=&quot;683B7530&quot;/&gt;&lt;wsp:rsid wsp:val=&quot;683C7AA3&quot;/&gt;&lt;wsp:rsid wsp:val=&quot;683D06E9&quot;/&gt;&lt;wsp:rsid wsp:val=&quot;683E1A6D&quot;/&gt;&lt;wsp:rsid wsp:val=&quot;683E7CBF&quot;/&gt;&lt;wsp:rsid wsp:val=&quot;683F3A37&quot;/&gt;&lt;wsp:rsid wsp:val=&quot;683F57E5&quot;/&gt;&lt;wsp:rsid wsp:val=&quot;6841330B&quot;/&gt;&lt;wsp:rsid wsp:val=&quot;68420E31&quot;/&gt;&lt;wsp:rsid wsp:val=&quot;684352D5&quot;/&gt;&lt;wsp:rsid wsp:val=&quot;6844104D&quot;/&gt;&lt;wsp:rsid wsp:val=&quot;68442DFB&quot;/&gt;&lt;wsp:rsid wsp:val=&quot;68444BA9&quot;/&gt;&lt;wsp:rsid wsp:val=&quot;68464DC5&quot;/&gt;&lt;wsp:rsid wsp:val=&quot;68465D84&quot;/&gt;&lt;wsp:rsid wsp:val=&quot;6848194D&quot;/&gt;&lt;wsp:rsid wsp:val=&quot;684828EC&quot;/&gt;&lt;wsp:rsid wsp:val=&quot;6848469A&quot;/&gt;&lt;wsp:rsid wsp:val=&quot;68490DD6&quot;/&gt;&lt;wsp:rsid wsp:val=&quot;684B23DC&quot;/&gt;&lt;wsp:rsid wsp:val=&quot;684B418A&quot;/&gt;&lt;wsp:rsid wsp:val=&quot;684D2FFA&quot;/&gt;&lt;wsp:rsid wsp:val=&quot;6853303E&quot;/&gt;&lt;wsp:rsid wsp:val=&quot;68594AF9&quot;/&gt;&lt;wsp:rsid wsp:val=&quot;685968A7&quot;/&gt;&lt;wsp:rsid wsp:val=&quot;685C1945&quot;/&gt;&lt;wsp:rsid wsp:val=&quot;685F7F2A&quot;/&gt;&lt;wsp:rsid wsp:val=&quot;68610A2F&quot;/&gt;&lt;wsp:rsid wsp:val=&quot;6861575B&quot;/&gt;&lt;wsp:rsid wsp:val=&quot;686314D3&quot;/&gt;&lt;wsp:rsid wsp:val=&quot;68637725&quot;/&gt;&lt;wsp:rsid wsp:val=&quot;6865349E&quot;/&gt;&lt;wsp:rsid wsp:val=&quot;68660FC4&quot;/&gt;&lt;wsp:rsid wsp:val=&quot;686B1B0F&quot;/&gt;&lt;wsp:rsid wsp:val=&quot;686C7991&quot;/&gt;&lt;wsp:rsid wsp:val=&quot;686F7E78&quot;/&gt;&lt;wsp:rsid wsp:val=&quot;687215ED&quot;/&gt;&lt;wsp:rsid wsp:val=&quot;687409E3&quot;/&gt;&lt;wsp:rsid wsp:val=&quot;68751207&quot;/&gt;&lt;wsp:rsid wsp:val=&quot;68784853&quot;/&gt;&lt;wsp:rsid wsp:val=&quot;687C07E7&quot;/&gt;&lt;wsp:rsid wsp:val=&quot;687C4343&quot;/&gt;&lt;wsp:rsid wsp:val=&quot;687E455F&quot;/&gt;&lt;wsp:rsid wsp:val=&quot;687F20A7&quot;/&gt;&lt;wsp:rsid wsp:val=&quot;68805514&quot;/&gt;&lt;wsp:rsid wsp:val=&quot;6881195A&quot;/&gt;&lt;wsp:rsid wsp:val=&quot;68862E7C&quot;/&gt;&lt;wsp:rsid wsp:val=&quot;68880F3A&quot;/&gt;&lt;wsp:rsid wsp:val=&quot;68896A60&quot;/&gt;&lt;wsp:rsid wsp:val=&quot;688A1A85&quot;/&gt;&lt;wsp:rsid wsp:val=&quot;688A2F04&quot;/&gt;&lt;wsp:rsid wsp:val=&quot;688B0A2A&quot;/&gt;&lt;wsp:rsid wsp:val=&quot;688D02FE&quot;/&gt;&lt;wsp:rsid wsp:val=&quot;688D47A2&quot;/&gt;&lt;wsp:rsid wsp:val=&quot;688D6550&quot;/&gt;&lt;wsp:rsid wsp:val=&quot;688F37C9&quot;/&gt;&lt;wsp:rsid wsp:val=&quot;688F6A1C&quot;/&gt;&lt;wsp:rsid wsp:val=&quot;68910A8B&quot;/&gt;&lt;wsp:rsid wsp:val=&quot;68923B67&quot;/&gt;&lt;wsp:rsid wsp:val=&quot;68945B31&quot;/&gt;&lt;wsp:rsid wsp:val=&quot;68946CAB&quot;/&gt;&lt;wsp:rsid wsp:val=&quot;68953657&quot;/&gt;&lt;wsp:rsid wsp:val=&quot;68955405&quot;/&gt;&lt;wsp:rsid wsp:val=&quot;6896419C&quot;/&gt;&lt;wsp:rsid wsp:val=&quot;68975621&quot;/&gt;&lt;wsp:rsid wsp:val=&quot;68996CA3&quot;/&gt;&lt;wsp:rsid wsp:val=&quot;689E42BA&quot;/&gt;&lt;wsp:rsid wsp:val=&quot;689E7704&quot;/&gt;&lt;wsp:rsid wsp:val=&quot;68A044D6&quot;/&gt;&lt;wsp:rsid wsp:val=&quot;68A1024E&quot;/&gt;&lt;wsp:rsid wsp:val=&quot;68A11FFC&quot;/&gt;&lt;wsp:rsid wsp:val=&quot;68A338A0&quot;/&gt;&lt;wsp:rsid wsp:val=&quot;68A35D74&quot;/&gt;&lt;wsp:rsid wsp:val=&quot;68A43D86&quot;/&gt;&lt;wsp:rsid wsp:val=&quot;68A51AEC&quot;/&gt;&lt;wsp:rsid wsp:val=&quot;68A613C0&quot;/&gt;&lt;wsp:rsid wsp:val=&quot;68AB69D7&quot;/&gt;&lt;wsp:rsid wsp:val=&quot;68AF296B&quot;/&gt;&lt;wsp:rsid wsp:val=&quot;68AF32AA&quot;/&gt;&lt;wsp:rsid wsp:val=&quot;68AF4719&quot;/&gt;&lt;wsp:rsid wsp:val=&quot;68B00491&quot;/&gt;&lt;wsp:rsid wsp:val=&quot;68B166E3&quot;/&gt;&lt;wsp:rsid wsp:val=&quot;68B16EE8&quot;/&gt;&lt;wsp:rsid wsp:val=&quot;68B27D65&quot;/&gt;&lt;wsp:rsid wsp:val=&quot;68B63F43&quot;/&gt;&lt;wsp:rsid wsp:val=&quot;68B65AA7&quot;/&gt;&lt;wsp:rsid wsp:val=&quot;68B834D5&quot;/&gt;&lt;wsp:rsid wsp:val=&quot;68B84965&quot;/&gt;&lt;wsp:rsid wsp:val=&quot;68B95597&quot;/&gt;&lt;wsp:rsid wsp:val=&quot;68B95DF5&quot;/&gt;&lt;wsp:rsid wsp:val=&quot;68B97345&quot;/&gt;&lt;wsp:rsid wsp:val=&quot;68BA4E6C&quot;/&gt;&lt;wsp:rsid wsp:val=&quot;68BB30BE&quot;/&gt;&lt;wsp:rsid wsp:val=&quot;68BC0BE4&quot;/&gt;&lt;wsp:rsid wsp:val=&quot;68BC32E6&quot;/&gt;&lt;wsp:rsid wsp:val=&quot;68BC5088&quot;/&gt;&lt;wsp:rsid wsp:val=&quot;68BC531B&quot;/&gt;&lt;wsp:rsid wsp:val=&quot;68BC6E36&quot;/&gt;&lt;wsp:rsid wsp:val=&quot;68BE2BAE&quot;/&gt;&lt;wsp:rsid wsp:val=&quot;68BF2482&quot;/&gt;&lt;wsp:rsid wsp:val=&quot;68C06926&quot;/&gt;&lt;wsp:rsid wsp:val=&quot;68C36416&quot;/&gt;&lt;wsp:rsid wsp:val=&quot;68C57892&quot;/&gt;&lt;wsp:rsid wsp:val=&quot;68C74A62&quot;/&gt;&lt;wsp:rsid wsp:val=&quot;68C81889&quot;/&gt;&lt;wsp:rsid wsp:val=&quot;68CB194B&quot;/&gt;&lt;wsp:rsid wsp:val=&quot;68CC52CB&quot;/&gt;&lt;wsp:rsid wsp:val=&quot;68CD1043&quot;/&gt;&lt;wsp:rsid wsp:val=&quot;68CF4DBB&quot;/&gt;&lt;wsp:rsid wsp:val=&quot;68CF6B69&quot;/&gt;&lt;wsp:rsid wsp:val=&quot;68CF6B8B&quot;/&gt;&lt;wsp:rsid wsp:val=&quot;68D128E1&quot;/&gt;&lt;wsp:rsid wsp:val=&quot;68D16026&quot;/&gt;&lt;wsp:rsid wsp:val=&quot;68D20407&quot;/&gt;&lt;wsp:rsid wsp:val=&quot;68D221B5&quot;/&gt;&lt;wsp:rsid wsp:val=&quot;68D2550C&quot;/&gt;&lt;wsp:rsid wsp:val=&quot;68D423D1&quot;/&gt;&lt;wsp:rsid wsp:val=&quot;68D66149&quot;/&gt;&lt;wsp:rsid wsp:val=&quot;68D67EF7&quot;/&gt;&lt;wsp:rsid wsp:val=&quot;68D83F4F&quot;/&gt;&lt;wsp:rsid wsp:val=&quot;68D93544&quot;/&gt;&lt;wsp:rsid wsp:val=&quot;68DB3760&quot;/&gt;&lt;wsp:rsid wsp:val=&quot;68DB550E&quot;/&gt;&lt;wsp:rsid wsp:val=&quot;68DB72BC&quot;/&gt;&lt;wsp:rsid wsp:val=&quot;68DC1286&quot;/&gt;&lt;wsp:rsid wsp:val=&quot;68DC4DE2&quot;/&gt;&lt;wsp:rsid wsp:val=&quot;68DD3D60&quot;/&gt;&lt;wsp:rsid wsp:val=&quot;68DE0B5A&quot;/&gt;&lt;wsp:rsid wsp:val=&quot;68E1064A&quot;/&gt;&lt;wsp:rsid wsp:val=&quot;68E1689C&quot;/&gt;&lt;wsp:rsid wsp:val=&quot;68E320A9&quot;/&gt;&lt;wsp:rsid wsp:val=&quot;68E343C2&quot;/&gt;&lt;wsp:rsid wsp:val=&quot;68E5013A&quot;/&gt;&lt;wsp:rsid wsp:val=&quot;68E51EE8&quot;/&gt;&lt;wsp:rsid wsp:val=&quot;68EA39A3&quot;/&gt;&lt;wsp:rsid wsp:val=&quot;68EC771B&quot;/&gt;&lt;wsp:rsid wsp:val=&quot;68ED3493&quot;/&gt;&lt;wsp:rsid wsp:val=&quot;68EF08E9&quot;/&gt;&lt;wsp:rsid wsp:val=&quot;68EF4B15&quot;/&gt;&lt;wsp:rsid wsp:val=&quot;68EF720B&quot;/&gt;&lt;wsp:rsid wsp:val=&quot;68F03A70&quot;/&gt;&lt;wsp:rsid wsp:val=&quot;68F16ADF&quot;/&gt;&lt;wsp:rsid wsp:val=&quot;68F31B06&quot;/&gt;&lt;wsp:rsid wsp:val=&quot;68F34846&quot;/&gt;&lt;wsp:rsid wsp:val=&quot;68F35F86&quot;/&gt;&lt;wsp:rsid wsp:val=&quot;68F47416&quot;/&gt;&lt;wsp:rsid wsp:val=&quot;68F55EA4&quot;/&gt;&lt;wsp:rsid wsp:val=&quot;68F66048&quot;/&gt;&lt;wsp:rsid wsp:val=&quot;68F71B4A&quot;/&gt;&lt;wsp:rsid wsp:val=&quot;68F800AA&quot;/&gt;&lt;wsp:rsid wsp:val=&quot;68F91E38&quot;/&gt;&lt;wsp:rsid wsp:val=&quot;68FB170C&quot;/&gt;&lt;wsp:rsid wsp:val=&quot;68FB5BB0&quot;/&gt;&lt;wsp:rsid wsp:val=&quot;68FD36D6&quot;/&gt;&lt;wsp:rsid wsp:val=&quot;69012A9A&quot;/&gt;&lt;wsp:rsid wsp:val=&quot;6903064C&quot;/&gt;&lt;wsp:rsid wsp:val=&quot;69036813&quot;/&gt;&lt;wsp:rsid wsp:val=&quot;6905258B&quot;/&gt;&lt;wsp:rsid wsp:val=&quot;690600B1&quot;/&gt;&lt;wsp:rsid wsp:val=&quot;69076303&quot;/&gt;&lt;wsp:rsid wsp:val=&quot;69076D25&quot;/&gt;&lt;wsp:rsid wsp:val=&quot;6908207B&quot;/&gt;&lt;wsp:rsid wsp:val=&quot;690E58E3&quot;/&gt;&lt;wsp:rsid wsp:val=&quot;690F3409&quot;/&gt;&lt;wsp:rsid wsp:val=&quot;690F401E&quot;/&gt;&lt;wsp:rsid wsp:val=&quot;69110F2F&quot;/&gt;&lt;wsp:rsid wsp:val=&quot;69112693&quot;/&gt;&lt;wsp:rsid wsp:val=&quot;69112CDD&quot;/&gt;&lt;wsp:rsid wsp:val=&quot;69126A56&quot;/&gt;&lt;wsp:rsid wsp:val=&quot;691722BE&quot;/&gt;&lt;wsp:rsid wsp:val=&quot;6917406C&quot;/&gt;&lt;wsp:rsid wsp:val=&quot;69174D42&quot;/&gt;&lt;wsp:rsid wsp:val=&quot;69197DE4&quot;/&gt;&lt;wsp:rsid wsp:val=&quot;691E2683&quot;/&gt;&lt;wsp:rsid wsp:val=&quot;691E5254&quot;/&gt;&lt;wsp:rsid wsp:val=&quot;691E6DF0&quot;/&gt;&lt;wsp:rsid wsp:val=&quot;692073C4&quot;/&gt;&lt;wsp:rsid wsp:val=&quot;69216C99&quot;/&gt;&lt;wsp:rsid wsp:val=&quot;69236EB5&quot;/&gt;&lt;wsp:rsid wsp:val=&quot;69256789&quot;/&gt;&lt;wsp:rsid wsp:val=&quot;69260A8E&quot;/&gt;&lt;wsp:rsid wsp:val=&quot;692613ED&quot;/&gt;&lt;wsp:rsid wsp:val=&quot;69270753&quot;/&gt;&lt;wsp:rsid wsp:val=&quot;692844CB&quot;/&gt;&lt;wsp:rsid wsp:val=&quot;69286279&quot;/&gt;&lt;wsp:rsid wsp:val=&quot;692A1FF1&quot;/&gt;&lt;wsp:rsid wsp:val=&quot;692C3FBB&quot;/&gt;&lt;wsp:rsid wsp:val=&quot;692C6117&quot;/&gt;&lt;wsp:rsid wsp:val=&quot;692C7B17&quot;/&gt;&lt;wsp:rsid wsp:val=&quot;692D4EA0&quot;/&gt;&lt;wsp:rsid wsp:val=&quot;692E7D33&quot;/&gt;&lt;wsp:rsid wsp:val=&quot;692F7608&quot;/&gt;&lt;wsp:rsid wsp:val=&quot;69303AE6&quot;/&gt;&lt;wsp:rsid wsp:val=&quot;69307669&quot;/&gt;&lt;wsp:rsid wsp:val=&quot;693115D2&quot;/&gt;&lt;wsp:rsid wsp:val=&quot;69316E2F&quot;/&gt;&lt;wsp:rsid wsp:val=&quot;6933184E&quot;/&gt;&lt;wsp:rsid wsp:val=&quot;6933450B&quot;/&gt;&lt;wsp:rsid wsp:val=&quot;693370F8&quot;/&gt;&lt;wsp:rsid wsp:val=&quot;693469CC&quot;/&gt;&lt;wsp:rsid wsp:val=&quot;693571DC&quot;/&gt;&lt;wsp:rsid wsp:val=&quot;6936536D&quot;/&gt;&lt;wsp:rsid wsp:val=&quot;69366BE8&quot;/&gt;&lt;wsp:rsid wsp:val=&quot;69390486&quot;/&gt;&lt;wsp:rsid wsp:val=&quot;6939645A&quot;/&gt;&lt;wsp:rsid wsp:val=&quot;693C3AD3&quot;/&gt;&lt;wsp:rsid wsp:val=&quot;693D1D24&quot;/&gt;&lt;wsp:rsid wsp:val=&quot;693D7F76&quot;/&gt;&lt;wsp:rsid wsp:val=&quot;693E5A9D&quot;/&gt;&lt;wsp:rsid wsp:val=&quot;694035C3&quot;/&gt;&lt;wsp:rsid wsp:val=&quot;6942558D&quot;/&gt;&lt;wsp:rsid wsp:val=&quot;694330B3&quot;/&gt;&lt;wsp:rsid wsp:val=&quot;69442264&quot;/&gt;&lt;wsp:rsid wsp:val=&quot;6945507D&quot;/&gt;&lt;wsp:rsid wsp:val=&quot;69456E2B&quot;/&gt;&lt;wsp:rsid wsp:val=&quot;69457813&quot;/&gt;&lt;wsp:rsid wsp:val=&quot;69474951&quot;/&gt;&lt;wsp:rsid wsp:val=&quot;69482477&quot;/&gt;&lt;wsp:rsid wsp:val=&quot;69484834&quot;/&gt;&lt;wsp:rsid wsp:val=&quot;694876AE&quot;/&gt;&lt;wsp:rsid wsp:val=&quot;6949691B&quot;/&gt;&lt;wsp:rsid wsp:val=&quot;694A2693&quot;/&gt;&lt;wsp:rsid wsp:val=&quot;694B4F8E&quot;/&gt;&lt;wsp:rsid wsp:val=&quot;694C1F68&quot;/&gt;&lt;wsp:rsid wsp:val=&quot;694C3FC0&quot;/&gt;&lt;wsp:rsid wsp:val=&quot;694C5DD3&quot;/&gt;&lt;wsp:rsid wsp:val=&quot;694E000D&quot;/&gt;&lt;wsp:rsid wsp:val=&quot;694E2071&quot;/&gt;&lt;wsp:rsid wsp:val=&quot;694F1A58&quot;/&gt;&lt;wsp:rsid wsp:val=&quot;694F334A&quot;/&gt;&lt;wsp:rsid wsp:val=&quot;694F4082&quot;/&gt;&lt;wsp:rsid wsp:val=&quot;69531548&quot;/&gt;&lt;wsp:rsid wsp:val=&quot;6953779A&quot;/&gt;&lt;wsp:rsid wsp:val=&quot;69562DE6&quot;/&gt;&lt;wsp:rsid wsp:val=&quot;69564B94&quot;/&gt;&lt;wsp:rsid wsp:val=&quot;69584DB0&quot;/&gt;&lt;wsp:rsid wsp:val=&quot;69586450&quot;/&gt;&lt;wsp:rsid wsp:val=&quot;69586B5E&quot;/&gt;&lt;wsp:rsid wsp:val=&quot;695928D6&quot;/&gt;&lt;wsp:rsid wsp:val=&quot;69594684&quot;/&gt;&lt;wsp:rsid wsp:val=&quot;69597D05&quot;/&gt;&lt;wsp:rsid wsp:val=&quot;695B03FD&quot;/&gt;&lt;wsp:rsid wsp:val=&quot;695B1E07&quot;/&gt;&lt;wsp:rsid wsp:val=&quot;695B664F&quot;/&gt;&lt;wsp:rsid wsp:val=&quot;695D23C7&quot;/&gt;&lt;wsp:rsid wsp:val=&quot;695E1C9B&quot;/&gt;&lt;wsp:rsid wsp:val=&quot;695E7EED&quot;/&gt;&lt;wsp:rsid wsp:val=&quot;69623539&quot;/&gt;&lt;wsp:rsid wsp:val=&quot;69624685&quot;/&gt;&lt;wsp:rsid wsp:val=&quot;69627926&quot;/&gt;&lt;wsp:rsid wsp:val=&quot;69635503&quot;/&gt;&lt;wsp:rsid wsp:val=&quot;69646650&quot;/&gt;&lt;wsp:rsid wsp:val=&quot;69670B4F&quot;/&gt;&lt;wsp:rsid wsp:val=&quot;69676DA1&quot;/&gt;&lt;wsp:rsid wsp:val=&quot;696848C8&quot;/&gt;&lt;wsp:rsid wsp:val=&quot;69692B1A&quot;/&gt;&lt;wsp:rsid wsp:val=&quot;696C204E&quot;/&gt;&lt;wsp:rsid wsp:val=&quot;696D617A&quot;/&gt;&lt;wsp:rsid wsp:val=&quot;696E0130&quot;/&gt;&lt;wsp:rsid wsp:val=&quot;696E6382&quot;/&gt;&lt;wsp:rsid wsp:val=&quot;696F5C56&quot;/&gt;&lt;wsp:rsid wsp:val=&quot;697119CE&quot;/&gt;&lt;wsp:rsid wsp:val=&quot;69717C20&quot;/&gt;&lt;wsp:rsid wsp:val=&quot;697414BE&quot;/&gt;&lt;wsp:rsid wsp:val=&quot;6974326C&quot;/&gt;&lt;wsp:rsid wsp:val=&quot;69747710&quot;/&gt;&lt;wsp:rsid wsp:val=&quot;69754EBD&quot;/&gt;&lt;wsp:rsid wsp:val=&quot;69766163&quot;/&gt;&lt;wsp:rsid wsp:val=&quot;697706BC&quot;/&gt;&lt;wsp:rsid wsp:val=&quot;69780FAF&quot;/&gt;&lt;wsp:rsid wsp:val=&quot;69787200&quot;/&gt;&lt;wsp:rsid wsp:val=&quot;69790883&quot;/&gt;&lt;wsp:rsid wsp:val=&quot;697A3B33&quot;/&gt;&lt;wsp:rsid wsp:val=&quot;697B1C0E&quot;/&gt;&lt;wsp:rsid wsp:val=&quot;697B3329&quot;/&gt;&lt;wsp:rsid wsp:val=&quot;697B45FB&quot;/&gt;&lt;wsp:rsid wsp:val=&quot;697D0373&quot;/&gt;&lt;wsp:rsid wsp:val=&quot;698060B5&quot;/&gt;&lt;wsp:rsid wsp:val=&quot;69823BDB&quot;/&gt;&lt;wsp:rsid wsp:val=&quot;698257CF&quot;/&gt;&lt;wsp:rsid wsp:val=&quot;69841830&quot;/&gt;&lt;wsp:rsid wsp:val=&quot;69847FBD&quot;/&gt;&lt;wsp:rsid wsp:val=&quot;69877444&quot;/&gt;&lt;wsp:rsid wsp:val=&quot;698931BC&quot;/&gt;&lt;wsp:rsid wsp:val=&quot;69894F6A&quot;/&gt;&lt;wsp:rsid wsp:val=&quot;698A2A90&quot;/&gt;&lt;wsp:rsid wsp:val=&quot;698C05B6&quot;/&gt;&lt;wsp:rsid wsp:val=&quot;698E432E&quot;/&gt;&lt;wsp:rsid wsp:val=&quot;69933ADF&quot;/&gt;&lt;wsp:rsid wsp:val=&quot;6994390F&quot;/&gt;&lt;wsp:rsid wsp:val=&quot;69967687&quot;/&gt;&lt;wsp:rsid wsp:val=&quot;69990F25&quot;/&gt;&lt;wsp:rsid wsp:val=&quot;69992CD3&quot;/&gt;&lt;wsp:rsid wsp:val=&quot;699B4C9D&quot;/&gt;&lt;wsp:rsid wsp:val=&quot;699C0FE7&quot;/&gt;&lt;wsp:rsid wsp:val=&quot;699C1B1D&quot;/&gt;&lt;wsp:rsid wsp:val=&quot;699C25E5&quot;/&gt;&lt;wsp:rsid wsp:val=&quot;699D27C3&quot;/&gt;&lt;wsp:rsid wsp:val=&quot;699E7ECE&quot;/&gt;&lt;wsp:rsid wsp:val=&quot;69A022B3&quot;/&gt;&lt;wsp:rsid wsp:val=&quot;69A04061&quot;/&gt;&lt;wsp:rsid wsp:val=&quot;69A1303B&quot;/&gt;&lt;wsp:rsid wsp:val=&quot;69A51678&quot;/&gt;&lt;wsp:rsid wsp:val=&quot;69A52045&quot;/&gt;&lt;wsp:rsid wsp:val=&quot;69A62E9E&quot;/&gt;&lt;wsp:rsid wsp:val=&quot;69A73255&quot;/&gt;&lt;wsp:rsid wsp:val=&quot;69A73642&quot;/&gt;&lt;wsp:rsid wsp:val=&quot;69A91168&quot;/&gt;&lt;wsp:rsid wsp:val=&quot;69AA4EE0&quot;/&gt;&lt;wsp:rsid wsp:val=&quot;69AC2A06&quot;/&gt;&lt;wsp:rsid wsp:val=&quot;69AD1ECC&quot;/&gt;&lt;wsp:rsid wsp:val=&quot;69AE2C22&quot;/&gt;&lt;wsp:rsid wsp:val=&quot;69AE677E&quot;/&gt;&lt;wsp:rsid wsp:val=&quot;69AF24F6&quot;/&gt;&lt;wsp:rsid wsp:val=&quot;69B23F98&quot;/&gt;&lt;wsp:rsid wsp:val=&quot;69B41D9F&quot;/&gt;&lt;wsp:rsid wsp:val=&quot;69B47B0D&quot;/&gt;&lt;wsp:rsid wsp:val=&quot;69B61AD7&quot;/&gt;&lt;wsp:rsid wsp:val=&quot;69B63885&quot;/&gt;&lt;wsp:rsid wsp:val=&quot;69B875FD&quot;/&gt;&lt;wsp:rsid wsp:val=&quot;69BC1994&quot;/&gt;&lt;wsp:rsid wsp:val=&quot;69BC5AB8&quot;/&gt;&lt;wsp:rsid wsp:val=&quot;69BD4C13&quot;/&gt;&lt;wsp:rsid wsp:val=&quot;69BE2739&quot;/&gt;&lt;wsp:rsid wsp:val=&quot;69BE5A22&quot;/&gt;&lt;wsp:rsid wsp:val=&quot;69C02956&quot;/&gt;&lt;wsp:rsid wsp:val=&quot;69C2222A&quot;/&gt;&lt;wsp:rsid wsp:val=&quot;69C45FA2&quot;/&gt;&lt;wsp:rsid wsp:val=&quot;69C51D1A&quot;/&gt;&lt;wsp:rsid wsp:val=&quot;69C537C3&quot;/&gt;&lt;wsp:rsid wsp:val=&quot;69C62FCC&quot;/&gt;&lt;wsp:rsid wsp:val=&quot;69C67F6C&quot;/&gt;&lt;wsp:rsid wsp:val=&quot;69C80215&quot;/&gt;&lt;wsp:rsid wsp:val=&quot;69C9180A&quot;/&gt;&lt;wsp:rsid wsp:val=&quot;69C935B8&quot;/&gt;&lt;wsp:rsid wsp:val=&quot;69CA13F4&quot;/&gt;&lt;wsp:rsid wsp:val=&quot;69CA7330&quot;/&gt;&lt;wsp:rsid wsp:val=&quot;69CB5582&quot;/&gt;&lt;wsp:rsid wsp:val=&quot;69CC30A8&quot;/&gt;&lt;wsp:rsid wsp:val=&quot;69CC4E56&quot;/&gt;&lt;wsp:rsid wsp:val=&quot;69CC6A0F&quot;/&gt;&lt;wsp:rsid wsp:val=&quot;69CD5CFD&quot;/&gt;&lt;wsp:rsid wsp:val=&quot;69CE5072&quot;/&gt;&lt;wsp:rsid wsp:val=&quot;69D02B99&quot;/&gt;&lt;wsp:rsid wsp:val=&quot;69D23E98&quot;/&gt;&lt;wsp:rsid wsp:val=&quot;69D361E5&quot;/&gt;&lt;wsp:rsid wsp:val=&quot;69D41F5D&quot;/&gt;&lt;wsp:rsid wsp:val=&quot;69D44760&quot;/&gt;&lt;wsp:rsid wsp:val=&quot;69D56401&quot;/&gt;&lt;wsp:rsid wsp:val=&quot;69D57C48&quot;/&gt;&lt;wsp:rsid wsp:val=&quot;69D739F8&quot;/&gt;&lt;wsp:rsid wsp:val=&quot;69D837FB&quot;/&gt;&lt;wsp:rsid wsp:val=&quot;69D87C9F&quot;/&gt;&lt;wsp:rsid wsp:val=&quot;69D92DC0&quot;/&gt;&lt;wsp:rsid wsp:val=&quot;69DA2D2B&quot;/&gt;&lt;wsp:rsid wsp:val=&quot;69DA7573&quot;/&gt;&lt;wsp:rsid wsp:val=&quot;69DC2968&quot;/&gt;&lt;wsp:rsid wsp:val=&quot;69DD52B6&quot;/&gt;&lt;wsp:rsid wsp:val=&quot;69DF38CB&quot;/&gt;&lt;wsp:rsid wsp:val=&quot;69E043AA&quot;/&gt;&lt;wsp:rsid wsp:val=&quot;69E228CC&quot;/&gt;&lt;wsp:rsid wsp:val=&quot;69E41409&quot;/&gt;&lt;wsp:rsid wsp:val=&quot;69E421A0&quot;/&gt;&lt;wsp:rsid wsp:val=&quot;69E44896&quot;/&gt;&lt;wsp:rsid wsp:val=&quot;69E55F18&quot;/&gt;&lt;wsp:rsid wsp:val=&quot;69E76134&quot;/&gt;&lt;wsp:rsid wsp:val=&quot;69E860BE&quot;/&gt;&lt;wsp:rsid wsp:val=&quot;69E91EAC&quot;/&gt;&lt;wsp:rsid wsp:val=&quot;69E9754E&quot;/&gt;&lt;wsp:rsid wsp:val=&quot;69EB36E1&quot;/&gt;&lt;wsp:rsid wsp:val=&quot;69EC32FE&quot;/&gt;&lt;wsp:rsid wsp:val=&quot;69EC374B&quot;/&gt;&lt;wsp:rsid wsp:val=&quot;69EC72A7&quot;/&gt;&lt;wsp:rsid wsp:val=&quot;69EE07EF&quot;/&gt;&lt;wsp:rsid wsp:val=&quot;69EE301F&quot;/&gt;&lt;wsp:rsid wsp:val=&quot;69F04FE9&quot;/&gt;&lt;wsp:rsid wsp:val=&quot;69F12B0F&quot;/&gt;&lt;wsp:rsid wsp:val=&quot;69F34AD9&quot;/&gt;&lt;wsp:rsid wsp:val=&quot;69F36887&quot;/&gt;&lt;wsp:rsid wsp:val=&quot;69F37393&quot;/&gt;&lt;wsp:rsid wsp:val=&quot;69F50851&quot;/&gt;&lt;wsp:rsid wsp:val=&quot;69F60125&quot;/&gt;&lt;wsp:rsid wsp:val=&quot;69F66377&quot;/&gt;&lt;wsp:rsid wsp:val=&quot;69F745C9&quot;/&gt;&lt;wsp:rsid wsp:val=&quot;69FA0715&quot;/&gt;&lt;wsp:rsid wsp:val=&quot;69FB0ACA&quot;/&gt;&lt;wsp:rsid wsp:val=&quot;69FB2DF3&quot;/&gt;&lt;wsp:rsid wsp:val=&quot;69FB573C&quot;/&gt;&lt;wsp:rsid wsp:val=&quot;69FC4283&quot;/&gt;&lt;wsp:rsid wsp:val=&quot;69FD14B4&quot;/&gt;&lt;wsp:rsid wsp:val=&quot;69FD7706&quot;/&gt;&lt;wsp:rsid wsp:val=&quot;69FF347E&quot;/&gt;&lt;wsp:rsid wsp:val=&quot;69FF522C&quot;/&gt;&lt;wsp:rsid wsp:val=&quot;69FF6FDA&quot;/&gt;&lt;wsp:rsid wsp:val=&quot;6A002C04&quot;/&gt;&lt;wsp:rsid wsp:val=&quot;6A002C61&quot;/&gt;&lt;wsp:rsid wsp:val=&quot;6A002D52&quot;/&gt;&lt;wsp:rsid wsp:val=&quot;6A022F6E&quot;/&gt;&lt;wsp:rsid wsp:val=&quot;6A026ACA&quot;/&gt;&lt;wsp:rsid wsp:val=&quot;6A0445F0&quot;/&gt;&lt;wsp:rsid wsp:val=&quot;6A0665BA&quot;/&gt;&lt;wsp:rsid wsp:val=&quot;6A0740E0&quot;/&gt;&lt;wsp:rsid wsp:val=&quot;6A0942FC&quot;/&gt;&lt;wsp:rsid wsp:val=&quot;6A097E59&quot;/&gt;&lt;wsp:rsid wsp:val=&quot;6A0A597F&quot;/&gt;&lt;wsp:rsid wsp:val=&quot;6A0E1913&quot;/&gt;&lt;wsp:rsid wsp:val=&quot;6A0E36C1&quot;/&gt;&lt;wsp:rsid wsp:val=&quot;6A0E7063&quot;/&gt;&lt;wsp:rsid wsp:val=&quot;6A102F95&quot;/&gt;&lt;wsp:rsid wsp:val=&quot;6A1052CA&quot;/&gt;&lt;wsp:rsid wsp:val=&quot;6A136F29&quot;/&gt;&lt;wsp:rsid wsp:val=&quot;6A154A4F&quot;/&gt;&lt;wsp:rsid wsp:val=&quot;6A162576&quot;/&gt;&lt;wsp:rsid wsp:val=&quot;6A1707C7&quot;/&gt;&lt;wsp:rsid wsp:val=&quot;6A18009C&quot;/&gt;&lt;wsp:rsid wsp:val=&quot;6A1A02B8&quot;/&gt;&lt;wsp:rsid wsp:val=&quot;6A1A2066&quot;/&gt;&lt;wsp:rsid wsp:val=&quot;6A1C5DDE&quot;/&gt;&lt;wsp:rsid wsp:val=&quot;6A1D6ADE&quot;/&gt;&lt;wsp:rsid wsp:val=&quot;6A1F652A&quot;/&gt;&lt;wsp:rsid wsp:val=&quot;6A203D51&quot;/&gt;&lt;wsp:rsid wsp:val=&quot;6A204463&quot;/&gt;&lt;wsp:rsid wsp:val=&quot;6A2048FC&quot;/&gt;&lt;wsp:rsid wsp:val=&quot;6A2151A2&quot;/&gt;&lt;wsp:rsid wsp:val=&quot;6A215566&quot;/&gt;&lt;wsp:rsid wsp:val=&quot;6A233AA2&quot;/&gt;&lt;wsp:rsid wsp:val=&quot;6A242EE4&quot;/&gt;&lt;wsp:rsid wsp:val=&quot;6A244C92&quot;/&gt;&lt;wsp:rsid wsp:val=&quot;6A246A40&quot;/&gt;&lt;wsp:rsid wsp:val=&quot;6A255214&quot;/&gt;&lt;wsp:rsid wsp:val=&quot;6A2922A9&quot;/&gt;&lt;wsp:rsid wsp:val=&quot;6A2B4273&quot;/&gt;&lt;wsp:rsid wsp:val=&quot;6A2E5C82&quot;/&gt;&lt;wsp:rsid wsp:val=&quot;6A303637&quot;/&gt;&lt;wsp:rsid wsp:val=&quot;6A314661&quot;/&gt;&lt;wsp:rsid wsp:val=&quot;6A315D44&quot;/&gt;&lt;wsp:rsid wsp:val=&quot;6A325601&quot;/&gt;&lt;wsp:rsid wsp:val=&quot;6A3273AF&quot;/&gt;&lt;wsp:rsid wsp:val=&quot;6A330664&quot;/&gt;&lt;wsp:rsid wsp:val=&quot;6A342511&quot;/&gt;&lt;wsp:rsid wsp:val=&quot;6A372C18&quot;/&gt;&lt;wsp:rsid wsp:val=&quot;6A3749C6&quot;/&gt;&lt;wsp:rsid wsp:val=&quot;6A39656C&quot;/&gt;&lt;wsp:rsid wsp:val=&quot;6A3A2708&quot;/&gt;&lt;wsp:rsid wsp:val=&quot;6A3B3D8A&quot;/&gt;&lt;wsp:rsid wsp:val=&quot;6A3C6480&quot;/&gt;&lt;wsp:rsid wsp:val=&quot;6A3D3FA6&quot;/&gt;&lt;wsp:rsid wsp:val=&quot;6A3F387A&quot;/&gt;&lt;wsp:rsid wsp:val=&quot;6A3F7D1E&quot;/&gt;&lt;wsp:rsid wsp:val=&quot;6A4175F2&quot;/&gt;&lt;wsp:rsid wsp:val=&quot;6A42336B&quot;/&gt;&lt;wsp:rsid wsp:val=&quot;6A4315BC&quot;/&gt;&lt;wsp:rsid wsp:val=&quot;6A4610AD&quot;/&gt;&lt;wsp:rsid wsp:val=&quot;6A486BD3&quot;/&gt;&lt;wsp:rsid wsp:val=&quot;6A4964A7&quot;/&gt;&lt;wsp:rsid wsp:val=&quot;6A4B47ED&quot;/&gt;&lt;wsp:rsid wsp:val=&quot;6A4B68EB&quot;/&gt;&lt;wsp:rsid wsp:val=&quot;6A4C5F97&quot;/&gt;&lt;wsp:rsid wsp:val=&quot;6A4D243B&quot;/&gt;&lt;wsp:rsid wsp:val=&quot;6A4D41E9&quot;/&gt;&lt;wsp:rsid wsp:val=&quot;6A4E79CD&quot;/&gt;&lt;wsp:rsid wsp:val=&quot;6A4E7F61&quot;/&gt;&lt;wsp:rsid wsp:val=&quot;6A4F7217&quot;/&gt;&lt;wsp:rsid wsp:val=&quot;6A507835&quot;/&gt;&lt;wsp:rsid wsp:val=&quot;6A520EC7&quot;/&gt;&lt;wsp:rsid wsp:val=&quot;6A535578&quot;/&gt;&lt;wsp:rsid wsp:val=&quot;6A550E2D&quot;/&gt;&lt;wsp:rsid wsp:val=&quot;6A570BC4&quot;/&gt;&lt;wsp:rsid wsp:val=&quot;6A571163&quot;/&gt;&lt;wsp:rsid wsp:val=&quot;6A575068&quot;/&gt;&lt;wsp:rsid wsp:val=&quot;6A58493C&quot;/&gt;&lt;wsp:rsid wsp:val=&quot;6A586EF6&quot;/&gt;&lt;wsp:rsid wsp:val=&quot;6A5A06B4&quot;/&gt;&lt;wsp:rsid wsp:val=&quot;6A5A6906&quot;/&gt;&lt;wsp:rsid wsp:val=&quot;6A5C612F&quot;/&gt;&lt;wsp:rsid wsp:val=&quot;6A615EE7&quot;/&gt;&lt;wsp:rsid wsp:val=&quot;6A6257BB&quot;/&gt;&lt;wsp:rsid wsp:val=&quot;6A633A0D&quot;/&gt;&lt;wsp:rsid wsp:val=&quot;6A6652AB&quot;/&gt;&lt;wsp:rsid wsp:val=&quot;6A667059&quot;/&gt;&lt;wsp:rsid wsp:val=&quot;6A682DD1&quot;/&gt;&lt;wsp:rsid wsp:val=&quot;6A6908F7&quot;/&gt;&lt;wsp:rsid wsp:val=&quot;6A6B28C1&quot;/&gt;&lt;wsp:rsid wsp:val=&quot;6A6B3CAB&quot;/&gt;&lt;wsp:rsid wsp:val=&quot;6A6D488B&quot;/&gt;&lt;wsp:rsid wsp:val=&quot;6A6D6639&quot;/&gt;&lt;wsp:rsid wsp:val=&quot;6A6F5AC6&quot;/&gt;&lt;wsp:rsid wsp:val=&quot;6A701C86&quot;/&gt;&lt;wsp:rsid wsp:val=&quot;6A70612A&quot;/&gt;&lt;wsp:rsid wsp:val=&quot;6A723956&quot;/&gt;&lt;wsp:rsid wsp:val=&quot;6A73288F&quot;/&gt;&lt;wsp:rsid wsp:val=&quot;6A752FE8&quot;/&gt;&lt;wsp:rsid wsp:val=&quot;6A764478&quot;/&gt;&lt;wsp:rsid wsp:val=&quot;6A771266&quot;/&gt;&lt;wsp:rsid wsp:val=&quot;6A7774B8&quot;/&gt;&lt;wsp:rsid wsp:val=&quot;6A791969&quot;/&gt;&lt;wsp:rsid wsp:val=&quot;6A793230&quot;/&gt;&lt;wsp:rsid wsp:val=&quot;6A794FDE&quot;/&gt;&lt;wsp:rsid wsp:val=&quot;6A7A6FA8&quot;/&gt;&lt;wsp:rsid wsp:val=&quot;6A7C4ACE&quot;/&gt;&lt;wsp:rsid wsp:val=&quot;6A7C687C&quot;/&gt;&lt;wsp:rsid wsp:val=&quot;6A7F636D&quot;/&gt;&lt;wsp:rsid wsp:val=&quot;6A7F77C4&quot;/&gt;&lt;wsp:rsid wsp:val=&quot;6A815C41&quot;/&gt;&lt;wsp:rsid wsp:val=&quot;6A8219B9&quot;/&gt;&lt;wsp:rsid wsp:val=&quot;6A835D38&quot;/&gt;&lt;wsp:rsid wsp:val=&quot;6A841BD5&quot;/&gt;&lt;wsp:rsid wsp:val=&quot;6A842057&quot;/&gt;&lt;wsp:rsid wsp:val=&quot;6A88688D&quot;/&gt;&lt;wsp:rsid wsp:val=&quot;6A8A71EB&quot;/&gt;&lt;wsp:rsid wsp:val=&quot;6A8B2F63&quot;/&gt;&lt;wsp:rsid wsp:val=&quot;6A8C669E&quot;/&gt;&lt;wsp:rsid wsp:val=&quot;6A8D6A57&quot;/&gt;&lt;wsp:rsid wsp:val=&quot;6A8D6CDC&quot;/&gt;&lt;wsp:rsid wsp:val=&quot;6A8E035E&quot;/&gt;&lt;wsp:rsid wsp:val=&quot;6A8F4802&quot;/&gt;&lt;wsp:rsid wsp:val=&quot;6A8F6E4D&quot;/&gt;&lt;wsp:rsid wsp:val=&quot;6A901ED2&quot;/&gt;&lt;wsp:rsid wsp:val=&quot;6A9040D6&quot;/&gt;&lt;wsp:rsid wsp:val=&quot;6A9260A0&quot;/&gt;&lt;wsp:rsid wsp:val=&quot;6A9516EC&quot;/&gt;&lt;wsp:rsid wsp:val=&quot;6A96674C&quot;/&gt;&lt;wsp:rsid wsp:val=&quot;6A971908&quot;/&gt;&lt;wsp:rsid wsp:val=&quot;6A9736B6&quot;/&gt;&lt;wsp:rsid wsp:val=&quot;6A974EF2&quot;/&gt;&lt;wsp:rsid wsp:val=&quot;6A99742E&quot;/&gt;&lt;wsp:rsid wsp:val=&quot;6A9A353A&quot;/&gt;&lt;wsp:rsid wsp:val=&quot;6A9A4F55&quot;/&gt;&lt;wsp:rsid wsp:val=&quot;6A9E0AB3&quot;/&gt;&lt;wsp:rsid wsp:val=&quot;6A9E2C97&quot;/&gt;&lt;wsp:rsid wsp:val=&quot;6A9E4A45&quot;/&gt;&lt;wsp:rsid wsp:val=&quot;6AA15FA4&quot;/&gt;&lt;wsp:rsid wsp:val=&quot;6AA208C4&quot;/&gt;&lt;wsp:rsid wsp:val=&quot;6AA3205B&quot;/&gt;&lt;wsp:rsid wsp:val=&quot;6AA45DD3&quot;/&gt;&lt;wsp:rsid wsp:val=&quot;6AA47B81&quot;/&gt;&lt;wsp:rsid wsp:val=&quot;6AA61B4B&quot;/&gt;&lt;wsp:rsid wsp:val=&quot;6AA72CE0&quot;/&gt;&lt;wsp:rsid wsp:val=&quot;6AA858C3&quot;/&gt;&lt;wsp:rsid wsp:val=&quot;6AA87672&quot;/&gt;&lt;wsp:rsid wsp:val=&quot;6AA933EA&quot;/&gt;&lt;wsp:rsid wsp:val=&quot;6AAB0F10&quot;/&gt;&lt;wsp:rsid wsp:val=&quot;6AAB7162&quot;/&gt;&lt;wsp:rsid wsp:val=&quot;6AAE1120&quot;/&gt;&lt;wsp:rsid wsp:val=&quot;6AAF6C52&quot;/&gt;&lt;wsp:rsid wsp:val=&quot;6AB2229E&quot;/&gt;&lt;wsp:rsid wsp:val=&quot;6AB26742&quot;/&gt;&lt;wsp:rsid wsp:val=&quot;6AB3133E&quot;/&gt;&lt;wsp:rsid wsp:val=&quot;6AB37DC4&quot;/&gt;&lt;wsp:rsid wsp:val=&quot;6AB53B3C&quot;/&gt;&lt;wsp:rsid wsp:val=&quot;6AB57FE0&quot;/&gt;&lt;wsp:rsid wsp:val=&quot;6AB73D58&quot;/&gt;&lt;wsp:rsid wsp:val=&quot;6AB778B5&quot;/&gt;&lt;wsp:rsid wsp:val=&quot;6AB853DB&quot;/&gt;&lt;wsp:rsid wsp:val=&quot;6AB9187F&quot;/&gt;&lt;wsp:rsid wsp:val=&quot;6AB9362D&quot;/&gt;&lt;wsp:rsid wsp:val=&quot;6ABA73A5&quot;/&gt;&lt;wsp:rsid wsp:val=&quot;6ABE0C43&quot;/&gt;&lt;wsp:rsid wsp:val=&quot;6ABF49BB&quot;/&gt;&lt;wsp:rsid wsp:val=&quot;6AC00E5F&quot;/&gt;&lt;wsp:rsid wsp:val=&quot;6AC020D7&quot;/&gt;&lt;wsp:rsid wsp:val=&quot;6AC029BD&quot;/&gt;&lt;wsp:rsid wsp:val=&quot;6AC10733&quot;/&gt;&lt;wsp:rsid wsp:val=&quot;6AC2155B&quot;/&gt;&lt;wsp:rsid wsp:val=&quot;6AC3133E&quot;/&gt;&lt;wsp:rsid wsp:val=&quot;6AC344AB&quot;/&gt;&lt;wsp:rsid wsp:val=&quot;6AC36259&quot;/&gt;&lt;wsp:rsid wsp:val=&quot;6AC50223&quot;/&gt;&lt;wsp:rsid wsp:val=&quot;6AC63F9C&quot;/&gt;&lt;wsp:rsid wsp:val=&quot;6AC65D4A&quot;/&gt;&lt;wsp:rsid wsp:val=&quot;6AC87D14&quot;/&gt;&lt;wsp:rsid wsp:val=&quot;6AC975E8&quot;/&gt;&lt;wsp:rsid wsp:val=&quot;6ACA3A8C&quot;/&gt;&lt;wsp:rsid wsp:val=&quot;6ACA5C60&quot;/&gt;&lt;wsp:rsid wsp:val=&quot;6ACB15B2&quot;/&gt;&lt;wsp:rsid wsp:val=&quot;6ACC3B31&quot;/&gt;&lt;wsp:rsid wsp:val=&quot;6ACD532A&quot;/&gt;&lt;wsp:rsid wsp:val=&quot;6ACD70D8&quot;/&gt;&lt;wsp:rsid wsp:val=&quot;6AD05083&quot;/&gt;&lt;wsp:rsid wsp:val=&quot;6AD06BC8&quot;/&gt;&lt;wsp:rsid wsp:val=&quot;6AD13942&quot;/&gt;&lt;wsp:rsid wsp:val=&quot;6AD211B1&quot;/&gt;&lt;wsp:rsid wsp:val=&quot;6AD263C3&quot;/&gt;&lt;wsp:rsid wsp:val=&quot;6AD40467&quot;/&gt;&lt;wsp:rsid wsp:val=&quot;6AD411D9&quot;/&gt;&lt;wsp:rsid wsp:val=&quot;6AD541DF&quot;/&gt;&lt;wsp:rsid wsp:val=&quot;6AD55F8D&quot;/&gt;&lt;wsp:rsid wsp:val=&quot;6AD66324&quot;/&gt;&lt;wsp:rsid wsp:val=&quot;6AD77F57&quot;/&gt;&lt;wsp:rsid wsp:val=&quot;6ADA17F5&quot;/&gt;&lt;wsp:rsid wsp:val=&quot;6ADA35A3&quot;/&gt;&lt;wsp:rsid wsp:val=&quot;6ADC556D&quot;/&gt;&lt;wsp:rsid wsp:val=&quot;6ADD2FCC&quot;/&gt;&lt;wsp:rsid wsp:val=&quot;6ADE12E5&quot;/&gt;&lt;wsp:rsid wsp:val=&quot;6ADE3093&quot;/&gt;&lt;wsp:rsid wsp:val=&quot;6ADE7537&quot;/&gt;&lt;wsp:rsid wsp:val=&quot;6ADF0BB9&quot;/&gt;&lt;wsp:rsid wsp:val=&quot;6ADF127C&quot;/&gt;&lt;wsp:rsid wsp:val=&quot;6AE01C3A&quot;/&gt;&lt;wsp:rsid wsp:val=&quot;6AE01FA6&quot;/&gt;&lt;wsp:rsid wsp:val=&quot;6AE0505D&quot;/&gt;&lt;wsp:rsid wsp:val=&quot;6AE1287C&quot;/&gt;&lt;wsp:rsid wsp:val=&quot;6AE12B83&quot;/&gt;&lt;wsp:rsid wsp:val=&quot;6AE14931&quot;/&gt;&lt;wsp:rsid wsp:val=&quot;6AE306AA&quot;/&gt;&lt;wsp:rsid wsp:val=&quot;6AE508C6&quot;/&gt;&lt;wsp:rsid wsp:val=&quot;6AE52674&quot;/&gt;&lt;wsp:rsid wsp:val=&quot;6AE54422&quot;/&gt;&lt;wsp:rsid wsp:val=&quot;6AE6019A&quot;/&gt;&lt;wsp:rsid wsp:val=&quot;6AE70738&quot;/&gt;&lt;wsp:rsid wsp:val=&quot;6AE83F12&quot;/&gt;&lt;wsp:rsid wsp:val=&quot;6AE96852&quot;/&gt;&lt;wsp:rsid wsp:val=&quot;6AEA6B50&quot;/&gt;&lt;wsp:rsid wsp:val=&quot;6AEB3A02&quot;/&gt;&lt;wsp:rsid wsp:val=&quot;6AEB755E&quot;/&gt;&lt;wsp:rsid wsp:val=&quot;6AED19D9&quot;/&gt;&lt;wsp:rsid wsp:val=&quot;6AED78BD&quot;/&gt;&lt;wsp:rsid wsp:val=&quot;6AF01018&quot;/&gt;&lt;wsp:rsid wsp:val=&quot;6AF26B3F&quot;/&gt;&lt;wsp:rsid wsp:val=&quot;6AF36CDB&quot;/&gt;&lt;wsp:rsid wsp:val=&quot;6AF4016B&quot;/&gt;&lt;wsp:rsid wsp:val=&quot;6AF40B09&quot;/&gt;&lt;wsp:rsid wsp:val=&quot;6AF44665&quot;/&gt;&lt;wsp:rsid wsp:val=&quot;6AF503DD&quot;/&gt;&lt;wsp:rsid wsp:val=&quot;6AF6662F&quot;/&gt;&lt;wsp:rsid wsp:val=&quot;6AF87E20&quot;/&gt;&lt;wsp:rsid wsp:val=&quot;6AF944CC&quot;/&gt;&lt;wsp:rsid wsp:val=&quot;6AF9611F&quot;/&gt;&lt;wsp:rsid wsp:val=&quot;6AFA59F3&quot;/&gt;&lt;wsp:rsid wsp:val=&quot;6AFF2C57&quot;/&gt;&lt;wsp:rsid wsp:val=&quot;6AFF300A&quot;/&gt;&lt;wsp:rsid wsp:val=&quot;6AFF671E&quot;/&gt;&lt;wsp:rsid wsp:val=&quot;6B036F9E&quot;/&gt;&lt;wsp:rsid wsp:val=&quot;6B054AC4&quot;/&gt;&lt;wsp:rsid wsp:val=&quot;6B0625EA&quot;/&gt;&lt;wsp:rsid wsp:val=&quot;6B064398&quot;/&gt;&lt;wsp:rsid wsp:val=&quot;6B07083C&quot;/&gt;&lt;wsp:rsid wsp:val=&quot;6B0B7C00&quot;/&gt;&lt;wsp:rsid wsp:val=&quot;6B0C451A&quot;/&gt;&lt;wsp:rsid wsp:val=&quot;6B0C5E52&quot;/&gt;&lt;wsp:rsid wsp:val=&quot;6B0D5727&quot;/&gt;&lt;wsp:rsid wsp:val=&quot;6B0E5024&quot;/&gt;&lt;wsp:rsid wsp:val=&quot;6B105217&quot;/&gt;&lt;wsp:rsid wsp:val=&quot;6B1116BB&quot;/&gt;&lt;wsp:rsid wsp:val=&quot;6B120F8F&quot;/&gt;&lt;wsp:rsid wsp:val=&quot;6B15282D&quot;/&gt;&lt;wsp:rsid wsp:val=&quot;6B1637B6&quot;/&gt;&lt;wsp:rsid wsp:val=&quot;6B1765A5&quot;/&gt;&lt;wsp:rsid wsp:val=&quot;6B182A49&quot;/&gt;&lt;wsp:rsid wsp:val=&quot;6B187579&quot;/&gt;&lt;wsp:rsid wsp:val=&quot;6B19056F&quot;/&gt;&lt;wsp:rsid wsp:val=&quot;6B1940CB&quot;/&gt;&lt;wsp:rsid wsp:val=&quot;6B1B6095&quot;/&gt;&lt;wsp:rsid wsp:val=&quot;6B1B793F&quot;/&gt;&lt;wsp:rsid wsp:val=&quot;6B1C27D3&quot;/&gt;&lt;wsp:rsid wsp:val=&quot;6B1C3BBC&quot;/&gt;&lt;wsp:rsid wsp:val=&quot;6B1D005F&quot;/&gt;&lt;wsp:rsid wsp:val=&quot;6B1E7934&quot;/&gt;&lt;wsp:rsid wsp:val=&quot;6B223384&quot;/&gt;&lt;wsp:rsid wsp:val=&quot;6B250CC2&quot;/&gt;&lt;wsp:rsid wsp:val=&quot;6B272C8C&quot;/&gt;&lt;wsp:rsid wsp:val=&quot;6B2807B2&quot;/&gt;&lt;wsp:rsid wsp:val=&quot;6B282560&quot;/&gt;&lt;wsp:rsid wsp:val=&quot;6B283627&quot;/&gt;&lt;wsp:rsid wsp:val=&quot;6B291D9C&quot;/&gt;&lt;wsp:rsid wsp:val=&quot;6B2A0087&quot;/&gt;&lt;wsp:rsid wsp:val=&quot;6B2A277C&quot;/&gt;&lt;wsp:rsid wsp:val=&quot;6B2A501B&quot;/&gt;&lt;wsp:rsid wsp:val=&quot;6B2B460C&quot;/&gt;&lt;wsp:rsid wsp:val=&quot;6B2C2051&quot;/&gt;&lt;wsp:rsid wsp:val=&quot;6B2C59DC&quot;/&gt;&lt;wsp:rsid wsp:val=&quot;6B2E02FC&quot;/&gt;&lt;wsp:rsid wsp:val=&quot;6B2F38EF&quot;/&gt;&lt;wsp:rsid wsp:val=&quot;6B2F7D93&quot;/&gt;&lt;wsp:rsid wsp:val=&quot;6B321631&quot;/&gt;&lt;wsp:rsid wsp:val=&quot;6B322639&quot;/&gt;&lt;wsp:rsid wsp:val=&quot;6B32518D&quot;/&gt;&lt;wsp:rsid wsp:val=&quot;6B361121&quot;/&gt;&lt;wsp:rsid wsp:val=&quot;6B36165F&quot;/&gt;&lt;wsp:rsid wsp:val=&quot;6B3727A3&quot;/&gt;&lt;wsp:rsid wsp:val=&quot;6B383103&quot;/&gt;&lt;wsp:rsid wsp:val=&quot;6B396213&quot;/&gt;&lt;wsp:rsid wsp:val=&quot;6B39651C&quot;/&gt;&lt;wsp:rsid wsp:val=&quot;6B3B6738&quot;/&gt;&lt;wsp:rsid wsp:val=&quot;6B3C600C&quot;/&gt;&lt;wsp:rsid wsp:val=&quot;6B3D425E&quot;/&gt;&lt;wsp:rsid wsp:val=&quot;6B3E7FD6&quot;/&gt;&lt;wsp:rsid wsp:val=&quot;6B404453&quot;/&gt;&lt;wsp:rsid wsp:val=&quot;6B421D71&quot;/&gt;&lt;wsp:rsid wsp:val=&quot;6B4227D3&quot;/&gt;&lt;wsp:rsid wsp:val=&quot;6B451364&quot;/&gt;&lt;wsp:rsid wsp:val=&quot;6B4725E4&quot;/&gt;&lt;wsp:rsid wsp:val=&quot;6B482C03&quot;/&gt;&lt;wsp:rsid wsp:val=&quot;6B4A24D7&quot;/&gt;&lt;wsp:rsid wsp:val=&quot;6B4A697B&quot;/&gt;&lt;wsp:rsid wsp:val=&quot;6B4B3B36&quot;/&gt;&lt;wsp:rsid wsp:val=&quot;6B4C26F3&quot;/&gt;&lt;wsp:rsid wsp:val=&quot;6B4C44A1&quot;/&gt;&lt;wsp:rsid wsp:val=&quot;6B4D1FC7&quot;/&gt;&lt;wsp:rsid wsp:val=&quot;6B4E646B&quot;/&gt;&lt;wsp:rsid wsp:val=&quot;6B525ADE&quot;/&gt;&lt;wsp:rsid wsp:val=&quot;6B5275DD&quot;/&gt;&lt;wsp:rsid wsp:val=&quot;6B530B87&quot;/&gt;&lt;wsp:rsid wsp:val=&quot;6B533A81&quot;/&gt;&lt;wsp:rsid wsp:val=&quot;6B5415A7&quot;/&gt;&lt;wsp:rsid wsp:val=&quot;6B56531F&quot;/&gt;&lt;wsp:rsid wsp:val=&quot;6B5670CE&quot;/&gt;&lt;wsp:rsid wsp:val=&quot;6B594E10&quot;/&gt;&lt;wsp:rsid wsp:val=&quot;6B596BBE&quot;/&gt;&lt;wsp:rsid wsp:val=&quot;6B5C045C&quot;/&gt;&lt;wsp:rsid wsp:val=&quot;6B607F4C&quot;/&gt;&lt;wsp:rsid wsp:val=&quot;6B61607B&quot;/&gt;&lt;wsp:rsid wsp:val=&quot;6B623CC4&quot;/&gt;&lt;wsp:rsid wsp:val=&quot;6B625A72&quot;/&gt;&lt;wsp:rsid wsp:val=&quot;6B6317EA&quot;/&gt;&lt;wsp:rsid wsp:val=&quot;6B6537B4&quot;/&gt;&lt;wsp:rsid wsp:val=&quot;6B6663C0&quot;/&gt;&lt;wsp:rsid wsp:val=&quot;6B67752D&quot;/&gt;&lt;wsp:rsid wsp:val=&quot;6B685053&quot;/&gt;&lt;wsp:rsid wsp:val=&quot;6B6932A5&quot;/&gt;&lt;wsp:rsid wsp:val=&quot;6B6A0DCB&quot;/&gt;&lt;wsp:rsid wsp:val=&quot;6B6B029E&quot;/&gt;&lt;wsp:rsid wsp:val=&quot;6B6B6B6D&quot;/&gt;&lt;wsp:rsid wsp:val=&quot;6B6C069F&quot;/&gt;&lt;wsp:rsid wsp:val=&quot;6B6C68F1&quot;/&gt;&lt;wsp:rsid wsp:val=&quot;6B6D2669&quot;/&gt;&lt;wsp:rsid wsp:val=&quot;6B6E31C9&quot;/&gt;&lt;wsp:rsid wsp:val=&quot;6B6F018F&quot;/&gt;&lt;wsp:rsid wsp:val=&quot;6B713F07&quot;/&gt;&lt;wsp:rsid wsp:val=&quot;6B714110&quot;/&gt;&lt;wsp:rsid wsp:val=&quot;6B715CB5&quot;/&gt;&lt;wsp:rsid wsp:val=&quot;6B7215AE&quot;/&gt;&lt;wsp:rsid wsp:val=&quot;6B7255A0&quot;/&gt;&lt;wsp:rsid wsp:val=&quot;6B741C4A&quot;/&gt;&lt;wsp:rsid wsp:val=&quot;6B767770&quot;/&gt;&lt;wsp:rsid wsp:val=&quot;6B777044&quot;/&gt;&lt;wsp:rsid wsp:val=&quot;6B7B2FD8&quot;/&gt;&lt;wsp:rsid wsp:val=&quot;6B7B6B34&quot;/&gt;&lt;wsp:rsid wsp:val=&quot;6B7C2CD8&quot;/&gt;&lt;wsp:rsid wsp:val=&quot;6B7D28AC&quot;/&gt;&lt;wsp:rsid wsp:val=&quot;6B8005EE&quot;/&gt;&lt;wsp:rsid wsp:val=&quot;6B80414A&quot;/&gt;&lt;wsp:rsid wsp:val=&quot;6B81194E&quot;/&gt;&lt;wsp:rsid wsp:val=&quot;6B811C71&quot;/&gt;&lt;wsp:rsid wsp:val=&quot;6B826114&quot;/&gt;&lt;wsp:rsid wsp:val=&quot;6B841E8D&quot;/&gt;&lt;wsp:rsid wsp:val=&quot;6B855FC9&quot;/&gt;&lt;wsp:rsid wsp:val=&quot;6B8579B3&quot;/&gt;&lt;wsp:rsid wsp:val=&quot;6B8754D9&quot;/&gt;&lt;wsp:rsid wsp:val=&quot;6B882FFF&quot;/&gt;&lt;wsp:rsid wsp:val=&quot;6B8A321B&quot;/&gt;&lt;wsp:rsid wsp:val=&quot;6B8C0D41&quot;/&gt;&lt;wsp:rsid wsp:val=&quot;6B8D0FF1&quot;/&gt;&lt;wsp:rsid wsp:val=&quot;6B8E2D0B&quot;/&gt;&lt;wsp:rsid wsp:val=&quot;6B8F438D&quot;/&gt;&lt;wsp:rsid wsp:val=&quot;6B910106&quot;/&gt;&lt;wsp:rsid wsp:val=&quot;6B93163B&quot;/&gt;&lt;wsp:rsid wsp:val=&quot;6B934FA4&quot;/&gt;&lt;wsp:rsid wsp:val=&quot;6B946AC1&quot;/&gt;&lt;wsp:rsid wsp:val=&quot;6B947BF6&quot;/&gt;&lt;wsp:rsid wsp:val=&quot;6B95409A&quot;/&gt;&lt;wsp:rsid wsp:val=&quot;6B9611C2&quot;/&gt;&lt;wsp:rsid wsp:val=&quot;6B96571C&quot;/&gt;&lt;wsp:rsid wsp:val=&quot;6B99520C&quot;/&gt;&lt;wsp:rsid wsp:val=&quot;6B995C5F&quot;/&gt;&lt;wsp:rsid wsp:val=&quot;6B9A06A5&quot;/&gt;&lt;wsp:rsid wsp:val=&quot;6B9A5EED&quot;/&gt;&lt;wsp:rsid wsp:val=&quot;6B9B16D8&quot;/&gt;&lt;wsp:rsid wsp:val=&quot;6B9D6AAA&quot;/&gt;&lt;wsp:rsid wsp:val=&quot;6B9E7389&quot;/&gt;&lt;wsp:rsid wsp:val=&quot;6BA047ED&quot;/&gt;&lt;wsp:rsid wsp:val=&quot;6BA25323&quot;/&gt;&lt;wsp:rsid wsp:val=&quot;6BA270AA&quot;/&gt;&lt;wsp:rsid wsp:val=&quot;6BA442DD&quot;/&gt;&lt;wsp:rsid wsp:val=&quot;6BA55A78&quot;/&gt;&lt;wsp:rsid wsp:val=&quot;6BA625AC&quot;/&gt;&lt;wsp:rsid wsp:val=&quot;6BA73DCD&quot;/&gt;&lt;wsp:rsid wsp:val=&quot;6BA8544F&quot;/&gt;&lt;wsp:rsid wsp:val=&quot;6BA936A1&quot;/&gt;&lt;wsp:rsid wsp:val=&quot;6BAA7419&quot;/&gt;&lt;wsp:rsid wsp:val=&quot;6BAF67DE&quot;/&gt;&lt;wsp:rsid wsp:val=&quot;6BB00113&quot;/&gt;&lt;wsp:rsid wsp:val=&quot;6BB35604&quot;/&gt;&lt;wsp:rsid wsp:val=&quot;6BB42046&quot;/&gt;&lt;wsp:rsid wsp:val=&quot;6BB64010&quot;/&gt;&lt;wsp:rsid wsp:val=&quot;6BB65DBE&quot;/&gt;&lt;wsp:rsid wsp:val=&quot;6BB86C0A&quot;/&gt;&lt;wsp:rsid wsp:val=&quot;6BB87D88&quot;/&gt;&lt;wsp:rsid wsp:val=&quot;6BB92554&quot;/&gt;&lt;wsp:rsid wsp:val=&quot;6BBA6E3D&quot;/&gt;&lt;wsp:rsid wsp:val=&quot;6BBB33D4&quot;/&gt;&lt;wsp:rsid wsp:val=&quot;6BBD714D&quot;/&gt;&lt;wsp:rsid wsp:val=&quot;6BC009EB&quot;/&gt;&lt;wsp:rsid wsp:val=&quot;6BC32289&quot;/&gt;&lt;wsp:rsid wsp:val=&quot;6BC404DB&quot;/&gt;&lt;wsp:rsid wsp:val=&quot;6BC95AF1&quot;/&gt;&lt;wsp:rsid wsp:val=&quot;6BCC4CAB&quot;/&gt;&lt;wsp:rsid wsp:val=&quot;6BCE3108&quot;/&gt;&lt;wsp:rsid wsp:val=&quot;6BCE4EB6&quot;/&gt;&lt;wsp:rsid wsp:val=&quot;6BCF0C2E&quot;/&gt;&lt;wsp:rsid wsp:val=&quot;6BCF6E80&quot;/&gt;&lt;wsp:rsid wsp:val=&quot;6BD01E2A&quot;/&gt;&lt;wsp:rsid wsp:val=&quot;6BD051C5&quot;/&gt;&lt;wsp:rsid wsp:val=&quot;6BD06690&quot;/&gt;&lt;wsp:rsid wsp:val=&quot;6BD2201D&quot;/&gt;&lt;wsp:rsid wsp:val=&quot;6BD2767D&quot;/&gt;&lt;wsp:rsid wsp:val=&quot;6BD334AD&quot;/&gt;&lt;wsp:rsid wsp:val=&quot;6BD526E8&quot;/&gt;&lt;wsp:rsid wsp:val=&quot;6BD55A96&quot;/&gt;&lt;wsp:rsid wsp:val=&quot;6BD61FBC&quot;/&gt;&lt;wsp:rsid wsp:val=&quot;6BD821D8&quot;/&gt;&lt;wsp:rsid wsp:val=&quot;6BD83F86&quot;/&gt;&lt;wsp:rsid wsp:val=&quot;6BD91AAD&quot;/&gt;&lt;wsp:rsid wsp:val=&quot;6BD9385B&quot;/&gt;&lt;wsp:rsid wsp:val=&quot;6BD951E1&quot;/&gt;&lt;wsp:rsid wsp:val=&quot;6BDA7CFF&quot;/&gt;&lt;wsp:rsid wsp:val=&quot;6BDB3A77&quot;/&gt;&lt;wsp:rsid wsp:val=&quot;6BDB5825&quot;/&gt;&lt;wsp:rsid wsp:val=&quot;6BDD159D&quot;/&gt;&lt;wsp:rsid wsp:val=&quot;6BE04BE9&quot;/&gt;&lt;wsp:rsid wsp:val=&quot;6BE24E05&quot;/&gt;&lt;wsp:rsid wsp:val=&quot;6BE40B7D&quot;/&gt;&lt;wsp:rsid wsp:val=&quot;6BE50451&quot;/&gt;&lt;wsp:rsid wsp:val=&quot;6BE566A3&quot;/&gt;&lt;wsp:rsid wsp:val=&quot;6BE6092A&quot;/&gt;&lt;wsp:rsid wsp:val=&quot;6BE84243&quot;/&gt;&lt;wsp:rsid wsp:val=&quot;6BE96194&quot;/&gt;&lt;wsp:rsid wsp:val=&quot;6BEA5A68&quot;/&gt;&lt;wsp:rsid wsp:val=&quot;6BEB1F0C&quot;/&gt;&lt;wsp:rsid wsp:val=&quot;6BEB5CFD&quot;/&gt;&lt;wsp:rsid wsp:val=&quot;6BEC17E0&quot;/&gt;&lt;wsp:rsid wsp:val=&quot;6BEC7A32&quot;/&gt;&lt;wsp:rsid wsp:val=&quot;6BED447B&quot;/&gt;&lt;wsp:rsid wsp:val=&quot;6BEE37AA&quot;/&gt;&lt;wsp:rsid wsp:val=&quot;6BF012D0&quot;/&gt;&lt;wsp:rsid wsp:val=&quot;6BF1329A&quot;/&gt;&lt;wsp:rsid wsp:val=&quot;6BF6265F&quot;/&gt;&lt;wsp:rsid wsp:val=&quot;6BF863D7&quot;/&gt;&lt;wsp:rsid wsp:val=&quot;6BF95CAB&quot;/&gt;&lt;wsp:rsid wsp:val=&quot;6BFA1229&quot;/&gt;&lt;wsp:rsid wsp:val=&quot;6BFA1456&quot;/&gt;&lt;wsp:rsid wsp:val=&quot;6BFA214F&quot;/&gt;&lt;wsp:rsid wsp:val=&quot;6BFB1A23&quot;/&gt;&lt;wsp:rsid wsp:val=&quot;6BFD1C3F&quot;/&gt;&lt;wsp:rsid wsp:val=&quot;6C00528B&quot;/&gt;&lt;wsp:rsid wsp:val=&quot;6C007039&quot;/&gt;&lt;wsp:rsid wsp:val=&quot;6C012059&quot;/&gt;&lt;wsp:rsid wsp:val=&quot;6C022C8A&quot;/&gt;&lt;wsp:rsid wsp:val=&quot;6C027255&quot;/&gt;&lt;wsp:rsid wsp:val=&quot;6C042FCD&quot;/&gt;&lt;wsp:rsid wsp:val=&quot;6C0528A2&quot;/&gt;&lt;wsp:rsid wsp:val=&quot;6C0703C8&quot;/&gt;&lt;wsp:rsid wsp:val=&quot;6C07486C&quot;/&gt;&lt;wsp:rsid wsp:val=&quot;6C094140&quot;/&gt;&lt;wsp:rsid wsp:val=&quot;6C0A55FF&quot;/&gt;&lt;wsp:rsid wsp:val=&quot;6C0A7EB8&quot;/&gt;&lt;wsp:rsid wsp:val=&quot;6C0B21AE&quot;/&gt;&lt;wsp:rsid wsp:val=&quot;6C0C3C30&quot;/&gt;&lt;wsp:rsid wsp:val=&quot;6C0D38BE&quot;/&gt;&lt;wsp:rsid wsp:val=&quot;6C0E1756&quot;/&gt;&lt;wsp:rsid wsp:val=&quot;6C156F89&quot;/&gt;&lt;wsp:rsid wsp:val=&quot;6C172D01&quot;/&gt;&lt;wsp:rsid wsp:val=&quot;6C1A634D&quot;/&gt;&lt;wsp:rsid wsp:val=&quot;6C1B0562&quot;/&gt;&lt;wsp:rsid wsp:val=&quot;6C1D5E3D&quot;/&gt;&lt;wsp:rsid wsp:val=&quot;6C1F3963&quot;/&gt;&lt;wsp:rsid wsp:val=&quot;6C1F5711&quot;/&gt;&lt;wsp:rsid wsp:val=&quot;6C1F64E1&quot;/&gt;&lt;wsp:rsid wsp:val=&quot;6C2076DB&quot;/&gt;&lt;wsp:rsid wsp:val=&quot;6C222D40&quot;/&gt;&lt;wsp:rsid wsp:val=&quot;6C225202&quot;/&gt;&lt;wsp:rsid wsp:val=&quot;6C2365FB&quot;/&gt;&lt;wsp:rsid wsp:val=&quot;6C254CF9&quot;/&gt;&lt;wsp:rsid wsp:val=&quot;6C256AA0&quot;/&gt;&lt;wsp:rsid wsp:val=&quot;6C262F44&quot;/&gt;&lt;wsp:rsid wsp:val=&quot;6C266DB6&quot;/&gt;&lt;wsp:rsid wsp:val=&quot;6C272818&quot;/&gt;&lt;wsp:rsid wsp:val=&quot;6C2816D6&quot;/&gt;&lt;wsp:rsid wsp:val=&quot;6C2C42D2&quot;/&gt;&lt;wsp:rsid wsp:val=&quot;6C2E004A&quot;/&gt;&lt;wsp:rsid wsp:val=&quot;6C2F0A11&quot;/&gt;&lt;wsp:rsid wsp:val=&quot;6C303DC2&quot;/&gt;&lt;wsp:rsid wsp:val=&quot;6C3118E9&quot;/&gt;&lt;wsp:rsid wsp:val=&quot;6C315445&quot;/&gt;&lt;wsp:rsid wsp:val=&quot;6C323B8B&quot;/&gt;&lt;wsp:rsid wsp:val=&quot;6C33740F&quot;/&gt;&lt;wsp:rsid wsp:val=&quot;6C337F2A&quot;/&gt;&lt;wsp:rsid wsp:val=&quot;6C353187&quot;/&gt;&lt;wsp:rsid wsp:val=&quot;6C353CDA&quot;/&gt;&lt;wsp:rsid wsp:val=&quot;6C355B2F&quot;/&gt;&lt;wsp:rsid wsp:val=&quot;6C376EFF&quot;/&gt;&lt;wsp:rsid wsp:val=&quot;6C3A079D&quot;/&gt;&lt;wsp:rsid wsp:val=&quot;6C3A69EF&quot;/&gt;&lt;wsp:rsid wsp:val=&quot;6C3B62C3&quot;/&gt;&lt;wsp:rsid wsp:val=&quot;6C3D028D&quot;/&gt;&lt;wsp:rsid wsp:val=&quot;6C3D246C&quot;/&gt;&lt;wsp:rsid wsp:val=&quot;6C3F4006&quot;/&gt;&lt;wsp:rsid wsp:val=&quot;6C411B2C&quot;/&gt;&lt;wsp:rsid wsp:val=&quot;6C4433CA&quot;/&gt;&lt;wsp:rsid wsp:val=&quot;6C44786E&quot;/&gt;&lt;wsp:rsid wsp:val=&quot;6C465394&quot;/&gt;&lt;wsp:rsid wsp:val=&quot;6C492150&quot;/&gt;&lt;wsp:rsid wsp:val=&quot;6C49442A&quot;/&gt;&lt;wsp:rsid wsp:val=&quot;6C4A5B71&quot;/&gt;&lt;wsp:rsid wsp:val=&quot;6C4B6506&quot;/&gt;&lt;wsp:rsid wsp:val=&quot;6C4D6722&quot;/&gt;&lt;wsp:rsid wsp:val=&quot;6C4E249B&quot;/&gt;&lt;wsp:rsid wsp:val=&quot;6C4E72B1&quot;/&gt;&lt;wsp:rsid wsp:val=&quot;6C4F7452&quot;/&gt;&lt;wsp:rsid wsp:val=&quot;6C515AE7&quot;/&gt;&lt;wsp:rsid wsp:val=&quot;6C517895&quot;/&gt;&lt;wsp:rsid wsp:val=&quot;6C525C70&quot;/&gt;&lt;wsp:rsid wsp:val=&quot;6C533118&quot;/&gt;&lt;wsp:rsid wsp:val=&quot;6C537AB1&quot;/&gt;&lt;wsp:rsid wsp:val=&quot;6C553829&quot;/&gt;&lt;wsp:rsid wsp:val=&quot;6C557385&quot;/&gt;&lt;wsp:rsid wsp:val=&quot;6C567B8C&quot;/&gt;&lt;wsp:rsid wsp:val=&quot;6C5775A1&quot;/&gt;&lt;wsp:rsid wsp:val=&quot;6C594EFB&quot;/&gt;&lt;wsp:rsid wsp:val=&quot;6C5A066F&quot;/&gt;&lt;wsp:rsid wsp:val=&quot;6C5A499B&quot;/&gt;&lt;wsp:rsid wsp:val=&quot;6C5A72D1&quot;/&gt;&lt;wsp:rsid wsp:val=&quot;6C5C6966&quot;/&gt;&lt;wsp:rsid wsp:val=&quot;6C5D1A55&quot;/&gt;&lt;wsp:rsid wsp:val=&quot;6C5D26DE&quot;/&gt;&lt;wsp:rsid wsp:val=&quot;6C5D448C&quot;/&gt;&lt;wsp:rsid wsp:val=&quot;6C5E0930&quot;/&gt;&lt;wsp:rsid wsp:val=&quot;6C5E5AB6&quot;/&gt;&lt;wsp:rsid wsp:val=&quot;6C5F1FB2&quot;/&gt;&lt;wsp:rsid wsp:val=&quot;6C5F6456&quot;/&gt;&lt;wsp:rsid wsp:val=&quot;6C635F46&quot;/&gt;&lt;wsp:rsid wsp:val=&quot;6C636C38&quot;/&gt;&lt;wsp:rsid wsp:val=&quot;6C643A6C&quot;/&gt;&lt;wsp:rsid wsp:val=&quot;6C6475C8&quot;/&gt;&lt;wsp:rsid wsp:val=&quot;6C661592&quot;/&gt;&lt;wsp:rsid wsp:val=&quot;6C67530A&quot;/&gt;&lt;wsp:rsid wsp:val=&quot;6C68710C&quot;/&gt;&lt;wsp:rsid wsp:val=&quot;6C691082&quot;/&gt;&lt;wsp:rsid wsp:val=&quot;6C692E30&quot;/&gt;&lt;wsp:rsid wsp:val=&quot;6C6972D4&quot;/&gt;&lt;wsp:rsid wsp:val=&quot;6C6C0C5A&quot;/&gt;&lt;wsp:rsid wsp:val=&quot;6C6E0447&quot;/&gt;&lt;wsp:rsid wsp:val=&quot;6C6E6699&quot;/&gt;&lt;wsp:rsid wsp:val=&quot;6C6F3E6A&quot;/&gt;&lt;wsp:rsid wsp:val=&quot;6C711CE5&quot;/&gt;&lt;wsp:rsid wsp:val=&quot;6C727F37&quot;/&gt;&lt;wsp:rsid wsp:val=&quot;6C731F01&quot;/&gt;&lt;wsp:rsid wsp:val=&quot;6C735A5D&quot;/&gt;&lt;wsp:rsid wsp:val=&quot;6C7543F7&quot;/&gt;&lt;wsp:rsid wsp:val=&quot;6C75594E&quot;/&gt;&lt;wsp:rsid wsp:val=&quot;6C755C79&quot;/&gt;&lt;wsp:rsid wsp:val=&quot;6C757A27&quot;/&gt;&lt;wsp:rsid wsp:val=&quot;6C762F55&quot;/&gt;&lt;wsp:rsid wsp:val=&quot;6C7669B4&quot;/&gt;&lt;wsp:rsid wsp:val=&quot;6C77379F&quot;/&gt;&lt;wsp:rsid wsp:val=&quot;6C77554D&quot;/&gt;&lt;wsp:rsid wsp:val=&quot;6C7812C6&quot;/&gt;&lt;wsp:rsid wsp:val=&quot;6C7C0DB6&quot;/&gt;&lt;wsp:rsid wsp:val=&quot;6C7D068A&quot;/&gt;&lt;wsp:rsid wsp:val=&quot;6C7E0D8E&quot;/&gt;&lt;wsp:rsid wsp:val=&quot;6C7F08A6&quot;/&gt;&lt;wsp:rsid wsp:val=&quot;6C7F4402&quot;/&gt;&lt;wsp:rsid wsp:val=&quot;6C7F4E9A&quot;/&gt;&lt;wsp:rsid wsp:val=&quot;6C81461E&quot;/&gt;&lt;wsp:rsid wsp:val=&quot;6C823EF2&quot;/&gt;&lt;wsp:rsid wsp:val=&quot;6C830396&quot;/&gt;&lt;wsp:rsid wsp:val=&quot;6C832144&quot;/&gt;&lt;wsp:rsid wsp:val=&quot;6C845EBC&quot;/&gt;&lt;wsp:rsid wsp:val=&quot;6C8620F1&quot;/&gt;&lt;wsp:rsid wsp:val=&quot;6C866D48&quot;/&gt;&lt;wsp:rsid wsp:val=&quot;6C88141A&quot;/&gt;&lt;wsp:rsid wsp:val=&quot;6C89702F&quot;/&gt;&lt;wsp:rsid wsp:val=&quot;6C8B2DA7&quot;/&gt;&lt;wsp:rsid wsp:val=&quot;6C8B46C6&quot;/&gt;&lt;wsp:rsid wsp:val=&quot;6C8B5575&quot;/&gt;&lt;wsp:rsid wsp:val=&quot;6C8C2600&quot;/&gt;&lt;wsp:rsid wsp:val=&quot;6C8D2FC3&quot;/&gt;&lt;wsp:rsid wsp:val=&quot;6C8D73F3&quot;/&gt;&lt;wsp:rsid wsp:val=&quot;6C8E21D0&quot;/&gt;&lt;wsp:rsid wsp:val=&quot;6C8E2897&quot;/&gt;&lt;wsp:rsid wsp:val=&quot;6C9205D9&quot;/&gt;&lt;wsp:rsid wsp:val=&quot;6C922387&quot;/&gt;&lt;wsp:rsid wsp:val=&quot;6C937EAD&quot;/&gt;&lt;wsp:rsid wsp:val=&quot;6C951E77&quot;/&gt;&lt;wsp:rsid wsp:val=&quot;6C961BE6&quot;/&gt;&lt;wsp:rsid wsp:val=&quot;6C97799E&quot;/&gt;&lt;wsp:rsid wsp:val=&quot;6C991968&quot;/&gt;&lt;wsp:rsid wsp:val=&quot;6C9A56E0&quot;/&gt;&lt;wsp:rsid wsp:val=&quot;6C9A737F&quot;/&gt;&lt;wsp:rsid wsp:val=&quot;6C9C1458&quot;/&gt;&lt;wsp:rsid wsp:val=&quot;6C9C3206&quot;/&gt;&lt;wsp:rsid wsp:val=&quot;6C9C4FB4&quot;/&gt;&lt;wsp:rsid wsp:val=&quot;6C9E6F7E&quot;/&gt;&lt;wsp:rsid wsp:val=&quot;6C9F2CF6&quot;/&gt;&lt;wsp:rsid wsp:val=&quot;6CA34594&quot;/&gt;&lt;wsp:rsid wsp:val=&quot;6CA36342&quot;/&gt;&lt;wsp:rsid wsp:val=&quot;6CA40EF3&quot;/&gt;&lt;wsp:rsid wsp:val=&quot;6CA67BE1&quot;/&gt;&lt;wsp:rsid wsp:val=&quot;6CA75A03&quot;/&gt;&lt;wsp:rsid wsp:val=&quot;6CA83959&quot;/&gt;&lt;wsp:rsid wsp:val=&quot;6CAB297C&quot;/&gt;&lt;wsp:rsid wsp:val=&quot;6CAB3479&quot;/&gt;&lt;wsp:rsid wsp:val=&quot;6CAB51F7&quot;/&gt;&lt;wsp:rsid wsp:val=&quot;6CAD0F6F&quot;/&gt;&lt;wsp:rsid wsp:val=&quot;6CAE084F&quot;/&gt;&lt;wsp:rsid wsp:val=&quot;6CAE2F39&quot;/&gt;&lt;wsp:rsid wsp:val=&quot;6CAF118B&quot;/&gt;&lt;wsp:rsid wsp:val=&quot;6CB00A5F&quot;/&gt;&lt;wsp:rsid wsp:val=&quot;6CB27C7E&quot;/&gt;&lt;wsp:rsid wsp:val=&quot;6CB5251A&quot;/&gt;&lt;wsp:rsid wsp:val=&quot;6CB542C8&quot;/&gt;&lt;wsp:rsid wsp:val=&quot;6CB70040&quot;/&gt;&lt;wsp:rsid wsp:val=&quot;6CB93DB8&quot;/&gt;&lt;wsp:rsid wsp:val=&quot;6CBA7B30&quot;/&gt;&lt;wsp:rsid wsp:val=&quot;6CBB0C5F&quot;/&gt;&lt;wsp:rsid wsp:val=&quot;6CBE13CE&quot;/&gt;&lt;wsp:rsid wsp:val=&quot;6CBE15D4&quot;/&gt;&lt;wsp:rsid wsp:val=&quot;6CBE317C&quot;/&gt;&lt;wsp:rsid wsp:val=&quot;6CBE3BC9&quot;/&gt;&lt;wsp:rsid wsp:val=&quot;6CBF18B4&quot;/&gt;&lt;wsp:rsid wsp:val=&quot;6CBF32F2&quot;/&gt;&lt;wsp:rsid wsp:val=&quot;6CBF47ED&quot;/&gt;&lt;wsp:rsid wsp:val=&quot;6CC00209&quot;/&gt;&lt;wsp:rsid wsp:val=&quot;6CC14A1B&quot;/&gt;&lt;wsp:rsid wsp:val=&quot;6CC24BA2&quot;/&gt;&lt;wsp:rsid wsp:val=&quot;6CC25CE0&quot;/&gt;&lt;wsp:rsid wsp:val=&quot;6CC30793&quot;/&gt;&lt;wsp:rsid wsp:val=&quot;6CC4275D&quot;/&gt;&lt;wsp:rsid wsp:val=&quot;6CC60283&quot;/&gt;&lt;wsp:rsid wsp:val=&quot;6CC61C99&quot;/&gt;&lt;wsp:rsid wsp:val=&quot;6CC8224D&quot;/&gt;&lt;wsp:rsid wsp:val=&quot;6CC83FFB&quot;/&gt;&lt;wsp:rsid wsp:val=&quot;6CC85DA9&quot;/&gt;&lt;wsp:rsid wsp:val=&quot;6CC928F5&quot;/&gt;&lt;wsp:rsid wsp:val=&quot;6CCB584C&quot;/&gt;&lt;wsp:rsid wsp:val=&quot;6CCB5899&quot;/&gt;&lt;wsp:rsid wsp:val=&quot;6CCB7647&quot;/&gt;&lt;wsp:rsid wsp:val=&quot;6CCC3665&quot;/&gt;&lt;wsp:rsid wsp:val=&quot;6CCD1611&quot;/&gt;&lt;wsp:rsid wsp:val=&quot;6CCD33BF&quot;/&gt;&lt;wsp:rsid wsp:val=&quot;6CCE7137&quot;/&gt;&lt;wsp:rsid wsp:val=&quot;6CCF08E7&quot;/&gt;&lt;wsp:rsid wsp:val=&quot;6CD25B27&quot;/&gt;&lt;wsp:rsid wsp:val=&quot;6CD25F52&quot;/&gt;&lt;wsp:rsid wsp:val=&quot;6CD26C28&quot;/&gt;&lt;wsp:rsid wsp:val=&quot;6CD408C1&quot;/&gt;&lt;wsp:rsid wsp:val=&quot;6CD40BF2&quot;/&gt;&lt;wsp:rsid wsp:val=&quot;6CD52274&quot;/&gt;&lt;wsp:rsid wsp:val=&quot;6CD96208&quot;/&gt;&lt;wsp:rsid wsp:val=&quot;6CDE580B&quot;/&gt;&lt;wsp:rsid wsp:val=&quot;6CDF2E4F&quot;/&gt;&lt;wsp:rsid wsp:val=&quot;6CDF30F3&quot;/&gt;&lt;wsp:rsid wsp:val=&quot;6CE10C19&quot;/&gt;&lt;wsp:rsid wsp:val=&quot;6CE16E6B&quot;/&gt;&lt;wsp:rsid wsp:val=&quot;6CE30E35&quot;/&gt;&lt;wsp:rsid wsp:val=&quot;6CE626D3&quot;/&gt;&lt;wsp:rsid wsp:val=&quot;6CE7542D&quot;/&gt;&lt;wsp:rsid wsp:val=&quot;6CE801F9&quot;/&gt;&lt;wsp:rsid wsp:val=&quot;6CE8644B&quot;/&gt;&lt;wsp:rsid wsp:val=&quot;6CEA54EF&quot;/&gt;&lt;wsp:rsid wsp:val=&quot;6CEB1A97&quot;/&gt;&lt;wsp:rsid wsp:val=&quot;6CEB7E0F&quot;/&gt;&lt;wsp:rsid wsp:val=&quot;6CED06BA&quot;/&gt;&lt;wsp:rsid wsp:val=&quot;6CED5810&quot;/&gt;&lt;wsp:rsid wsp:val=&quot;6CEF1588&quot;/&gt;&lt;wsp:rsid wsp:val=&quot;6CF06332&quot;/&gt;&lt;wsp:rsid wsp:val=&quot;6CF21078&quot;/&gt;&lt;wsp:rsid wsp:val=&quot;6CF272CA&quot;/&gt;&lt;wsp:rsid wsp:val=&quot;6CF41A63&quot;/&gt;&lt;wsp:rsid wsp:val=&quot;6CF546C4&quot;/&gt;&lt;wsp:rsid wsp:val=&quot;6CF7043C&quot;/&gt;&lt;wsp:rsid wsp:val=&quot;6CF92406&quot;/&gt;&lt;wsp:rsid wsp:val=&quot;6CFA1CDB&quot;/&gt;&lt;wsp:rsid wsp:val=&quot;6CFA617E&quot;/&gt;&lt;wsp:rsid wsp:val=&quot;6CFC5A53&quot;/&gt;&lt;wsp:rsid wsp:val=&quot;6D06058D&quot;/&gt;&lt;wsp:rsid wsp:val=&quot;6D062D75&quot;/&gt;&lt;wsp:rsid wsp:val=&quot;6D0668D1&quot;/&gt;&lt;wsp:rsid wsp:val=&quot;6D08089B&quot;/&gt;&lt;wsp:rsid wsp:val=&quot;6D082649&quot;/&gt;&lt;wsp:rsid wsp:val=&quot;6D087F43&quot;/&gt;&lt;wsp:rsid wsp:val=&quot;6D094E33&quot;/&gt;&lt;wsp:rsid wsp:val=&quot;6D0B213A&quot;/&gt;&lt;wsp:rsid wsp:val=&quot;6D0B3EE8&quot;/&gt;&lt;wsp:rsid wsp:val=&quot;6D0C5E17&quot;/&gt;&lt;wsp:rsid wsp:val=&quot;6D0D1A0E&quot;/&gt;&lt;wsp:rsid wsp:val=&quot;6D0D5EB2&quot;/&gt;&lt;wsp:rsid wsp:val=&quot;6D0D75F0&quot;/&gt;&lt;wsp:rsid wsp:val=&quot;6D0D7B7C&quot;/&gt;&lt;wsp:rsid wsp:val=&quot;6D0D7C60&quot;/&gt;&lt;wsp:rsid wsp:val=&quot;6D106FB1&quot;/&gt;&lt;wsp:rsid wsp:val=&quot;6D107750&quot;/&gt;&lt;wsp:rsid wsp:val=&quot;6D1128EF&quot;/&gt;&lt;wsp:rsid wsp:val=&quot;6D115E07&quot;/&gt;&lt;wsp:rsid wsp:val=&quot;6D125276&quot;/&gt;&lt;wsp:rsid wsp:val=&quot;6D142D9C&quot;/&gt;&lt;wsp:rsid wsp:val=&quot;6D147240&quot;/&gt;&lt;wsp:rsid wsp:val=&quot;6D156B14&quot;/&gt;&lt;wsp:rsid wsp:val=&quot;6D176D30&quot;/&gt;&lt;wsp:rsid wsp:val=&quot;6D1A237D&quot;/&gt;&lt;wsp:rsid wsp:val=&quot;6D1E00BF&quot;/&gt;&lt;wsp:rsid wsp:val=&quot;6D1E1E6D&quot;/&gt;&lt;wsp:rsid wsp:val=&quot;6D20018F&quot;/&gt;&lt;wsp:rsid wsp:val=&quot;6D203E37&quot;/&gt;&lt;wsp:rsid wsp:val=&quot;6D216E91&quot;/&gt;&lt;wsp:rsid wsp:val=&quot;6D260D22&quot;/&gt;&lt;wsp:rsid wsp:val=&quot;6D264001&quot;/&gt;&lt;wsp:rsid wsp:val=&quot;6D2A0812&quot;/&gt;&lt;wsp:rsid wsp:val=&quot;6D2A25C0&quot;/&gt;&lt;wsp:rsid wsp:val=&quot;6D2A6A64&quot;/&gt;&lt;wsp:rsid wsp:val=&quot;6D2B4915&quot;/&gt;&lt;wsp:rsid wsp:val=&quot;6D2D0302&quot;/&gt;&lt;wsp:rsid wsp:val=&quot;6D2D3E5E&quot;/&gt;&lt;wsp:rsid wsp:val=&quot;6D301BA0&quot;/&gt;&lt;wsp:rsid wsp:val=&quot;6D30394E&quot;/&gt;&lt;wsp:rsid wsp:val=&quot;6D317DF2&quot;/&gt;&lt;wsp:rsid wsp:val=&quot;6D323B6A&quot;/&gt;&lt;wsp:rsid wsp:val=&quot;6D333A34&quot;/&gt;&lt;wsp:rsid wsp:val=&quot;6D3B2A1F&quot;/&gt;&lt;wsp:rsid wsp:val=&quot;6D3B47CD&quot;/&gt;&lt;wsp:rsid wsp:val=&quot;6D3C22F3&quot;/&gt;&lt;wsp:rsid wsp:val=&quot;6D3E250F&quot;/&gt;&lt;wsp:rsid wsp:val=&quot;6D3E42BD&quot;/&gt;&lt;wsp:rsid wsp:val=&quot;6D3E606B&quot;/&gt;&lt;wsp:rsid wsp:val=&quot;6D3F3718&quot;/&gt;&lt;wsp:rsid wsp:val=&quot;6D415B5B&quot;/&gt;&lt;wsp:rsid wsp:val=&quot;6D45389E&quot;/&gt;&lt;wsp:rsid wsp:val=&quot;6D45564C&quot;/&gt;&lt;wsp:rsid wsp:val=&quot;6D455E49&quot;/&gt;&lt;wsp:rsid wsp:val=&quot;6D4573FA&quot;/&gt;&lt;wsp:rsid wsp:val=&quot;6D464F20&quot;/&gt;&lt;wsp:rsid wsp:val=&quot;6D48513C&quot;/&gt;&lt;wsp:rsid wsp:val=&quot;6D486EEA&quot;/&gt;&lt;wsp:rsid wsp:val=&quot;6D492422&quot;/&gt;&lt;wsp:rsid wsp:val=&quot;6D49739B&quot;/&gt;&lt;wsp:rsid wsp:val=&quot;6D4A4A10&quot;/&gt;&lt;wsp:rsid wsp:val=&quot;6D4B0788&quot;/&gt;&lt;wsp:rsid wsp:val=&quot;6D4B1CBB&quot;/&gt;&lt;wsp:rsid wsp:val=&quot;6D4B2536&quot;/&gt;&lt;wsp:rsid wsp:val=&quot;6D4C4C2C&quot;/&gt;&lt;wsp:rsid wsp:val=&quot;6D4D2752&quot;/&gt;&lt;wsp:rsid wsp:val=&quot;6D4F2026&quot;/&gt;&lt;wsp:rsid wsp:val=&quot;6D513FF0&quot;/&gt;&lt;wsp:rsid wsp:val=&quot;6D515B2D&quot;/&gt;&lt;wsp:rsid wsp:val=&quot;6D525A65&quot;/&gt;&lt;wsp:rsid wsp:val=&quot;6D543AE1&quot;/&gt;&lt;wsp:rsid wsp:val=&quot;6D5533B5&quot;/&gt;&lt;wsp:rsid wsp:val=&quot;6D561A4E&quot;/&gt;&lt;wsp:rsid wsp:val=&quot;6D567859&quot;/&gt;&lt;wsp:rsid wsp:val=&quot;6D57537F&quot;/&gt;&lt;wsp:rsid wsp:val=&quot;6D5910F7&quot;/&gt;&lt;wsp:rsid wsp:val=&quot;6D5B6C1D&quot;/&gt;&lt;wsp:rsid wsp:val=&quot;6D5D6CA1&quot;/&gt;&lt;wsp:rsid wsp:val=&quot;6D5E2269&quot;/&gt;&lt;wsp:rsid wsp:val=&quot;6D5E495F&quot;/&gt;&lt;wsp:rsid wsp:val=&quot;6D611D5A&quot;/&gt;&lt;wsp:rsid wsp:val=&quot;6D611E86&quot;/&gt;&lt;wsp:rsid wsp:val=&quot;6D620976&quot;/&gt;&lt;wsp:rsid wsp:val=&quot;6D6261FE&quot;/&gt;&lt;wsp:rsid wsp:val=&quot;6D642862&quot;/&gt;&lt;wsp:rsid wsp:val=&quot;6D655CEE&quot;/&gt;&lt;wsp:rsid wsp:val=&quot;6D665378&quot;/&gt;&lt;wsp:rsid wsp:val=&quot;6D667370&quot;/&gt;&lt;wsp:rsid wsp:val=&quot;6D6830E8&quot;/&gt;&lt;wsp:rsid wsp:val=&quot;6D6860B5&quot;/&gt;&lt;wsp:rsid wsp:val=&quot;6D686F3E&quot;/&gt;&lt;wsp:rsid wsp:val=&quot;6D68758C&quot;/&gt;&lt;wsp:rsid wsp:val=&quot;6D6B4986&quot;/&gt;&lt;wsp:rsid wsp:val=&quot;6D6C2BD8&quot;/&gt;&lt;wsp:rsid wsp:val=&quot;6D6C3BC5&quot;/&gt;&lt;wsp:rsid wsp:val=&quot;6D6D6950&quot;/&gt;&lt;wsp:rsid wsp:val=&quot;6D6F45CA&quot;/&gt;&lt;wsp:rsid wsp:val=&quot;6D702546&quot;/&gt;&lt;wsp:rsid wsp:val=&quot;6D7054EE&quot;/&gt;&lt;wsp:rsid wsp:val=&quot;6D7139D6&quot;/&gt;&lt;wsp:rsid wsp:val=&quot;6D725D15&quot;/&gt;&lt;wsp:rsid wsp:val=&quot;6D7777CF&quot;/&gt;&lt;wsp:rsid wsp:val=&quot;6D794D39&quot;/&gt;&lt;wsp:rsid wsp:val=&quot;6D7952F5&quot;/&gt;&lt;wsp:rsid wsp:val=&quot;6D7970A3&quot;/&gt;&lt;wsp:rsid wsp:val=&quot;6D7A524D&quot;/&gt;&lt;wsp:rsid wsp:val=&quot;6D7B40DA&quot;/&gt;&lt;wsp:rsid wsp:val=&quot;6D7B72BF&quot;/&gt;&lt;wsp:rsid wsp:val=&quot;6D7C6B93&quot;/&gt;&lt;wsp:rsid wsp:val=&quot;6D7D3037&quot;/&gt;&lt;wsp:rsid wsp:val=&quot;6D7D46B3&quot;/&gt;&lt;wsp:rsid wsp:val=&quot;6D7E2D8E&quot;/&gt;&lt;wsp:rsid wsp:val=&quot;6D7E5FDA&quot;/&gt;&lt;wsp:rsid wsp:val=&quot;6D7F17B7&quot;/&gt;&lt;wsp:rsid wsp:val=&quot;6D800432&quot;/&gt;&lt;wsp:rsid wsp:val=&quot;6D80557B&quot;/&gt;&lt;wsp:rsid wsp:val=&quot;6D806684&quot;/&gt;&lt;wsp:rsid wsp:val=&quot;6D8141AA&quot;/&gt;&lt;wsp:rsid wsp:val=&quot;6D8343C6&quot;/&gt;&lt;wsp:rsid wsp:val=&quot;6D836174&quot;/&gt;&lt;wsp:rsid wsp:val=&quot;6D842C2A&quot;/&gt;&lt;wsp:rsid wsp:val=&quot;6D854A1D&quot;/&gt;&lt;wsp:rsid wsp:val=&quot;6D8656F8&quot;/&gt;&lt;wsp:rsid wsp:val=&quot;6D8A5EA7&quot;/&gt;&lt;wsp:rsid wsp:val=&quot;6D8A7502&quot;/&gt;&lt;wsp:rsid wsp:val=&quot;6D8C5028&quot;/&gt;&lt;wsp:rsid wsp:val=&quot;6D8D0DA1&quot;/&gt;&lt;wsp:rsid wsp:val=&quot;6D8F4B19&quot;/&gt;&lt;wsp:rsid wsp:val=&quot;6D9070B3&quot;/&gt;&lt;wsp:rsid wsp:val=&quot;6D9143ED&quot;/&gt;&lt;wsp:rsid wsp:val=&quot;6D920165&quot;/&gt;&lt;wsp:rsid wsp:val=&quot;6D9263B7&quot;/&gt;&lt;wsp:rsid wsp:val=&quot;6D940200&quot;/&gt;&lt;wsp:rsid wsp:val=&quot;6D965EA7&quot;/&gt;&lt;wsp:rsid wsp:val=&quot;6D997745&quot;/&gt;&lt;wsp:rsid wsp:val=&quot;6D9B34BE&quot;/&gt;&lt;wsp:rsid wsp:val=&quot;6D9D2BF3&quot;/&gt;&lt;wsp:rsid wsp:val=&quot;6D9E4D5C&quot;/&gt;&lt;wsp:rsid wsp:val=&quot;6D9F7350&quot;/&gt;&lt;wsp:rsid wsp:val=&quot;6DA02882&quot;/&gt;&lt;wsp:rsid wsp:val=&quot;6DA22804&quot;/&gt;&lt;wsp:rsid wsp:val=&quot;6DA2484C&quot;/&gt;&lt;wsp:rsid wsp:val=&quot;6DA265FA&quot;/&gt;&lt;wsp:rsid wsp:val=&quot;6DA32372&quot;/&gt;&lt;wsp:rsid wsp:val=&quot;6DA5562E&quot;/&gt;&lt;wsp:rsid wsp:val=&quot;6DA560EA&quot;/&gt;&lt;wsp:rsid wsp:val=&quot;6DA700B4&quot;/&gt;&lt;wsp:rsid wsp:val=&quot;6DA73066&quot;/&gt;&lt;wsp:rsid wsp:val=&quot;6DA73C10&quot;/&gt;&lt;wsp:rsid wsp:val=&quot;6DA85BDA&quot;/&gt;&lt;wsp:rsid wsp:val=&quot;6DAA3701&quot;/&gt;&lt;wsp:rsid wsp:val=&quot;6DAA3B67&quot;/&gt;&lt;wsp:rsid wsp:val=&quot;6DAA54AF&quot;/&gt;&lt;wsp:rsid wsp:val=&quot;6DAC7BC8&quot;/&gt;&lt;wsp:rsid wsp:val=&quot;6DAF0D17&quot;/&gt;&lt;wsp:rsid wsp:val=&quot;6DAF6F69&quot;/&gt;&lt;wsp:rsid wsp:val=&quot;6DB0319F&quot;/&gt;&lt;wsp:rsid wsp:val=&quot;6DB12CE1&quot;/&gt;&lt;wsp:rsid wsp:val=&quot;6DB1683D&quot;/&gt;&lt;wsp:rsid wsp:val=&quot;6DB2571B&quot;/&gt;&lt;wsp:rsid wsp:val=&quot;6DB30807&quot;/&gt;&lt;wsp:rsid wsp:val=&quot;6DB34098&quot;/&gt;&lt;wsp:rsid wsp:val=&quot;6DB36A59&quot;/&gt;&lt;wsp:rsid wsp:val=&quot;6DB477EA&quot;/&gt;&lt;wsp:rsid wsp:val=&quot;6DB545B6&quot;/&gt;&lt;wsp:rsid wsp:val=&quot;6DB602F7&quot;/&gt;&lt;wsp:rsid wsp:val=&quot;6DB620A5&quot;/&gt;&lt;wsp:rsid wsp:val=&quot;6DB63E53&quot;/&gt;&lt;wsp:rsid wsp:val=&quot;6DB66549&quot;/&gt;&lt;wsp:rsid wsp:val=&quot;6DB77BCC&quot;/&gt;&lt;wsp:rsid wsp:val=&quot;6DB8406F&quot;/&gt;&lt;wsp:rsid wsp:val=&quot;6DB85E1E&quot;/&gt;&lt;wsp:rsid wsp:val=&quot;6DB91B96&quot;/&gt;&lt;wsp:rsid wsp:val=&quot;6DBB590E&quot;/&gt;&lt;wsp:rsid wsp:val=&quot;6DBB76BC&quot;/&gt;&lt;wsp:rsid wsp:val=&quot;6DBD3434&quot;/&gt;&lt;wsp:rsid wsp:val=&quot;6DBE71AC&quot;/&gt;&lt;wsp:rsid wsp:val=&quot;6DBF603E&quot;/&gt;&lt;wsp:rsid wsp:val=&quot;6DC10FAB&quot;/&gt;&lt;wsp:rsid wsp:val=&quot;6DC11FEB&quot;/&gt;&lt;wsp:rsid wsp:val=&quot;6DC24EEE&quot;/&gt;&lt;wsp:rsid wsp:val=&quot;6DC36570&quot;/&gt;&lt;wsp:rsid wsp:val=&quot;6DC42A14&quot;/&gt;&lt;wsp:rsid wsp:val=&quot;6DC522E8&quot;/&gt;&lt;wsp:rsid wsp:val=&quot;6DC72505&quot;/&gt;&lt;wsp:rsid wsp:val=&quot;6DC742B3&quot;/&gt;&lt;wsp:rsid wsp:val=&quot;6DC9002B&quot;/&gt;&lt;wsp:rsid wsp:val=&quot;6DC9057F&quot;/&gt;&lt;wsp:rsid wsp:val=&quot;6DCA3DA3&quot;/&gt;&lt;wsp:rsid wsp:val=&quot;6DCA5B51&quot;/&gt;&lt;wsp:rsid wsp:val=&quot;6DCC7B1B&quot;/&gt;&lt;wsp:rsid wsp:val=&quot;6DCE3893&quot;/&gt;&lt;wsp:rsid wsp:val=&quot;6DCF4F15&quot;/&gt;&lt;wsp:rsid wsp:val=&quot;6DCF760B&quot;/&gt;&lt;wsp:rsid wsp:val=&quot;6DD025FD&quot;/&gt;&lt;wsp:rsid wsp:val=&quot;6DD10452&quot;/&gt;&lt;wsp:rsid wsp:val=&quot;6DD14B25&quot;/&gt;&lt;wsp:rsid wsp:val=&quot;6DD15131&quot;/&gt;&lt;wsp:rsid wsp:val=&quot;6DD24A05&quot;/&gt;&lt;wsp:rsid wsp:val=&quot;6DD30EA9&quot;/&gt;&lt;wsp:rsid wsp:val=&quot;6DD4077E&quot;/&gt;&lt;wsp:rsid wsp:val=&quot;6DD86BE4&quot;/&gt;&lt;wsp:rsid wsp:val=&quot;6DD9425F&quot;/&gt;&lt;wsp:rsid wsp:val=&quot;6DD94A2A&quot;/&gt;&lt;wsp:rsid wsp:val=&quot;6DD95D94&quot;/&gt;&lt;wsp:rsid wsp:val=&quot;6DDB7D5E&quot;/&gt;&lt;wsp:rsid wsp:val=&quot;6DDD3AD6&quot;/&gt;&lt;wsp:rsid wsp:val=&quot;6DDD7632&quot;/&gt;&lt;wsp:rsid wsp:val=&quot;6DDE1315&quot;/&gt;&lt;wsp:rsid wsp:val=&quot;6DDE7486&quot;/&gt;&lt;wsp:rsid wsp:val=&quot;6DDF6574&quot;/&gt;&lt;wsp:rsid wsp:val=&quot;6DE02FB4&quot;/&gt;&lt;wsp:rsid wsp:val=&quot;6DE10C0B&quot;/&gt;&lt;wsp:rsid wsp:val=&quot;6DE13E96&quot;/&gt;&lt;wsp:rsid wsp:val=&quot;6DE17F47&quot;/&gt;&lt;wsp:rsid wsp:val=&quot;6DE21E3D&quot;/&gt;&lt;wsp:rsid wsp:val=&quot;6DE22E9A&quot;/&gt;&lt;wsp:rsid wsp:val=&quot;6DE309C1&quot;/&gt;&lt;wsp:rsid wsp:val=&quot;6DE54739&quot;/&gt;&lt;wsp:rsid wsp:val=&quot;6DE6283F&quot;/&gt;&lt;wsp:rsid wsp:val=&quot;6DE72678&quot;/&gt;&lt;wsp:rsid wsp:val=&quot;6DE76703&quot;/&gt;&lt;wsp:rsid wsp:val=&quot;6DEA0FF9&quot;/&gt;&lt;wsp:rsid wsp:val=&quot;6DEC134B&quot;/&gt;&lt;wsp:rsid wsp:val=&quot;6DEC1F6B&quot;/&gt;&lt;wsp:rsid wsp:val=&quot;6DEC3D19&quot;/&gt;&lt;wsp:rsid wsp:val=&quot;6DED1CA3&quot;/&gt;&lt;wsp:rsid wsp:val=&quot;6DEE7A91&quot;/&gt;&lt;wsp:rsid wsp:val=&quot;6DF024BC&quot;/&gt;&lt;wsp:rsid wsp:val=&quot;6DF130DE&quot;/&gt;&lt;wsp:rsid wsp:val=&quot;6DF332FA&quot;/&gt;&lt;wsp:rsid wsp:val=&quot;6DF350A8&quot;/&gt;&lt;wsp:rsid wsp:val=&quot;6DF64B98&quot;/&gt;&lt;wsp:rsid wsp:val=&quot;6DF76735&quot;/&gt;&lt;wsp:rsid wsp:val=&quot;6DF93F3F&quot;/&gt;&lt;wsp:rsid wsp:val=&quot;6DFA4688&quot;/&gt;&lt;wsp:rsid wsp:val=&quot;6DFB0400&quot;/&gt;&lt;wsp:rsid wsp:val=&quot;6DFB56B9&quot;/&gt;&lt;wsp:rsid wsp:val=&quot;6DFD7CD4&quot;/&gt;&lt;wsp:rsid wsp:val=&quot;6DFF1C9E&quot;/&gt;&lt;wsp:rsid wsp:val=&quot;6DFF3D69&quot;/&gt;&lt;wsp:rsid wsp:val=&quot;6E005A16&quot;/&gt;&lt;wsp:rsid wsp:val=&quot;6E013993&quot;/&gt;&lt;wsp:rsid wsp:val=&quot;6E027280&quot;/&gt;&lt;wsp:rsid wsp:val=&quot;6E0472B5&quot;/&gt;&lt;wsp:rsid wsp:val=&quot;6E053030&quot;/&gt;&lt;wsp:rsid wsp:val=&quot;6E070B53&quot;/&gt;&lt;wsp:rsid wsp:val=&quot;6E076DA5&quot;/&gt;&lt;wsp:rsid wsp:val=&quot;6E080427&quot;/&gt;&lt;wsp:rsid wsp:val=&quot;6E090116&quot;/&gt;&lt;wsp:rsid wsp:val=&quot;6E0A3477&quot;/&gt;&lt;wsp:rsid wsp:val=&quot;6E0A7146&quot;/&gt;&lt;wsp:rsid wsp:val=&quot;6E0C43BB&quot;/&gt;&lt;wsp:rsid wsp:val=&quot;6E0C7F17&quot;/&gt;&lt;wsp:rsid wsp:val=&quot;6E0F17B6&quot;/&gt;&lt;wsp:rsid wsp:val=&quot;6E0F36C1&quot;/&gt;&lt;wsp:rsid wsp:val=&quot;6E105C5A&quot;/&gt;&lt;wsp:rsid wsp:val=&quot;6E1535B9&quot;/&gt;&lt;wsp:rsid wsp:val=&quot;6E162B44&quot;/&gt;&lt;wsp:rsid wsp:val=&quot;6E182D60&quot;/&gt;&lt;wsp:rsid wsp:val=&quot;6E1950AD&quot;/&gt;&lt;wsp:rsid wsp:val=&quot;6E1B45FE&quot;/&gt;&lt;wsp:rsid wsp:val=&quot;6E1B63AC&quot;/&gt;&lt;wsp:rsid wsp:val=&quot;6E1D2124&quot;/&gt;&lt;wsp:rsid wsp:val=&quot;6E1E7093&quot;/&gt;&lt;wsp:rsid wsp:val=&quot;6E1F3234&quot;/&gt;&lt;wsp:rsid wsp:val=&quot;6E1F7C4B&quot;/&gt;&lt;wsp:rsid wsp:val=&quot;6E2039C3&quot;/&gt;&lt;wsp:rsid wsp:val=&quot;6E217E67&quot;/&gt;&lt;wsp:rsid wsp:val=&quot;6E225129&quot;/&gt;&lt;wsp:rsid wsp:val=&quot;6E22598D&quot;/&gt;&lt;wsp:rsid wsp:val=&quot;6E260A53&quot;/&gt;&lt;wsp:rsid wsp:val=&quot;6E274D51&quot;/&gt;&lt;wsp:rsid wsp:val=&quot;6E277F63&quot;/&gt;&lt;wsp:rsid wsp:val=&quot;6E2A07E5&quot;/&gt;&lt;wsp:rsid wsp:val=&quot;6E2C0FA1&quot;/&gt;&lt;wsp:rsid wsp:val=&quot;6E2E7E8E&quot;/&gt;&lt;wsp:rsid wsp:val=&quot;6E33002A&quot;/&gt;&lt;wsp:rsid wsp:val=&quot;6E331948&quot;/&gt;&lt;wsp:rsid wsp:val=&quot;6E34753E&quot;/&gt;&lt;wsp:rsid wsp:val=&quot;6E3556C0&quot;/&gt;&lt;wsp:rsid wsp:val=&quot;6E35746E&quot;/&gt;&lt;wsp:rsid wsp:val=&quot;6E380FA9&quot;/&gt;&lt;wsp:rsid wsp:val=&quot;6E394AF1&quot;/&gt;&lt;wsp:rsid wsp:val=&quot;6E3A2CD6&quot;/&gt;&lt;wsp:rsid wsp:val=&quot;6E3A6CA9&quot;/&gt;&lt;wsp:rsid wsp:val=&quot;6E3B07FD&quot;/&gt;&lt;wsp:rsid wsp:val=&quot;6E3B25AB&quot;/&gt;&lt;wsp:rsid wsp:val=&quot;6E3C2BCA&quot;/&gt;&lt;wsp:rsid wsp:val=&quot;6E3D3C72&quot;/&gt;&lt;wsp:rsid wsp:val=&quot;6E3D4575&quot;/&gt;&lt;wsp:rsid wsp:val=&quot;6E3F02ED&quot;/&gt;&lt;wsp:rsid wsp:val=&quot;6E3F209B&quot;/&gt;&lt;wsp:rsid wsp:val=&quot;6E40502B&quot;/&gt;&lt;wsp:rsid wsp:val=&quot;6E414065&quot;/&gt;&lt;wsp:rsid wsp:val=&quot;6E4476B1&quot;/&gt;&lt;wsp:rsid wsp:val=&quot;6E454B50&quot;/&gt;&lt;wsp:rsid wsp:val=&quot;6E476B79&quot;/&gt;&lt;wsp:rsid wsp:val=&quot;6E493180&quot;/&gt;&lt;wsp:rsid wsp:val=&quot;6E4A0A40&quot;/&gt;&lt;wsp:rsid wsp:val=&quot;6E4B0D18&quot;/&gt;&lt;wsp:rsid wsp:val=&quot;6E4B6747&quot;/&gt;&lt;wsp:rsid wsp:val=&quot;6E4E67EA&quot;/&gt;&lt;wsp:rsid wsp:val=&quot;6E4F0C06&quot;/&gt;&lt;wsp:rsid wsp:val=&quot;6E5024FA&quot;/&gt;&lt;wsp:rsid wsp:val=&quot;6E510020&quot;/&gt;&lt;wsp:rsid wsp:val=&quot;6E514CED&quot;/&gt;&lt;wsp:rsid wsp:val=&quot;6E526272&quot;/&gt;&lt;wsp:rsid wsp:val=&quot;6E533D98&quot;/&gt;&lt;wsp:rsid wsp:val=&quot;6E5518BE&quot;/&gt;&lt;wsp:rsid wsp:val=&quot;6E58315D&quot;/&gt;&lt;wsp:rsid wsp:val=&quot;6E587601&quot;/&gt;&lt;wsp:rsid wsp:val=&quot;6E5A5127&quot;/&gt;&lt;wsp:rsid wsp:val=&quot;6E5B52BA&quot;/&gt;&lt;wsp:rsid wsp:val=&quot;6E5D0662&quot;/&gt;&lt;wsp:rsid wsp:val=&quot;6E5E05F4&quot;/&gt;&lt;wsp:rsid wsp:val=&quot;6E5E53C9&quot;/&gt;&lt;wsp:rsid wsp:val=&quot;6E5F098F&quot;/&gt;&lt;wsp:rsid wsp:val=&quot;6E5F44EB&quot;/&gt;&lt;wsp:rsid wsp:val=&quot;6E600263&quot;/&gt;&lt;wsp:rsid wsp:val=&quot;6E61112C&quot;/&gt;&lt;wsp:rsid wsp:val=&quot;6E661D1D&quot;/&gt;&lt;wsp:rsid wsp:val=&quot;6E666DD7&quot;/&gt;&lt;wsp:rsid wsp:val=&quot;6E6935BC&quot;/&gt;&lt;wsp:rsid wsp:val=&quot;6E6B10E2&quot;/&gt;&lt;wsp:rsid wsp:val=&quot;6E6C4E5A&quot;/&gt;&lt;wsp:rsid wsp:val=&quot;6E6D58F0&quot;/&gt;&lt;wsp:rsid wsp:val=&quot;6E6E2980&quot;/&gt;&lt;wsp:rsid wsp:val=&quot;6E6E472E&quot;/&gt;&lt;wsp:rsid wsp:val=&quot;6E707791&quot;/&gt;&lt;wsp:rsid wsp:val=&quot;6E716558&quot;/&gt;&lt;wsp:rsid wsp:val=&quot;6E7206C2&quot;/&gt;&lt;wsp:rsid wsp:val=&quot;6E733541&quot;/&gt;&lt;wsp:rsid wsp:val=&quot;6E737F96&quot;/&gt;&lt;wsp:rsid wsp:val=&quot;6E742C1A&quot;/&gt;&lt;wsp:rsid wsp:val=&quot;6E7469C7&quot;/&gt;&lt;wsp:rsid wsp:val=&quot;6E7475A2&quot;/&gt;&lt;wsp:rsid wsp:val=&quot;6E752083&quot;/&gt;&lt;wsp:rsid wsp:val=&quot;6E755ABD&quot;/&gt;&lt;wsp:rsid wsp:val=&quot;6E761835&quot;/&gt;&lt;wsp:rsid wsp:val=&quot;6E770482&quot;/&gt;&lt;wsp:rsid wsp:val=&quot;6E781A51&quot;/&gt;&lt;wsp:rsid wsp:val=&quot;6E7A30D3&quot;/&gt;&lt;wsp:rsid wsp:val=&quot;6E7A38D9&quot;/&gt;&lt;wsp:rsid wsp:val=&quot;6E7A7577&quot;/&gt;&lt;wsp:rsid wsp:val=&quot;6E7B6E4B&quot;/&gt;&lt;wsp:rsid wsp:val=&quot;6E7D2BC3&quot;/&gt;&lt;wsp:rsid wsp:val=&quot;6E7D7067&quot;/&gt;&lt;wsp:rsid wsp:val=&quot;6E7F06E9&quot;/&gt;&lt;wsp:rsid wsp:val=&quot;6E804461&quot;/&gt;&lt;wsp:rsid wsp:val=&quot;6E810905&quot;/&gt;&lt;wsp:rsid wsp:val=&quot;6E82642B&quot;/&gt;&lt;wsp:rsid wsp:val=&quot;6E874588&quot;/&gt;&lt;wsp:rsid wsp:val=&quot;6E8842D7&quot;/&gt;&lt;wsp:rsid wsp:val=&quot;6E890338&quot;/&gt;&lt;wsp:rsid wsp:val=&quot;6E8961B8&quot;/&gt;&lt;wsp:rsid wsp:val=&quot;6E896EA8&quot;/&gt;&lt;wsp:rsid wsp:val=&quot;6E8A5340&quot;/&gt;&lt;wsp:rsid wsp:val=&quot;6E8C2E06&quot;/&gt;&lt;wsp:rsid wsp:val=&quot;6E8D72AA&quot;/&gt;&lt;wsp:rsid wsp:val=&quot;6E8F5B5F&quot;/&gt;&lt;wsp:rsid wsp:val=&quot;6E900879&quot;/&gt;&lt;wsp:rsid wsp:val=&quot;6E922B12&quot;/&gt;&lt;wsp:rsid wsp:val=&quot;6E9323E7&quot;/&gt;&lt;wsp:rsid wsp:val=&quot;6E9422B2&quot;/&gt;&lt;wsp:rsid wsp:val=&quot;6E9A19C7&quot;/&gt;&lt;wsp:rsid wsp:val=&quot;6E9C74ED&quot;/&gt;&lt;wsp:rsid wsp:val=&quot;6E9E14B7&quot;/&gt;&lt;wsp:rsid wsp:val=&quot;6E9F6FDD&quot;/&gt;&lt;wsp:rsid wsp:val=&quot;6EA136DF&quot;/&gt;&lt;wsp:rsid wsp:val=&quot;6EA2087C&quot;/&gt;&lt;wsp:rsid wsp:val=&quot;6EA2262A&quot;/&gt;&lt;wsp:rsid wsp:val=&quot;6EA36ACE&quot;/&gt;&lt;wsp:rsid wsp:val=&quot;6EA42846&quot;/&gt;&lt;wsp:rsid wsp:val=&quot;6EA75E92&quot;/&gt;&lt;wsp:rsid wsp:val=&quot;6EA939B8&quot;/&gt;&lt;wsp:rsid wsp:val=&quot;6EA97E5C&quot;/&gt;&lt;wsp:rsid wsp:val=&quot;6EAB7671&quot;/&gt;&lt;wsp:rsid wsp:val=&quot;6EAC5256&quot;/&gt;&lt;wsp:rsid wsp:val=&quot;6EAD684E&quot;/&gt;&lt;wsp:rsid wsp:val=&quot;6EAE5472&quot;/&gt;&lt;wsp:rsid wsp:val=&quot;6EAE733F&quot;/&gt;&lt;wsp:rsid wsp:val=&quot;6EAF2053&quot;/&gt;&lt;wsp:rsid wsp:val=&quot;6EB011EB&quot;/&gt;&lt;wsp:rsid wsp:val=&quot;6EB365E5&quot;/&gt;&lt;wsp:rsid wsp:val=&quot;6EB42BD3&quot;/&gt;&lt;wsp:rsid wsp:val=&quot;6EB5235D&quot;/&gt;&lt;wsp:rsid wsp:val=&quot;6EB563D5&quot;/&gt;&lt;wsp:rsid wsp:val=&quot;6EB62DE8&quot;/&gt;&lt;wsp:rsid wsp:val=&quot;6EB81E4D&quot;/&gt;&lt;wsp:rsid wsp:val=&quot;6EB83BFB&quot;/&gt;&lt;wsp:rsid wsp:val=&quot;6EBC193D&quot;/&gt;&lt;wsp:rsid wsp:val=&quot;6EC0089A&quot;/&gt;&lt;wsp:rsid wsp:val=&quot;6EC16F54&quot;/&gt;&lt;wsp:rsid wsp:val=&quot;6EC24A7A&quot;/&gt;&lt;wsp:rsid wsp:val=&quot;6EC46A44&quot;/&gt;&lt;wsp:rsid wsp:val=&quot;6EC627BC&quot;/&gt;&lt;wsp:rsid wsp:val=&quot;6EC922AC&quot;/&gt;&lt;wsp:rsid wsp:val=&quot;6EC95E08&quot;/&gt;&lt;wsp:rsid wsp:val=&quot;6ECA39AD&quot;/&gt;&lt;wsp:rsid wsp:val=&quot;6ECB392F&quot;/&gt;&lt;wsp:rsid wsp:val=&quot;6ECB66B8&quot;/&gt;&lt;wsp:rsid wsp:val=&quot;6ECC3C23&quot;/&gt;&lt;wsp:rsid wsp:val=&quot;6ECF78C3&quot;/&gt;&lt;wsp:rsid wsp:val=&quot;6ED0239E&quot;/&gt;&lt;wsp:rsid wsp:val=&quot;6ED07197&quot;/&gt;&lt;wsp:rsid wsp:val=&quot;6ED0761A&quot;/&gt;&lt;wsp:rsid wsp:val=&quot;6ED13F5D&quot;/&gt;&lt;wsp:rsid wsp:val=&quot;6ED21161&quot;/&gt;&lt;wsp:rsid wsp:val=&quot;6ED3687D&quot;/&gt;&lt;wsp:rsid wsp:val=&quot;6ED50C51&quot;/&gt;&lt;wsp:rsid wsp:val=&quot;6ED529FF&quot;/&gt;&lt;wsp:rsid wsp:val=&quot;6ED70525&quot;/&gt;&lt;wsp:rsid wsp:val=&quot;6ED749C9&quot;/&gt;&lt;wsp:rsid wsp:val=&quot;6ED8604B&quot;/&gt;&lt;wsp:rsid wsp:val=&quot;6ED92677&quot;/&gt;&lt;wsp:rsid wsp:val=&quot;6ED9678D&quot;/&gt;&lt;wsp:rsid wsp:val=&quot;6EDA0016&quot;/&gt;&lt;wsp:rsid wsp:val=&quot;6EDC1FE0&quot;/&gt;&lt;wsp:rsid wsp:val=&quot;6EDC5B3C&quot;/&gt;&lt;wsp:rsid wsp:val=&quot;6EDD056B&quot;/&gt;&lt;wsp:rsid wsp:val=&quot;6EDD3662&quot;/&gt;&lt;wsp:rsid wsp:val=&quot;6EDD6664&quot;/&gt;&lt;wsp:rsid wsp:val=&quot;6EDF73DA&quot;/&gt;&lt;wsp:rsid wsp:val=&quot;6EE05E54&quot;/&gt;&lt;wsp:rsid wsp:val=&quot;6EE175F6&quot;/&gt;&lt;wsp:rsid wsp:val=&quot;6EE42C42&quot;/&gt;&lt;wsp:rsid wsp:val=&quot;6EE449F0&quot;/&gt;&lt;wsp:rsid wsp:val=&quot;6EE507FF&quot;/&gt;&lt;wsp:rsid wsp:val=&quot;6EE60768&quot;/&gt;&lt;wsp:rsid wsp:val=&quot;6EE64C0C&quot;/&gt;&lt;wsp:rsid wsp:val=&quot;6EE669BA&quot;/&gt;&lt;wsp:rsid wsp:val=&quot;6EE80984&quot;/&gt;&lt;wsp:rsid wsp:val=&quot;6EE90259&quot;/&gt;&lt;wsp:rsid wsp:val=&quot;6EE964AB&quot;/&gt;&lt;wsp:rsid wsp:val=&quot;6EEB3FD1&quot;/&gt;&lt;wsp:rsid wsp:val=&quot;6EEB76D5&quot;/&gt;&lt;wsp:rsid wsp:val=&quot;6EEF1974&quot;/&gt;&lt;wsp:rsid wsp:val=&quot;6EF03395&quot;/&gt;&lt;wsp:rsid wsp:val=&quot;6EF07839&quot;/&gt;&lt;wsp:rsid wsp:val=&quot;6EF32E85&quot;/&gt;&lt;wsp:rsid wsp:val=&quot;6EF410D7&quot;/&gt;&lt;wsp:rsid wsp:val=&quot;6EF44042&quot;/&gt;&lt;wsp:rsid wsp:val=&quot;6EF56BFD&quot;/&gt;&lt;wsp:rsid wsp:val=&quot;6EF72976&quot;/&gt;&lt;wsp:rsid wsp:val=&quot;6EF8049C&quot;/&gt;&lt;wsp:rsid wsp:val=&quot;6EF87108&quot;/&gt;&lt;wsp:rsid wsp:val=&quot;6EF966EE&quot;/&gt;&lt;wsp:rsid wsp:val=&quot;6EFB71CA&quot;/&gt;&lt;wsp:rsid wsp:val=&quot;6EFF182A&quot;/&gt;&lt;wsp:rsid wsp:val=&quot;6F03131A&quot;/&gt;&lt;wsp:rsid wsp:val=&quot;6F06705D&quot;/&gt;&lt;wsp:rsid wsp:val=&quot;6F076EA4&quot;/&gt;&lt;wsp:rsid wsp:val=&quot;6F0917CE&quot;/&gt;&lt;wsp:rsid wsp:val=&quot;6F0A08FB&quot;/&gt;&lt;wsp:rsid wsp:val=&quot;6F0B4673&quot;/&gt;&lt;wsp:rsid wsp:val=&quot;6F0C55FA&quot;/&gt;&lt;wsp:rsid wsp:val=&quot;6F0E2CEA&quot;/&gt;&lt;wsp:rsid wsp:val=&quot;6F0F5F11&quot;/&gt;&lt;wsp:rsid wsp:val=&quot;6F10216C&quot;/&gt;&lt;wsp:rsid wsp:val=&quot;6F1057E5&quot;/&gt;&lt;wsp:rsid wsp:val=&quot;6F107F60&quot;/&gt;&lt;wsp:rsid wsp:val=&quot;6F12311E&quot;/&gt;&lt;wsp:rsid wsp:val=&quot;6F125A01&quot;/&gt;&lt;wsp:rsid wsp:val=&quot;6F14379C&quot;/&gt;&lt;wsp:rsid wsp:val=&quot;6F152DFC&quot;/&gt;&lt;wsp:rsid wsp:val=&quot;6F1866F2&quot;/&gt;&lt;wsp:rsid wsp:val=&quot;6F190B3E&quot;/&gt;&lt;wsp:rsid wsp:val=&quot;6F194749&quot;/&gt;&lt;wsp:rsid wsp:val=&quot;6F1A6664&quot;/&gt;&lt;wsp:rsid wsp:val=&quot;6F1C23DC&quot;/&gt;&lt;wsp:rsid wsp:val=&quot;6F1E7F02&quot;/&gt;&lt;wsp:rsid wsp:val=&quot;6F225983&quot;/&gt;&lt;wsp:rsid wsp:val=&quot;6F233805&quot;/&gt;&lt;wsp:rsid wsp:val=&quot;6F235519&quot;/&gt;&lt;wsp:rsid wsp:val=&quot;6F241291&quot;/&gt;&lt;wsp:rsid wsp:val=&quot;6F2474E3&quot;/&gt;&lt;wsp:rsid wsp:val=&quot;6F26325B&quot;/&gt;&lt;wsp:rsid wsp:val=&quot;6F265009&quot;/&gt;&lt;wsp:rsid wsp:val=&quot;6F280D81&quot;/&gt;&lt;wsp:rsid wsp:val=&quot;6F282B2F&quot;/&gt;&lt;wsp:rsid wsp:val=&quot;6F2968A7&quot;/&gt;&lt;wsp:rsid wsp:val=&quot;6F2A2D4B&quot;/&gt;&lt;wsp:rsid wsp:val=&quot;6F2B6AC3&quot;/&gt;&lt;wsp:rsid wsp:val=&quot;6F2C3427&quot;/&gt;&lt;wsp:rsid wsp:val=&quot;6F2D0768&quot;/&gt;&lt;wsp:rsid wsp:val=&quot;6F2D283B&quot;/&gt;&lt;wsp:rsid wsp:val=&quot;6F2D45E9&quot;/&gt;&lt;wsp:rsid wsp:val=&quot;6F2E2059&quot;/&gt;&lt;wsp:rsid wsp:val=&quot;6F2F0361&quot;/&gt;&lt;wsp:rsid wsp:val=&quot;6F2F657B&quot;/&gt;&lt;wsp:rsid wsp:val=&quot;6F304979&quot;/&gt;&lt;wsp:rsid wsp:val=&quot;6F321C00&quot;/&gt;&lt;wsp:rsid wsp:val=&quot;6F327E52&quot;/&gt;&lt;wsp:rsid wsp:val=&quot;6F343B4A&quot;/&gt;&lt;wsp:rsid wsp:val=&quot;6F35349E&quot;/&gt;&lt;wsp:rsid wsp:val=&quot;6F377216&quot;/&gt;&lt;wsp:rsid wsp:val=&quot;6F3911E0&quot;/&gt;&lt;wsp:rsid wsp:val=&quot;6F39203E&quot;/&gt;&lt;wsp:rsid wsp:val=&quot;6F394D3C&quot;/&gt;&lt;wsp:rsid wsp:val=&quot;6F3A05FC&quot;/&gt;&lt;wsp:rsid wsp:val=&quot;6F3A119B&quot;/&gt;&lt;wsp:rsid wsp:val=&quot;6F40256E&quot;/&gt;&lt;wsp:rsid wsp:val=&quot;6F410095&quot;/&gt;&lt;wsp:rsid wsp:val=&quot;6F413BF1&quot;/&gt;&lt;wsp:rsid wsp:val=&quot;6F433E0D&quot;/&gt;&lt;wsp:rsid wsp:val=&quot;6F433F5B&quot;/&gt;&lt;wsp:rsid wsp:val=&quot;6F435BBB&quot;/&gt;&lt;wsp:rsid wsp:val=&quot;6F4427B8&quot;/&gt;&lt;wsp:rsid wsp:val=&quot;6F4656AB&quot;/&gt;&lt;wsp:rsid wsp:val=&quot;6F481423&quot;/&gt;&lt;wsp:rsid wsp:val=&quot;6F484F7F&quot;/&gt;&lt;wsp:rsid wsp:val=&quot;6F490CF7&quot;/&gt;&lt;wsp:rsid wsp:val=&quot;6F49605B&quot;/&gt;&lt;wsp:rsid wsp:val=&quot;6F4A00F0&quot;/&gt;&lt;wsp:rsid wsp:val=&quot;6F4A69AF&quot;/&gt;&lt;wsp:rsid wsp:val=&quot;6F4A6F49&quot;/&gt;&lt;wsp:rsid wsp:val=&quot;6F4B0F13&quot;/&gt;&lt;wsp:rsid wsp:val=&quot;6F4B3922&quot;/&gt;&lt;wsp:rsid wsp:val=&quot;6F4B4A6F&quot;/&gt;&lt;wsp:rsid wsp:val=&quot;6F4F4560&quot;/&gt;&lt;wsp:rsid wsp:val=&quot;6F4F630E&quot;/&gt;&lt;wsp:rsid wsp:val=&quot;6F5222A2&quot;/&gt;&lt;wsp:rsid wsp:val=&quot;6F525DFE&quot;/&gt;&lt;wsp:rsid wsp:val=&quot;6F5558EE&quot;/&gt;&lt;wsp:rsid wsp:val=&quot;6F5953DE&quot;/&gt;&lt;wsp:rsid wsp:val=&quot;6F596922&quot;/&gt;&lt;wsp:rsid wsp:val=&quot;6F5B73A8&quot;/&gt;&lt;wsp:rsid wsp:val=&quot;6F5C0A2B&quot;/&gt;&lt;wsp:rsid wsp:val=&quot;6F5C4ECE&quot;/&gt;&lt;wsp:rsid wsp:val=&quot;6F5C6C7D&quot;/&gt;&lt;wsp:rsid wsp:val=&quot;6F5D357D&quot;/&gt;&lt;wsp:rsid wsp:val=&quot;6F5E0C47&quot;/&gt;&lt;wsp:rsid wsp:val=&quot;6F60051B&quot;/&gt;&lt;wsp:rsid wsp:val=&quot;6F602316&quot;/&gt;&lt;wsp:rsid wsp:val=&quot;6F6049BF&quot;/&gt;&lt;wsp:rsid wsp:val=&quot;6F60676D&quot;/&gt;&lt;wsp:rsid wsp:val=&quot;6F616041&quot;/&gt;&lt;wsp:rsid wsp:val=&quot;6F624C36&quot;/&gt;&lt;wsp:rsid wsp:val=&quot;6F6417C4&quot;/&gt;&lt;wsp:rsid wsp:val=&quot;6F655B31&quot;/&gt;&lt;wsp:rsid wsp:val=&quot;6F6A1399&quot;/&gt;&lt;wsp:rsid wsp:val=&quot;6F6B5112&quot;/&gt;&lt;wsp:rsid wsp:val=&quot;6F6D2C38&quot;/&gt;&lt;wsp:rsid wsp:val=&quot;6F6D49E6&quot;/&gt;&lt;wsp:rsid wsp:val=&quot;6F6F075E&quot;/&gt;&lt;wsp:rsid wsp:val=&quot;6F6F58B2&quot;/&gt;&lt;wsp:rsid wsp:val=&quot;6F712728&quot;/&gt;&lt;wsp:rsid wsp:val=&quot;6F71329B&quot;/&gt;&lt;wsp:rsid wsp:val=&quot;6F7264A0&quot;/&gt;&lt;wsp:rsid wsp:val=&quot;6F767D3E&quot;/&gt;&lt;wsp:rsid wsp:val=&quot;6F7B35A7&quot;/&gt;&lt;wsp:rsid wsp:val=&quot;6F7C731F&quot;/&gt;&lt;wsp:rsid wsp:val=&quot;6F7C7F24&quot;/&gt;&lt;wsp:rsid wsp:val=&quot;6F7F4719&quot;/&gt;&lt;wsp:rsid wsp:val=&quot;6F800BBD&quot;/&gt;&lt;wsp:rsid wsp:val=&quot;6F806E0F&quot;/&gt;&lt;wsp:rsid wsp:val=&quot;6F810491&quot;/&gt;&lt;wsp:rsid wsp:val=&quot;6F8166E3&quot;/&gt;&lt;wsp:rsid wsp:val=&quot;6F854425&quot;/&gt;&lt;wsp:rsid wsp:val=&quot;6F8561D3&quot;/&gt;&lt;wsp:rsid wsp:val=&quot;6F857F81&quot;/&gt;&lt;wsp:rsid wsp:val=&quot;6F881820&quot;/&gt;&lt;wsp:rsid wsp:val=&quot;6F885CC3&quot;/&gt;&lt;wsp:rsid wsp:val=&quot;6F8B6A13&quot;/&gt;&lt;wsp:rsid wsp:val=&quot;6F8D5088&quot;/&gt;&lt;wsp:rsid wsp:val=&quot;6F8F0E00&quot;/&gt;&lt;wsp:rsid wsp:val=&quot;6F904979&quot;/&gt;&lt;wsp:rsid wsp:val=&quot;6F906926&quot;/&gt;&lt;wsp:rsid wsp:val=&quot;6F91461B&quot;/&gt;&lt;wsp:rsid wsp:val=&quot;6F916CF4&quot;/&gt;&lt;wsp:rsid wsp:val=&quot;6F936635&quot;/&gt;&lt;wsp:rsid wsp:val=&quot;6F975F07&quot;/&gt;&lt;wsp:rsid wsp:val=&quot;6F983FC7&quot;/&gt;&lt;wsp:rsid wsp:val=&quot;6F9B1553&quot;/&gt;&lt;wsp:rsid wsp:val=&quot;6F9B3C2B&quot;/&gt;&lt;wsp:rsid wsp:val=&quot;6F9B77A5&quot;/&gt;&lt;wsp:rsid wsp:val=&quot;6F9E1043&quot;/&gt;&lt;wsp:rsid wsp:val=&quot;6F9E54E7&quot;/&gt;&lt;wsp:rsid wsp:val=&quot;6FA0300D&quot;/&gt;&lt;wsp:rsid wsp:val=&quot;6FA04DBB&quot;/&gt;&lt;wsp:rsid wsp:val=&quot;6FA128E1&quot;/&gt;&lt;wsp:rsid wsp:val=&quot;6FA36659&quot;/&gt;&lt;wsp:rsid wsp:val=&quot;6FA50623&quot;/&gt;&lt;wsp:rsid wsp:val=&quot;6FA523D2&quot;/&gt;&lt;wsp:rsid wsp:val=&quot;6FA61EDA&quot;/&gt;&lt;wsp:rsid wsp:val=&quot;6FA7614A&quot;/&gt;&lt;wsp:rsid wsp:val=&quot;6FA81EC2&quot;/&gt;&lt;wsp:rsid wsp:val=&quot;6FAA79E8&quot;/&gt;&lt;wsp:rsid wsp:val=&quot;6FAC19B2&quot;/&gt;&lt;wsp:rsid wsp:val=&quot;6FAD1286&quot;/&gt;&lt;wsp:rsid wsp:val=&quot;6FAE13CB&quot;/&gt;&lt;wsp:rsid wsp:val=&quot;6FAF46CD&quot;/&gt;&lt;wsp:rsid wsp:val=&quot;6FAF4FFE&quot;/&gt;&lt;wsp:rsid wsp:val=&quot;6FB01F63&quot;/&gt;&lt;wsp:rsid wsp:val=&quot;6FB029E4&quot;/&gt;&lt;wsp:rsid wsp:val=&quot;6FB16FC8&quot;/&gt;&lt;wsp:rsid wsp:val=&quot;6FB22D40&quot;/&gt;&lt;wsp:rsid wsp:val=&quot;6FB46AB9&quot;/&gt;&lt;wsp:rsid wsp:val=&quot;6FB563EA&quot;/&gt;&lt;wsp:rsid wsp:val=&quot;6FB62831&quot;/&gt;&lt;wsp:rsid wsp:val=&quot;6FB645DF&quot;/&gt;&lt;wsp:rsid wsp:val=&quot;6FB75A30&quot;/&gt;&lt;wsp:rsid wsp:val=&quot;6FB97C2B&quot;/&gt;&lt;wsp:rsid wsp:val=&quot;6FBB7E47&quot;/&gt;&lt;wsp:rsid wsp:val=&quot;6FBC5841&quot;/&gt;&lt;wsp:rsid wsp:val=&quot;6FC050A5&quot;/&gt;&lt;wsp:rsid wsp:val=&quot;6FC211D5&quot;/&gt;&lt;wsp:rsid wsp:val=&quot;6FC34F4E&quot;/&gt;&lt;wsp:rsid wsp:val=&quot;6FC50CC6&quot;/&gt;&lt;wsp:rsid wsp:val=&quot;6FC54822&quot;/&gt;&lt;wsp:rsid wsp:val=&quot;6FC61E8F&quot;/&gt;&lt;wsp:rsid wsp:val=&quot;6FC84312&quot;/&gt;&lt;wsp:rsid wsp:val=&quot;6FCA62DC&quot;/&gt;&lt;wsp:rsid wsp:val=&quot;6FCC33F2&quot;/&gt;&lt;wsp:rsid wsp:val=&quot;6FCD1397&quot;/&gt;&lt;wsp:rsid wsp:val=&quot;6FCD43FB&quot;/&gt;&lt;wsp:rsid wsp:val=&quot;6FCF3CB7&quot;/&gt;&lt;wsp:rsid wsp:val=&quot;6FCF56A0&quot;/&gt;&lt;wsp:rsid wsp:val=&quot;6FD131C7&quot;/&gt;&lt;wsp:rsid wsp:val=&quot;6FD1766A&quot;/&gt;&lt;wsp:rsid wsp:val=&quot;6FD3397A&quot;/&gt;&lt;wsp:rsid wsp:val=&quot;6FD607DD&quot;/&gt;&lt;wsp:rsid wsp:val=&quot;6FD902CD&quot;/&gt;&lt;wsp:rsid wsp:val=&quot;6FD9207B&quot;/&gt;&lt;wsp:rsid wsp:val=&quot;6FD9651F&quot;/&gt;&lt;wsp:rsid wsp:val=&quot;6FDD552B&quot;/&gt;&lt;wsp:rsid wsp:val=&quot;6FDE42DA&quot;/&gt;&lt;wsp:rsid wsp:val=&quot;6FDE7692&quot;/&gt;&lt;wsp:rsid wsp:val=&quot;6FDF48FC&quot;/&gt;&lt;wsp:rsid wsp:val=&quot;6FDF7BD8&quot;/&gt;&lt;wsp:rsid wsp:val=&quot;6FE27182&quot;/&gt;&lt;wsp:rsid wsp:val=&quot;6FE32EFA&quot;/&gt;&lt;wsp:rsid wsp:val=&quot;6FE44A4D&quot;/&gt;&lt;wsp:rsid wsp:val=&quot;6FE733CE&quot;/&gt;&lt;wsp:rsid wsp:val=&quot;6FE80510&quot;/&gt;&lt;wsp:rsid wsp:val=&quot;6FE86762&quot;/&gt;&lt;wsp:rsid wsp:val=&quot;6FEC0000&quot;/&gt;&lt;wsp:rsid wsp:val=&quot;6FED3D79&quot;/&gt;&lt;wsp:rsid wsp:val=&quot;6FEE06D0&quot;/&gt;&lt;wsp:rsid wsp:val=&quot;6FEE1FCA&quot;/&gt;&lt;wsp:rsid wsp:val=&quot;6FEF7AF1&quot;/&gt;&lt;wsp:rsid wsp:val=&quot;6FF15617&quot;/&gt;&lt;wsp:rsid wsp:val=&quot;6FF2313D&quot;/&gt;&lt;wsp:rsid wsp:val=&quot;6FF36706&quot;/&gt;&lt;wsp:rsid wsp:val=&quot;6FF45107&quot;/&gt;&lt;wsp:rsid wsp:val=&quot;6FF60E7F&quot;/&gt;&lt;wsp:rsid wsp:val=&quot;6FF84BF7&quot;/&gt;&lt;wsp:rsid wsp:val=&quot;6FFB1D32&quot;/&gt;&lt;wsp:rsid wsp:val=&quot;6FFB46E7&quot;/&gt;&lt;wsp:rsid wsp:val=&quot;6FFB6495&quot;/&gt;&lt;wsp:rsid wsp:val=&quot;6FFC5590&quot;/&gt;&lt;wsp:rsid wsp:val=&quot;6FFD220E&quot;/&gt;&lt;wsp:rsid wsp:val=&quot;6FFD3FBC&quot;/&gt;&lt;wsp:rsid wsp:val=&quot;7000585A&quot;/&gt;&lt;wsp:rsid wsp:val=&quot;70025A76&quot;/&gt;&lt;wsp:rsid wsp:val=&quot;7004359C&quot;/&gt;&lt;wsp:rsid wsp:val=&quot;70045690&quot;/&gt;&lt;wsp:rsid wsp:val=&quot;70052E70&quot;/&gt;&lt;wsp:rsid wsp:val=&quot;70057314&quot;/&gt;&lt;wsp:rsid wsp:val=&quot;70074E3A&quot;/&gt;&lt;wsp:rsid wsp:val=&quot;70097B7B&quot;/&gt;&lt;wsp:rsid wsp:val=&quot;700A492A&quot;/&gt;&lt;wsp:rsid wsp:val=&quot;700E225C&quot;/&gt;&lt;wsp:rsid wsp:val=&quot;700F3CEF&quot;/&gt;&lt;wsp:rsid wsp:val=&quot;70100F70&quot;/&gt;&lt;wsp:rsid wsp:val=&quot;70117A67&quot;/&gt;&lt;wsp:rsid wsp:val=&quot;70123113&quot;/&gt;&lt;wsp:rsid wsp:val=&quot;701231C2&quot;/&gt;&lt;wsp:rsid wsp:val=&quot;701337DF&quot;/&gt;&lt;wsp:rsid wsp:val=&quot;701557A9&quot;/&gt;&lt;wsp:rsid wsp:val=&quot;701660F1&quot;/&gt;&lt;wsp:rsid wsp:val=&quot;701778DC&quot;/&gt;&lt;wsp:rsid wsp:val=&quot;701A2DBF&quot;/&gt;&lt;wsp:rsid wsp:val=&quot;701C3816&quot;/&gt;&lt;wsp:rsid wsp:val=&quot;701D28B0&quot;/&gt;&lt;wsp:rsid wsp:val=&quot;701D640C&quot;/&gt;&lt;wsp:rsid wsp:val=&quot;70205EFC&quot;/&gt;&lt;wsp:rsid wsp:val=&quot;70207CAA&quot;/&gt;&lt;wsp:rsid wsp:val=&quot;702208C9&quot;/&gt;&lt;wsp:rsid wsp:val=&quot;7023779A&quot;/&gt;&lt;wsp:rsid wsp:val=&quot;70246FB7&quot;/&gt;&lt;wsp:rsid wsp:val=&quot;7024730F&quot;/&gt;&lt;wsp:rsid wsp:val=&quot;70252028&quot;/&gt;&lt;wsp:rsid wsp:val=&quot;702A0B29&quot;/&gt;&lt;wsp:rsid wsp:val=&quot;702C664F&quot;/&gt;&lt;wsp:rsid wsp:val=&quot;702E23C7&quot;/&gt;&lt;wsp:rsid wsp:val=&quot;702E6455&quot;/&gt;&lt;wsp:rsid wsp:val=&quot;702F4391&quot;/&gt;&lt;wsp:rsid wsp:val=&quot;70311EB7&quot;/&gt;&lt;wsp:rsid wsp:val=&quot;703270B5&quot;/&gt;&lt;wsp:rsid wsp:val=&quot;70343755&quot;/&gt;&lt;wsp:rsid wsp:val=&quot;70357BF9&quot;/&gt;&lt;wsp:rsid wsp:val=&quot;7036127C&quot;/&gt;&lt;wsp:rsid wsp:val=&quot;703642F5&quot;/&gt;&lt;wsp:rsid wsp:val=&quot;7036571F&quot;/&gt;&lt;wsp:rsid wsp:val=&quot;703674CE&quot;/&gt;&lt;wsp:rsid wsp:val=&quot;70390D6C&quot;/&gt;&lt;wsp:rsid wsp:val=&quot;70392C76&quot;/&gt;&lt;wsp:rsid wsp:val=&quot;703B0F88&quot;/&gt;&lt;wsp:rsid wsp:val=&quot;703B2D36&quot;/&gt;&lt;wsp:rsid wsp:val=&quot;703D085C&quot;/&gt;&lt;wsp:rsid wsp:val=&quot;703D3F4C&quot;/&gt;&lt;wsp:rsid wsp:val=&quot;703D6AAE&quot;/&gt;&lt;wsp:rsid wsp:val=&quot;703F2826&quot;/&gt;&lt;wsp:rsid wsp:val=&quot;703F5309&quot;/&gt;&lt;wsp:rsid wsp:val=&quot;703F6E9D&quot;/&gt;&lt;wsp:rsid wsp:val=&quot;7040714E&quot;/&gt;&lt;wsp:rsid wsp:val=&quot;704240C4&quot;/&gt;&lt;wsp:rsid wsp:val=&quot;704265C0&quot;/&gt;&lt;wsp:rsid wsp:val=&quot;70436AA7&quot;/&gt;&lt;wsp:rsid wsp:val=&quot;704812DB&quot;/&gt;&lt;wsp:rsid wsp:val=&quot;70497201&quot;/&gt;&lt;wsp:rsid wsp:val=&quot;704A2F79&quot;/&gt;&lt;wsp:rsid wsp:val=&quot;704C4F43&quot;/&gt;&lt;wsp:rsid wsp:val=&quot;704C7C5C&quot;/&gt;&lt;wsp:rsid wsp:val=&quot;704E23DE&quot;/&gt;&lt;wsp:rsid wsp:val=&quot;704E4817&quot;/&gt;&lt;wsp:rsid wsp:val=&quot;704F233D&quot;/&gt;&lt;wsp:rsid wsp:val=&quot;704F4E9C&quot;/&gt;&lt;wsp:rsid wsp:val=&quot;70512559&quot;/&gt;&lt;wsp:rsid wsp:val=&quot;70514307&quot;/&gt;&lt;wsp:rsid wsp:val=&quot;70514CF5&quot;/&gt;&lt;wsp:rsid wsp:val=&quot;7053007F&quot;/&gt;&lt;wsp:rsid wsp:val=&quot;70531E2E&quot;/&gt;&lt;wsp:rsid wsp:val=&quot;70545BA6&quot;/&gt;&lt;wsp:rsid wsp:val=&quot;705636CC&quot;/&gt;&lt;wsp:rsid wsp:val=&quot;70567B70&quot;/&gt;&lt;wsp:rsid wsp:val=&quot;705838E8&quot;/&gt;&lt;wsp:rsid wsp:val=&quot;70585414&quot;/&gt;&lt;wsp:rsid wsp:val=&quot;705858AD&quot;/&gt;&lt;wsp:rsid wsp:val=&quot;70587444&quot;/&gt;&lt;wsp:rsid wsp:val=&quot;705D0EFE&quot;/&gt;&lt;wsp:rsid wsp:val=&quot;706109EE&quot;/&gt;&lt;wsp:rsid wsp:val=&quot;706109F2&quot;/&gt;&lt;wsp:rsid wsp:val=&quot;70621E82&quot;/&gt;&lt;wsp:rsid wsp:val=&quot;70626515&quot;/&gt;&lt;wsp:rsid wsp:val=&quot;7064228D&quot;/&gt;&lt;wsp:rsid wsp:val=&quot;7065282C&quot;/&gt;&lt;wsp:rsid wsp:val=&quot;70665935&quot;/&gt;&lt;wsp:rsid wsp:val=&quot;70671D7D&quot;/&gt;&lt;wsp:rsid wsp:val=&quot;70691651&quot;/&gt;&lt;wsp:rsid wsp:val=&quot;706A7177&quot;/&gt;&lt;wsp:rsid wsp:val=&quot;706B361B&quot;/&gt;&lt;wsp:rsid wsp:val=&quot;706C06D6&quot;/&gt;&lt;wsp:rsid wsp:val=&quot;706C2EEF&quot;/&gt;&lt;wsp:rsid wsp:val=&quot;706D1DD0&quot;/&gt;&lt;wsp:rsid wsp:val=&quot;706E0425&quot;/&gt;&lt;wsp:rsid wsp:val=&quot;706E487B&quot;/&gt;&lt;wsp:rsid wsp:val=&quot;706F478E&quot;/&gt;&lt;wsp:rsid wsp:val=&quot;706F509D&quot;/&gt;&lt;wsp:rsid wsp:val=&quot;707029DF&quot;/&gt;&lt;wsp:rsid wsp:val=&quot;7073427E&quot;/&gt;&lt;wsp:rsid wsp:val=&quot;70761788&quot;/&gt;&lt;wsp:rsid wsp:val=&quot;70761FC0&quot;/&gt;&lt;wsp:rsid wsp:val=&quot;707A385E&quot;/&gt;&lt;wsp:rsid wsp:val=&quot;707A560C&quot;/&gt;&lt;wsp:rsid wsp:val=&quot;707B3132&quot;/&gt;&lt;wsp:rsid wsp:val=&quot;707B75D6&quot;/&gt;&lt;wsp:rsid wsp:val=&quot;707D334E&quot;/&gt;&lt;wsp:rsid wsp:val=&quot;707F13AA&quot;/&gt;&lt;wsp:rsid wsp:val=&quot;707F70C6&quot;/&gt;&lt;wsp:rsid wsp:val=&quot;7080699B&quot;/&gt;&lt;wsp:rsid wsp:val=&quot;70822713&quot;/&gt;&lt;wsp:rsid wsp:val=&quot;708244C1&quot;/&gt;&lt;wsp:rsid wsp:val=&quot;7082717F&quot;/&gt;&lt;wsp:rsid wsp:val=&quot;70856B87&quot;/&gt;&lt;wsp:rsid wsp:val=&quot;70877D29&quot;/&gt;&lt;wsp:rsid wsp:val=&quot;70886657&quot;/&gt;&lt;wsp:rsid wsp:val=&quot;7089584F&quot;/&gt;&lt;wsp:rsid wsp:val=&quot;708B5A6B&quot;/&gt;&lt;wsp:rsid wsp:val=&quot;708E10B8&quot;/&gt;&lt;wsp:rsid wsp:val=&quot;708E25E0&quot;/&gt;&lt;wsp:rsid wsp:val=&quot;708E2E66&quot;/&gt;&lt;wsp:rsid wsp:val=&quot;708F6BDE&quot;/&gt;&lt;wsp:rsid wsp:val=&quot;70912956&quot;/&gt;&lt;wsp:rsid wsp:val=&quot;7093565C&quot;/&gt;&lt;wsp:rsid wsp:val=&quot;709541F4&quot;/&gt;&lt;wsp:rsid wsp:val=&quot;709661BE&quot;/&gt;&lt;wsp:rsid wsp:val=&quot;70967F6C&quot;/&gt;&lt;wsp:rsid wsp:val=&quot;70980188&quot;/&gt;&lt;wsp:rsid wsp:val=&quot;709A7A5C&quot;/&gt;&lt;wsp:rsid wsp:val=&quot;709D12FB&quot;/&gt;&lt;wsp:rsid wsp:val=&quot;709D579F&quot;/&gt;&lt;wsp:rsid wsp:val=&quot;709D754D&quot;/&gt;&lt;wsp:rsid wsp:val=&quot;709E1FE6&quot;/&gt;&lt;wsp:rsid wsp:val=&quot;709F1E24&quot;/&gt;&lt;wsp:rsid wsp:val=&quot;709F3565&quot;/&gt;&lt;wsp:rsid wsp:val=&quot;709F441D&quot;/&gt;&lt;wsp:rsid wsp:val=&quot;709F5073&quot;/&gt;&lt;wsp:rsid wsp:val=&quot;70A00DEB&quot;/&gt;&lt;wsp:rsid wsp:val=&quot;70A22DB5&quot;/&gt;&lt;wsp:rsid wsp:val=&quot;70A408C8&quot;/&gt;&lt;wsp:rsid wsp:val=&quot;70A42689&quot;/&gt;&lt;wsp:rsid wsp:val=&quot;70A650C3&quot;/&gt;&lt;wsp:rsid wsp:val=&quot;70A72179&quot;/&gt;&lt;wsp:rsid wsp:val=&quot;70A73F27&quot;/&gt;&lt;wsp:rsid wsp:val=&quot;70A804DF&quot;/&gt;&lt;wsp:rsid wsp:val=&quot;70A95EF1&quot;/&gt;&lt;wsp:rsid wsp:val=&quot;70AC59E2&quot;/&gt;&lt;wsp:rsid wsp:val=&quot;70AE3508&quot;/&gt;&lt;wsp:rsid wsp:val=&quot;70B16AF4&quot;/&gt;&lt;wsp:rsid wsp:val=&quot;70B30B1E&quot;/&gt;&lt;wsp:rsid wsp:val=&quot;70B328CC&quot;/&gt;&lt;wsp:rsid wsp:val=&quot;70B8153B&quot;/&gt;&lt;wsp:rsid wsp:val=&quot;70B84386&quot;/&gt;&lt;wsp:rsid wsp:val=&quot;70BA00FF&quot;/&gt;&lt;wsp:rsid wsp:val=&quot;70BA4F67&quot;/&gt;&lt;wsp:rsid wsp:val=&quot;70BB6F1C&quot;/&gt;&lt;wsp:rsid wsp:val=&quot;70BB79D3&quot;/&gt;&lt;wsp:rsid wsp:val=&quot;70BF3967&quot;/&gt;&lt;wsp:rsid wsp:val=&quot;70C0289D&quot;/&gt;&lt;wsp:rsid wsp:val=&quot;70C1323B&quot;/&gt;&lt;wsp:rsid wsp:val=&quot;70C251BD&quot;/&gt;&lt;wsp:rsid wsp:val=&quot;70C25205&quot;/&gt;&lt;wsp:rsid wsp:val=&quot;70C40F7D&quot;/&gt;&lt;wsp:rsid wsp:val=&quot;70C44AD9&quot;/&gt;&lt;wsp:rsid wsp:val=&quot;70C66AA3&quot;/&gt;&lt;wsp:rsid wsp:val=&quot;70C71B7C&quot;/&gt;&lt;wsp:rsid wsp:val=&quot;70C76378&quot;/&gt;&lt;wsp:rsid wsp:val=&quot;70C85E27&quot;/&gt;&lt;wsp:rsid wsp:val=&quot;70C90342&quot;/&gt;&lt;wsp:rsid wsp:val=&quot;70C920F0&quot;/&gt;&lt;wsp:rsid wsp:val=&quot;70CA394F&quot;/&gt;&lt;wsp:rsid wsp:val=&quot;70CB230C&quot;/&gt;&lt;wsp:rsid wsp:val=&quot;70CB5E68&quot;/&gt;&lt;wsp:rsid wsp:val=&quot;70CB652E&quot;/&gt;&lt;wsp:rsid wsp:val=&quot;70CC398E&quot;/&gt;&lt;wsp:rsid wsp:val=&quot;70CD6084&quot;/&gt;&lt;wsp:rsid wsp:val=&quot;70D10655&quot;/&gt;&lt;wsp:rsid wsp:val=&quot;70D21A8E&quot;/&gt;&lt;wsp:rsid wsp:val=&quot;70D25448&quot;/&gt;&lt;wsp:rsid wsp:val=&quot;70D32F6E&quot;/&gt;&lt;wsp:rsid wsp:val=&quot;70D475D2&quot;/&gt;&lt;wsp:rsid wsp:val=&quot;70D50A94&quot;/&gt;&lt;wsp:rsid wsp:val=&quot;70D527EE&quot;/&gt;&lt;wsp:rsid wsp:val=&quot;70D54F38&quot;/&gt;&lt;wsp:rsid wsp:val=&quot;70D56CE6&quot;/&gt;&lt;wsp:rsid wsp:val=&quot;70D72A5F&quot;/&gt;&lt;wsp:rsid wsp:val=&quot;70D77694&quot;/&gt;&lt;wsp:rsid wsp:val=&quot;70D80585&quot;/&gt;&lt;wsp:rsid wsp:val=&quot;70DA6015&quot;/&gt;&lt;wsp:rsid wsp:val=&quot;70DE203F&quot;/&gt;&lt;wsp:rsid wsp:val=&quot;70DF36C1&quot;/&gt;&lt;wsp:rsid wsp:val=&quot;70E138DD&quot;/&gt;&lt;wsp:rsid wsp:val=&quot;70E4517B&quot;/&gt;&lt;wsp:rsid wsp:val=&quot;70E46F2A&quot;/&gt;&lt;wsp:rsid wsp:val=&quot;70E60EF4&quot;/&gt;&lt;wsp:rsid wsp:val=&quot;70E64A50&quot;/&gt;&lt;wsp:rsid wsp:val=&quot;70E76A1A&quot;/&gt;&lt;wsp:rsid wsp:val=&quot;70E84C6C&quot;/&gt;&lt;wsp:rsid wsp:val=&quot;70E909E4&quot;/&gt;&lt;wsp:rsid wsp:val=&quot;70EA43C9&quot;/&gt;&lt;wsp:rsid wsp:val=&quot;70ED4030&quot;/&gt;&lt;wsp:rsid wsp:val=&quot;70ED448B&quot;/&gt;&lt;wsp:rsid wsp:val=&quot;70EE1B56&quot;/&gt;&lt;wsp:rsid wsp:val=&quot;70EE5F9E&quot;/&gt;&lt;wsp:rsid wsp:val=&quot;70EE5FFA&quot;/&gt;&lt;wsp:rsid wsp:val=&quot;70F01D72&quot;/&gt;&lt;wsp:rsid wsp:val=&quot;70F03B20&quot;/&gt;&lt;wsp:rsid wsp:val=&quot;70F2429C&quot;/&gt;&lt;wsp:rsid wsp:val=&quot;70F2563F&quot;/&gt;&lt;wsp:rsid wsp:val=&quot;70F52EE5&quot;/&gt;&lt;wsp:rsid wsp:val=&quot;70F57389&quot;/&gt;&lt;wsp:rsid wsp:val=&quot;70F74EAF&quot;/&gt;&lt;wsp:rsid wsp:val=&quot;70F86D26&quot;/&gt;&lt;wsp:rsid wsp:val=&quot;70F8771B&quot;/&gt;&lt;wsp:rsid wsp:val=&quot;70FA04FB&quot;/&gt;&lt;wsp:rsid wsp:val=&quot;70FC0717&quot;/&gt;&lt;wsp:rsid wsp:val=&quot;70FC24C5&quot;/&gt;&lt;wsp:rsid wsp:val=&quot;70FC4273&quot;/&gt;&lt;wsp:rsid wsp:val=&quot;70FF3D63&quot;/&gt;&lt;wsp:rsid wsp:val=&quot;70FF5B11&quot;/&gt;&lt;wsp:rsid wsp:val=&quot;70FF68A0&quot;/&gt;&lt;wsp:rsid wsp:val=&quot;71033854&quot;/&gt;&lt;wsp:rsid wsp:val=&quot;7104120B&quot;/&gt;&lt;wsp:rsid wsp:val=&quot;71044B32&quot;/&gt;&lt;wsp:rsid wsp:val=&quot;710475CC&quot;/&gt;&lt;wsp:rsid wsp:val=&quot;7105665F&quot;/&gt;&lt;wsp:rsid wsp:val=&quot;71077A7F&quot;/&gt;&lt;wsp:rsid wsp:val=&quot;71080E6A&quot;/&gt;&lt;wsp:rsid wsp:val=&quot;71094BE2&quot;/&gt;&lt;wsp:rsid wsp:val=&quot;710B095A&quot;/&gt;&lt;wsp:rsid wsp:val=&quot;710B19BB&quot;/&gt;&lt;wsp:rsid wsp:val=&quot;710C5CDD&quot;/&gt;&lt;wsp:rsid wsp:val=&quot;710D46D2&quot;/&gt;&lt;wsp:rsid wsp:val=&quot;710E21F8&quot;/&gt;&lt;wsp:rsid wsp:val=&quot;710F6395&quot;/&gt;&lt;wsp:rsid wsp:val=&quot;7110326C&quot;/&gt;&lt;wsp:rsid wsp:val=&quot;71107D1F&quot;/&gt;&lt;wsp:rsid wsp:val=&quot;71121CE9&quot;/&gt;&lt;wsp:rsid wsp:val=&quot;71123A97&quot;/&gt;&lt;wsp:rsid wsp:val=&quot;711315BD&quot;/&gt;&lt;wsp:rsid wsp:val=&quot;71135446&quot;/&gt;&lt;wsp:rsid wsp:val=&quot;71144A65&quot;/&gt;&lt;wsp:rsid wsp:val=&quot;71145A61&quot;/&gt;&lt;wsp:rsid wsp:val=&quot;71174B27&quot;/&gt;&lt;wsp:rsid wsp:val=&quot;711B5D6B&quot;/&gt;&lt;wsp:rsid wsp:val=&quot;711C2B67&quot;/&gt;&lt;wsp:rsid wsp:val=&quot;711C66C3&quot;/&gt;&lt;wsp:rsid wsp:val=&quot;711D3091&quot;/&gt;&lt;wsp:rsid wsp:val=&quot;711D41EA&quot;/&gt;&lt;wsp:rsid wsp:val=&quot;711E1E29&quot;/&gt;&lt;wsp:rsid wsp:val=&quot;711E68DF&quot;/&gt;&lt;wsp:rsid wsp:val=&quot;71202D96&quot;/&gt;&lt;wsp:rsid wsp:val=&quot;712107AA&quot;/&gt;&lt;wsp:rsid wsp:val=&quot;71213CDA&quot;/&gt;&lt;wsp:rsid wsp:val=&quot;71225601&quot;/&gt;&lt;wsp:rsid wsp:val=&quot;71237A52&quot;/&gt;&lt;wsp:rsid wsp:val=&quot;71257C6E&quot;/&gt;&lt;wsp:rsid wsp:val=&quot;71274B5F&quot;/&gt;&lt;wsp:rsid wsp:val=&quot;712B3716&quot;/&gt;&lt;wsp:rsid wsp:val=&quot;712C417C&quot;/&gt;&lt;wsp:rsid wsp:val=&quot;713056CE&quot;/&gt;&lt;wsp:rsid wsp:val=&quot;71324139&quot;/&gt;&lt;wsp:rsid wsp:val=&quot;71333A0D&quot;/&gt;&lt;wsp:rsid wsp:val=&quot;7134404F&quot;/&gt;&lt;wsp:rsid wsp:val=&quot;71347EB1&quot;/&gt;&lt;wsp:rsid wsp:val=&quot;71353C29&quot;/&gt;&lt;wsp:rsid wsp:val=&quot;71357785&quot;/&gt;&lt;wsp:rsid wsp:val=&quot;713779A1&quot;/&gt;&lt;wsp:rsid wsp:val=&quot;713C0B14&quot;/&gt;&lt;wsp:rsid wsp:val=&quot;713C657E&quot;/&gt;&lt;wsp:rsid wsp:val=&quot;713C6D66&quot;/&gt;&lt;wsp:rsid wsp:val=&quot;713F6856&quot;/&gt;&lt;wsp:rsid wsp:val=&quot;7141437C&quot;/&gt;&lt;wsp:rsid wsp:val=&quot;71415FD9&quot;/&gt;&lt;wsp:rsid wsp:val=&quot;71424DA3&quot;/&gt;&lt;wsp:rsid wsp:val=&quot;71444FD4&quot;/&gt;&lt;wsp:rsid wsp:val=&quot;714479C8&quot;/&gt;&lt;wsp:rsid wsp:val=&quot;714517AD&quot;/&gt;&lt;wsp:rsid wsp:val=&quot;71453E6C&quot;/&gt;&lt;wsp:rsid wsp:val=&quot;714632C2&quot;/&gt;&lt;wsp:rsid wsp:val=&quot;71467BE4&quot;/&gt;&lt;wsp:rsid wsp:val=&quot;71486FF1&quot;/&gt;&lt;wsp:rsid wsp:val=&quot;71493231&quot;/&gt;&lt;wsp:rsid wsp:val=&quot;714B0D57&quot;/&gt;&lt;wsp:rsid wsp:val=&quot;714B6FA9&quot;/&gt;&lt;wsp:rsid wsp:val=&quot;714E7896&quot;/&gt;&lt;wsp:rsid wsp:val=&quot;714F4CEB&quot;/&gt;&lt;wsp:rsid wsp:val=&quot;714F6A99&quot;/&gt;&lt;wsp:rsid wsp:val=&quot;71500A63&quot;/&gt;&lt;wsp:rsid wsp:val=&quot;715028AC&quot;/&gt;&lt;wsp:rsid wsp:val=&quot;7150636D&quot;/&gt;&lt;wsp:rsid wsp:val=&quot;71516148&quot;/&gt;&lt;wsp:rsid wsp:val=&quot;71526589&quot;/&gt;&lt;wsp:rsid wsp:val=&quot;71535E5D&quot;/&gt;&lt;wsp:rsid wsp:val=&quot;71542301&quot;/&gt;&lt;wsp:rsid wsp:val=&quot;71546D9B&quot;/&gt;&lt;wsp:rsid wsp:val=&quot;71551BD5&quot;/&gt;&lt;wsp:rsid wsp:val=&quot;7157594D&quot;/&gt;&lt;wsp:rsid wsp:val=&quot;715776FB&quot;/&gt;&lt;wsp:rsid wsp:val=&quot;715A543E&quot;/&gt;&lt;wsp:rsid wsp:val=&quot;715A71EC&quot;/&gt;&lt;wsp:rsid wsp:val=&quot;715B5300&quot;/&gt;&lt;wsp:rsid wsp:val=&quot;715C11B6&quot;/&gt;&lt;wsp:rsid wsp:val=&quot;715C2F64&quot;/&gt;&lt;wsp:rsid wsp:val=&quot;715D30C9&quot;/&gt;&lt;wsp:rsid wsp:val=&quot;715D46EB&quot;/&gt;&lt;wsp:rsid wsp:val=&quot;715E6CDC&quot;/&gt;&lt;wsp:rsid wsp:val=&quot;71614A1E&quot;/&gt;&lt;wsp:rsid wsp:val=&quot;71663DE2&quot;/&gt;&lt;wsp:rsid wsp:val=&quot;71687B5B&quot;/&gt;&lt;wsp:rsid wsp:val=&quot;7169742F&quot;/&gt;&lt;wsp:rsid wsp:val=&quot;716A585F&quot;/&gt;&lt;wsp:rsid wsp:val=&quot;716B13F9&quot;/&gt;&lt;wsp:rsid wsp:val=&quot;716C160F&quot;/&gt;&lt;wsp:rsid wsp:val=&quot;716F0EE9&quot;/&gt;&lt;wsp:rsid wsp:val=&quot;717007BD&quot;/&gt;&lt;wsp:rsid wsp:val=&quot;71702B61&quot;/&gt;&lt;wsp:rsid wsp:val=&quot;71706A0F&quot;/&gt;&lt;wsp:rsid wsp:val=&quot;717402AD&quot;/&gt;&lt;wsp:rsid wsp:val=&quot;717464FF&quot;/&gt;&lt;wsp:rsid wsp:val=&quot;717679C7&quot;/&gt;&lt;wsp:rsid wsp:val=&quot;71775FF0&quot;/&gt;&lt;wsp:rsid wsp:val=&quot;71777D9E&quot;/&gt;&lt;wsp:rsid wsp:val=&quot;717812F3&quot;/&gt;&lt;wsp:rsid wsp:val=&quot;717A3C13&quot;/&gt;&lt;wsp:rsid wsp:val=&quot;717B5AE0&quot;/&gt;&lt;wsp:rsid wsp:val=&quot;717C1858&quot;/&gt;&lt;wsp:rsid wsp:val=&quot;717C7162&quot;/&gt;&lt;wsp:rsid wsp:val=&quot;717E354C&quot;/&gt;&lt;wsp:rsid wsp:val=&quot;717E737E&quot;/&gt;&lt;wsp:rsid wsp:val=&quot;717F372C&quot;/&gt;&lt;wsp:rsid wsp:val=&quot;71802656&quot;/&gt;&lt;wsp:rsid wsp:val=&quot;718304F0&quot;/&gt;&lt;wsp:rsid wsp:val=&quot;71866233&quot;/&gt;&lt;wsp:rsid wsp:val=&quot;71867FE1&quot;/&gt;&lt;wsp:rsid wsp:val=&quot;71893C8D&quot;/&gt;&lt;wsp:rsid wsp:val=&quot;718A5D23&quot;/&gt;&lt;wsp:rsid wsp:val=&quot;718A7127&quot;/&gt;&lt;wsp:rsid wsp:val=&quot;718C1A9B&quot;/&gt;&lt;wsp:rsid wsp:val=&quot;718C3BCF&quot;/&gt;&lt;wsp:rsid wsp:val=&quot;718D136F&quot;/&gt;&lt;wsp:rsid wsp:val=&quot;718F6BAA&quot;/&gt;&lt;wsp:rsid wsp:val=&quot;718F6E95&quot;/&gt;&lt;wsp:rsid wsp:val=&quot;719170B1&quot;/&gt;&lt;wsp:rsid wsp:val=&quot;71922E29&quot;/&gt;&lt;wsp:rsid wsp:val=&quot;719426FE&quot;/&gt;&lt;wsp:rsid wsp:val=&quot;71950224&quot;/&gt;&lt;wsp:rsid wsp:val=&quot;719646C8&quot;/&gt;&lt;wsp:rsid wsp:val=&quot;719721EE&quot;/&gt;&lt;wsp:rsid wsp:val=&quot;71997D14&quot;/&gt;&lt;wsp:rsid wsp:val=&quot;719C06EE&quot;/&gt;&lt;wsp:rsid wsp:val=&quot;719E474F&quot;/&gt;&lt;wsp:rsid wsp:val=&quot;719F16DB&quot;/&gt;&lt;wsp:rsid wsp:val=&quot;71A05546&quot;/&gt;&lt;wsp:rsid wsp:val=&quot;71A14E1B&quot;/&gt;&lt;wsp:rsid wsp:val=&quot;71A16BC9&quot;/&gt;&lt;wsp:rsid wsp:val=&quot;71A52B5D&quot;/&gt;&lt;wsp:rsid wsp:val=&quot;71A87F57&quot;/&gt;&lt;wsp:rsid wsp:val=&quot;71A90121&quot;/&gt;&lt;wsp:rsid wsp:val=&quot;71A91862&quot;/&gt;&lt;wsp:rsid wsp:val=&quot;71A96411&quot;/&gt;&lt;wsp:rsid wsp:val=&quot;71AA3CCF&quot;/&gt;&lt;wsp:rsid wsp:val=&quot;71AB6CD0&quot;/&gt;&lt;wsp:rsid wsp:val=&quot;71AF12E6&quot;/&gt;&lt;wsp:rsid wsp:val=&quot;71B20480&quot;/&gt;&lt;wsp:rsid wsp:val=&quot;71B66B18&quot;/&gt;&lt;wsp:rsid wsp:val=&quot;71B72890&quot;/&gt;&lt;wsp:rsid wsp:val=&quot;71B763EC&quot;/&gt;&lt;wsp:rsid wsp:val=&quot;71B84A16&quot;/&gt;&lt;wsp:rsid wsp:val=&quot;71B96608&quot;/&gt;&lt;wsp:rsid wsp:val=&quot;71BA7C8A&quot;/&gt;&lt;wsp:rsid wsp:val=&quot;71BB412E&quot;/&gt;&lt;wsp:rsid wsp:val=&quot;71BC1C54&quot;/&gt;&lt;wsp:rsid wsp:val=&quot;71BC7CD8&quot;/&gt;&lt;wsp:rsid wsp:val=&quot;71C01745&quot;/&gt;&lt;wsp:rsid wsp:val=&quot;71C11019&quot;/&gt;&lt;wsp:rsid wsp:val=&quot;71C1726B&quot;/&gt;&lt;wsp:rsid wsp:val=&quot;71C254BD&quot;/&gt;&lt;wsp:rsid wsp:val=&quot;71C25AD2&quot;/&gt;&lt;wsp:rsid wsp:val=&quot;71C32FE3&quot;/&gt;&lt;wsp:rsid wsp:val=&quot;71C4751B&quot;/&gt;&lt;wsp:rsid wsp:val=&quot;71C70D25&quot;/&gt;&lt;wsp:rsid wsp:val=&quot;71C72AD3&quot;/&gt;&lt;wsp:rsid wsp:val=&quot;71CA25C3&quot;/&gt;&lt;wsp:rsid wsp:val=&quot;71CA4371&quot;/&gt;&lt;wsp:rsid wsp:val=&quot;71CA55E3&quot;/&gt;&lt;wsp:rsid wsp:val=&quot;71CC2394&quot;/&gt;&lt;wsp:rsid wsp:val=&quot;71CC34BB&quot;/&gt;&lt;wsp:rsid wsp:val=&quot;71CC5D92&quot;/&gt;&lt;wsp:rsid wsp:val=&quot;71CD20B4&quot;/&gt;&lt;wsp:rsid wsp:val=&quot;71CE0425&quot;/&gt;&lt;wsp:rsid wsp:val=&quot;71CF53DA&quot;/&gt;&lt;wsp:rsid wsp:val=&quot;71D115FD&quot;/&gt;&lt;wsp:rsid wsp:val=&quot;71D23226&quot;/&gt;&lt;wsp:rsid wsp:val=&quot;71D27F8A&quot;/&gt;&lt;wsp:rsid wsp:val=&quot;71D376CA&quot;/&gt;&lt;wsp:rsid wsp:val=&quot;71D46F9E&quot;/&gt;&lt;wsp:rsid wsp:val=&quot;71D6157A&quot;/&gt;&lt;wsp:rsid wsp:val=&quot;71D7083C&quot;/&gt;&lt;wsp:rsid wsp:val=&quot;71D7319F&quot;/&gt;&lt;wsp:rsid wsp:val=&quot;71D84CE0&quot;/&gt;&lt;wsp:rsid wsp:val=&quot;71D90A58&quot;/&gt;&lt;wsp:rsid wsp:val=&quot;71D92806&quot;/&gt;&lt;wsp:rsid wsp:val=&quot;71DA23B6&quot;/&gt;&lt;wsp:rsid wsp:val=&quot;71DA669B&quot;/&gt;&lt;wsp:rsid wsp:val=&quot;71DB032D&quot;/&gt;&lt;wsp:rsid wsp:val=&quot;71DB657E&quot;/&gt;&lt;wsp:rsid wsp:val=&quot;71DD22F7&quot;/&gt;&lt;wsp:rsid wsp:val=&quot;71DE1BCB&quot;/&gt;&lt;wsp:rsid wsp:val=&quot;71DE606F&quot;/&gt;&lt;wsp:rsid wsp:val=&quot;71E03B95&quot;/&gt;&lt;wsp:rsid wsp:val=&quot;71E05943&quot;/&gt;&lt;wsp:rsid wsp:val=&quot;71E116BB&quot;/&gt;&lt;wsp:rsid wsp:val=&quot;71E13469&quot;/&gt;&lt;wsp:rsid wsp:val=&quot;71E33685&quot;/&gt;&lt;wsp:rsid wsp:val=&quot;71E371E1&quot;/&gt;&lt;wsp:rsid wsp:val=&quot;71E573FD&quot;/&gt;&lt;wsp:rsid wsp:val=&quot;71E72C94&quot;/&gt;&lt;wsp:rsid wsp:val=&quot;71E73175&quot;/&gt;&lt;wsp:rsid wsp:val=&quot;71E74F23&quot;/&gt;&lt;wsp:rsid wsp:val=&quot;71E754CD&quot;/&gt;&lt;wsp:rsid wsp:val=&quot;71E76CD1&quot;/&gt;&lt;wsp:rsid wsp:val=&quot;71E80C9B&quot;/&gt;&lt;wsp:rsid wsp:val=&quot;71E84124&quot;/&gt;&lt;wsp:rsid wsp:val=&quot;71EA0570&quot;/&gt;&lt;wsp:rsid wsp:val=&quot;71EA6A44&quot;/&gt;&lt;wsp:rsid wsp:val=&quot;71EC21EE&quot;/&gt;&lt;wsp:rsid wsp:val=&quot;71ED23ED&quot;/&gt;&lt;wsp:rsid wsp:val=&quot;71ED62B2&quot;/&gt;&lt;wsp:rsid wsp:val=&quot;71EF202A&quot;/&gt;&lt;wsp:rsid wsp:val=&quot;71F118FE&quot;/&gt;&lt;wsp:rsid wsp:val=&quot;71F15DA2&quot;/&gt;&lt;wsp:rsid wsp:val=&quot;71F17B50&quot;/&gt;&lt;wsp:rsid wsp:val=&quot;71F24F18&quot;/&gt;&lt;wsp:rsid wsp:val=&quot;71F25676&quot;/&gt;&lt;wsp:rsid wsp:val=&quot;71F4319C&quot;/&gt;&lt;wsp:rsid wsp:val=&quot;71F633B8&quot;/&gt;&lt;wsp:rsid wsp:val=&quot;71F72C8D&quot;/&gt;&lt;wsp:rsid wsp:val=&quot;71F80EDE&quot;/&gt;&lt;wsp:rsid wsp:val=&quot;71F87130&quot;/&gt;&lt;wsp:rsid wsp:val=&quot;71F96A05&quot;/&gt;&lt;wsp:rsid wsp:val=&quot;71FB09CF&quot;/&gt;&lt;wsp:rsid wsp:val=&quot;71FB452B&quot;/&gt;&lt;wsp:rsid wsp:val=&quot;72007D93&quot;/&gt;&lt;wsp:rsid wsp:val=&quot;72021099&quot;/&gt;&lt;wsp:rsid wsp:val=&quot;720336C8&quot;/&gt;&lt;wsp:rsid wsp:val=&quot;72071122&quot;/&gt;&lt;wsp:rsid wsp:val=&quot;72077373&quot;/&gt;&lt;wsp:rsid wsp:val=&quot;7208345D&quot;/&gt;&lt;wsp:rsid wsp:val=&quot;72084977&quot;/&gt;&lt;wsp:rsid wsp:val=&quot;72084E9A&quot;/&gt;&lt;wsp:rsid wsp:val=&quot;720A29C0&quot;/&gt;&lt;wsp:rsid wsp:val=&quot;720A602E&quot;/&gt;&lt;wsp:rsid wsp:val=&quot;720C2BDC&quot;/&gt;&lt;wsp:rsid wsp:val=&quot;720C6738&quot;/&gt;&lt;wsp:rsid wsp:val=&quot;720E0702&quot;/&gt;&lt;wsp:rsid wsp:val=&quot;720F6228&quot;/&gt;&lt;wsp:rsid wsp:val=&quot;72111FA0&quot;/&gt;&lt;wsp:rsid wsp:val=&quot;72113D4E&quot;/&gt;&lt;wsp:rsid wsp:val=&quot;72121874&quot;/&gt;&lt;wsp:rsid wsp:val=&quot;72127391&quot;/&gt;&lt;wsp:rsid wsp:val=&quot;72135D18&quot;/&gt;&lt;wsp:rsid wsp:val=&quot;721573F6&quot;/&gt;&lt;wsp:rsid wsp:val=&quot;7216333F&quot;/&gt;&lt;wsp:rsid wsp:val=&quot;721671A2&quot;/&gt;&lt;wsp:rsid wsp:val=&quot;721675B7&quot;/&gt;&lt;wsp:rsid wsp:val=&quot;72181581&quot;/&gt;&lt;wsp:rsid wsp:val=&quot;72194693&quot;/&gt;&lt;wsp:rsid wsp:val=&quot;721A1B3C&quot;/&gt;&lt;wsp:rsid wsp:val=&quot;721B16E4&quot;/&gt;&lt;wsp:rsid wsp:val=&quot;721B1B84&quot;/&gt;&lt;wsp:rsid wsp:val=&quot;721B697B&quot;/&gt;&lt;wsp:rsid wsp:val=&quot;721E646B&quot;/&gt;&lt;wsp:rsid wsp:val=&quot;721F290F&quot;/&gt;&lt;wsp:rsid wsp:val=&quot;721F4534&quot;/&gt;&lt;wsp:rsid wsp:val=&quot;722021E3&quot;/&gt;&lt;wsp:rsid wsp:val=&quot;72203F91&quot;/&gt;&lt;wsp:rsid wsp:val=&quot;722241AD&quot;/&gt;&lt;wsp:rsid wsp:val=&quot;72233A82&quot;/&gt;&lt;wsp:rsid wsp:val=&quot;72235642&quot;/&gt;&lt;wsp:rsid wsp:val=&quot;72247F25&quot;/&gt;&lt;wsp:rsid wsp:val=&quot;72253C9E&quot;/&gt;&lt;wsp:rsid wsp:val=&quot;722577FA&quot;/&gt;&lt;wsp:rsid wsp:val=&quot;722640C6&quot;/&gt;&lt;wsp:rsid wsp:val=&quot;72266C97&quot;/&gt;&lt;wsp:rsid wsp:val=&quot;722717C4&quot;/&gt;&lt;wsp:rsid wsp:val=&quot;72273572&quot;/&gt;&lt;wsp:rsid wsp:val=&quot;72283D07&quot;/&gt;&lt;wsp:rsid wsp:val=&quot;722A12B4&quot;/&gt;&lt;wsp:rsid wsp:val=&quot;722B17DF&quot;/&gt;&lt;wsp:rsid wsp:val=&quot;722C13C8&quot;/&gt;&lt;wsp:rsid wsp:val=&quot;722C2B09&quot;/&gt;&lt;wsp:rsid wsp:val=&quot;722F0678&quot;/&gt;&lt;wsp:rsid wsp:val=&quot;722F2426&quot;/&gt;&lt;wsp:rsid wsp:val=&quot;72335BC4&quot;/&gt;&lt;wsp:rsid wsp:val=&quot;7234129A&quot;/&gt;&lt;wsp:rsid wsp:val=&quot;72343EE1&quot;/&gt;&lt;wsp:rsid wsp:val=&quot;72347A3D&quot;/&gt;&lt;wsp:rsid wsp:val=&quot;7238577F&quot;/&gt;&lt;wsp:rsid wsp:val=&quot;7238752D&quot;/&gt;&lt;wsp:rsid wsp:val=&quot;723932A5&quot;/&gt;&lt;wsp:rsid wsp:val=&quot;723A71F6&quot;/&gt;&lt;wsp:rsid wsp:val=&quot;723B0DCB&quot;/&gt;&lt;wsp:rsid wsp:val=&quot;723B443F&quot;/&gt;&lt;wsp:rsid wsp:val=&quot;723B526F&quot;/&gt;&lt;wsp:rsid wsp:val=&quot;723B701D&quot;/&gt;&lt;wsp:rsid wsp:val=&quot;72402885&quot;/&gt;&lt;wsp:rsid wsp:val=&quot;724072F8&quot;/&gt;&lt;wsp:rsid wsp:val=&quot;72410CCD&quot;/&gt;&lt;wsp:rsid wsp:val=&quot;72421D2B&quot;/&gt;&lt;wsp:rsid wsp:val=&quot;72435ED2&quot;/&gt;&lt;wsp:rsid wsp:val=&quot;724759C2&quot;/&gt;&lt;wsp:rsid wsp:val=&quot;72475FCF&quot;/&gt;&lt;wsp:rsid wsp:val=&quot;72477770&quot;/&gt;&lt;wsp:rsid wsp:val=&quot;72483102&quot;/&gt;&lt;wsp:rsid wsp:val=&quot;72497CB5&quot;/&gt;&lt;wsp:rsid wsp:val=&quot;724A1184&quot;/&gt;&lt;wsp:rsid wsp:val=&quot;724A7260&quot;/&gt;&lt;wsp:rsid wsp:val=&quot;724B263C&quot;/&gt;&lt;wsp:rsid wsp:val=&quot;724C2FD8&quot;/&gt;&lt;wsp:rsid wsp:val=&quot;724D022D&quot;/&gt;&lt;wsp:rsid wsp:val=&quot;724E4B0C&quot;/&gt;&lt;wsp:rsid wsp:val=&quot;72505075&quot;/&gt;&lt;wsp:rsid wsp:val=&quot;72514A93&quot;/&gt;&lt;wsp:rsid wsp:val=&quot;725325B9&quot;/&gt;&lt;wsp:rsid wsp:val=&quot;72534367&quot;/&gt;&lt;wsp:rsid wsp:val=&quot;72543F0C&quot;/&gt;&lt;wsp:rsid wsp:val=&quot;72547143&quot;/&gt;&lt;wsp:rsid wsp:val=&quot;72553024&quot;/&gt;&lt;wsp:rsid wsp:val=&quot;72556331&quot;/&gt;&lt;wsp:rsid wsp:val=&quot;72563E57&quot;/&gt;&lt;wsp:rsid wsp:val=&quot;72565C05&quot;/&gt;&lt;wsp:rsid wsp:val=&quot;7258197D&quot;/&gt;&lt;wsp:rsid wsp:val=&quot;725956F5&quot;/&gt;&lt;wsp:rsid wsp:val=&quot;725A5559&quot;/&gt;&lt;wsp:rsid wsp:val=&quot;725B4D57&quot;/&gt;&lt;wsp:rsid wsp:val=&quot;725D3437&quot;/&gt;&lt;wsp:rsid wsp:val=&quot;725E4ABA&quot;/&gt;&lt;wsp:rsid wsp:val=&quot;72600832&quot;/&gt;&lt;wsp:rsid wsp:val=&quot;72615AD0&quot;/&gt;&lt;wsp:rsid wsp:val=&quot;726227FC&quot;/&gt;&lt;wsp:rsid wsp:val=&quot;72640310&quot;/&gt;&lt;wsp:rsid wsp:val=&quot;72640322&quot;/&gt;&lt;wsp:rsid wsp:val=&quot;72646574&quot;/&gt;&lt;wsp:rsid wsp:val=&quot;72651AFE&quot;/&gt;&lt;wsp:rsid wsp:val=&quot;726522EC&quot;/&gt;&lt;wsp:rsid wsp:val=&quot;72671BC0&quot;/&gt;&lt;wsp:rsid wsp:val=&quot;726A16B0&quot;/&gt;&lt;wsp:rsid wsp:val=&quot;726A7902&quot;/&gt;&lt;wsp:rsid wsp:val=&quot;726B5B54&quot;/&gt;&lt;wsp:rsid wsp:val=&quot;726C50C5&quot;/&gt;&lt;wsp:rsid wsp:val=&quot;726C5A82&quot;/&gt;&lt;wsp:rsid wsp:val=&quot;726E11A1&quot;/&gt;&lt;wsp:rsid wsp:val=&quot;726E28BB&quot;/&gt;&lt;wsp:rsid wsp:val=&quot;726E2F4F&quot;/&gt;&lt;wsp:rsid wsp:val=&quot;726F4F19&quot;/&gt;&lt;wsp:rsid wsp:val=&quot;72702893&quot;/&gt;&lt;wsp:rsid wsp:val=&quot;7270316B&quot;/&gt;&lt;wsp:rsid wsp:val=&quot;7271034C&quot;/&gt;&lt;wsp:rsid wsp:val=&quot;72730565&quot;/&gt;&lt;wsp:rsid wsp:val=&quot;727442DD&quot;/&gt;&lt;wsp:rsid wsp:val=&quot;727646A3&quot;/&gt;&lt;wsp:rsid wsp:val=&quot;72783DCD&quot;/&gt;&lt;wsp:rsid wsp:val=&quot;72785B7B&quot;/&gt;&lt;wsp:rsid wsp:val=&quot;727A7B45&quot;/&gt;&lt;wsp:rsid wsp:val=&quot;727B1B10&quot;/&gt;&lt;wsp:rsid wsp:val=&quot;727C559D&quot;/&gt;&lt;wsp:rsid wsp:val=&quot;727F33AE&quot;/&gt;&lt;wsp:rsid wsp:val=&quot;72800ED4&quot;/&gt;&lt;wsp:rsid wsp:val=&quot;72802C82&quot;/&gt;&lt;wsp:rsid wsp:val=&quot;728323FB&quot;/&gt;&lt;wsp:rsid wsp:val=&quot;72834520&quot;/&gt;&lt;wsp:rsid wsp:val=&quot;72842772&quot;/&gt;&lt;wsp:rsid wsp:val=&quot;72850298&quot;/&gt;&lt;wsp:rsid wsp:val=&quot;7285473C&quot;/&gt;&lt;wsp:rsid wsp:val=&quot;728704B4&quot;/&gt;&lt;wsp:rsid wsp:val=&quot;72895FDA&quot;/&gt;&lt;wsp:rsid wsp:val=&quot;728A58AF&quot;/&gt;&lt;wsp:rsid wsp:val=&quot;728B1D53&quot;/&gt;&lt;wsp:rsid wsp:val=&quot;728B49B4&quot;/&gt;&lt;wsp:rsid wsp:val=&quot;728E1843&quot;/&gt;&lt;wsp:rsid wsp:val=&quot;728E35F1&quot;/&gt;&lt;wsp:rsid wsp:val=&quot;728E539F&quot;/&gt;&lt;wsp:rsid wsp:val=&quot;728F21C0&quot;/&gt;&lt;wsp:rsid wsp:val=&quot;72903084&quot;/&gt;&lt;wsp:rsid wsp:val=&quot;72907369&quot;/&gt;&lt;wsp:rsid wsp:val=&quot;72916C3D&quot;/&gt;&lt;wsp:rsid wsp:val=&quot;72930C07&quot;/&gt;&lt;wsp:rsid wsp:val=&quot;72961AC7&quot;/&gt;&lt;wsp:rsid wsp:val=&quot;72964253&quot;/&gt;&lt;wsp:rsid wsp:val=&quot;72987EF6&quot;/&gt;&lt;wsp:rsid wsp:val=&quot;72990C1E&quot;/&gt;&lt;wsp:rsid wsp:val=&quot;729A3D44&quot;/&gt;&lt;wsp:rsid wsp:val=&quot;729B5D0E&quot;/&gt;&lt;wsp:rsid wsp:val=&quot;729D1A86&quot;/&gt;&lt;wsp:rsid wsp:val=&quot;729D3834&quot;/&gt;&lt;wsp:rsid wsp:val=&quot;729F135A&quot;/&gt;&lt;wsp:rsid wsp:val=&quot;72A02B79&quot;/&gt;&lt;wsp:rsid wsp:val=&quot;72A050D2&quot;/&gt;&lt;wsp:rsid wsp:val=&quot;72A1574A&quot;/&gt;&lt;wsp:rsid wsp:val=&quot;72A5093A&quot;/&gt;&lt;wsp:rsid wsp:val=&quot;72A746B3&quot;/&gt;&lt;wsp:rsid wsp:val=&quot;72AA7CFF&quot;/&gt;&lt;wsp:rsid wsp:val=&quot;72AC285D&quot;/&gt;&lt;wsp:rsid wsp:val=&quot;72AC7F1B&quot;/&gt;&lt;wsp:rsid wsp:val=&quot;72AD517D&quot;/&gt;&lt;wsp:rsid wsp:val=&quot;72AE77EF&quot;/&gt;&lt;wsp:rsid wsp:val=&quot;72AF2E9B&quot;/&gt;&lt;wsp:rsid wsp:val=&quot;72AF5315&quot;/&gt;&lt;wsp:rsid wsp:val=&quot;72B03567&quot;/&gt;&lt;wsp:rsid wsp:val=&quot;72B1108D&quot;/&gt;&lt;wsp:rsid wsp:val=&quot;72B23B61&quot;/&gt;&lt;wsp:rsid wsp:val=&quot;72B312A9&quot;/&gt;&lt;wsp:rsid wsp:val=&quot;72B33057&quot;/&gt;&lt;wsp:rsid wsp:val=&quot;72B5390F&quot;/&gt;&lt;wsp:rsid wsp:val=&quot;72B62B48&quot;/&gt;&lt;wsp:rsid wsp:val=&quot;72B8241C&quot;/&gt;&lt;wsp:rsid wsp:val=&quot;72B87500&quot;/&gt;&lt;wsp:rsid wsp:val=&quot;72BB3CBA&quot;/&gt;&lt;wsp:rsid wsp:val=&quot;72BF0CD3&quot;/&gt;&lt;wsp:rsid wsp:val=&quot;72BF7592&quot;/&gt;&lt;wsp:rsid wsp:val=&quot;72BF7C4E&quot;/&gt;&lt;wsp:rsid wsp:val=&quot;72C06C31&quot;/&gt;&lt;wsp:rsid wsp:val=&quot;72C07522&quot;/&gt;&lt;wsp:rsid wsp:val=&quot;72C25801&quot;/&gt;&lt;wsp:rsid wsp:val=&quot;72C40DC1&quot;/&gt;&lt;wsp:rsid wsp:val=&quot;72C473A3&quot;/&gt;&lt;wsp:rsid wsp:val=&quot;72C62D8B&quot;/&gt;&lt;wsp:rsid wsp:val=&quot;72CC1ABA&quot;/&gt;&lt;wsp:rsid wsp:val=&quot;72CE4AD0&quot;/&gt;&lt;wsp:rsid wsp:val=&quot;72CE60E3&quot;/&gt;&lt;wsp:rsid wsp:val=&quot;72CE7E91&quot;/&gt;&lt;wsp:rsid wsp:val=&quot;72D03C09&quot;/&gt;&lt;wsp:rsid wsp:val=&quot;72D1172F&quot;/&gt;&lt;wsp:rsid wsp:val=&quot;72D11D1B&quot;/&gt;&lt;wsp:rsid wsp:val=&quot;72D134DE&quot;/&gt;&lt;wsp:rsid wsp:val=&quot;72D17BC7&quot;/&gt;&lt;wsp:rsid wsp:val=&quot;72D233B6&quot;/&gt;&lt;wsp:rsid wsp:val=&quot;72D27981&quot;/&gt;&lt;wsp:rsid wsp:val=&quot;72D354A8&quot;/&gt;&lt;wsp:rsid wsp:val=&quot;72D477F2&quot;/&gt;&lt;wsp:rsid wsp:val=&quot;72D51220&quot;/&gt;&lt;wsp:rsid wsp:val=&quot;72D57472&quot;/&gt;&lt;wsp:rsid wsp:val=&quot;72D60AF4&quot;/&gt;&lt;wsp:rsid wsp:val=&quot;72D62859&quot;/&gt;&lt;wsp:rsid wsp:val=&quot;72D74F98&quot;/&gt;&lt;wsp:rsid wsp:val=&quot;72D7552E&quot;/&gt;&lt;wsp:rsid wsp:val=&quot;72D80D10&quot;/&gt;&lt;wsp:rsid wsp:val=&quot;72D8187A&quot;/&gt;&lt;wsp:rsid wsp:val=&quot;72D969D4&quot;/&gt;&lt;wsp:rsid wsp:val=&quot;72DA05E4&quot;/&gt;&lt;wsp:rsid wsp:val=&quot;72DA4A88&quot;/&gt;&lt;wsp:rsid wsp:val=&quot;72DA6836&quot;/&gt;&lt;wsp:rsid wsp:val=&quot;72DB6D6B&quot;/&gt;&lt;wsp:rsid wsp:val=&quot;72DC25AE&quot;/&gt;&lt;wsp:rsid wsp:val=&quot;72DD6326&quot;/&gt;&lt;wsp:rsid wsp:val=&quot;72DF3E4C&quot;/&gt;&lt;wsp:rsid wsp:val=&quot;72DF5BFA&quot;/&gt;&lt;wsp:rsid wsp:val=&quot;72E2393D&quot;/&gt;&lt;wsp:rsid wsp:val=&quot;72E4155E&quot;/&gt;&lt;wsp:rsid wsp:val=&quot;72E571EB&quot;/&gt;&lt;wsp:rsid wsp:val=&quot;72E651DB&quot;/&gt;&lt;wsp:rsid wsp:val=&quot;72E66F89&quot;/&gt;&lt;wsp:rsid wsp:val=&quot;72E94CCB&quot;/&gt;&lt;wsp:rsid wsp:val=&quot;72EA4F96&quot;/&gt;&lt;wsp:rsid wsp:val=&quot;72EB0A43&quot;/&gt;&lt;wsp:rsid wsp:val=&quot;72EB459F&quot;/&gt;&lt;wsp:rsid wsp:val=&quot;72EC0317&quot;/&gt;&lt;wsp:rsid wsp:val=&quot;72EC2C5F&quot;/&gt;&lt;wsp:rsid wsp:val=&quot;72ED47BB&quot;/&gt;&lt;wsp:rsid wsp:val=&quot;72EE5E3E&quot;/&gt;&lt;wsp:rsid wsp:val=&quot;72F07B01&quot;/&gt;&lt;wsp:rsid wsp:val=&quot;72F13B80&quot;/&gt;&lt;wsp:rsid wsp:val=&quot;72F166AD&quot;/&gt;&lt;wsp:rsid wsp:val=&quot;72F47912&quot;/&gt;&lt;wsp:rsid wsp:val=&quot;72F5541E&quot;/&gt;&lt;wsp:rsid wsp:val=&quot;72F62F44&quot;/&gt;&lt;wsp:rsid wsp:val=&quot;72F63973&quot;/&gt;&lt;wsp:rsid wsp:val=&quot;72F71196&quot;/&gt;&lt;wsp:rsid wsp:val=&quot;72F773E8&quot;/&gt;&lt;wsp:rsid wsp:val=&quot;72FB055A&quot;/&gt;&lt;wsp:rsid wsp:val=&quot;72FD0776&quot;/&gt;&lt;wsp:rsid wsp:val=&quot;72FD2525&quot;/&gt;&lt;wsp:rsid wsp:val=&quot;73010A86&quot;/&gt;&lt;wsp:rsid wsp:val=&quot;73012015&quot;/&gt;&lt;wsp:rsid wsp:val=&quot;73025D8D&quot;/&gt;&lt;wsp:rsid wsp:val=&quot;730333A6&quot;/&gt;&lt;wsp:rsid wsp:val=&quot;73042CE3&quot;/&gt;&lt;wsp:rsid wsp:val=&quot;73047407&quot;/&gt;&lt;wsp:rsid wsp:val=&quot;730613D9&quot;/&gt;&lt;wsp:rsid wsp:val=&quot;7306762B&quot;/&gt;&lt;wsp:rsid wsp:val=&quot;73067BC6&quot;/&gt;&lt;wsp:rsid wsp:val=&quot;73075151&quot;/&gt;&lt;wsp:rsid wsp:val=&quot;73076EFF&quot;/&gt;&lt;wsp:rsid wsp:val=&quot;730D09BA&quot;/&gt;&lt;wsp:rsid wsp:val=&quot;730D6C0C&quot;/&gt;&lt;wsp:rsid wsp:val=&quot;730E4732&quot;/&gt;&lt;wsp:rsid wsp:val=&quot;731004AA&quot;/&gt;&lt;wsp:rsid wsp:val=&quot;73102258&quot;/&gt;&lt;wsp:rsid wsp:val=&quot;73122968&quot;/&gt;&lt;wsp:rsid wsp:val=&quot;73125FD0&quot;/&gt;&lt;wsp:rsid wsp:val=&quot;73132D7F&quot;/&gt;&lt;wsp:rsid wsp:val=&quot;731358A4&quot;/&gt;&lt;wsp:rsid wsp:val=&quot;73137F9A&quot;/&gt;&lt;wsp:rsid wsp:val=&quot;73177274&quot;/&gt;&lt;wsp:rsid wsp:val=&quot;73186D0D&quot;/&gt;&lt;wsp:rsid wsp:val=&quot;7318735E&quot;/&gt;&lt;wsp:rsid wsp:val=&quot;731A4E85&quot;/&gt;&lt;wsp:rsid wsp:val=&quot;731C0BFD&quot;/&gt;&lt;wsp:rsid wsp:val=&quot;731C29AB&quot;/&gt;&lt;wsp:rsid wsp:val=&quot;731C6E4F&quot;/&gt;&lt;wsp:rsid wsp:val=&quot;731D4975&quot;/&gt;&lt;wsp:rsid wsp:val=&quot;731E21D2&quot;/&gt;&lt;wsp:rsid wsp:val=&quot;731F249B&quot;/&gt;&lt;wsp:rsid wsp:val=&quot;731F5D5E&quot;/&gt;&lt;wsp:rsid wsp:val=&quot;73216213&quot;/&gt;&lt;wsp:rsid wsp:val=&quot;7321692F&quot;/&gt;&lt;wsp:rsid wsp:val=&quot;73237CEF&quot;/&gt;&lt;wsp:rsid wsp:val=&quot;73247AB1&quot;/&gt;&lt;wsp:rsid wsp:val=&quot;732857F3&quot;/&gt;&lt;wsp:rsid wsp:val=&quot;7329156C&quot;/&gt;&lt;wsp:rsid wsp:val=&quot;732A432B&quot;/&gt;&lt;wsp:rsid wsp:val=&quot;732C6966&quot;/&gt;&lt;wsp:rsid wsp:val=&quot;732D6613&quot;/&gt;&lt;wsp:rsid wsp:val=&quot;732E0930&quot;/&gt;&lt;wsp:rsid wsp:val=&quot;732F1E4E&quot;/&gt;&lt;wsp:rsid wsp:val=&quot;733028FA&quot;/&gt;&lt;wsp:rsid wsp:val=&quot;733046A8&quot;/&gt;&lt;wsp:rsid wsp:val=&quot;73320420&quot;/&gt;&lt;wsp:rsid wsp:val=&quot;733A72D5&quot;/&gt;&lt;wsp:rsid wsp:val=&quot;733C304D&quot;/&gt;&lt;wsp:rsid wsp:val=&quot;733D141E&quot;/&gt;&lt;wsp:rsid wsp:val=&quot;733F0D8F&quot;/&gt;&lt;wsp:rsid wsp:val=&quot;733F35F9&quot;/&gt;&lt;wsp:rsid wsp:val=&quot;733F6699&quot;/&gt;&lt;wsp:rsid wsp:val=&quot;73433FF4&quot;/&gt;&lt;wsp:rsid wsp:val=&quot;734343DB&quot;/&gt;&lt;wsp:rsid wsp:val=&quot;73441F01&quot;/&gt;&lt;wsp:rsid wsp:val=&quot;734463A5&quot;/&gt;&lt;wsp:rsid wsp:val=&quot;73463ECB&quot;/&gt;&lt;wsp:rsid wsp:val=&quot;73465C7A&quot;/&gt;&lt;wsp:rsid wsp:val=&quot;734671BA&quot;/&gt;&lt;wsp:rsid wsp:val=&quot;73467A28&quot;/&gt;&lt;wsp:rsid wsp:val=&quot;73497518&quot;/&gt;&lt;wsp:rsid wsp:val=&quot;734A16A2&quot;/&gt;&lt;wsp:rsid wsp:val=&quot;734B7734&quot;/&gt;&lt;wsp:rsid wsp:val=&quot;734C0DB6&quot;/&gt;&lt;wsp:rsid wsp:val=&quot;734D525A&quot;/&gt;&lt;wsp:rsid wsp:val=&quot;734E2D80&quot;/&gt;&lt;wsp:rsid wsp:val=&quot;7352461E&quot;/&gt;&lt;wsp:rsid wsp:val=&quot;735314CD&quot;/&gt;&lt;wsp:rsid wsp:val=&quot;73532145&quot;/&gt;&lt;wsp:rsid wsp:val=&quot;73541EE2&quot;/&gt;&lt;wsp:rsid wsp:val=&quot;73555EBD&quot;/&gt;&lt;wsp:rsid wsp:val=&quot;73572B6B&quot;/&gt;&lt;wsp:rsid wsp:val=&quot;73581EBE&quot;/&gt;&lt;wsp:rsid wsp:val=&quot;735859AD&quot;/&gt;&lt;wsp:rsid wsp:val=&quot;7358775B&quot;/&gt;&lt;wsp:rsid wsp:val=&quot;735A1725&quot;/&gt;&lt;wsp:rsid wsp:val=&quot;735B7814&quot;/&gt;&lt;wsp:rsid wsp:val=&quot;735C549D&quot;/&gt;&lt;wsp:rsid wsp:val=&quot;735C7A0B&quot;/&gt;&lt;wsp:rsid wsp:val=&quot;735D1F6A&quot;/&gt;&lt;wsp:rsid wsp:val=&quot;735E5441&quot;/&gt;&lt;wsp:rsid wsp:val=&quot;735E7467&quot;/&gt;&lt;wsp:rsid wsp:val=&quot;73607D61&quot;/&gt;&lt;wsp:rsid wsp:val=&quot;73610D05&quot;/&gt;&lt;wsp:rsid wsp:val=&quot;73612AB3&quot;/&gt;&lt;wsp:rsid wsp:val=&quot;73613DC2&quot;/&gt;&lt;wsp:rsid wsp:val=&quot;73614861&quot;/&gt;&lt;wsp:rsid wsp:val=&quot;73634A7D&quot;/&gt;&lt;wsp:rsid wsp:val=&quot;7363682B&quot;/&gt;&lt;wsp:rsid wsp:val=&quot;73667E4A&quot;/&gt;&lt;wsp:rsid wsp:val=&quot;73680CD0&quot;/&gt;&lt;wsp:rsid wsp:val=&quot;736A2F70&quot;/&gt;&lt;wsp:rsid wsp:val=&quot;736B08BB&quot;/&gt;&lt;wsp:rsid wsp:val=&quot;736B56E0&quot;/&gt;&lt;wsp:rsid wsp:val=&quot;736C78E6&quot;/&gt;&lt;wsp:rsid wsp:val=&quot;736D1458&quot;/&gt;&lt;wsp:rsid wsp:val=&quot;736D3206&quot;/&gt;&lt;wsp:rsid wsp:val=&quot;7370719A&quot;/&gt;&lt;wsp:rsid wsp:val=&quot;73722F12&quot;/&gt;&lt;wsp:rsid wsp:val=&quot;73724CC1&quot;/&gt;&lt;wsp:rsid wsp:val=&quot;73726A6F&quot;/&gt;&lt;wsp:rsid wsp:val=&quot;73727918&quot;/&gt;&lt;wsp:rsid wsp:val=&quot;73734595&quot;/&gt;&lt;wsp:rsid wsp:val=&quot;737427E7&quot;/&gt;&lt;wsp:rsid wsp:val=&quot;7375030D&quot;/&gt;&lt;wsp:rsid wsp:val=&quot;7375655F&quot;/&gt;&lt;wsp:rsid wsp:val=&quot;73761BD1&quot;/&gt;&lt;wsp:rsid wsp:val=&quot;73774085&quot;/&gt;&lt;wsp:rsid wsp:val=&quot;73774D90&quot;/&gt;&lt;wsp:rsid wsp:val=&quot;73792049&quot;/&gt;&lt;wsp:rsid wsp:val=&quot;737A2133&quot;/&gt;&lt;wsp:rsid wsp:val=&quot;737C20A7&quot;/&gt;&lt;wsp:rsid wsp:val=&quot;737E5413&quot;/&gt;&lt;wsp:rsid wsp:val=&quot;737F2F3A&quot;/&gt;&lt;wsp:rsid wsp:val=&quot;73813156&quot;/&gt;&lt;wsp:rsid wsp:val=&quot;738270AF&quot;/&gt;&lt;wsp:rsid wsp:val=&quot;73840550&quot;/&gt;&lt;wsp:rsid wsp:val=&quot;7384741D&quot;/&gt;&lt;wsp:rsid wsp:val=&quot;738546A7&quot;/&gt;&lt;wsp:rsid wsp:val=&quot;7386076C&quot;/&gt;&lt;wsp:rsid wsp:val=&quot;73892FCE&quot;/&gt;&lt;wsp:rsid wsp:val=&quot;738A025C&quot;/&gt;&lt;wsp:rsid wsp:val=&quot;738A445E&quot;/&gt;&lt;wsp:rsid wsp:val=&quot;738B5D82&quot;/&gt;&lt;wsp:rsid wsp:val=&quot;738F5872&quot;/&gt;&lt;wsp:rsid wsp:val=&quot;738F7621&quot;/&gt;&lt;wsp:rsid wsp:val=&quot;73922C6D&quot;/&gt;&lt;wsp:rsid wsp:val=&quot;73927111&quot;/&gt;&lt;wsp:rsid wsp:val=&quot;7395275D&quot;/&gt;&lt;wsp:rsid wsp:val=&quot;73973553&quot;/&gt;&lt;wsp:rsid wsp:val=&quot;7399049F&quot;/&gt;&lt;wsp:rsid wsp:val=&quot;7399224D&quot;/&gt;&lt;wsp:rsid wsp:val=&quot;739E7864&quot;/&gt;&lt;wsp:rsid wsp:val=&quot;73A0182E&quot;/&gt;&lt;wsp:rsid wsp:val=&quot;73A11102&quot;/&gt;&lt;wsp:rsid wsp:val=&quot;73A155A6&quot;/&gt;&lt;wsp:rsid wsp:val=&quot;73A3131E&quot;/&gt;&lt;wsp:rsid wsp:val=&quot;73A34E7A&quot;/&gt;&lt;wsp:rsid wsp:val=&quot;73A352B6&quot;/&gt;&lt;wsp:rsid wsp:val=&quot;73A429A0&quot;/&gt;&lt;wsp:rsid wsp:val=&quot;73A527A7&quot;/&gt;&lt;wsp:rsid wsp:val=&quot;73A6496A&quot;/&gt;&lt;wsp:rsid wsp:val=&quot;73A715D1&quot;/&gt;&lt;wsp:rsid wsp:val=&quot;73A77DFA&quot;/&gt;&lt;wsp:rsid wsp:val=&quot;73A8345D&quot;/&gt;&lt;wsp:rsid wsp:val=&quot;73A86557&quot;/&gt;&lt;wsp:rsid wsp:val=&quot;73A97805&quot;/&gt;&lt;wsp:rsid wsp:val=&quot;73AA26AC&quot;/&gt;&lt;wsp:rsid wsp:val=&quot;73AB01D2&quot;/&gt;&lt;wsp:rsid wsp:val=&quot;73AB0341&quot;/&gt;&lt;wsp:rsid wsp:val=&quot;73AB1F81&quot;/&gt;&lt;wsp:rsid wsp:val=&quot;73AB3D2F&quot;/&gt;&lt;wsp:rsid wsp:val=&quot;73AF2672&quot;/&gt;&lt;wsp:rsid wsp:val=&quot;73AF7CC3&quot;/&gt;&lt;wsp:rsid wsp:val=&quot;73B00F90&quot;/&gt;&lt;wsp:rsid wsp:val=&quot;73B13A3B&quot;/&gt;&lt;wsp:rsid wsp:val=&quot;73B21561&quot;/&gt;&lt;wsp:rsid wsp:val=&quot;73B221D9&quot;/&gt;&lt;wsp:rsid wsp:val=&quot;73B2330F&quot;/&gt;&lt;wsp:rsid wsp:val=&quot;73B269A7&quot;/&gt;&lt;wsp:rsid wsp:val=&quot;73B452D9&quot;/&gt;&lt;wsp:rsid wsp:val=&quot;73B47087&quot;/&gt;&lt;wsp:rsid wsp:val=&quot;73B470BB&quot;/&gt;&lt;wsp:rsid wsp:val=&quot;73B52DFF&quot;/&gt;&lt;wsp:rsid wsp:val=&quot;73B6400B&quot;/&gt;&lt;wsp:rsid wsp:val=&quot;73B66B46&quot;/&gt;&lt;wsp:rsid wsp:val=&quot;73B70925&quot;/&gt;&lt;wsp:rsid wsp:val=&quot;73B928EF&quot;/&gt;&lt;wsp:rsid wsp:val=&quot;73BC418E&quot;/&gt;&lt;wsp:rsid wsp:val=&quot;73BE077C&quot;/&gt;&lt;wsp:rsid wsp:val=&quot;73C03C7E&quot;/&gt;&lt;wsp:rsid wsp:val=&quot;73C10D0D&quot;/&gt;&lt;wsp:rsid wsp:val=&quot;73C3376E&quot;/&gt;&lt;wsp:rsid wsp:val=&quot;73C51AD5&quot;/&gt;&lt;wsp:rsid wsp:val=&quot;73C60B68&quot;/&gt;&lt;wsp:rsid wsp:val=&quot;73C66DBA&quot;/&gt;&lt;wsp:rsid wsp:val=&quot;73C87AE8&quot;/&gt;&lt;wsp:rsid wsp:val=&quot;73CD48A4&quot;/&gt;&lt;wsp:rsid wsp:val=&quot;73CF42D2&quot;/&gt;&lt;wsp:rsid wsp:val=&quot;73CF53E7&quot;/&gt;&lt;wsp:rsid wsp:val=&quot;73CF5C6F&quot;/&gt;&lt;wsp:rsid wsp:val=&quot;73D03795&quot;/&gt;&lt;wsp:rsid wsp:val=&quot;73D17C39&quot;/&gt;&lt;wsp:rsid wsp:val=&quot;73D2575F&quot;/&gt;&lt;wsp:rsid wsp:val=&quot;73D2750D&quot;/&gt;&lt;wsp:rsid wsp:val=&quot;73D33B63&quot;/&gt;&lt;wsp:rsid wsp:val=&quot;73D43285&quot;/&gt;&lt;wsp:rsid wsp:val=&quot;73D634A1&quot;/&gt;&lt;wsp:rsid wsp:val=&quot;73D6524F&quot;/&gt;&lt;wsp:rsid wsp:val=&quot;73D70FC8&quot;/&gt;&lt;wsp:rsid wsp:val=&quot;73D74B24&quot;/&gt;&lt;wsp:rsid wsp:val=&quot;73D9089C&quot;/&gt;&lt;wsp:rsid wsp:val=&quot;73D90FB9&quot;/&gt;&lt;wsp:rsid wsp:val=&quot;73D96AEE&quot;/&gt;&lt;wsp:rsid wsp:val=&quot;73DC038C&quot;/&gt;&lt;wsp:rsid wsp:val=&quot;73DC3D05&quot;/&gt;&lt;wsp:rsid wsp:val=&quot;73DD2807&quot;/&gt;&lt;wsp:rsid wsp:val=&quot;73DE2356&quot;/&gt;&lt;wsp:rsid wsp:val=&quot;73DE4104&quot;/&gt;&lt;wsp:rsid wsp:val=&quot;73E060CE&quot;/&gt;&lt;wsp:rsid wsp:val=&quot;73E13BF4&quot;/&gt;&lt;wsp:rsid wsp:val=&quot;73E159A2&quot;/&gt;&lt;wsp:rsid wsp:val=&quot;73E3171A&quot;/&gt;&lt;wsp:rsid wsp:val=&quot;73E7745D&quot;/&gt;&lt;wsp:rsid wsp:val=&quot;73E86D31&quot;/&gt;&lt;wsp:rsid wsp:val=&quot;73EA125D&quot;/&gt;&lt;wsp:rsid wsp:val=&quot;73EC4A73&quot;/&gt;&lt;wsp:rsid wsp:val=&quot;73EF4563&quot;/&gt;&lt;wsp:rsid wsp:val=&quot;73EF6311&quot;/&gt;&lt;wsp:rsid wsp:val=&quot;73F12089&quot;/&gt;&lt;wsp:rsid wsp:val=&quot;73F14D7C&quot;/&gt;&lt;wsp:rsid wsp:val=&quot;73F25E01&quot;/&gt;&lt;wsp:rsid wsp:val=&quot;73F41F8C&quot;/&gt;&lt;wsp:rsid wsp:val=&quot;73F456D6&quot;/&gt;&lt;wsp:rsid wsp:val=&quot;73F62D29&quot;/&gt;&lt;wsp:rsid wsp:val=&quot;73F73418&quot;/&gt;&lt;wsp:rsid wsp:val=&quot;73F751C6&quot;/&gt;&lt;wsp:rsid wsp:val=&quot;73F76F74&quot;/&gt;&lt;wsp:rsid wsp:val=&quot;73FB2F08&quot;/&gt;&lt;wsp:rsid wsp:val=&quot;73FB4CB6&quot;/&gt;&lt;wsp:rsid wsp:val=&quot;73FB6DEA&quot;/&gt;&lt;wsp:rsid wsp:val=&quot;73FC458A&quot;/&gt;&lt;wsp:rsid wsp:val=&quot;7400051E&quot;/&gt;&lt;wsp:rsid wsp:val=&quot;74017DF2&quot;/&gt;&lt;wsp:rsid wsp:val=&quot;7403558B&quot;/&gt;&lt;wsp:rsid wsp:val=&quot;74035919&quot;/&gt;&lt;wsp:rsid wsp:val=&quot;74051691&quot;/&gt;&lt;wsp:rsid wsp:val=&quot;74057258&quot;/&gt;&lt;wsp:rsid wsp:val=&quot;74065409&quot;/&gt;&lt;wsp:rsid wsp:val=&quot;74081892&quot;/&gt;&lt;wsp:rsid wsp:val=&quot;74085625&quot;/&gt;&lt;wsp:rsid wsp:val=&quot;74086FAA&quot;/&gt;&lt;wsp:rsid wsp:val=&quot;740A314B&quot;/&gt;&lt;wsp:rsid wsp:val=&quot;740B2406&quot;/&gt;&lt;wsp:rsid wsp:val=&quot;740C0C71&quot;/&gt;&lt;wsp:rsid wsp:val=&quot;740C6EC3&quot;/&gt;&lt;wsp:rsid wsp:val=&quot;740D6797&quot;/&gt;&lt;wsp:rsid wsp:val=&quot;740F250F&quot;/&gt;&lt;wsp:rsid wsp:val=&quot;740F42BD&quot;/&gt;&lt;wsp:rsid wsp:val=&quot;74100036&quot;/&gt;&lt;wsp:rsid wsp:val=&quot;74116287&quot;/&gt;&lt;wsp:rsid wsp:val=&quot;74121D96&quot;/&gt;&lt;wsp:rsid wsp:val=&quot;74141049&quot;/&gt;&lt;wsp:rsid wsp:val=&quot;74141576&quot;/&gt;&lt;wsp:rsid wsp:val=&quot;74161AF0&quot;/&gt;&lt;wsp:rsid wsp:val=&quot;741713C4&quot;/&gt;&lt;wsp:rsid wsp:val=&quot;74192817&quot;/&gt;&lt;wsp:rsid wsp:val=&quot;7419338E&quot;/&gt;&lt;wsp:rsid wsp:val=&quot;741D2E7E&quot;/&gt;&lt;wsp:rsid wsp:val=&quot;741E09A4&quot;/&gt;&lt;wsp:rsid wsp:val=&quot;741E793C&quot;/&gt;&lt;wsp:rsid wsp:val=&quot;741F125A&quot;/&gt;&lt;wsp:rsid wsp:val=&quot;7420296E&quot;/&gt;&lt;wsp:rsid wsp:val=&quot;742064CB&quot;/&gt;&lt;wsp:rsid wsp:val=&quot;74213FF1&quot;/&gt;&lt;wsp:rsid wsp:val=&quot;74220495&quot;/&gt;&lt;wsp:rsid wsp:val=&quot;742324DB&quot;/&gt;&lt;wsp:rsid wsp:val=&quot;74250490&quot;/&gt;&lt;wsp:rsid wsp:val=&quot;742627BF&quot;/&gt;&lt;wsp:rsid wsp:val=&quot;7426541A&quot;/&gt;&lt;wsp:rsid wsp:val=&quot;74275AAB&quot;/&gt;&lt;wsp:rsid wsp:val=&quot;7429238A&quot;/&gt;&lt;wsp:rsid wsp:val=&quot;742C1313&quot;/&gt;&lt;wsp:rsid wsp:val=&quot;742D6E39&quot;/&gt;&lt;wsp:rsid wsp:val=&quot;7431692A&quot;/&gt;&lt;wsp:rsid wsp:val=&quot;74363F40&quot;/&gt;&lt;wsp:rsid wsp:val=&quot;7438212D&quot;/&gt;&lt;wsp:rsid wsp:val=&quot;74390206&quot;/&gt;&lt;wsp:rsid wsp:val=&quot;74393A30&quot;/&gt;&lt;wsp:rsid wsp:val=&quot;743B50B2&quot;/&gt;&lt;wsp:rsid wsp:val=&quot;743D707D&quot;/&gt;&lt;wsp:rsid wsp:val=&quot;74401365&quot;/&gt;&lt;wsp:rsid wsp:val=&quot;74404DBF&quot;/&gt;&lt;wsp:rsid wsp:val=&quot;74420232&quot;/&gt;&lt;wsp:rsid wsp:val=&quot;744321B9&quot;/&gt;&lt;wsp:rsid wsp:val=&quot;7446238B&quot;/&gt;&lt;wsp:rsid wsp:val=&quot;74463A57&quot;/&gt;&lt;wsp:rsid wsp:val=&quot;74465BE9&quot;/&gt;&lt;wsp:rsid wsp:val=&quot;7447614D&quot;/&gt;&lt;wsp:rsid wsp:val=&quot;74477EFB&quot;/&gt;&lt;wsp:rsid wsp:val=&quot;74493C73&quot;/&gt;&lt;wsp:rsid wsp:val=&quot;744A2D86&quot;/&gt;&lt;wsp:rsid wsp:val=&quot;744A3547&quot;/&gt;&lt;wsp:rsid wsp:val=&quot;744C3764&quot;/&gt;&lt;wsp:rsid wsp:val=&quot;744E128A&quot;/&gt;&lt;wsp:rsid wsp:val=&quot;744F6DB0&quot;/&gt;&lt;wsp:rsid wsp:val=&quot;745054B7&quot;/&gt;&lt;wsp:rsid wsp:val=&quot;74505C61&quot;/&gt;&lt;wsp:rsid wsp:val=&quot;74510D7A&quot;/&gt;&lt;wsp:rsid wsp:val=&quot;745148D6&quot;/&gt;&lt;wsp:rsid wsp:val=&quot;7452571B&quot;/&gt;&lt;wsp:rsid wsp:val=&quot;74534AF2&quot;/&gt;&lt;wsp:rsid wsp:val=&quot;74546174&quot;/&gt;&lt;wsp:rsid wsp:val=&quot;74555AF6&quot;/&gt;&lt;wsp:rsid wsp:val=&quot;7456013E&quot;/&gt;&lt;wsp:rsid wsp:val=&quot;74575C64&quot;/&gt;&lt;wsp:rsid wsp:val=&quot;745A5E80&quot;/&gt;&lt;wsp:rsid wsp:val=&quot;745A783C&quot;/&gt;&lt;wsp:rsid wsp:val=&quot;745B519B&quot;/&gt;&lt;wsp:rsid wsp:val=&quot;745D327B&quot;/&gt;&lt;wsp:rsid wsp:val=&quot;745D70B1&quot;/&gt;&lt;wsp:rsid wsp:val=&quot;745E268C&quot;/&gt;&lt;wsp:rsid wsp:val=&quot;745E3944&quot;/&gt;&lt;wsp:rsid wsp:val=&quot;74600FBD&quot;/&gt;&lt;wsp:rsid wsp:val=&quot;746152C5&quot;/&gt;&lt;wsp:rsid wsp:val=&quot;74620891&quot;/&gt;&lt;wsp:rsid wsp:val=&quot;74630446&quot;/&gt;&lt;wsp:rsid wsp:val=&quot;7463285B&quot;/&gt;&lt;wsp:rsid wsp:val=&quot;74633F76&quot;/&gt;&lt;wsp:rsid wsp:val=&quot;74634609&quot;/&gt;&lt;wsp:rsid wsp:val=&quot;74642945&quot;/&gt;&lt;wsp:rsid wsp:val=&quot;7464622B&quot;/&gt;&lt;wsp:rsid wsp:val=&quot;74650381&quot;/&gt;&lt;wsp:rsid wsp:val=&quot;74654825&quot;/&gt;&lt;wsp:rsid wsp:val=&quot;74685BFA&quot;/&gt;&lt;wsp:rsid wsp:val=&quot;74687E72&quot;/&gt;&lt;wsp:rsid wsp:val=&quot;746A1E3C&quot;/&gt;&lt;wsp:rsid wsp:val=&quot;746B4C90&quot;/&gt;&lt;wsp:rsid wsp:val=&quot;746C6120&quot;/&gt;&lt;wsp:rsid wsp:val=&quot;746F2FAE&quot;/&gt;&lt;wsp:rsid wsp:val=&quot;74704AA1&quot;/&gt;&lt;wsp:rsid wsp:val=&quot;747131CA&quot;/&gt;&lt;wsp:rsid wsp:val=&quot;74733422&quot;/&gt;&lt;wsp:rsid wsp:val=&quot;74744A68&quot;/&gt;&lt;wsp:rsid wsp:val=&quot;7476258E&quot;/&gt;&lt;wsp:rsid wsp:val=&quot;74795BDB&quot;/&gt;&lt;wsp:rsid wsp:val=&quot;747B1953&quot;/&gt;&lt;wsp:rsid wsp:val=&quot;747B5DF7&quot;/&gt;&lt;wsp:rsid wsp:val=&quot;747B7BA5&quot;/&gt;&lt;wsp:rsid wsp:val=&quot;747F1338&quot;/&gt;&lt;wsp:rsid wsp:val=&quot;747F19C5&quot;/&gt;&lt;wsp:rsid wsp:val=&quot;747F7695&quot;/&gt;&lt;wsp:rsid wsp:val=&quot;74827185&quot;/&gt;&lt;wsp:rsid wsp:val=&quot;74836CEA&quot;/&gt;&lt;wsp:rsid wsp:val=&quot;748A603A&quot;/&gt;&lt;wsp:rsid wsp:val=&quot;748C0004&quot;/&gt;&lt;wsp:rsid wsp:val=&quot;748C1DB2&quot;/&gt;&lt;wsp:rsid wsp:val=&quot;748C590E&quot;/&gt;&lt;wsp:rsid wsp:val=&quot;748D1686&quot;/&gt;&lt;wsp:rsid wsp:val=&quot;748D6B9A&quot;/&gt;&lt;wsp:rsid wsp:val=&quot;748E78D8&quot;/&gt;&lt;wsp:rsid wsp:val=&quot;748F3650&quot;/&gt;&lt;wsp:rsid wsp:val=&quot;748F53FE&quot;/&gt;&lt;wsp:rsid wsp:val=&quot;749018A2&quot;/&gt;&lt;wsp:rsid wsp:val=&quot;74933360&quot;/&gt;&lt;wsp:rsid wsp:val=&quot;74934EEE&quot;/&gt;&lt;wsp:rsid wsp:val=&quot;74936C9D&quot;/&gt;&lt;wsp:rsid wsp:val=&quot;749649DF&quot;/&gt;&lt;wsp:rsid wsp:val=&quot;749768DC&quot;/&gt;&lt;wsp:rsid wsp:val=&quot;749869A9&quot;/&gt;&lt;wsp:rsid wsp:val=&quot;74993231&quot;/&gt;&lt;wsp:rsid wsp:val=&quot;7499378D&quot;/&gt;&lt;wsp:rsid wsp:val=&quot;749953DF&quot;/&gt;&lt;wsp:rsid wsp:val=&quot;749B1FF5&quot;/&gt;&lt;wsp:rsid wsp:val=&quot;749C3ABE&quot;/&gt;&lt;wsp:rsid wsp:val=&quot;749D6D74&quot;/&gt;&lt;wsp:rsid wsp:val=&quot;749E52B8&quot;/&gt;&lt;wsp:rsid wsp:val=&quot;74A0243F&quot;/&gt;&lt;wsp:rsid wsp:val=&quot;74A0585D&quot;/&gt;&lt;wsp:rsid wsp:val=&quot;74A11815&quot;/&gt;&lt;wsp:rsid wsp:val=&quot;74A23383&quot;/&gt;&lt;wsp:rsid wsp:val=&quot;74A470FC&quot;/&gt;&lt;wsp:rsid wsp:val=&quot;74A54E21&quot;/&gt;&lt;wsp:rsid wsp:val=&quot;74A72748&quot;/&gt;&lt;wsp:rsid wsp:val=&quot;74A733CB&quot;/&gt;&lt;wsp:rsid wsp:val=&quot;74A94712&quot;/&gt;&lt;wsp:rsid wsp:val=&quot;74A964C0&quot;/&gt;&lt;wsp:rsid wsp:val=&quot;74A96BA0&quot;/&gt;&lt;wsp:rsid wsp:val=&quot;74AA048A&quot;/&gt;&lt;wsp:rsid wsp:val=&quot;74AA2238&quot;/&gt;&lt;wsp:rsid wsp:val=&quot;74AC5FB0&quot;/&gt;&lt;wsp:rsid wsp:val=&quot;74AE3AD6&quot;/&gt;&lt;wsp:rsid wsp:val=&quot;74AE7F7A&quot;/&gt;&lt;wsp:rsid wsp:val=&quot;74AF784E&quot;/&gt;&lt;wsp:rsid wsp:val=&quot;74B113E2&quot;/&gt;&lt;wsp:rsid wsp:val=&quot;74B11819&quot;/&gt;&lt;wsp:rsid wsp:val=&quot;74B135C7&quot;/&gt;&lt;wsp:rsid wsp:val=&quot;74B36359&quot;/&gt;&lt;wsp:rsid wsp:val=&quot;74B530B7&quot;/&gt;&lt;wsp:rsid wsp:val=&quot;74B60BDD&quot;/&gt;&lt;wsp:rsid wsp:val=&quot;74B65081&quot;/&gt;&lt;wsp:rsid wsp:val=&quot;74B82BA7&quot;/&gt;&lt;wsp:rsid wsp:val=&quot;74B86703&quot;/&gt;&lt;wsp:rsid wsp:val=&quot;74BA79C2&quot;/&gt;&lt;wsp:rsid wsp:val=&quot;74BD0CA9&quot;/&gt;&lt;wsp:rsid wsp:val=&quot;74C14349&quot;/&gt;&lt;wsp:rsid wsp:val=&quot;74C34940&quot;/&gt;&lt;wsp:rsid wsp:val=&quot;74C36C69&quot;/&gt;&lt;wsp:rsid wsp:val=&quot;74C4154C&quot;/&gt;&lt;wsp:rsid wsp:val=&quot;74C50E20&quot;/&gt;&lt;wsp:rsid wsp:val=&quot;74C60F3B&quot;/&gt;&lt;wsp:rsid wsp:val=&quot;74C652C4&quot;/&gt;&lt;wsp:rsid wsp:val=&quot;74C96B62&quot;/&gt;&lt;wsp:rsid wsp:val=&quot;74CA6436&quot;/&gt;&lt;wsp:rsid wsp:val=&quot;74CB28DA&quot;/&gt;&lt;wsp:rsid wsp:val=&quot;74CC0400&quot;/&gt;&lt;wsp:rsid wsp:val=&quot;74CF694D&quot;/&gt;&lt;wsp:rsid wsp:val=&quot;74D07EF1&quot;/&gt;&lt;wsp:rsid wsp:val=&quot;74D15A17&quot;/&gt;&lt;wsp:rsid wsp:val=&quot;74D379E1&quot;/&gt;&lt;wsp:rsid wsp:val=&quot;74D55D60&quot;/&gt;&lt;wsp:rsid wsp:val=&quot;74D6127F&quot;/&gt;&lt;wsp:rsid wsp:val=&quot;74D6302D&quot;/&gt;&lt;wsp:rsid wsp:val=&quot;74D774D1&quot;/&gt;&lt;wsp:rsid wsp:val=&quot;74D80B53&quot;/&gt;&lt;wsp:rsid wsp:val=&quot;74D81140&quot;/&gt;&lt;wsp:rsid wsp:val=&quot;74DA0D6F&quot;/&gt;&lt;wsp:rsid wsp:val=&quot;74DA28B2&quot;/&gt;&lt;wsp:rsid wsp:val=&quot;74DB0C05&quot;/&gt;&lt;wsp:rsid wsp:val=&quot;74DB4EF0&quot;/&gt;&lt;wsp:rsid wsp:val=&quot;74DD43BC&quot;/&gt;&lt;wsp:rsid wsp:val=&quot;74DF0134&quot;/&gt;&lt;wsp:rsid wsp:val=&quot;74E22266&quot;/&gt;&lt;wsp:rsid wsp:val=&quot;74E25E76&quot;/&gt;&lt;wsp:rsid wsp:val=&quot;74E306DE&quot;/&gt;&lt;wsp:rsid wsp:val=&quot;74E4399C&quot;/&gt;&lt;wsp:rsid wsp:val=&quot;74E4513F&quot;/&gt;&lt;wsp:rsid wsp:val=&quot;74E474F8&quot;/&gt;&lt;wsp:rsid wsp:val=&quot;74E7348C&quot;/&gt;&lt;wsp:rsid wsp:val=&quot;74EB49E5&quot;/&gt;&lt;wsp:rsid wsp:val=&quot;74EB6AD9&quot;/&gt;&lt;wsp:rsid wsp:val=&quot;74EC0AA3&quot;/&gt;&lt;wsp:rsid wsp:val=&quot;74EC45FF&quot;/&gt;&lt;wsp:rsid wsp:val=&quot;74EE0377&quot;/&gt;&lt;wsp:rsid wsp:val=&quot;74F00559&quot;/&gt;&lt;wsp:rsid wsp:val=&quot;74F00593&quot;/&gt;&lt;wsp:rsid wsp:val=&quot;74F040EF&quot;/&gt;&lt;wsp:rsid wsp:val=&quot;74F14380&quot;/&gt;&lt;wsp:rsid wsp:val=&quot;74F31E31&quot;/&gt;&lt;wsp:rsid wsp:val=&quot;74F51DA9&quot;/&gt;&lt;wsp:rsid wsp:val=&quot;74F55BA9&quot;/&gt;&lt;wsp:rsid wsp:val=&quot;74F646C9&quot;/&gt;&lt;wsp:rsid wsp:val=&quot;74F6547D&quot;/&gt;&lt;wsp:rsid wsp:val=&quot;74F6722B&quot;/&gt;&lt;wsp:rsid wsp:val=&quot;74F80D0C&quot;/&gt;&lt;wsp:rsid wsp:val=&quot;74F811F5&quot;/&gt;&lt;wsp:rsid wsp:val=&quot;74FC0CE6&quot;/&gt;&lt;wsp:rsid wsp:val=&quot;74FC3A90&quot;/&gt;&lt;wsp:rsid wsp:val=&quot;74FD4A5E&quot;/&gt;&lt;wsp:rsid wsp:val=&quot;74FD680C&quot;/&gt;&lt;wsp:rsid wsp:val=&quot;74FE028A&quot;/&gt;&lt;wsp:rsid wsp:val=&quot;74FF4332&quot;/&gt;&lt;wsp:rsid wsp:val=&quot;7501034C&quot;/&gt;&lt;wsp:rsid wsp:val=&quot;750162FC&quot;/&gt;&lt;wsp:rsid wsp:val=&quot;75022074&quot;/&gt;&lt;wsp:rsid wsp:val=&quot;75030E0A&quot;/&gt;&lt;wsp:rsid wsp:val=&quot;75041019&quot;/&gt;&lt;wsp:rsid wsp:val=&quot;75047B9A&quot;/&gt;&lt;wsp:rsid wsp:val=&quot;750510BE&quot;/&gt;&lt;wsp:rsid wsp:val=&quot;750556C0&quot;/&gt;&lt;wsp:rsid wsp:val=&quot;750577C9&quot;/&gt;&lt;wsp:rsid wsp:val=&quot;75071439&quot;/&gt;&lt;wsp:rsid wsp:val=&quot;7508401D&quot;/&gt;&lt;wsp:rsid wsp:val=&quot;750951B1&quot;/&gt;&lt;wsp:rsid wsp:val=&quot;750B533F&quot;/&gt;&lt;wsp:rsid wsp:val=&quot;750B717B&quot;/&gt;&lt;wsp:rsid wsp:val=&quot;750D2EF3&quot;/&gt;&lt;wsp:rsid wsp:val=&quot;751112D1&quot;/&gt;&lt;wsp:rsid wsp:val=&quot;751122B7&quot;/&gt;&lt;wsp:rsid wsp:val=&quot;751270DE&quot;/&gt;&lt;wsp:rsid wsp:val=&quot;75157FF9&quot;/&gt;&lt;wsp:rsid wsp:val=&quot;751604C4&quot;/&gt;&lt;wsp:rsid wsp:val=&quot;751741F7&quot;/&gt;&lt;wsp:rsid wsp:val=&quot;7518395C&quot;/&gt;&lt;wsp:rsid wsp:val=&quot;75187339&quot;/&gt;&lt;wsp:rsid wsp:val=&quot;751A116C&quot;/&gt;&lt;wsp:rsid wsp:val=&quot;751A73BE&quot;/&gt;&lt;wsp:rsid wsp:val=&quot;751B4EE4&quot;/&gt;&lt;wsp:rsid wsp:val=&quot;751C3136&quot;/&gt;&lt;wsp:rsid wsp:val=&quot;751D0C5C&quot;/&gt;&lt;wsp:rsid wsp:val=&quot;751D2A0A&quot;/&gt;&lt;wsp:rsid wsp:val=&quot;751D6EAE&quot;/&gt;&lt;wsp:rsid wsp:val=&quot;751F6782&quot;/&gt;&lt;wsp:rsid wsp:val=&quot;75220020&quot;/&gt;&lt;wsp:rsid wsp:val=&quot;75243D99&quot;/&gt;&lt;wsp:rsid wsp:val=&quot;75263EB1&quot;/&gt;&lt;wsp:rsid wsp:val=&quot;75264D66&quot;/&gt;&lt;wsp:rsid wsp:val=&quot;75267B11&quot;/&gt;&lt;wsp:rsid wsp:val=&quot;75271ADB&quot;/&gt;&lt;wsp:rsid wsp:val=&quot;75273889&quot;/&gt;&lt;wsp:rsid wsp:val=&quot;75287970&quot;/&gt;&lt;wsp:rsid wsp:val=&quot;752C70F1&quot;/&gt;&lt;wsp:rsid wsp:val=&quot;752C7656&quot;/&gt;&lt;wsp:rsid wsp:val=&quot;752E10BB&quot;/&gt;&lt;wsp:rsid wsp:val=&quot;752E4C17&quot;/&gt;&lt;wsp:rsid wsp:val=&quot;752F1D11&quot;/&gt;&lt;wsp:rsid wsp:val=&quot;75322959&quot;/&gt;&lt;wsp:rsid wsp:val=&quot;7533222E&quot;/&gt;&lt;wsp:rsid wsp:val=&quot;75355AFA&quot;/&gt;&lt;wsp:rsid wsp:val=&quot;75355FA6&quot;/&gt;&lt;wsp:rsid wsp:val=&quot;75361B5B&quot;/&gt;&lt;wsp:rsid wsp:val=&quot;75371D1E&quot;/&gt;&lt;wsp:rsid wsp:val=&quot;753A180E&quot;/&gt;&lt;wsp:rsid wsp:val=&quot;753A7A60&quot;/&gt;&lt;wsp:rsid wsp:val=&quot;753B10E2&quot;/&gt;&lt;wsp:rsid wsp:val=&quot;753F0BD2&quot;/&gt;&lt;wsp:rsid wsp:val=&quot;753F4E8F&quot;/&gt;&lt;wsp:rsid wsp:val=&quot;753F5076&quot;/&gt;&lt;wsp:rsid wsp:val=&quot;7541494A&quot;/&gt;&lt;wsp:rsid wsp:val=&quot;7542070D&quot;/&gt;&lt;wsp:rsid wsp:val=&quot;75436915&quot;/&gt;&lt;wsp:rsid wsp:val=&quot;7544443B&quot;/&gt;&lt;wsp:rsid wsp:val=&quot;75472AE0&quot;/&gt;&lt;wsp:rsid wsp:val=&quot;75475CD9&quot;/&gt;&lt;wsp:rsid wsp:val=&quot;75477F0F&quot;/&gt;&lt;wsp:rsid wsp:val=&quot;75491A51&quot;/&gt;&lt;wsp:rsid wsp:val=&quot;754B3A1B&quot;/&gt;&lt;wsp:rsid wsp:val=&quot;754B57C9&quot;/&gt;&lt;wsp:rsid wsp:val=&quot;754B57CB&quot;/&gt;&lt;wsp:rsid wsp:val=&quot;754D1541&quot;/&gt;&lt;wsp:rsid wsp:val=&quot;754D6952&quot;/&gt;&lt;wsp:rsid wsp:val=&quot;754D7793&quot;/&gt;&lt;wsp:rsid wsp:val=&quot;754E350B&quot;/&gt;&lt;wsp:rsid wsp:val=&quot;754E52B9&quot;/&gt;&lt;wsp:rsid wsp:val=&quot;754E7067&quot;/&gt;&lt;wsp:rsid wsp:val=&quot;75504B8E&quot;/&gt;&lt;wsp:rsid wsp:val=&quot;755303BA&quot;/&gt;&lt;wsp:rsid wsp:val=&quot;75543C54&quot;/&gt;&lt;wsp:rsid wsp:val=&quot;75543E9D&quot;/&gt;&lt;wsp:rsid wsp:val=&quot;75550D6B&quot;/&gt;&lt;wsp:rsid wsp:val=&quot;75581C94&quot;/&gt;&lt;wsp:rsid wsp:val=&quot;755A1EB0&quot;/&gt;&lt;wsp:rsid wsp:val=&quot;755C79D6&quot;/&gt;&lt;wsp:rsid wsp:val=&quot;755D54FC&quot;/&gt;&lt;wsp:rsid wsp:val=&quot;755E374E&quot;/&gt;&lt;wsp:rsid wsp:val=&quot;755F1275&quot;/&gt;&lt;wsp:rsid wsp:val=&quot;75630D65&quot;/&gt;&lt;wsp:rsid wsp:val=&quot;75660B34&quot;/&gt;&lt;wsp:rsid wsp:val=&quot;75662603&quot;/&gt;&lt;wsp:rsid wsp:val=&quot;756643B1&quot;/&gt;&lt;wsp:rsid wsp:val=&quot;75680129&quot;/&gt;&lt;wsp:rsid wsp:val=&quot;75687F5F&quot;/&gt;&lt;wsp:rsid wsp:val=&quot;75695C4F&quot;/&gt;&lt;wsp:rsid wsp:val=&quot;756A6E80&quot;/&gt;&lt;wsp:rsid wsp:val=&quot;756B7C19&quot;/&gt;&lt;wsp:rsid wsp:val=&quot;756D1BE3&quot;/&gt;&lt;wsp:rsid wsp:val=&quot;756F1F12&quot;/&gt;&lt;wsp:rsid wsp:val=&quot;75701CEC&quot;/&gt;&lt;wsp:rsid wsp:val=&quot;75706FDE&quot;/&gt;&lt;wsp:rsid wsp:val=&quot;75713D43&quot;/&gt;&lt;wsp:rsid wsp:val=&quot;757312B7&quot;/&gt;&lt;wsp:rsid wsp:val=&quot;75750A98&quot;/&gt;&lt;wsp:rsid wsp:val=&quot;757545F4&quot;/&gt;&lt;wsp:rsid wsp:val=&quot;75792336&quot;/&gt;&lt;wsp:rsid wsp:val=&quot;757C1BE0&quot;/&gt;&lt;wsp:rsid wsp:val=&quot;757D281F&quot;/&gt;&lt;wsp:rsid wsp:val=&quot;75840CDB&quot;/&gt;&lt;wsp:rsid wsp:val=&quot;75852311&quot;/&gt;&lt;wsp:rsid wsp:val=&quot;758560D5&quot;/&gt;&lt;wsp:rsid wsp:val=&quot;75863566&quot;/&gt;&lt;wsp:rsid wsp:val=&quot;75864A53&quot;/&gt;&lt;wsp:rsid wsp:val=&quot;75874327&quot;/&gt;&lt;wsp:rsid wsp:val=&quot;75894543&quot;/&gt;&lt;wsp:rsid wsp:val=&quot;758B3E18&quot;/&gt;&lt;wsp:rsid wsp:val=&quot;758D193E&quot;/&gt;&lt;wsp:rsid wsp:val=&quot;758D5DE2&quot;/&gt;&lt;wsp:rsid wsp:val=&quot;758D7B90&quot;/&gt;&lt;wsp:rsid wsp:val=&quot;75932CCC&quot;/&gt;&lt;wsp:rsid wsp:val=&quot;75952577&quot;/&gt;&lt;wsp:rsid wsp:val=&quot;75952EE8&quot;/&gt;&lt;wsp:rsid wsp:val=&quot;75994786&quot;/&gt;&lt;wsp:rsid wsp:val=&quot;759A22AD&quot;/&gt;&lt;wsp:rsid wsp:val=&quot;759A405B&quot;/&gt;&lt;wsp:rsid wsp:val=&quot;75A105B2&quot;/&gt;&lt;wsp:rsid wsp:val=&quot;75A1363B&quot;/&gt;&lt;wsp:rsid wsp:val=&quot;75A31161&quot;/&gt;&lt;wsp:rsid wsp:val=&quot;75A44ED9&quot;/&gt;&lt;wsp:rsid wsp:val=&quot;75A60C51&quot;/&gt;&lt;wsp:rsid wsp:val=&quot;75A86778&quot;/&gt;&lt;wsp:rsid wsp:val=&quot;75A94E00&quot;/&gt;&lt;wsp:rsid wsp:val=&quot;75AA195E&quot;/&gt;&lt;wsp:rsid wsp:val=&quot;75AA6994&quot;/&gt;&lt;wsp:rsid wsp:val=&quot;75AC3D19&quot;/&gt;&lt;wsp:rsid wsp:val=&quot;75AD3D8E&quot;/&gt;&lt;wsp:rsid wsp:val=&quot;75AF3FAA&quot;/&gt;&lt;wsp:rsid wsp:val=&quot;75AF5D58&quot;/&gt;&lt;wsp:rsid wsp:val=&quot;75B07D22&quot;/&gt;&lt;wsp:rsid wsp:val=&quot;75B415C0&quot;/&gt;&lt;wsp:rsid wsp:val=&quot;75B50E95&quot;/&gt;&lt;wsp:rsid wsp:val=&quot;75B74C0D&quot;/&gt;&lt;wsp:rsid wsp:val=&quot;75B86623&quot;/&gt;&lt;wsp:rsid wsp:val=&quot;75B90653&quot;/&gt;&lt;wsp:rsid wsp:val=&quot;75B94E29&quot;/&gt;&lt;wsp:rsid wsp:val=&quot;75B95A33&quot;/&gt;&lt;wsp:rsid wsp:val=&quot;75BA294F&quot;/&gt;&lt;wsp:rsid wsp:val=&quot;75BE0042&quot;/&gt;&lt;wsp:rsid wsp:val=&quot;75BE41ED&quot;/&gt;&lt;wsp:rsid wsp:val=&quot;75BF3AC1&quot;/&gt;&lt;wsp:rsid wsp:val=&quot;75BF7F65&quot;/&gt;&lt;wsp:rsid wsp:val=&quot;75C13CDD&quot;/&gt;&lt;wsp:rsid wsp:val=&quot;75C31803&quot;/&gt;&lt;wsp:rsid wsp:val=&quot;75C537CD&quot;/&gt;&lt;wsp:rsid wsp:val=&quot;75C567D4&quot;/&gt;&lt;wsp:rsid wsp:val=&quot;75C630A2&quot;/&gt;&lt;wsp:rsid wsp:val=&quot;75C64E50&quot;/&gt;&lt;wsp:rsid wsp:val=&quot;75C80BC8&quot;/&gt;&lt;wsp:rsid wsp:val=&quot;75C86896&quot;/&gt;&lt;wsp:rsid wsp:val=&quot;75C97D26&quot;/&gt;&lt;wsp:rsid wsp:val=&quot;75CA0DE4&quot;/&gt;&lt;wsp:rsid wsp:val=&quot;75CB06B8&quot;/&gt;&lt;wsp:rsid wsp:val=&quot;75CC3AD6&quot;/&gt;&lt;wsp:rsid wsp:val=&quot;75D164B8&quot;/&gt;&lt;wsp:rsid wsp:val=&quot;75D21089&quot;/&gt;&lt;wsp:rsid wsp:val=&quot;75D457BF&quot;/&gt;&lt;wsp:rsid wsp:val=&quot;75D532E5&quot;/&gt;&lt;wsp:rsid wsp:val=&quot;75D94B83&quot;/&gt;&lt;wsp:rsid wsp:val=&quot;75DC0B17&quot;/&gt;&lt;wsp:rsid wsp:val=&quot;75DC28C5&quot;/&gt;&lt;wsp:rsid wsp:val=&quot;75DC4673&quot;/&gt;&lt;wsp:rsid wsp:val=&quot;75DF5F11&quot;/&gt;&lt;wsp:rsid wsp:val=&quot;75E23522&quot;/&gt;&lt;wsp:rsid wsp:val=&quot;75E2636A&quot;/&gt;&lt;wsp:rsid wsp:val=&quot;75E31EA6&quot;/&gt;&lt;wsp:rsid wsp:val=&quot;75E369BA&quot;/&gt;&lt;wsp:rsid wsp:val=&quot;75E53827&quot;/&gt;&lt;wsp:rsid wsp:val=&quot;75E643DE&quot;/&gt;&lt;wsp:rsid wsp:val=&quot;75E83018&quot;/&gt;&lt;wsp:rsid wsp:val=&quot;75EA4FE2&quot;/&gt;&lt;wsp:rsid wsp:val=&quot;75EB0D5A&quot;/&gt;&lt;wsp:rsid wsp:val=&quot;75EB0E21&quot;/&gt;&lt;wsp:rsid wsp:val=&quot;75ED09A5&quot;/&gt;&lt;wsp:rsid wsp:val=&quot;75ED6880&quot;/&gt;&lt;wsp:rsid wsp:val=&quot;75F145C2&quot;/&gt;&lt;wsp:rsid wsp:val=&quot;75F220E9&quot;/&gt;&lt;wsp:rsid wsp:val=&quot;75F23243&quot;/&gt;&lt;wsp:rsid wsp:val=&quot;75F255FC&quot;/&gt;&lt;wsp:rsid wsp:val=&quot;75F45E61&quot;/&gt;&lt;wsp:rsid wsp:val=&quot;75F54172&quot;/&gt;&lt;wsp:rsid wsp:val=&quot;75F55735&quot;/&gt;&lt;wsp:rsid wsp:val=&quot;75F714AD&quot;/&gt;&lt;wsp:rsid wsp:val=&quot;75F75951&quot;/&gt;&lt;wsp:rsid wsp:val=&quot;75F95225&quot;/&gt;&lt;wsp:rsid wsp:val=&quot;75FB10A4&quot;/&gt;&lt;wsp:rsid wsp:val=&quot;75FC370E&quot;/&gt;&lt;wsp:rsid wsp:val=&quot;75FD3C08&quot;/&gt;&lt;wsp:rsid wsp:val=&quot;75FE0A8D&quot;/&gt;&lt;wsp:rsid wsp:val=&quot;75FE45EA&quot;/&gt;&lt;wsp:rsid wsp:val=&quot;75FF0362&quot;/&gt;&lt;wsp:rsid wsp:val=&quot;75FF1FC7&quot;/&gt;&lt;wsp:rsid wsp:val=&quot;760000A9&quot;/&gt;&lt;wsp:rsid wsp:val=&quot;760029C6&quot;/&gt;&lt;wsp:rsid wsp:val=&quot;76004806&quot;/&gt;&lt;wsp:rsid wsp:val=&quot;7601232C&quot;/&gt;&lt;wsp:rsid wsp:val=&quot;760140DA&quot;/&gt;&lt;wsp:rsid wsp:val=&quot;76031347&quot;/&gt;&lt;wsp:rsid wsp:val=&quot;76037E52&quot;/&gt;&lt;wsp:rsid wsp:val=&quot;76044EB6&quot;/&gt;&lt;wsp:rsid wsp:val=&quot;76051E1C&quot;/&gt;&lt;wsp:rsid wsp:val=&quot;76067942&quot;/&gt;&lt;wsp:rsid wsp:val=&quot;76074262&quot;/&gt;&lt;wsp:rsid wsp:val=&quot;76081158&quot;/&gt;&lt;wsp:rsid wsp:val=&quot;7608190C&quot;/&gt;&lt;wsp:rsid wsp:val=&quot;76097EA0&quot;/&gt;&lt;wsp:rsid wsp:val=&quot;760A106F&quot;/&gt;&lt;wsp:rsid wsp:val=&quot;760A7AED&quot;/&gt;&lt;wsp:rsid wsp:val=&quot;760C31AA&quot;/&gt;&lt;wsp:rsid wsp:val=&quot;760D0CD1&quot;/&gt;&lt;wsp:rsid wsp:val=&quot;760D2A7F&quot;/&gt;&lt;wsp:rsid wsp:val=&quot;761024BB&quot;/&gt;&lt;wsp:rsid wsp:val=&quot;7610256F&quot;/&gt;&lt;wsp:rsid wsp:val=&quot;76104C5D&quot;/&gt;&lt;wsp:rsid wsp:val=&quot;76121A56&quot;/&gt;&lt;wsp:rsid wsp:val=&quot;761262E7&quot;/&gt;&lt;wsp:rsid wsp:val=&quot;761407FA&quot;/&gt;&lt;wsp:rsid wsp:val=&quot;7614205F&quot;/&gt;&lt;wsp:rsid wsp:val=&quot;76143E0D&quot;/&gt;&lt;wsp:rsid wsp:val=&quot;76191423&quot;/&gt;&lt;wsp:rsid wsp:val=&quot;761958C7&quot;/&gt;&lt;wsp:rsid wsp:val=&quot;761B163F&quot;/&gt;&lt;wsp:rsid wsp:val=&quot;761E2EDE&quot;/&gt;&lt;wsp:rsid wsp:val=&quot;761E337E&quot;/&gt;&lt;wsp:rsid wsp:val=&quot;761E4C8C&quot;/&gt;&lt;wsp:rsid wsp:val=&quot;761E6A3A&quot;/&gt;&lt;wsp:rsid wsp:val=&quot;7621652A&quot;/&gt;&lt;wsp:rsid wsp:val=&quot;76235D60&quot;/&gt;&lt;wsp:rsid wsp:val=&quot;7625426C&quot;/&gt;&lt;wsp:rsid wsp:val=&quot;76261D92&quot;/&gt;&lt;wsp:rsid wsp:val=&quot;76263B40&quot;/&gt;&lt;wsp:rsid wsp:val=&quot;76277FE4&quot;/&gt;&lt;wsp:rsid wsp:val=&quot;76283D5C&quot;/&gt;&lt;wsp:rsid wsp:val=&quot;762878B8&quot;/&gt;&lt;wsp:rsid wsp:val=&quot;762A7AD4&quot;/&gt;&lt;wsp:rsid wsp:val=&quot;762B73A9&quot;/&gt;&lt;wsp:rsid wsp:val=&quot;762D4ECF&quot;/&gt;&lt;wsp:rsid wsp:val=&quot;763224E5&quot;/&gt;&lt;wsp:rsid wsp:val=&quot;763241CE&quot;/&gt;&lt;wsp:rsid wsp:val=&quot;763444AF&quot;/&gt;&lt;wsp:rsid wsp:val=&quot;7635099D&quot;/&gt;&lt;wsp:rsid wsp:val=&quot;763521BC&quot;/&gt;&lt;wsp:rsid wsp:val=&quot;76377AFB&quot;/&gt;&lt;wsp:rsid wsp:val=&quot;76391AC6&quot;/&gt;&lt;wsp:rsid wsp:val=&quot;76397D18&quot;/&gt;&lt;wsp:rsid wsp:val=&quot;763B30F9&quot;/&gt;&lt;wsp:rsid wsp:val=&quot;763B3A90&quot;/&gt;&lt;wsp:rsid wsp:val=&quot;763C6907&quot;/&gt;&lt;wsp:rsid wsp:val=&quot;76402AE9&quot;/&gt;&lt;wsp:rsid wsp:val=&quot;76404C02&quot;/&gt;&lt;wsp:rsid wsp:val=&quot;764346F2&quot;/&gt;&lt;wsp:rsid wsp:val=&quot;76452218&quot;/&gt;&lt;wsp:rsid wsp:val=&quot;76467CD1&quot;/&gt;&lt;wsp:rsid wsp:val=&quot;76481D09&quot;/&gt;&lt;wsp:rsid wsp:val=&quot;764861AD&quot;/&gt;&lt;wsp:rsid wsp:val=&quot;76495614&quot;/&gt;&lt;wsp:rsid wsp:val=&quot;764A3CD3&quot;/&gt;&lt;wsp:rsid wsp:val=&quot;764A539C&quot;/&gt;&lt;wsp:rsid wsp:val=&quot;764A5806&quot;/&gt;&lt;wsp:rsid wsp:val=&quot;764C7A4B&quot;/&gt;&lt;wsp:rsid wsp:val=&quot;764D5571&quot;/&gt;&lt;wsp:rsid wsp:val=&quot;764D788C&quot;/&gt;&lt;wsp:rsid wsp:val=&quot;764E0DBE&quot;/&gt;&lt;wsp:rsid wsp:val=&quot;76507140&quot;/&gt;&lt;wsp:rsid wsp:val=&quot;76524935&quot;/&gt;&lt;wsp:rsid wsp:val=&quot;765406AD&quot;/&gt;&lt;wsp:rsid wsp:val=&quot;76544B51&quot;/&gt;&lt;wsp:rsid wsp:val=&quot;76564426&quot;/&gt;&lt;wsp:rsid wsp:val=&quot;765661D4&quot;/&gt;&lt;wsp:rsid wsp:val=&quot;76571F4C&quot;/&gt;&lt;wsp:rsid wsp:val=&quot;765B7C8E&quot;/&gt;&lt;wsp:rsid wsp:val=&quot;765C7562&quot;/&gt;&lt;wsp:rsid wsp:val=&quot;766034F6&quot;/&gt;&lt;wsp:rsid wsp:val=&quot;766052A4&quot;/&gt;&lt;wsp:rsid wsp:val=&quot;7662101C&quot;/&gt;&lt;wsp:rsid wsp:val=&quot;76634D94&quot;/&gt;&lt;wsp:rsid wsp:val=&quot;76636B42&quot;/&gt;&lt;wsp:rsid wsp:val=&quot;76654669&quot;/&gt;&lt;wsp:rsid wsp:val=&quot;76676633&quot;/&gt;&lt;wsp:rsid wsp:val=&quot;76685F07&quot;/&gt;&lt;wsp:rsid wsp:val=&quot;766A1C7F&quot;/&gt;&lt;wsp:rsid wsp:val=&quot;766B44F7&quot;/&gt;&lt;wsp:rsid wsp:val=&quot;766D0D29&quot;/&gt;&lt;wsp:rsid wsp:val=&quot;766D6E76&quot;/&gt;&lt;wsp:rsid wsp:val=&quot;766D79C1&quot;/&gt;&lt;wsp:rsid wsp:val=&quot;7671125F&quot;/&gt;&lt;wsp:rsid wsp:val=&quot;76732AF1&quot;/&gt;&lt;wsp:rsid wsp:val=&quot;76746D49&quot;/&gt;&lt;wsp:rsid wsp:val=&quot;76760624&quot;/&gt;&lt;wsp:rsid wsp:val=&quot;76767F28&quot;/&gt;&lt;wsp:rsid wsp:val=&quot;76790114&quot;/&gt;&lt;wsp:rsid wsp:val=&quot;767945B8&quot;/&gt;&lt;wsp:rsid wsp:val=&quot;76796366&quot;/&gt;&lt;wsp:rsid wsp:val=&quot;767B404B&quot;/&gt;&lt;wsp:rsid wsp:val=&quot;767E1BCE&quot;/&gt;&lt;wsp:rsid wsp:val=&quot;767E572A&quot;/&gt;&lt;wsp:rsid wsp:val=&quot;767F3E5C&quot;/&gt;&lt;wsp:rsid wsp:val=&quot;76816FC9&quot;/&gt;&lt;wsp:rsid wsp:val=&quot;768216BE&quot;/&gt;&lt;wsp:rsid wsp:val=&quot;7682346D&quot;/&gt;&lt;wsp:rsid wsp:val=&quot;768371E5&quot;/&gt;&lt;wsp:rsid wsp:val=&quot;768702BE&quot;/&gt;&lt;wsp:rsid wsp:val=&quot;76870EAD&quot;/&gt;&lt;wsp:rsid wsp:val=&quot;76880F72&quot;/&gt;&lt;wsp:rsid wsp:val=&quot;768A40CF&quot;/&gt;&lt;wsp:rsid wsp:val=&quot;768B79D3&quot;/&gt;&lt;wsp:rsid wsp:val=&quot;768C42EB&quot;/&gt;&lt;wsp:rsid wsp:val=&quot;768C438A&quot;/&gt;&lt;wsp:rsid wsp:val=&quot;768E1E11&quot;/&gt;&lt;wsp:rsid wsp:val=&quot;76911902&quot;/&gt;&lt;wsp:rsid wsp:val=&quot;76914B30&quot;/&gt;&lt;wsp:rsid wsp:val=&quot;769431A0&quot;/&gt;&lt;wsp:rsid wsp:val=&quot;76944F4E&quot;/&gt;&lt;wsp:rsid wsp:val=&quot;76946CFC&quot;/&gt;&lt;wsp:rsid wsp:val=&quot;76960CC6&quot;/&gt;&lt;wsp:rsid wsp:val=&quot;76982C90&quot;/&gt;&lt;wsp:rsid wsp:val=&quot;76984A3E&quot;/&gt;&lt;wsp:rsid wsp:val=&quot;769B008A&quot;/&gt;&lt;wsp:rsid wsp:val=&quot;769D2054&quot;/&gt;&lt;wsp:rsid wsp:val=&quot;769D3E02&quot;/&gt;&lt;wsp:rsid wsp:val=&quot;769E04A2&quot;/&gt;&lt;wsp:rsid wsp:val=&quot;769E5DCD&quot;/&gt;&lt;wsp:rsid wsp:val=&quot;76A258BD&quot;/&gt;&lt;wsp:rsid wsp:val=&quot;76A2766B&quot;/&gt;&lt;wsp:rsid wsp:val=&quot;76A41635&quot;/&gt;&lt;wsp:rsid wsp:val=&quot;76A5715B&quot;/&gt;&lt;wsp:rsid wsp:val=&quot;76A71125&quot;/&gt;&lt;wsp:rsid wsp:val=&quot;76A827A7&quot;/&gt;&lt;wsp:rsid wsp:val=&quot;76AC2297&quot;/&gt;&lt;wsp:rsid wsp:val=&quot;76AC673B&quot;/&gt;&lt;wsp:rsid wsp:val=&quot;76AD6949&quot;/&gt;&lt;wsp:rsid wsp:val=&quot;76AD7DBE&quot;/&gt;&lt;wsp:rsid wsp:val=&quot;76AE4262&quot;/&gt;&lt;wsp:rsid wsp:val=&quot;76B000B8&quot;/&gt;&lt;wsp:rsid wsp:val=&quot;76B13D52&quot;/&gt;&lt;wsp:rsid wsp:val=&quot;76B255A9&quot;/&gt;&lt;wsp:rsid wsp:val=&quot;76B4114C&quot;/&gt;&lt;wsp:rsid wsp:val=&quot;76B80C3C&quot;/&gt;&lt;wsp:rsid wsp:val=&quot;76B94231&quot;/&gt;&lt;wsp:rsid wsp:val=&quot;76BC122C&quot;/&gt;&lt;wsp:rsid wsp:val=&quot;76BD44A5&quot;/&gt;&lt;wsp:rsid wsp:val=&quot;76BE0607&quot;/&gt;&lt;wsp:rsid wsp:val=&quot;76C05D43&quot;/&gt;&lt;wsp:rsid wsp:val=&quot;76C2363A&quot;/&gt;&lt;wsp:rsid wsp:val=&quot;76C23869&quot;/&gt;&lt;wsp:rsid wsp:val=&quot;76C515AB&quot;/&gt;&lt;wsp:rsid wsp:val=&quot;76C9109B&quot;/&gt;&lt;wsp:rsid wsp:val=&quot;76CA0970&quot;/&gt;&lt;wsp:rsid wsp:val=&quot;76CA4B18&quot;/&gt;&lt;wsp:rsid wsp:val=&quot;76CB5809&quot;/&gt;&lt;wsp:rsid wsp:val=&quot;76CC0092&quot;/&gt;&lt;wsp:rsid wsp:val=&quot;76CC293A&quot;/&gt;&lt;wsp:rsid wsp:val=&quot;76CE0460&quot;/&gt;&lt;wsp:rsid wsp:val=&quot;76CF41D8&quot;/&gt;&lt;wsp:rsid wsp:val=&quot;76D11CFE&quot;/&gt;&lt;wsp:rsid wsp:val=&quot;76D161A2&quot;/&gt;&lt;wsp:rsid wsp:val=&quot;76D17F50&quot;/&gt;&lt;wsp:rsid wsp:val=&quot;76D65566&quot;/&gt;&lt;wsp:rsid wsp:val=&quot;76D715EF&quot;/&gt;&lt;wsp:rsid wsp:val=&quot;76D75E34&quot;/&gt;&lt;wsp:rsid wsp:val=&quot;76D812DE&quot;/&gt;&lt;wsp:rsid wsp:val=&quot;76D966AC&quot;/&gt;&lt;wsp:rsid wsp:val=&quot;76DA32A9&quot;/&gt;&lt;wsp:rsid wsp:val=&quot;76DA5057&quot;/&gt;&lt;wsp:rsid wsp:val=&quot;76DB3351&quot;/&gt;&lt;wsp:rsid wsp:val=&quot;76DB492B&quot;/&gt;&lt;wsp:rsid wsp:val=&quot;76DD490E&quot;/&gt;&lt;wsp:rsid wsp:val=&quot;76DF7E71&quot;/&gt;&lt;wsp:rsid wsp:val=&quot;76E00193&quot;/&gt;&lt;wsp:rsid wsp:val=&quot;76E063E5&quot;/&gt;&lt;wsp:rsid wsp:val=&quot;76E11AB7&quot;/&gt;&lt;wsp:rsid wsp:val=&quot;76E47C83&quot;/&gt;&lt;wsp:rsid wsp:val=&quot;76E77774&quot;/&gt;&lt;wsp:rsid wsp:val=&quot;76E8192A&quot;/&gt;&lt;wsp:rsid wsp:val=&quot;76E86DB9&quot;/&gt;&lt;wsp:rsid wsp:val=&quot;76EB3463&quot;/&gt;&lt;wsp:rsid wsp:val=&quot;76EC08E6&quot;/&gt;&lt;wsp:rsid wsp:val=&quot;76EE19B1&quot;/&gt;&lt;wsp:rsid wsp:val=&quot;76EE28B0&quot;/&gt;&lt;wsp:rsid wsp:val=&quot;76EE465E&quot;/&gt;&lt;wsp:rsid wsp:val=&quot;76F1414E&quot;/&gt;&lt;wsp:rsid wsp:val=&quot;76F361BD&quot;/&gt;&lt;wsp:rsid wsp:val=&quot;76F61765&quot;/&gt;&lt;wsp:rsid wsp:val=&quot;76F679B7&quot;/&gt;&lt;wsp:rsid wsp:val=&quot;76F746AB&quot;/&gt;&lt;wsp:rsid wsp:val=&quot;76FA74A7&quot;/&gt;&lt;wsp:rsid wsp:val=&quot;770025E3&quot;/&gt;&lt;wsp:rsid wsp:val=&quot;7700798F&quot;/&gt;&lt;wsp:rsid wsp:val=&quot;77024AC0&quot;/&gt;&lt;wsp:rsid wsp:val=&quot;77040CFC&quot;/&gt;&lt;wsp:rsid wsp:val=&quot;770420D4&quot;/&gt;&lt;wsp:rsid wsp:val=&quot;770519A8&quot;/&gt;&lt;wsp:rsid wsp:val=&quot;77057BFA&quot;/&gt;&lt;wsp:rsid wsp:val=&quot;77062342&quot;/&gt;&lt;wsp:rsid wsp:val=&quot;7706409E&quot;/&gt;&lt;wsp:rsid wsp:val=&quot;77075720&quot;/&gt;&lt;wsp:rsid wsp:val=&quot;77091498&quot;/&gt;&lt;wsp:rsid wsp:val=&quot;77092404&quot;/&gt;&lt;wsp:rsid wsp:val=&quot;7709593C&quot;/&gt;&lt;wsp:rsid wsp:val=&quot;770B3462&quot;/&gt;&lt;wsp:rsid wsp:val=&quot;770C0F88&quot;/&gt;&lt;wsp:rsid wsp:val=&quot;770C2D36&quot;/&gt;&lt;wsp:rsid wsp:val=&quot;770C71DA&quot;/&gt;&lt;wsp:rsid wsp:val=&quot;770F2826&quot;/&gt;&lt;wsp:rsid wsp:val=&quot;77130569&quot;/&gt;&lt;wsp:rsid wsp:val=&quot;77132AC7&quot;/&gt;&lt;wsp:rsid wsp:val=&quot;77147E3D&quot;/&gt;&lt;wsp:rsid wsp:val=&quot;77155DD6&quot;/&gt;&lt;wsp:rsid wsp:val=&quot;77161E07&quot;/&gt;&lt;wsp:rsid wsp:val=&quot;77185B7F&quot;/&gt;&lt;wsp:rsid wsp:val=&quot;771A18F7&quot;/&gt;&lt;wsp:rsid wsp:val=&quot;771A36A5&quot;/&gt;&lt;wsp:rsid wsp:val=&quot;771B11CB&quot;/&gt;&lt;wsp:rsid wsp:val=&quot;771C5CA9&quot;/&gt;&lt;wsp:rsid wsp:val=&quot;771D3195&quot;/&gt;&lt;wsp:rsid wsp:val=&quot;771E7C80&quot;/&gt;&lt;wsp:rsid wsp:val=&quot;77205ABA&quot;/&gt;&lt;wsp:rsid wsp:val=&quot;772067E2&quot;/&gt;&lt;wsp:rsid wsp:val=&quot;772207AC&quot;/&gt;&lt;wsp:rsid wsp:val=&quot;772462D2&quot;/&gt;&lt;wsp:rsid wsp:val=&quot;7726029C&quot;/&gt;&lt;wsp:rsid wsp:val=&quot;772674A3&quot;/&gt;&lt;wsp:rsid wsp:val=&quot;77275DC2&quot;/&gt;&lt;wsp:rsid wsp:val=&quot;7728424C&quot;/&gt;&lt;wsp:rsid wsp:val=&quot;77290C39&quot;/&gt;&lt;wsp:rsid wsp:val=&quot;772A140E&quot;/&gt;&lt;wsp:rsid wsp:val=&quot;772B4CFB&quot;/&gt;&lt;wsp:rsid wsp:val=&quot;772C39B6&quot;/&gt;&lt;wsp:rsid wsp:val=&quot;772C5186&quot;/&gt;&lt;wsp:rsid wsp:val=&quot;772F3393&quot;/&gt;&lt;wsp:rsid wsp:val=&quot;772F6DE2&quot;/&gt;&lt;wsp:rsid wsp:val=&quot;77304C77&quot;/&gt;&lt;wsp:rsid wsp:val=&quot;77324E93&quot;/&gt;&lt;wsp:rsid wsp:val=&quot;77364257&quot;/&gt;&lt;wsp:rsid wsp:val=&quot;77366005&quot;/&gt;&lt;wsp:rsid wsp:val=&quot;773724A9&quot;/&gt;&lt;wsp:rsid wsp:val=&quot;77387FCF&quot;/&gt;&lt;wsp:rsid wsp:val=&quot;773A0D9F&quot;/&gt;&lt;wsp:rsid wsp:val=&quot;773A3D47&quot;/&gt;&lt;wsp:rsid wsp:val=&quot;773F1BDB&quot;/&gt;&lt;wsp:rsid wsp:val=&quot;77420E4E&quot;/&gt;&lt;wsp:rsid wsp:val=&quot;774249AA&quot;/&gt;&lt;wsp:rsid wsp:val=&quot;77440722&quot;/&gt;&lt;wsp:rsid wsp:val=&quot;774424D0&quot;/&gt;&lt;wsp:rsid wsp:val=&quot;77456248&quot;/&gt;&lt;wsp:rsid wsp:val=&quot;774A6156&quot;/&gt;&lt;wsp:rsid wsp:val=&quot;774D3A7A&quot;/&gt;&lt;wsp:rsid wsp:val=&quot;774E15A1&quot;/&gt;&lt;wsp:rsid wsp:val=&quot;774E334F&quot;/&gt;&lt;wsp:rsid wsp:val=&quot;774E77D5&quot;/&gt;&lt;wsp:rsid wsp:val=&quot;774E77F3&quot;/&gt;&lt;wsp:rsid wsp:val=&quot;77514BED&quot;/&gt;&lt;wsp:rsid wsp:val=&quot;77516680&quot;/&gt;&lt;wsp:rsid wsp:val=&quot;77530965&quot;/&gt;&lt;wsp:rsid wsp:val=&quot;775C1F10&quot;/&gt;&lt;wsp:rsid wsp:val=&quot;775C3CBE&quot;/&gt;&lt;wsp:rsid wsp:val=&quot;775E5C88&quot;/&gt;&lt;wsp:rsid wsp:val=&quot;77621424&quot;/&gt;&lt;wsp:rsid wsp:val=&quot;7762586D&quot;/&gt;&lt;wsp:rsid wsp:val=&quot;7763052D&quot;/&gt;&lt;wsp:rsid wsp:val=&quot;77640DC4&quot;/&gt;&lt;wsp:rsid wsp:val=&quot;77660698&quot;/&gt;&lt;wsp:rsid wsp:val=&quot;776606EA&quot;/&gt;&lt;wsp:rsid wsp:val=&quot;776668EA&quot;/&gt;&lt;wsp:rsid wsp:val=&quot;7767024F&quot;/&gt;&lt;wsp:rsid wsp:val=&quot;776963DA&quot;/&gt;&lt;wsp:rsid wsp:val=&quot;776B4E89&quot;/&gt;&lt;wsp:rsid wsp:val=&quot;776E39F1&quot;/&gt;&lt;wsp:rsid wsp:val=&quot;776E579F&quot;/&gt;&lt;wsp:rsid wsp:val=&quot;777059BB&quot;/&gt;&lt;wsp:rsid wsp:val=&quot;77721D03&quot;/&gt;&lt;wsp:rsid wsp:val=&quot;777234E1&quot;/&gt;&lt;wsp:rsid wsp:val=&quot;77725362&quot;/&gt;&lt;wsp:rsid wsp:val=&quot;77731007&quot;/&gt;&lt;wsp:rsid wsp:val=&quot;77741A85&quot;/&gt;&lt;wsp:rsid wsp:val=&quot;77755AC3&quot;/&gt;&lt;wsp:rsid wsp:val=&quot;77762421&quot;/&gt;&lt;wsp:rsid wsp:val=&quot;77784870&quot;/&gt;&lt;wsp:rsid wsp:val=&quot;7778661E&quot;/&gt;&lt;wsp:rsid wsp:val=&quot;777C4360&quot;/&gt;&lt;wsp:rsid wsp:val=&quot;777C7EBC&quot;/&gt;&lt;wsp:rsid wsp:val=&quot;777D1E86&quot;/&gt;&lt;wsp:rsid wsp:val=&quot;777D3BB6&quot;/&gt;&lt;wsp:rsid wsp:val=&quot;777D3C34&quot;/&gt;&lt;wsp:rsid wsp:val=&quot;77811976&quot;/&gt;&lt;wsp:rsid wsp:val=&quot;7783749C&quot;/&gt;&lt;wsp:rsid wsp:val=&quot;77843214&quot;/&gt;&lt;wsp:rsid wsp:val=&quot;77846D70&quot;/&gt;&lt;wsp:rsid wsp:val=&quot;77857096&quot;/&gt;&lt;wsp:rsid wsp:val=&quot;77860D3A&quot;/&gt;&lt;wsp:rsid wsp:val=&quot;77862AE9&quot;/&gt;&lt;wsp:rsid wsp:val=&quot;778637D8&quot;/&gt;&lt;wsp:rsid wsp:val=&quot;778A35E9&quot;/&gt;&lt;wsp:rsid wsp:val=&quot;778B45A3&quot;/&gt;&lt;wsp:rsid wsp:val=&quot;778C3E77&quot;/&gt;&lt;wsp:rsid wsp:val=&quot;778D20C9&quot;/&gt;&lt;wsp:rsid wsp:val=&quot;778E4093&quot;/&gt;&lt;wsp:rsid wsp:val=&quot;778E7BEF&quot;/&gt;&lt;wsp:rsid wsp:val=&quot;77905715&quot;/&gt;&lt;wsp:rsid wsp:val=&quot;77925931&quot;/&gt;&lt;wsp:rsid wsp:val=&quot;77926AE4&quot;/&gt;&lt;wsp:rsid wsp:val=&quot;77933457&quot;/&gt;&lt;wsp:rsid wsp:val=&quot;7793469B&quot;/&gt;&lt;wsp:rsid wsp:val=&quot;77935205&quot;/&gt;&lt;wsp:rsid wsp:val=&quot;77951E3D&quot;/&gt;&lt;wsp:rsid wsp:val=&quot;77955421&quot;/&gt;&lt;wsp:rsid wsp:val=&quot;77961B8C&quot;/&gt;&lt;wsp:rsid wsp:val=&quot;77996CC0&quot;/&gt;&lt;wsp:rsid wsp:val=&quot;779A47E6&quot;/&gt;&lt;wsp:rsid wsp:val=&quot;779A6594&quot;/&gt;&lt;wsp:rsid wsp:val=&quot;779B0572&quot;/&gt;&lt;wsp:rsid wsp:val=&quot;779B4CA4&quot;/&gt;&lt;wsp:rsid wsp:val=&quot;779D7E32&quot;/&gt;&lt;wsp:rsid wsp:val=&quot;779E726F&quot;/&gt;&lt;wsp:rsid wsp:val=&quot;77A03606&quot;/&gt;&lt;wsp:rsid wsp:val=&quot;77A1170C&quot;/&gt;&lt;wsp:rsid wsp:val=&quot;77A15B74&quot;/&gt;&lt;wsp:rsid wsp:val=&quot;77A17922&quot;/&gt;&lt;wsp:rsid wsp:val=&quot;77A46D61&quot;/&gt;&lt;wsp:rsid wsp:val=&quot;77A47413&quot;/&gt;&lt;wsp:rsid wsp:val=&quot;77A613DD&quot;/&gt;&lt;wsp:rsid wsp:val=&quot;77A7663E&quot;/&gt;&lt;wsp:rsid wsp:val=&quot;77A85155&quot;/&gt;&lt;wsp:rsid wsp:val=&quot;77A94A29&quot;/&gt;&lt;wsp:rsid wsp:val=&quot;77AC54F3&quot;/&gt;&lt;wsp:rsid wsp:val=&quot;77AD276B&quot;/&gt;&lt;wsp:rsid wsp:val=&quot;77AD4519&quot;/&gt;&lt;wsp:rsid wsp:val=&quot;77AE0291&quot;/&gt;&lt;wsp:rsid wsp:val=&quot;77AF64E3&quot;/&gt;&lt;wsp:rsid wsp:val=&quot;77B27D81&quot;/&gt;&lt;wsp:rsid wsp:val=&quot;77B51620&quot;/&gt;&lt;wsp:rsid wsp:val=&quot;77B533CE&quot;/&gt;&lt;wsp:rsid wsp:val=&quot;77B56B1F&quot;/&gt;&lt;wsp:rsid wsp:val=&quot;77B70EF4&quot;/&gt;&lt;wsp:rsid wsp:val=&quot;77B91110&quot;/&gt;&lt;wsp:rsid wsp:val=&quot;77B91A3C&quot;/&gt;&lt;wsp:rsid wsp:val=&quot;77BC475C&quot;/&gt;&lt;wsp:rsid wsp:val=&quot;77BF304D&quot;/&gt;&lt;wsp:rsid wsp:val=&quot;77BF5FFA&quot;/&gt;&lt;wsp:rsid wsp:val=&quot;77C10022&quot;/&gt;&lt;wsp:rsid wsp:val=&quot;77C16217&quot;/&gt;&lt;wsp:rsid wsp:val=&quot;77C523BF&quot;/&gt;&lt;wsp:rsid wsp:val=&quot;77C60C6B&quot;/&gt;&lt;wsp:rsid wsp:val=&quot;77C67389&quot;/&gt;&lt;wsp:rsid wsp:val=&quot;77C81353&quot;/&gt;&lt;wsp:rsid wsp:val=&quot;77C90C27&quot;/&gt;&lt;wsp:rsid wsp:val=&quot;77CA50CB&quot;/&gt;&lt;wsp:rsid wsp:val=&quot;77CB2BF1&quot;/&gt;&lt;wsp:rsid wsp:val=&quot;77CB499F&quot;/&gt;&lt;wsp:rsid wsp:val=&quot;77CD6969&quot;/&gt;&lt;wsp:rsid wsp:val=&quot;77CE623E&quot;/&gt;&lt;wsp:rsid wsp:val=&quot;77CF26E1&quot;/&gt;&lt;wsp:rsid wsp:val=&quot;77D01FB6&quot;/&gt;&lt;wsp:rsid wsp:val=&quot;77D21742&quot;/&gt;&lt;wsp:rsid wsp:val=&quot;77D37580&quot;/&gt;&lt;wsp:rsid wsp:val=&quot;77D45F4A&quot;/&gt;&lt;wsp:rsid wsp:val=&quot;77D5581E&quot;/&gt;&lt;wsp:rsid wsp:val=&quot;77D575CC&quot;/&gt;&lt;wsp:rsid wsp:val=&quot;77D870BC&quot;/&gt;&lt;wsp:rsid wsp:val=&quot;77D93560&quot;/&gt;&lt;wsp:rsid wsp:val=&quot;77DA1086&quot;/&gt;&lt;wsp:rsid wsp:val=&quot;77DA4BE2&quot;/&gt;&lt;wsp:rsid wsp:val=&quot;77DC095A&quot;/&gt;&lt;wsp:rsid wsp:val=&quot;77DD6EF2&quot;/&gt;&lt;wsp:rsid wsp:val=&quot;77DE12E7&quot;/&gt;&lt;wsp:rsid wsp:val=&quot;77DF044B&quot;/&gt;&lt;wsp:rsid wsp:val=&quot;77DF669D&quot;/&gt;&lt;wsp:rsid wsp:val=&quot;77E15F71&quot;/&gt;&lt;wsp:rsid wsp:val=&quot;77E31CE9&quot;/&gt;&lt;wsp:rsid wsp:val=&quot;77E51F05&quot;/&gt;&lt;wsp:rsid wsp:val=&quot;77E616E5&quot;/&gt;&lt;wsp:rsid wsp:val=&quot;77E81E45&quot;/&gt;&lt;wsp:rsid wsp:val=&quot;77E837A3&quot;/&gt;&lt;wsp:rsid wsp:val=&quot;77E84005&quot;/&gt;&lt;wsp:rsid wsp:val=&quot;77EA751B&quot;/&gt;&lt;wsp:rsid wsp:val=&quot;77EE6736&quot;/&gt;&lt;wsp:rsid wsp:val=&quot;77EF68E0&quot;/&gt;&lt;wsp:rsid wsp:val=&quot;77F04406&quot;/&gt;&lt;wsp:rsid wsp:val=&quot;77F17B5B&quot;/&gt;&lt;wsp:rsid wsp:val=&quot;77F2017E&quot;/&gt;&lt;wsp:rsid wsp:val=&quot;77F24622&quot;/&gt;&lt;wsp:rsid wsp:val=&quot;77F42148&quot;/&gt;&lt;wsp:rsid wsp:val=&quot;77F71C38&quot;/&gt;&lt;wsp:rsid wsp:val=&quot;77F739E6&quot;/&gt;&lt;wsp:rsid wsp:val=&quot;77F94095&quot;/&gt;&lt;wsp:rsid wsp:val=&quot;77F9775E&quot;/&gt;&lt;wsp:rsid wsp:val=&quot;77FA34D6&quot;/&gt;&lt;wsp:rsid wsp:val=&quot;77FC0D3A&quot;/&gt;&lt;wsp:rsid wsp:val=&quot;77FC2DAB&quot;/&gt;&lt;wsp:rsid wsp:val=&quot;77FC724F&quot;/&gt;&lt;wsp:rsid wsp:val=&quot;77FF289B&quot;/&gt;&lt;wsp:rsid wsp:val=&quot;7801371C&quot;/&gt;&lt;wsp:rsid wsp:val=&quot;78014F60&quot;/&gt;&lt;wsp:rsid wsp:val=&quot;780305DD&quot;/&gt;&lt;wsp:rsid wsp:val=&quot;78030C0D&quot;/&gt;&lt;wsp:rsid wsp:val=&quot;7804209D&quot;/&gt;&lt;wsp:rsid wsp:val=&quot;780600CD&quot;/&gt;&lt;wsp:rsid wsp:val=&quot;78063C29&quot;/&gt;&lt;wsp:rsid wsp:val=&quot;780954C8&quot;/&gt;&lt;wsp:rsid wsp:val=&quot;780A196C&quot;/&gt;&lt;wsp:rsid wsp:val=&quot;780B56E4&quot;/&gt;&lt;wsp:rsid wsp:val=&quot;780B7492&quot;/&gt;&lt;wsp:rsid wsp:val=&quot;780F09F4&quot;/&gt;&lt;wsp:rsid wsp:val=&quot;780F51E9&quot;/&gt;&lt;wsp:rsid wsp:val=&quot;781118C2&quot;/&gt;&lt;wsp:rsid wsp:val=&quot;78120820&quot;/&gt;&lt;wsp:rsid wsp:val=&quot;78126A72&quot;/&gt;&lt;wsp:rsid wsp:val=&quot;78153E6C&quot;/&gt;&lt;wsp:rsid wsp:val=&quot;78175E36&quot;/&gt;&lt;wsp:rsid wsp:val=&quot;78177BE5&quot;/&gt;&lt;wsp:rsid wsp:val=&quot;781850C6&quot;/&gt;&lt;wsp:rsid wsp:val=&quot;78185266&quot;/&gt;&lt;wsp:rsid wsp:val=&quot;78191BAF&quot;/&gt;&lt;wsp:rsid wsp:val=&quot;7819395D&quot;/&gt;&lt;wsp:rsid wsp:val=&quot;78197E01&quot;/&gt;&lt;wsp:rsid wsp:val=&quot;781A1483&quot;/&gt;&lt;wsp:rsid wsp:val=&quot;781C2EF4&quot;/&gt;&lt;wsp:rsid wsp:val=&quot;781C51FB&quot;/&gt;&lt;wsp:rsid wsp:val=&quot;781C6122&quot;/&gt;&lt;wsp:rsid wsp:val=&quot;781E0F73&quot;/&gt;&lt;wsp:rsid wsp:val=&quot;781E5814&quot;/&gt;&lt;wsp:rsid wsp:val=&quot;781F5F02&quot;/&gt;&lt;wsp:rsid wsp:val=&quot;78200914&quot;/&gt;&lt;wsp:rsid wsp:val=&quot;7820118F&quot;/&gt;&lt;wsp:rsid wsp:val=&quot;782347DB&quot;/&gt;&lt;wsp:rsid wsp:val=&quot;782567A5&quot;/&gt;&lt;wsp:rsid wsp:val=&quot;78267E28&quot;/&gt;&lt;wsp:rsid wsp:val=&quot;78280044&quot;/&gt;&lt;wsp:rsid wsp:val=&quot;78283BA0&quot;/&gt;&lt;wsp:rsid wsp:val=&quot;782A5B6A&quot;/&gt;&lt;wsp:rsid wsp:val=&quot;782B3690&quot;/&gt;&lt;wsp:rsid wsp:val=&quot;782B3824&quot;/&gt;&lt;wsp:rsid wsp:val=&quot;782B4FD1&quot;/&gt;&lt;wsp:rsid wsp:val=&quot;783267CC&quot;/&gt;&lt;wsp:rsid wsp:val=&quot;78340796&quot;/&gt;&lt;wsp:rsid wsp:val=&quot;78342545&quot;/&gt;&lt;wsp:rsid wsp:val=&quot;78370287&quot;/&gt;&lt;wsp:rsid wsp:val=&quot;78372035&quot;/&gt;&lt;wsp:rsid wsp:val=&quot;78393FFF&quot;/&gt;&lt;wsp:rsid wsp:val=&quot;78397B5B&quot;/&gt;&lt;wsp:rsid wsp:val=&quot;783B1B25&quot;/&gt;&lt;wsp:rsid wsp:val=&quot;783B7D77&quot;/&gt;&lt;wsp:rsid wsp:val=&quot;783E0C02&quot;/&gt;&lt;wsp:rsid wsp:val=&quot;783E1615&quot;/&gt;&lt;wsp:rsid wsp:val=&quot;7840538D&quot;/&gt;&lt;wsp:rsid wsp:val=&quot;78411105&quot;/&gt;&lt;wsp:rsid wsp:val=&quot;78412EB3&quot;/&gt;&lt;wsp:rsid wsp:val=&quot;78414C61&quot;/&gt;&lt;wsp:rsid wsp:val=&quot;7842246B&quot;/&gt;&lt;wsp:rsid wsp:val=&quot;78434E7D&quot;/&gt;&lt;wsp:rsid wsp:val=&quot;7844495E&quot;/&gt;&lt;wsp:rsid wsp:val=&quot;784529A4&quot;/&gt;&lt;wsp:rsid wsp:val=&quot;78461E4F&quot;/&gt;&lt;wsp:rsid wsp:val=&quot;78462278&quot;/&gt;&lt;wsp:rsid wsp:val=&quot;78482494&quot;/&gt;&lt;wsp:rsid wsp:val=&quot;78497340&quot;/&gt;&lt;wsp:rsid wsp:val=&quot;784A33A1&quot;/&gt;&lt;wsp:rsid wsp:val=&quot;784A446A&quot;/&gt;&lt;wsp:rsid wsp:val=&quot;784A620C&quot;/&gt;&lt;wsp:rsid wsp:val=&quot;784C1F84&quot;/&gt;&lt;wsp:rsid wsp:val=&quot;784D023A&quot;/&gt;&lt;wsp:rsid wsp:val=&quot;784D7AAA&quot;/&gt;&lt;wsp:rsid wsp:val=&quot;784F35A8&quot;/&gt;&lt;wsp:rsid wsp:val=&quot;784F55D0&quot;/&gt;&lt;wsp:rsid wsp:val=&quot;78520C1D&quot;/&gt;&lt;wsp:rsid wsp:val=&quot;78540E39&quot;/&gt;&lt;wsp:rsid wsp:val=&quot;7854343D&quot;/&gt;&lt;wsp:rsid wsp:val=&quot;7855070D&quot;/&gt;&lt;wsp:rsid wsp:val=&quot;78570929&quot;/&gt;&lt;wsp:rsid wsp:val=&quot;78571CD3&quot;/&gt;&lt;wsp:rsid wsp:val=&quot;785726D7&quot;/&gt;&lt;wsp:rsid wsp:val=&quot;78574485&quot;/&gt;&lt;wsp:rsid wsp:val=&quot;785B21C7&quot;/&gt;&lt;wsp:rsid wsp:val=&quot;785C7CED&quot;/&gt;&lt;wsp:rsid wsp:val=&quot;785E5399&quot;/&gt;&lt;wsp:rsid wsp:val=&quot;7860333A&quot;/&gt;&lt;wsp:rsid wsp:val=&quot;786077DD&quot;/&gt;&lt;wsp:rsid wsp:val=&quot;78610809&quot;/&gt;&lt;wsp:rsid wsp:val=&quot;78615304&quot;/&gt;&lt;wsp:rsid wsp:val=&quot;78623556&quot;/&gt;&lt;wsp:rsid wsp:val=&quot;78650950&quot;/&gt;&lt;wsp:rsid wsp:val=&quot;78650EDE&quot;/&gt;&lt;wsp:rsid wsp:val=&quot;78654DF4&quot;/&gt;&lt;wsp:rsid wsp:val=&quot;78656BA2&quot;/&gt;&lt;wsp:rsid wsp:val=&quot;786646C8&quot;/&gt;&lt;wsp:rsid wsp:val=&quot;78670B6C&quot;/&gt;&lt;wsp:rsid wsp:val=&quot;78686692&quot;/&gt;&lt;wsp:rsid wsp:val=&quot;78697DBA&quot;/&gt;&lt;wsp:rsid wsp:val=&quot;786A065C&quot;/&gt;&lt;wsp:rsid wsp:val=&quot;786B1CDE&quot;/&gt;&lt;wsp:rsid wsp:val=&quot;786D1EFA&quot;/&gt;&lt;wsp:rsid wsp:val=&quot;786D3CA8&quot;/&gt;&lt;wsp:rsid wsp:val=&quot;787119EB&quot;/&gt;&lt;wsp:rsid wsp:val=&quot;78715547&quot;/&gt;&lt;wsp:rsid wsp:val=&quot;78743289&quot;/&gt;&lt;wsp:rsid wsp:val=&quot;78760DAF&quot;/&gt;&lt;wsp:rsid wsp:val=&quot;78762B5D&quot;/&gt;&lt;wsp:rsid wsp:val=&quot;78774B27&quot;/&gt;&lt;wsp:rsid wsp:val=&quot;78782D79&quot;/&gt;&lt;wsp:rsid wsp:val=&quot;7878384E&quot;/&gt;&lt;wsp:rsid wsp:val=&quot;787943FB&quot;/&gt;&lt;wsp:rsid wsp:val=&quot;787B63C5&quot;/&gt;&lt;wsp:rsid wsp:val=&quot;787C3EEC&quot;/&gt;&lt;wsp:rsid wsp:val=&quot;787E6574&quot;/&gt;&lt;wsp:rsid wsp:val=&quot;787E7C64&quot;/&gt;&lt;wsp:rsid wsp:val=&quot;7880578A&quot;/&gt;&lt;wsp:rsid wsp:val=&quot;78822A65&quot;/&gt;&lt;wsp:rsid wsp:val=&quot;78827754&quot;/&gt;&lt;wsp:rsid wsp:val=&quot;7883171E&quot;/&gt;&lt;wsp:rsid wsp:val=&quot;788334CC&quot;/&gt;&lt;wsp:rsid wsp:val=&quot;7883527A&quot;/&gt;&lt;wsp:rsid wsp:val=&quot;78836649&quot;/&gt;&lt;wsp:rsid wsp:val=&quot;78850FF2&quot;/&gt;&lt;wsp:rsid wsp:val=&quot;788555E3&quot;/&gt;&lt;wsp:rsid wsp:val=&quot;78855ED8&quot;/&gt;&lt;wsp:rsid wsp:val=&quot;788717DD&quot;/&gt;&lt;wsp:rsid wsp:val=&quot;78884C81&quot;/&gt;&lt;wsp:rsid wsp:val=&quot;788A03B6&quot;/&gt;&lt;wsp:rsid wsp:val=&quot;788A136D&quot;/&gt;&lt;wsp:rsid wsp:val=&quot;788A3512&quot;/&gt;&lt;wsp:rsid wsp:val=&quot;788A6608&quot;/&gt;&lt;wsp:rsid wsp:val=&quot;788A686C&quot;/&gt;&lt;wsp:rsid wsp:val=&quot;788B412F&quot;/&gt;&lt;wsp:rsid wsp:val=&quot;788C2381&quot;/&gt;&lt;wsp:rsid wsp:val=&quot;788D434B&quot;/&gt;&lt;wsp:rsid wsp:val=&quot;788D5D25&quot;/&gt;&lt;wsp:rsid wsp:val=&quot;788D60F9&quot;/&gt;&lt;wsp:rsid wsp:val=&quot;788F3C1F&quot;/&gt;&lt;wsp:rsid wsp:val=&quot;789154FC&quot;/&gt;&lt;wsp:rsid wsp:val=&quot;7892370F&quot;/&gt;&lt;wsp:rsid wsp:val=&quot;78944D1F&quot;/&gt;&lt;wsp:rsid wsp:val=&quot;78947487&quot;/&gt;&lt;wsp:rsid wsp:val=&quot;78972AD3&quot;/&gt;&lt;wsp:rsid wsp:val=&quot;78986183&quot;/&gt;&lt;wsp:rsid wsp:val=&quot;78986F77&quot;/&gt;&lt;wsp:rsid wsp:val=&quot;789B6A68&quot;/&gt;&lt;wsp:rsid wsp:val=&quot;789D458E&quot;/&gt;&lt;wsp:rsid wsp:val=&quot;789E02CE&quot;/&gt;&lt;wsp:rsid wsp:val=&quot;789E0306&quot;/&gt;&lt;wsp:rsid wsp:val=&quot;78A05C89&quot;/&gt;&lt;wsp:rsid wsp:val=&quot;78A05E2C&quot;/&gt;&lt;wsp:rsid wsp:val=&quot;78A222B9&quot;/&gt;&lt;wsp:rsid wsp:val=&quot;78A23952&quot;/&gt;&lt;wsp:rsid wsp:val=&quot;78A376CA&quot;/&gt;&lt;wsp:rsid wsp:val=&quot;78A5100B&quot;/&gt;&lt;wsp:rsid wsp:val=&quot;78A53442&quot;/&gt;&lt;wsp:rsid wsp:val=&quot;78A551F0&quot;/&gt;&lt;wsp:rsid wsp:val=&quot;78A70F68&quot;/&gt;&lt;wsp:rsid wsp:val=&quot;78A84CE1&quot;/&gt;&lt;wsp:rsid wsp:val=&quot;78A90480&quot;/&gt;&lt;wsp:rsid wsp:val=&quot;78A94CD1&quot;/&gt;&lt;wsp:rsid wsp:val=&quot;78AC7AAF&quot;/&gt;&lt;wsp:rsid wsp:val=&quot;78AD0549&quot;/&gt;&lt;wsp:rsid wsp:val=&quot;78AD54CB&quot;/&gt;&lt;wsp:rsid wsp:val=&quot;78AE679B&quot;/&gt;&lt;wsp:rsid wsp:val=&quot;78AF42C1&quot;/&gt;&lt;wsp:rsid wsp:val=&quot;78B418D7&quot;/&gt;&lt;wsp:rsid wsp:val=&quot;78B450B4&quot;/&gt;&lt;wsp:rsid wsp:val=&quot;78B6564F&quot;/&gt;&lt;wsp:rsid wsp:val=&quot;78B673FD&quot;/&gt;&lt;wsp:rsid wsp:val=&quot;78B67AE2&quot;/&gt;&lt;wsp:rsid wsp:val=&quot;78B77027&quot;/&gt;&lt;wsp:rsid wsp:val=&quot;78BD078C&quot;/&gt;&lt;wsp:rsid wsp:val=&quot;78BE3412&quot;/&gt;&lt;wsp:rsid wsp:val=&quot;78BE4504&quot;/&gt;&lt;wsp:rsid wsp:val=&quot;78BE5B70&quot;/&gt;&lt;wsp:rsid wsp:val=&quot;78BE5FE3&quot;/&gt;&lt;wsp:rsid wsp:val=&quot;78BE62B2&quot;/&gt;&lt;wsp:rsid wsp:val=&quot;78C0027C&quot;/&gt;&lt;wsp:rsid wsp:val=&quot;78C03D81&quot;/&gt;&lt;wsp:rsid wsp:val=&quot;78C20243&quot;/&gt;&lt;wsp:rsid wsp:val=&quot;78C25DA2&quot;/&gt;&lt;wsp:rsid wsp:val=&quot;78C31B1A&quot;/&gt;&lt;wsp:rsid wsp:val=&quot;78C338C8&quot;/&gt;&lt;wsp:rsid wsp:val=&quot;78C7099A&quot;/&gt;&lt;wsp:rsid wsp:val=&quot;78C733B9&quot;/&gt;&lt;wsp:rsid wsp:val=&quot;78C9039A&quot;/&gt;&lt;wsp:rsid wsp:val=&quot;78C935D5&quot;/&gt;&lt;wsp:rsid wsp:val=&quot;78CA2EA9&quot;/&gt;&lt;wsp:rsid wsp:val=&quot;78CA30F6&quot;/&gt;&lt;wsp:rsid wsp:val=&quot;78CA4C09&quot;/&gt;&lt;wsp:rsid wsp:val=&quot;78CC6C21&quot;/&gt;&lt;wsp:rsid wsp:val=&quot;78D22D18&quot;/&gt;&lt;wsp:rsid wsp:val=&quot;78D6184E&quot;/&gt;&lt;wsp:rsid wsp:val=&quot;78D65B77&quot;/&gt;&lt;wsp:rsid wsp:val=&quot;78D83818&quot;/&gt;&lt;wsp:rsid wsp:val=&quot;78DA6420&quot;/&gt;&lt;wsp:rsid wsp:val=&quot;78DA7590&quot;/&gt;&lt;wsp:rsid wsp:val=&quot;78DB4035&quot;/&gt;&lt;wsp:rsid wsp:val=&quot;78DB50B6&quot;/&gt;&lt;wsp:rsid wsp:val=&quot;78DB6BE4&quot;/&gt;&lt;wsp:rsid wsp:val=&quot;78DC222C&quot;/&gt;&lt;wsp:rsid wsp:val=&quot;78DD498A&quot;/&gt;&lt;wsp:rsid wsp:val=&quot;78DE6954&quot;/&gt;&lt;wsp:rsid wsp:val=&quot;78DF1567&quot;/&gt;&lt;wsp:rsid wsp:val=&quot;78DF7126&quot;/&gt;&lt;wsp:rsid wsp:val=&quot;78E0091E&quot;/&gt;&lt;wsp:rsid wsp:val=&quot;78E15AA7&quot;/&gt;&lt;wsp:rsid wsp:val=&quot;78E353DE&quot;/&gt;&lt;wsp:rsid wsp:val=&quot;78E35D19&quot;/&gt;&lt;wsp:rsid wsp:val=&quot;78E51A91&quot;/&gt;&lt;wsp:rsid wsp:val=&quot;78E57CE3&quot;/&gt;&lt;wsp:rsid wsp:val=&quot;78E66F3A&quot;/&gt;&lt;wsp:rsid wsp:val=&quot;78E7615E&quot;/&gt;&lt;wsp:rsid wsp:val=&quot;78E81581&quot;/&gt;&lt;wsp:rsid wsp:val=&quot;78EA52F9&quot;/&gt;&lt;wsp:rsid wsp:val=&quot;78EC1071&quot;/&gt;&lt;wsp:rsid wsp:val=&quot;78EE303B&quot;/&gt;&lt;wsp:rsid wsp:val=&quot;78EF0B61&quot;/&gt;&lt;wsp:rsid wsp:val=&quot;78EF46BD&quot;/&gt;&lt;wsp:rsid wsp:val=&quot;78F1477F&quot;/&gt;&lt;wsp:rsid wsp:val=&quot;78F30652&quot;/&gt;&lt;wsp:rsid wsp:val=&quot;78F41CD4&quot;/&gt;&lt;wsp:rsid wsp:val=&quot;78F46178&quot;/&gt;&lt;wsp:rsid wsp:val=&quot;78F85C68&quot;/&gt;&lt;wsp:rsid wsp:val=&quot;78F9378E&quot;/&gt;&lt;wsp:rsid wsp:val=&quot;78F9553C&quot;/&gt;&lt;wsp:rsid wsp:val=&quot;78FB12B4&quot;/&gt;&lt;wsp:rsid wsp:val=&quot;78FC1ED6&quot;/&gt;&lt;wsp:rsid wsp:val=&quot;78FF66E6&quot;/&gt;&lt;wsp:rsid wsp:val=&quot;79010967&quot;/&gt;&lt;wsp:rsid wsp:val=&quot;79014BF0&quot;/&gt;&lt;wsp:rsid wsp:val=&quot;7902172F&quot;/&gt;&lt;wsp:rsid wsp:val=&quot;79022643&quot;/&gt;&lt;wsp:rsid wsp:val=&quot;790243F1&quot;/&gt;&lt;wsp:rsid wsp:val=&quot;79030169&quot;/&gt;&lt;wsp:rsid wsp:val=&quot;79035A3D&quot;/&gt;&lt;wsp:rsid wsp:val=&quot;79040CED&quot;/&gt;&lt;wsp:rsid wsp:val=&quot;7904460D&quot;/&gt;&lt;wsp:rsid wsp:val=&quot;79052133&quot;/&gt;&lt;wsp:rsid wsp:val=&quot;79055BA7&quot;/&gt;&lt;wsp:rsid wsp:val=&quot;790740FD&quot;/&gt;&lt;wsp:rsid wsp:val=&quot;790939D1&quot;/&gt;&lt;wsp:rsid wsp:val=&quot;790A181D&quot;/&gt;&lt;wsp:rsid wsp:val=&quot;790A7749&quot;/&gt;&lt;wsp:rsid wsp:val=&quot;790C34C1&quot;/&gt;&lt;wsp:rsid wsp:val=&quot;790C526F&quot;/&gt;&lt;wsp:rsid wsp:val=&quot;790E0FE8&quot;/&gt;&lt;wsp:rsid wsp:val=&quot;790E7239&quot;/&gt;&lt;wsp:rsid wsp:val=&quot;790F4D60&quot;/&gt;&lt;wsp:rsid wsp:val=&quot;79105D70&quot;/&gt;&lt;wsp:rsid wsp:val=&quot;79112886&quot;/&gt;&lt;wsp:rsid wsp:val=&quot;79134850&quot;/&gt;&lt;wsp:rsid wsp:val=&quot;79144124&quot;/&gt;&lt;wsp:rsid wsp:val=&quot;791505C8&quot;/&gt;&lt;wsp:rsid wsp:val=&quot;79164340&quot;/&gt;&lt;wsp:rsid wsp:val=&quot;791660EE&quot;/&gt;&lt;wsp:rsid wsp:val=&quot;79175B42&quot;/&gt;&lt;wsp:rsid wsp:val=&quot;7918575E&quot;/&gt;&lt;wsp:rsid wsp:val=&quot;791A3913&quot;/&gt;&lt;wsp:rsid wsp:val=&quot;791A3E30&quot;/&gt;&lt;wsp:rsid wsp:val=&quot;791A5BDE&quot;/&gt;&lt;wsp:rsid wsp:val=&quot;791A693D&quot;/&gt;&lt;wsp:rsid wsp:val=&quot;791B299E&quot;/&gt;&lt;wsp:rsid wsp:val=&quot;791B54B2&quot;/&gt;&lt;wsp:rsid wsp:val=&quot;791E4FA3&quot;/&gt;&lt;wsp:rsid wsp:val=&quot;791F1447&quot;/&gt;&lt;wsp:rsid wsp:val=&quot;791F6F11&quot;/&gt;&lt;wsp:rsid wsp:val=&quot;79200D1B&quot;/&gt;&lt;wsp:rsid wsp:val=&quot;79202AC9&quot;/&gt;&lt;wsp:rsid wsp:val=&quot;79217840&quot;/&gt;&lt;wsp:rsid wsp:val=&quot;79224A93&quot;/&gt;&lt;wsp:rsid wsp:val=&quot;79246A5D&quot;/&gt;&lt;wsp:rsid wsp:val=&quot;79246F07&quot;/&gt;&lt;wsp:rsid wsp:val=&quot;792702FB&quot;/&gt;&lt;wsp:rsid wsp:val=&quot;79270F41&quot;/&gt;&lt;wsp:rsid wsp:val=&quot;7927654D&quot;/&gt;&lt;wsp:rsid wsp:val=&quot;79284F5D&quot;/&gt;&lt;wsp:rsid wsp:val=&quot;79294073&quot;/&gt;&lt;wsp:rsid wsp:val=&quot;79297BCF&quot;/&gt;&lt;wsp:rsid wsp:val=&quot;792A3948&quot;/&gt;&lt;wsp:rsid wsp:val=&quot;79312F28&quot;/&gt;&lt;wsp:rsid wsp:val=&quot;79330C25&quot;/&gt;&lt;wsp:rsid wsp:val=&quot;79334EF2&quot;/&gt;&lt;wsp:rsid wsp:val=&quot;793367B4&quot;/&gt;&lt;wsp:rsid wsp:val=&quot;79346574&quot;/&gt;&lt;wsp:rsid wsp:val=&quot;79382508&quot;/&gt;&lt;wsp:rsid wsp:val=&quot;79386064&quot;/&gt;&lt;wsp:rsid wsp:val=&quot;79395A06&quot;/&gt;&lt;wsp:rsid wsp:val=&quot;793B7903&quot;/&gt;&lt;wsp:rsid wsp:val=&quot;793C0847&quot;/&gt;&lt;wsp:rsid wsp:val=&quot;793D367B&quot;/&gt;&lt;wsp:rsid wsp:val=&quot;793D7B1F&quot;/&gt;&lt;wsp:rsid wsp:val=&quot;793E1FC4&quot;/&gt;&lt;wsp:rsid wsp:val=&quot;793F3897&quot;/&gt;&lt;wsp:rsid wsp:val=&quot;794013BD&quot;/&gt;&lt;wsp:rsid wsp:val=&quot;7940316B&quot;/&gt;&lt;wsp:rsid wsp:val=&quot;79403229&quot;/&gt;&lt;wsp:rsid wsp:val=&quot;79436833&quot;/&gt;&lt;wsp:rsid wsp:val=&quot;79442C5B&quot;/&gt;&lt;wsp:rsid wsp:val=&quot;79450781&quot;/&gt;&lt;wsp:rsid wsp:val=&quot;79454555&quot;/&gt;&lt;wsp:rsid wsp:val=&quot;79462DC9&quot;/&gt;&lt;wsp:rsid wsp:val=&quot;79472CD7&quot;/&gt;&lt;wsp:rsid wsp:val=&quot;794762A8&quot;/&gt;&lt;wsp:rsid wsp:val=&quot;79492020&quot;/&gt;&lt;wsp:rsid wsp:val=&quot;794C38BE&quot;/&gt;&lt;wsp:rsid wsp:val=&quot;794C5FB4&quot;/&gt;&lt;wsp:rsid wsp:val=&quot;794C7D62&quot;/&gt;&lt;wsp:rsid wsp:val=&quot;794E16AD&quot;/&gt;&lt;wsp:rsid wsp:val=&quot;794F04D8&quot;/&gt;&lt;wsp:rsid wsp:val=&quot;794F7F7D&quot;/&gt;&lt;wsp:rsid wsp:val=&quot;79507852&quot;/&gt;&lt;wsp:rsid wsp:val=&quot;79515378&quot;/&gt;&lt;wsp:rsid wsp:val=&quot;79517126&quot;/&gt;&lt;wsp:rsid wsp:val=&quot;7953020F&quot;/&gt;&lt;wsp:rsid wsp:val=&quot;795409C4&quot;/&gt;&lt;wsp:rsid wsp:val=&quot;7954169F&quot;/&gt;&lt;wsp:rsid wsp:val=&quot;79554E68&quot;/&gt;&lt;wsp:rsid wsp:val=&quot;79565C8F&quot;/&gt;&lt;wsp:rsid wsp:val=&quot;79570BE0&quot;/&gt;&lt;wsp:rsid wsp:val=&quot;79586707&quot;/&gt;&lt;wsp:rsid wsp:val=&quot;795A422D&quot;/&gt;&lt;wsp:rsid wsp:val=&quot;795A5FDB&quot;/&gt;&lt;wsp:rsid wsp:val=&quot;795B1D53&quot;/&gt;&lt;wsp:rsid wsp:val=&quot;795B7FFB&quot;/&gt;&lt;wsp:rsid wsp:val=&quot;795C7706&quot;/&gt;&lt;wsp:rsid wsp:val=&quot;795F5CE7&quot;/&gt;&lt;wsp:rsid wsp:val=&quot;796230E1&quot;/&gt;&lt;wsp:rsid wsp:val=&quot;79641194&quot;/&gt;&lt;wsp:rsid wsp:val=&quot;796432FD&quot;/&gt;&lt;wsp:rsid wsp:val=&quot;79646E59&quot;/&gt;&lt;wsp:rsid wsp:val=&quot;79677B15&quot;/&gt;&lt;wsp:rsid wsp:val=&quot;79694470&quot;/&gt;&lt;wsp:rsid wsp:val=&quot;796A7FA8&quot;/&gt;&lt;wsp:rsid wsp:val=&quot;796B643A&quot;/&gt;&lt;wsp:rsid wsp:val=&quot;796C21B2&quot;/&gt;&lt;wsp:rsid wsp:val=&quot;796C5D0E&quot;/&gt;&lt;wsp:rsid wsp:val=&quot;796C7DA7&quot;/&gt;&lt;wsp:rsid wsp:val=&quot;796E1A86&quot;/&gt;&lt;wsp:rsid wsp:val=&quot;79703A50&quot;/&gt;&lt;wsp:rsid wsp:val=&quot;79711576&quot;/&gt;&lt;wsp:rsid wsp:val=&quot;797177C8&quot;/&gt;&lt;wsp:rsid wsp:val=&quot;79725A1A&quot;/&gt;&lt;wsp:rsid wsp:val=&quot;79733540&quot;/&gt;&lt;wsp:rsid wsp:val=&quot;797608F4&quot;/&gt;&lt;wsp:rsid wsp:val=&quot;79764DDF&quot;/&gt;&lt;wsp:rsid wsp:val=&quot;7977760A&quot;/&gt;&lt;wsp:rsid wsp:val=&quot;79780B57&quot;/&gt;&lt;wsp:rsid wsp:val=&quot;79782905&quot;/&gt;&lt;wsp:rsid wsp:val=&quot;797846B3&quot;/&gt;&lt;wsp:rsid wsp:val=&quot;7978655F&quot;/&gt;&lt;wsp:rsid wsp:val=&quot;797C008D&quot;/&gt;&lt;wsp:rsid wsp:val=&quot;797C0647&quot;/&gt;&lt;wsp:rsid wsp:val=&quot;797D521B&quot;/&gt;&lt;wsp:rsid wsp:val=&quot;797D5D12&quot;/&gt;&lt;wsp:rsid wsp:val=&quot;797F0137&quot;/&gt;&lt;wsp:rsid wsp:val=&quot;797F2284&quot;/&gt;&lt;wsp:rsid wsp:val=&quot;79800E71&quot;/&gt;&lt;wsp:rsid wsp:val=&quot;79823784&quot;/&gt;&lt;wsp:rsid wsp:val=&quot;79824D37&quot;/&gt;&lt;wsp:rsid wsp:val=&quot;798451A5&quot;/&gt;&lt;wsp:rsid wsp:val=&quot;79866623&quot;/&gt;&lt;wsp:rsid wsp:val=&quot;79872B48&quot;/&gt;&lt;wsp:rsid wsp:val=&quot;79887A88&quot;/&gt;&lt;wsp:rsid wsp:val=&quot;798B088A&quot;/&gt;&lt;wsp:rsid wsp:val=&quot;798C63B0&quot;/&gt;&lt;wsp:rsid wsp:val=&quot;798E037A&quot;/&gt;&lt;wsp:rsid wsp:val=&quot;799040F2&quot;/&gt;&lt;wsp:rsid wsp:val=&quot;79905EA0&quot;/&gt;&lt;wsp:rsid wsp:val=&quot;79915775&quot;/&gt;&lt;wsp:rsid wsp:val=&quot;79921C19&quot;/&gt;&lt;wsp:rsid wsp:val=&quot;79933F60&quot;/&gt;&lt;wsp:rsid wsp:val=&quot;79955265&quot;/&gt;&lt;wsp:rsid wsp:val=&quot;79960FDD&quot;/&gt;&lt;wsp:rsid wsp:val=&quot;79961451&quot;/&gt;&lt;wsp:rsid wsp:val=&quot;79982FA7&quot;/&gt;&lt;wsp:rsid wsp:val=&quot;79986B03&quot;/&gt;&lt;wsp:rsid wsp:val=&quot;799B52C3&quot;/&gt;&lt;wsp:rsid wsp:val=&quot;799B65F3&quot;/&gt;&lt;wsp:rsid wsp:val=&quot;799C4845&quot;/&gt;&lt;wsp:rsid wsp:val=&quot;799D7107&quot;/&gt;&lt;wsp:rsid wsp:val=&quot;799F7E92&quot;/&gt;&lt;wsp:rsid wsp:val=&quot;79A33E26&quot;/&gt;&lt;wsp:rsid wsp:val=&quot;79A454A8&quot;/&gt;&lt;wsp:rsid wsp:val=&quot;79A47B9E&quot;/&gt;&lt;wsp:rsid wsp:val=&quot;79A623D6&quot;/&gt;&lt;wsp:rsid wsp:val=&quot;79A67472&quot;/&gt;&lt;wsp:rsid wsp:val=&quot;79A731EA&quot;/&gt;&lt;wsp:rsid wsp:val=&quot;79A74F98&quot;/&gt;&lt;wsp:rsid wsp:val=&quot;79A74FA7&quot;/&gt;&lt;wsp:rsid wsp:val=&quot;79AB2CDA&quot;/&gt;&lt;wsp:rsid wsp:val=&quot;79AB4A88&quot;/&gt;&lt;wsp:rsid wsp:val=&quot;79AC25AE&quot;/&gt;&lt;wsp:rsid wsp:val=&quot;79AD6A52&quot;/&gt;&lt;wsp:rsid wsp:val=&quot;79B002F1&quot;/&gt;&lt;wsp:rsid wsp:val=&quot;79B0209F&quot;/&gt;&lt;wsp:rsid wsp:val=&quot;79B06543&quot;/&gt;&lt;wsp:rsid wsp:val=&quot;79B17BC5&quot;/&gt;&lt;wsp:rsid wsp:val=&quot;79B24069&quot;/&gt;&lt;wsp:rsid wsp:val=&quot;79B3393D&quot;/&gt;&lt;wsp:rsid wsp:val=&quot;79B37DE1&quot;/&gt;&lt;wsp:rsid wsp:val=&quot;79B55907&quot;/&gt;&lt;wsp:rsid wsp:val=&quot;79B80F53&quot;/&gt;&lt;wsp:rsid wsp:val=&quot;79B871A5&quot;/&gt;&lt;wsp:rsid wsp:val=&quot;79B93FD2&quot;/&gt;&lt;wsp:rsid wsp:val=&quot;79BD0233&quot;/&gt;&lt;wsp:rsid wsp:val=&quot;79BD47BC&quot;/&gt;&lt;wsp:rsid wsp:val=&quot;79BD5FEF&quot;/&gt;&lt;wsp:rsid wsp:val=&quot;79BD656A&quot;/&gt;&lt;wsp:rsid wsp:val=&quot;79BE4E53&quot;/&gt;&lt;wsp:rsid wsp:val=&quot;79C124FE&quot;/&gt;&lt;wsp:rsid wsp:val=&quot;79C63670&quot;/&gt;&lt;wsp:rsid wsp:val=&quot;79C67B14&quot;/&gt;&lt;wsp:rsid wsp:val=&quot;79C778EB&quot;/&gt;&lt;wsp:rsid wsp:val=&quot;79C8563A&quot;/&gt;&lt;wsp:rsid wsp:val=&quot;79CA1A9B&quot;/&gt;&lt;wsp:rsid wsp:val=&quot;79CA7A1E&quot;/&gt;&lt;wsp:rsid wsp:val=&quot;79CB0C87&quot;/&gt;&lt;wsp:rsid wsp:val=&quot;79CB512B&quot;/&gt;&lt;wsp:rsid wsp:val=&quot;79CB6ED9&quot;/&gt;&lt;wsp:rsid wsp:val=&quot;79D00993&quot;/&gt;&lt;wsp:rsid wsp:val=&quot;79D02741&quot;/&gt;&lt;wsp:rsid wsp:val=&quot;79D0629D&quot;/&gt;&lt;wsp:rsid wsp:val=&quot;79D13345&quot;/&gt;&lt;wsp:rsid wsp:val=&quot;79D20267&quot;/&gt;&lt;wsp:rsid wsp:val=&quot;79D2705F&quot;/&gt;&lt;wsp:rsid wsp:val=&quot;79D55FA9&quot;/&gt;&lt;wsp:rsid wsp:val=&quot;79D57D57&quot;/&gt;&lt;wsp:rsid wsp:val=&quot;79D7587D&quot;/&gt;&lt;wsp:rsid wsp:val=&quot;79D81204&quot;/&gt;&lt;wsp:rsid wsp:val=&quot;79DA70F1&quot;/&gt;&lt;wsp:rsid wsp:val=&quot;79DC10E6&quot;/&gt;&lt;wsp:rsid wsp:val=&quot;79DF2984&quot;/&gt;&lt;wsp:rsid wsp:val=&quot;79E24222&quot;/&gt;&lt;wsp:rsid wsp:val=&quot;79E32474&quot;/&gt;&lt;wsp:rsid wsp:val=&quot;79E461EC&quot;/&gt;&lt;wsp:rsid wsp:val=&quot;79E61F64&quot;/&gt;&lt;wsp:rsid wsp:val=&quot;79E81839&quot;/&gt;&lt;wsp:rsid wsp:val=&quot;79E93803&quot;/&gt;&lt;wsp:rsid wsp:val=&quot;79E955B1&quot;/&gt;&lt;wsp:rsid wsp:val=&quot;79E9735F&quot;/&gt;&lt;wsp:rsid wsp:val=&quot;79EA61EA&quot;/&gt;&lt;wsp:rsid wsp:val=&quot;79EB1329&quot;/&gt;&lt;wsp:rsid wsp:val=&quot;79EB30D7&quot;/&gt;&lt;wsp:rsid wsp:val=&quot;79ED50A1&quot;/&gt;&lt;wsp:rsid wsp:val=&quot;79EE0E19&quot;/&gt;&lt;wsp:rsid wsp:val=&quot;79EF706B&quot;/&gt;&lt;wsp:rsid wsp:val=&quot;79F04B91&quot;/&gt;&lt;wsp:rsid wsp:val=&quot;79F0693F&quot;/&gt;&lt;wsp:rsid wsp:val=&quot;79F226B7&quot;/&gt;&lt;wsp:rsid wsp:val=&quot;79F3642F&quot;/&gt;&lt;wsp:rsid wsp:val=&quot;79F503F9&quot;/&gt;&lt;wsp:rsid wsp:val=&quot;79F53F55&quot;/&gt;&lt;wsp:rsid wsp:val=&quot;79F65ECE&quot;/&gt;&lt;wsp:rsid wsp:val=&quot;79F70513&quot;/&gt;&lt;wsp:rsid wsp:val=&quot;79F71A7C&quot;/&gt;&lt;wsp:rsid wsp:val=&quot;79FA2095&quot;/&gt;&lt;wsp:rsid wsp:val=&quot;79FE105C&quot;/&gt;&lt;wsp:rsid wsp:val=&quot;7A0423EA&quot;/&gt;&lt;wsp:rsid wsp:val=&quot;7A044199&quot;/&gt;&lt;wsp:rsid wsp:val=&quot;7A066163&quot;/&gt;&lt;wsp:rsid wsp:val=&quot;7A0917AF&quot;/&gt;&lt;wsp:rsid wsp:val=&quot;7A092C03&quot;/&gt;&lt;wsp:rsid wsp:val=&quot;7A0D129F&quot;/&gt;&lt;wsp:rsid wsp:val=&quot;7A100D8F&quot;/&gt;&lt;wsp:rsid wsp:val=&quot;7A102B3D&quot;/&gt;&lt;wsp:rsid wsp:val=&quot;7A106FE1&quot;/&gt;&lt;wsp:rsid wsp:val=&quot;7A13262E&quot;/&gt;&lt;wsp:rsid wsp:val=&quot;7A141089&quot;/&gt;&lt;wsp:rsid wsp:val=&quot;7A144D7D&quot;/&gt;&lt;wsp:rsid wsp:val=&quot;7A146AD1&quot;/&gt;&lt;wsp:rsid wsp:val=&quot;7A173ECC&quot;/&gt;&lt;wsp:rsid wsp:val=&quot;7A1A1C0E&quot;/&gt;&lt;wsp:rsid wsp:val=&quot;7A1A3B88&quot;/&gt;&lt;wsp:rsid wsp:val=&quot;7A1C5986&quot;/&gt;&lt;wsp:rsid wsp:val=&quot;7A2113E8&quot;/&gt;&lt;wsp:rsid wsp:val=&quot;7A24483B&quot;/&gt;&lt;wsp:rsid wsp:val=&quot;7A2465E9&quot;/&gt;&lt;wsp:rsid wsp:val=&quot;7A2605B3&quot;/&gt;&lt;wsp:rsid wsp:val=&quot;7A275D86&quot;/&gt;&lt;wsp:rsid wsp:val=&quot;7A281F9B&quot;/&gt;&lt;wsp:rsid wsp:val=&quot;7A28257D&quot;/&gt;&lt;wsp:rsid wsp:val=&quot;7A293BFF&quot;/&gt;&lt;wsp:rsid wsp:val=&quot;7A2A0A5F&quot;/&gt;&lt;wsp:rsid wsp:val=&quot;7A2B3E1B&quot;/&gt;&lt;wsp:rsid wsp:val=&quot;7A2B5BC9&quot;/&gt;&lt;wsp:rsid wsp:val=&quot;7A2B7977&quot;/&gt;&lt;wsp:rsid wsp:val=&quot;7A2C0507&quot;/&gt;&lt;wsp:rsid wsp:val=&quot;7A2C5F9D&quot;/&gt;&lt;wsp:rsid wsp:val=&quot;7A2D181E&quot;/&gt;&lt;wsp:rsid wsp:val=&quot;7A2D7B93&quot;/&gt;&lt;wsp:rsid wsp:val=&quot;7A2E4BCF&quot;/&gt;&lt;wsp:rsid wsp:val=&quot;7A301431&quot;/&gt;&lt;wsp:rsid wsp:val=&quot;7A304F8E&quot;/&gt;&lt;wsp:rsid wsp:val=&quot;7A31097F&quot;/&gt;&lt;wsp:rsid wsp:val=&quot;7A320D06&quot;/&gt;&lt;wsp:rsid wsp:val=&quot;7A326F58&quot;/&gt;&lt;wsp:rsid wsp:val=&quot;7A342CD0&quot;/&gt;&lt;wsp:rsid wsp:val=&quot;7A364017&quot;/&gt;&lt;wsp:rsid wsp:val=&quot;7A3727C0&quot;/&gt;&lt;wsp:rsid wsp:val=&quot;7A37456E&quot;/&gt;&lt;wsp:rsid wsp:val=&quot;7A383CAC&quot;/&gt;&lt;wsp:rsid wsp:val=&quot;7A392094&quot;/&gt;&lt;wsp:rsid wsp:val=&quot;7A3B3EC6&quot;/&gt;&lt;wsp:rsid wsp:val=&quot;7A3C3932&quot;/&gt;&lt;wsp:rsid wsp:val=&quot;7A3C7DD6&quot;/&gt;&lt;wsp:rsid wsp:val=&quot;7A3D1AF3&quot;/&gt;&lt;wsp:rsid wsp:val=&quot;7A3E58FC&quot;/&gt;&lt;wsp:rsid wsp:val=&quot;7A3E76AA&quot;/&gt;&lt;wsp:rsid wsp:val=&quot;7A401675&quot;/&gt;&lt;wsp:rsid wsp:val=&quot;7A41363F&quot;/&gt;&lt;wsp:rsid wsp:val=&quot;7A431E76&quot;/&gt;&lt;wsp:rsid wsp:val=&quot;7A456C8B&quot;/&gt;&lt;wsp:rsid wsp:val=&quot;7A462A03&quot;/&gt;&lt;wsp:rsid wsp:val=&quot;7A4A24F3&quot;/&gt;&lt;wsp:rsid wsp:val=&quot;7A4B0019&quot;/&gt;&lt;wsp:rsid wsp:val=&quot;7A4D3D91&quot;/&gt;&lt;wsp:rsid wsp:val=&quot;7A4E1337&quot;/&gt;&lt;wsp:rsid wsp:val=&quot;7A4F18B8&quot;/&gt;&lt;wsp:rsid wsp:val=&quot;7A505630&quot;/&gt;&lt;wsp:rsid wsp:val=&quot;7A5213A8&quot;/&gt;&lt;wsp:rsid wsp:val=&quot;7A5275FA&quot;/&gt;&lt;wsp:rsid wsp:val=&quot;7A540C7C&quot;/&gt;&lt;wsp:rsid wsp:val=&quot;7A545120&quot;/&gt;&lt;wsp:rsid wsp:val=&quot;7A56120A&quot;/&gt;&lt;wsp:rsid wsp:val=&quot;7A564142&quot;/&gt;&lt;wsp:rsid wsp:val=&quot;7A57269A&quot;/&gt;&lt;wsp:rsid wsp:val=&quot;7A5769BE&quot;/&gt;&lt;wsp:rsid wsp:val=&quot;7A594FBA&quot;/&gt;&lt;wsp:rsid wsp:val=&quot;7A5B64AE&quot;/&gt;&lt;wsp:rsid wsp:val=&quot;7A5C3FD5&quot;/&gt;&lt;wsp:rsid wsp:val=&quot;7A5C507C&quot;/&gt;&lt;wsp:rsid wsp:val=&quot;7A5C5D83&quot;/&gt;&lt;wsp:rsid wsp:val=&quot;7A5E5F9F&quot;/&gt;&lt;wsp:rsid wsp:val=&quot;7A603AC5&quot;/&gt;&lt;wsp:rsid wsp:val=&quot;7A61076D&quot;/&gt;&lt;wsp:rsid wsp:val=&quot;7A6115EB&quot;/&gt;&lt;wsp:rsid wsp:val=&quot;7A61783D&quot;/&gt;&lt;wsp:rsid wsp:val=&quot;7A623539&quot;/&gt;&lt;wsp:rsid wsp:val=&quot;7A627ABF&quot;/&gt;&lt;wsp:rsid wsp:val=&quot;7A635363&quot;/&gt;&lt;wsp:rsid wsp:val=&quot;7A637111&quot;/&gt;&lt;wsp:rsid wsp:val=&quot;7A655361&quot;/&gt;&lt;wsp:rsid wsp:val=&quot;7A6730A5&quot;/&gt;&lt;wsp:rsid wsp:val=&quot;7A68361F&quot;/&gt;&lt;wsp:rsid wsp:val=&quot;7A697680&quot;/&gt;&lt;wsp:rsid wsp:val=&quot;7A6B4218&quot;/&gt;&lt;wsp:rsid wsp:val=&quot;7A6E07E5&quot;/&gt;&lt;wsp:rsid wsp:val=&quot;7A6F1F5A&quot;/&gt;&lt;wsp:rsid wsp:val=&quot;7A6F34F2&quot;/&gt;&lt;wsp:rsid wsp:val=&quot;7A7237F8&quot;/&gt;&lt;wsp:rsid wsp:val=&quot;7A731BC2&quot;/&gt;&lt;wsp:rsid wsp:val=&quot;7A74131E&quot;/&gt;&lt;wsp:rsid wsp:val=&quot;7A747570&quot;/&gt;&lt;wsp:rsid wsp:val=&quot;7A770E0E&quot;/&gt;&lt;wsp:rsid wsp:val=&quot;7A772BBC&quot;/&gt;&lt;wsp:rsid wsp:val=&quot;7A773114&quot;/&gt;&lt;wsp:rsid wsp:val=&quot;7A792DD8&quot;/&gt;&lt;wsp:rsid wsp:val=&quot;7A795A34&quot;/&gt;&lt;wsp:rsid wsp:val=&quot;7A796935&quot;/&gt;&lt;wsp:rsid wsp:val=&quot;7A7E03EF&quot;/&gt;&lt;wsp:rsid wsp:val=&quot;7A7F0704&quot;/&gt;&lt;wsp:rsid wsp:val=&quot;7A7F1A71&quot;/&gt;&lt;wsp:rsid wsp:val=&quot;7A804167&quot;/&gt;&lt;wsp:rsid wsp:val=&quot;7A8265E1&quot;/&gt;&lt;wsp:rsid wsp:val=&quot;7A831561&quot;/&gt;&lt;wsp:rsid wsp:val=&quot;7A8349DB&quot;/&gt;&lt;wsp:rsid wsp:val=&quot;7A8377B3&quot;/&gt;&lt;wsp:rsid wsp:val=&quot;7A862E00&quot;/&gt;&lt;wsp:rsid wsp:val=&quot;7A877DFD&quot;/&gt;&lt;wsp:rsid wsp:val=&quot;7A88414E&quot;/&gt;&lt;wsp:rsid wsp:val=&quot;7A884DCA&quot;/&gt;&lt;wsp:rsid wsp:val=&quot;7A8A28F0&quot;/&gt;&lt;wsp:rsid wsp:val=&quot;7A8B158A&quot;/&gt;&lt;wsp:rsid wsp:val=&quot;7A8D211A&quot;/&gt;&lt;wsp:rsid wsp:val=&quot;7A8E7600&quot;/&gt;&lt;wsp:rsid wsp:val=&quot;7A923C54&quot;/&gt;&lt;wsp:rsid wsp:val=&quot;7A923E9A&quot;/&gt;&lt;wsp:rsid wsp:val=&quot;7A9279F6&quot;/&gt;&lt;wsp:rsid wsp:val=&quot;7A9419C0&quot;/&gt;&lt;wsp:rsid wsp:val=&quot;7A943D7D&quot;/&gt;&lt;wsp:rsid wsp:val=&quot;7A957BAE&quot;/&gt;&lt;wsp:rsid wsp:val=&quot;7A97325F&quot;/&gt;&lt;wsp:rsid wsp:val=&quot;7A9A51C6&quot;/&gt;&lt;wsp:rsid wsp:val=&quot;7A9B2D4F&quot;/&gt;&lt;wsp:rsid wsp:val=&quot;7A9D6AC7&quot;/&gt;&lt;wsp:rsid wsp:val=&quot;7A9F594C&quot;/&gt;&lt;wsp:rsid wsp:val=&quot;7AA03EC1&quot;/&gt;&lt;wsp:rsid wsp:val=&quot;7AA15E8B&quot;/&gt;&lt;wsp:rsid wsp:val=&quot;7AA17C39&quot;/&gt;&lt;wsp:rsid wsp:val=&quot;7AA41A6E&quot;/&gt;&lt;wsp:rsid wsp:val=&quot;7AA5772A&quot;/&gt;&lt;wsp:rsid wsp:val=&quot;7AA877CA&quot;/&gt;&lt;wsp:rsid wsp:val=&quot;7AAB0B58&quot;/&gt;&lt;wsp:rsid wsp:val=&quot;7AAB33B9&quot;/&gt;&lt;wsp:rsid wsp:val=&quot;7AAC0AB8&quot;/&gt;&lt;wsp:rsid wsp:val=&quot;7AAC2004&quot;/&gt;&lt;wsp:rsid wsp:val=&quot;7AAC3494&quot;/&gt;&lt;wsp:rsid wsp:val=&quot;7AAC4F5C&quot;/&gt;&lt;wsp:rsid wsp:val=&quot;7AAD21E0&quot;/&gt;&lt;wsp:rsid wsp:val=&quot;7AAD65DE&quot;/&gt;&lt;wsp:rsid wsp:val=&quot;7AB12572&quot;/&gt;&lt;wsp:rsid wsp:val=&quot;7AB2554D&quot;/&gt;&lt;wsp:rsid wsp:val=&quot;7AB61937&quot;/&gt;&lt;wsp:rsid wsp:val=&quot;7AB65C87&quot;/&gt;&lt;wsp:rsid wsp:val=&quot;7AB91427&quot;/&gt;&lt;wsp:rsid wsp:val=&quot;7AB931D5&quot;/&gt;&lt;wsp:rsid wsp:val=&quot;7AB94F83&quot;/&gt;&lt;wsp:rsid wsp:val=&quot;7ABA4357&quot;/&gt;&lt;wsp:rsid wsp:val=&quot;7ABB0CFB&quot;/&gt;&lt;wsp:rsid wsp:val=&quot;7ABB4C43&quot;/&gt;&lt;wsp:rsid wsp:val=&quot;7ABB519F&quot;/&gt;&lt;wsp:rsid wsp:val=&quot;7ABC1261&quot;/&gt;&lt;wsp:rsid wsp:val=&quot;7ABC4A73&quot;/&gt;&lt;wsp:rsid wsp:val=&quot;7ABD2CC5&quot;/&gt;&lt;wsp:rsid wsp:val=&quot;7ABE2599&quot;/&gt;&lt;wsp:rsid wsp:val=&quot;7AC04563&quot;/&gt;&lt;wsp:rsid wsp:val=&quot;7AC2422A&quot;/&gt;&lt;wsp:rsid wsp:val=&quot;7AC2652D&quot;/&gt;&lt;wsp:rsid wsp:val=&quot;7AC35E02&quot;/&gt;&lt;wsp:rsid wsp:val=&quot;7AC37551&quot;/&gt;&lt;wsp:rsid wsp:val=&quot;7AC51B7A&quot;/&gt;&lt;wsp:rsid wsp:val=&quot;7AC5601E&quot;/&gt;&lt;wsp:rsid wsp:val=&quot;7AC676A0&quot;/&gt;&lt;wsp:rsid wsp:val=&quot;7AC94AB2&quot;/&gt;&lt;wsp:rsid wsp:val=&quot;7AC97B81&quot;/&gt;&lt;wsp:rsid wsp:val=&quot;7ACA53E2&quot;/&gt;&lt;wsp:rsid wsp:val=&quot;7ACB00AE&quot;/&gt;&lt;wsp:rsid wsp:val=&quot;7ACB52DC&quot;/&gt;&lt;wsp:rsid wsp:val=&quot;7ACC2F08&quot;/&gt;&lt;wsp:rsid wsp:val=&quot;7ACC75D7&quot;/&gt;&lt;wsp:rsid wsp:val=&quot;7ACE0067&quot;/&gt;&lt;wsp:rsid wsp:val=&quot;7ACE4ED2&quot;/&gt;&lt;wsp:rsid wsp:val=&quot;7AD03284&quot;/&gt;&lt;wsp:rsid wsp:val=&quot;7AD1051F&quot;/&gt;&lt;wsp:rsid wsp:val=&quot;7AD149C3&quot;/&gt;&lt;wsp:rsid wsp:val=&quot;7AD3164A&quot;/&gt;&lt;wsp:rsid wsp:val=&quot;7AD449B5&quot;/&gt;&lt;wsp:rsid wsp:val=&quot;7AD63B30&quot;/&gt;&lt;wsp:rsid wsp:val=&quot;7AD710E4&quot;/&gt;&lt;wsp:rsid wsp:val=&quot;7AD72F66&quot;/&gt;&lt;wsp:rsid wsp:val=&quot;7AD74DE8&quot;/&gt;&lt;wsp:rsid wsp:val=&quot;7AD973D3&quot;/&gt;&lt;wsp:rsid wsp:val=&quot;7ADB139D&quot;/&gt;&lt;wsp:rsid wsp:val=&quot;7ADB7D95&quot;/&gt;&lt;wsp:rsid wsp:val=&quot;7ADC6EC3&quot;/&gt;&lt;wsp:rsid wsp:val=&quot;7ADE6238&quot;/&gt;&lt;wsp:rsid wsp:val=&quot;7AE00762&quot;/&gt;&lt;wsp:rsid wsp:val=&quot;7AE03DFA&quot;/&gt;&lt;wsp:rsid wsp:val=&quot;7AE04C06&quot;/&gt;&lt;wsp:rsid wsp:val=&quot;7AE069B4&quot;/&gt;&lt;wsp:rsid wsp:val=&quot;7AE2097E&quot;/&gt;&lt;wsp:rsid wsp:val=&quot;7AE244DA&quot;/&gt;&lt;wsp:rsid wsp:val=&quot;7AE446F6&quot;/&gt;&lt;wsp:rsid wsp:val=&quot;7AE5221C&quot;/&gt;&lt;wsp:rsid wsp:val=&quot;7AE53337&quot;/&gt;&lt;wsp:rsid wsp:val=&quot;7AE55D78&quot;/&gt;&lt;wsp:rsid wsp:val=&quot;7AE61EF5&quot;/&gt;&lt;wsp:rsid wsp:val=&quot;7AE66FA7&quot;/&gt;&lt;wsp:rsid wsp:val=&quot;7AE77D42&quot;/&gt;&lt;wsp:rsid wsp:val=&quot;7AE85868&quot;/&gt;&lt;wsp:rsid wsp:val=&quot;7AE91D0C&quot;/&gt;&lt;wsp:rsid wsp:val=&quot;7AE91FA6&quot;/&gt;&lt;wsp:rsid wsp:val=&quot;7AEA7832&quot;/&gt;&lt;wsp:rsid wsp:val=&quot;7AEC5358&quot;/&gt;&lt;wsp:rsid wsp:val=&quot;7AED2E7F&quot;/&gt;&lt;wsp:rsid wsp:val=&quot;7AEF309B&quot;/&gt;&lt;wsp:rsid wsp:val=&quot;7AEF6BF7&quot;/&gt;&lt;wsp:rsid wsp:val=&quot;7AF1471D&quot;/&gt;&lt;wsp:rsid wsp:val=&quot;7AF216B7&quot;/&gt;&lt;wsp:rsid wsp:val=&quot;7AF406B1&quot;/&gt;&lt;wsp:rsid wsp:val=&quot;7AF4245F&quot;/&gt;&lt;wsp:rsid wsp:val=&quot;7AF43FB8&quot;/&gt;&lt;wsp:rsid wsp:val=&quot;7AF75AAB&quot;/&gt;&lt;wsp:rsid wsp:val=&quot;7AF81F4F&quot;/&gt;&lt;wsp:rsid wsp:val=&quot;7AF91823&quot;/&gt;&lt;wsp:rsid wsp:val=&quot;7AF95CC7&quot;/&gt;&lt;wsp:rsid wsp:val=&quot;7AF97A75&quot;/&gt;&lt;wsp:rsid wsp:val=&quot;7AFB2C7A&quot;/&gt;&lt;wsp:rsid wsp:val=&quot;7AFB37ED&quot;/&gt;&lt;wsp:rsid wsp:val=&quot;7AFD1314&quot;/&gt;&lt;wsp:rsid wsp:val=&quot;7B000E04&quot;/&gt;&lt;wsp:rsid wsp:val=&quot;7B007056&quot;/&gt;&lt;wsp:rsid wsp:val=&quot;7B02692A&quot;/&gt;&lt;wsp:rsid wsp:val=&quot;7B030BB8&quot;/&gt;&lt;wsp:rsid wsp:val=&quot;7B046B46&quot;/&gt;&lt;wsp:rsid wsp:val=&quot;7B0501C8&quot;/&gt;&lt;wsp:rsid wsp:val=&quot;7B05466C&quot;/&gt;&lt;wsp:rsid wsp:val=&quot;7B05641A&quot;/&gt;&lt;wsp:rsid wsp:val=&quot;7B056CAC&quot;/&gt;&lt;wsp:rsid wsp:val=&quot;7B0570B5&quot;/&gt;&lt;wsp:rsid wsp:val=&quot;7B0614CE&quot;/&gt;&lt;wsp:rsid wsp:val=&quot;7B090C39&quot;/&gt;&lt;wsp:rsid wsp:val=&quot;7B0A28DC&quot;/&gt;&lt;wsp:rsid wsp:val=&quot;7B0C59FB&quot;/&gt;&lt;wsp:rsid wsp:val=&quot;7B0F54EB&quot;/&gt;&lt;wsp:rsid wsp:val=&quot;7B113011&quot;/&gt;&lt;wsp:rsid wsp:val=&quot;7B114DBF&quot;/&gt;&lt;wsp:rsid wsp:val=&quot;7B116B6D&quot;/&gt;&lt;wsp:rsid wsp:val=&quot;7B1211B1&quot;/&gt;&lt;wsp:rsid wsp:val=&quot;7B1448AF&quot;/&gt;&lt;wsp:rsid wsp:val=&quot;7B14665D&quot;/&gt;&lt;wsp:rsid wsp:val=&quot;7B160FC2&quot;/&gt;&lt;wsp:rsid wsp:val=&quot;7B164183&quot;/&gt;&lt;wsp:rsid wsp:val=&quot;7B166879&quot;/&gt;&lt;wsp:rsid wsp:val=&quot;7B197943&quot;/&gt;&lt;wsp:rsid wsp:val=&quot;7B1A0118&quot;/&gt;&lt;wsp:rsid wsp:val=&quot;7B1B3E90&quot;/&gt;&lt;wsp:rsid wsp:val=&quot;7B1C4E34&quot;/&gt;&lt;wsp:rsid wsp:val=&quot;7B1D03F0&quot;/&gt;&lt;wsp:rsid wsp:val=&quot;7B1D19B6&quot;/&gt;&lt;wsp:rsid wsp:val=&quot;7B1E74DC&quot;/&gt;&lt;wsp:rsid wsp:val=&quot;7B1F572E&quot;/&gt;&lt;wsp:rsid wsp:val=&quot;7B203254&quot;/&gt;&lt;wsp:rsid wsp:val=&quot;7B211776&quot;/&gt;&lt;wsp:rsid wsp:val=&quot;7B234AF2&quot;/&gt;&lt;wsp:rsid wsp:val=&quot;7B241E85&quot;/&gt;&lt;wsp:rsid wsp:val=&quot;7B25086A&quot;/&gt;&lt;wsp:rsid wsp:val=&quot;7B2508E0&quot;/&gt;&lt;wsp:rsid wsp:val=&quot;7B256ABC&quot;/&gt;&lt;wsp:rsid wsp:val=&quot;7B272834&quot;/&gt;&lt;wsp:rsid wsp:val=&quot;7B2766DE&quot;/&gt;&lt;wsp:rsid wsp:val=&quot;7B276DA3&quot;/&gt;&lt;wsp:rsid wsp:val=&quot;7B2809C3&quot;/&gt;&lt;wsp:rsid wsp:val=&quot;7B2965AD&quot;/&gt;&lt;wsp:rsid wsp:val=&quot;7B2A5E81&quot;/&gt;&lt;wsp:rsid wsp:val=&quot;7B2A7C2F&quot;/&gt;&lt;wsp:rsid wsp:val=&quot;7B2F16E9&quot;/&gt;&lt;wsp:rsid wsp:val=&quot;7B2F3497&quot;/&gt;&lt;wsp:rsid wsp:val=&quot;7B310FBD&quot;/&gt;&lt;wsp:rsid wsp:val=&quot;7B31720F&quot;/&gt;&lt;wsp:rsid wsp:val=&quot;7B340AAD&quot;/&gt;&lt;wsp:rsid wsp:val=&quot;7B34197A&quot;/&gt;&lt;wsp:rsid wsp:val=&quot;7B346CFF&quot;/&gt;&lt;wsp:rsid wsp:val=&quot;7B3665D4&quot;/&gt;&lt;wsp:rsid wsp:val=&quot;7B38234C&quot;/&gt;&lt;wsp:rsid wsp:val=&quot;7B3A2568&quot;/&gt;&lt;wsp:rsid wsp:val=&quot;7B3A4316&quot;/&gt;&lt;wsp:rsid wsp:val=&quot;7B3D5BB4&quot;/&gt;&lt;wsp:rsid wsp:val=&quot;7B3F6A8D&quot;/&gt;&lt;wsp:rsid wsp:val=&quot;7B407452&quot;/&gt;&lt;wsp:rsid wsp:val=&quot;7B420EAF&quot;/&gt;&lt;wsp:rsid wsp:val=&quot;7B42540E&quot;/&gt;&lt;wsp:rsid wsp:val=&quot;7B427D7A&quot;/&gt;&lt;wsp:rsid wsp:val=&quot;7B430CF1&quot;/&gt;&lt;wsp:rsid wsp:val=&quot;7B451DEC&quot;/&gt;&lt;wsp:rsid wsp:val=&quot;7B454A69&quot;/&gt;&lt;wsp:rsid wsp:val=&quot;7B4707E1&quot;/&gt;&lt;wsp:rsid wsp:val=&quot;7B474C85&quot;/&gt;&lt;wsp:rsid wsp:val=&quot;7B4909FD&quot;/&gt;&lt;wsp:rsid wsp:val=&quot;7B4A207F&quot;/&gt;&lt;wsp:rsid wsp:val=&quot;7B4E05AB&quot;/&gt;&lt;wsp:rsid wsp:val=&quot;7B4E7DC1&quot;/&gt;&lt;wsp:rsid wsp:val=&quot;7B503B39&quot;/&gt;&lt;wsp:rsid wsp:val=&quot;7B542EFE&quot;/&gt;&lt;wsp:rsid wsp:val=&quot;7B5443C8&quot;/&gt;&lt;wsp:rsid wsp:val=&quot;7B551150&quot;/&gt;&lt;wsp:rsid wsp:val=&quot;7B567BE1&quot;/&gt;&lt;wsp:rsid wsp:val=&quot;7B5761A4&quot;/&gt;&lt;wsp:rsid wsp:val=&quot;7B5A6766&quot;/&gt;&lt;wsp:rsid wsp:val=&quot;7B5B0730&quot;/&gt;&lt;wsp:rsid wsp:val=&quot;7B5B603A&quot;/&gt;&lt;wsp:rsid wsp:val=&quot;7B5D6256&quot;/&gt;&lt;wsp:rsid wsp:val=&quot;7B6018A2&quot;/&gt;&lt;wsp:rsid wsp:val=&quot;7B6149EA&quot;/&gt;&lt;wsp:rsid wsp:val=&quot;7B615D46&quot;/&gt;&lt;wsp:rsid wsp:val=&quot;7B641393&quot;/&gt;&lt;wsp:rsid wsp:val=&quot;7B6475E5&quot;/&gt;&lt;wsp:rsid wsp:val=&quot;7B66335D&quot;/&gt;&lt;wsp:rsid wsp:val=&quot;7B670E83&quot;/&gt;&lt;wsp:rsid wsp:val=&quot;7B6770D5&quot;/&gt;&lt;wsp:rsid wsp:val=&quot;7B686D42&quot;/&gt;&lt;wsp:rsid wsp:val=&quot;7B687129&quot;/&gt;&lt;wsp:rsid wsp:val=&quot;7B691CFA&quot;/&gt;&lt;wsp:rsid wsp:val=&quot;7B694BFB&quot;/&gt;&lt;wsp:rsid wsp:val=&quot;7B6969A9&quot;/&gt;&lt;wsp:rsid wsp:val=&quot;7B6A1C3D&quot;/&gt;&lt;wsp:rsid wsp:val=&quot;7B6A44CF&quot;/&gt;&lt;wsp:rsid wsp:val=&quot;7B6B0973&quot;/&gt;&lt;wsp:rsid wsp:val=&quot;7B6C46EB&quot;/&gt;&lt;wsp:rsid wsp:val=&quot;7B6D1DAC&quot;/&gt;&lt;wsp:rsid wsp:val=&quot;7B6E0463&quot;/&gt;&lt;wsp:rsid wsp:val=&quot;7B6E3FBF&quot;/&gt;&lt;wsp:rsid wsp:val=&quot;7B6E5D6D&quot;/&gt;&lt;wsp:rsid wsp:val=&quot;7B711D02&quot;/&gt;&lt;wsp:rsid wsp:val=&quot;7B7315D6&quot;/&gt;&lt;wsp:rsid wsp:val=&quot;7B743FDB&quot;/&gt;&lt;wsp:rsid wsp:val=&quot;7B7535A0&quot;/&gt;&lt;wsp:rsid wsp:val=&quot;7B7A6E08&quot;/&gt;&lt;wsp:rsid wsp:val=&quot;7B7B048A&quot;/&gt;&lt;wsp:rsid wsp:val=&quot;7B7B2B53&quot;/&gt;&lt;wsp:rsid wsp:val=&quot;7B7B7DB6&quot;/&gt;&lt;wsp:rsid wsp:val=&quot;7B7D2454&quot;/&gt;&lt;wsp:rsid wsp:val=&quot;7B7F4F51&quot;/&gt;&lt;wsp:rsid wsp:val=&quot;7B82586C&quot;/&gt;&lt;wsp:rsid wsp:val=&quot;7B841746&quot;/&gt;&lt;wsp:rsid wsp:val=&quot;7B841A35&quot;/&gt;&lt;wsp:rsid wsp:val=&quot;7B857C91&quot;/&gt;&lt;wsp:rsid wsp:val=&quot;7B863F31&quot;/&gt;&lt;wsp:rsid wsp:val=&quot;7B864E6F&quot;/&gt;&lt;wsp:rsid wsp:val=&quot;7B871525&quot;/&gt;&lt;wsp:rsid wsp:val=&quot;7B875283&quot;/&gt;&lt;wsp:rsid wsp:val=&quot;7B885DF9&quot;/&gt;&lt;wsp:rsid wsp:val=&quot;7B890DF9&quot;/&gt;&lt;wsp:rsid wsp:val=&quot;7B892BA7&quot;/&gt;&lt;wsp:rsid wsp:val=&quot;7B8C2698&quot;/&gt;&lt;wsp:rsid wsp:val=&quot;7B8C6B3B&quot;/&gt;&lt;wsp:rsid wsp:val=&quot;7B8D4F30&quot;/&gt;&lt;wsp:rsid wsp:val=&quot;7B8F0435&quot;/&gt;&lt;wsp:rsid wsp:val=&quot;7B8F3F36&quot;/&gt;&lt;wsp:rsid wsp:val=&quot;7B900E48&quot;/&gt;&lt;wsp:rsid wsp:val=&quot;7B936DF3&quot;/&gt;&lt;wsp:rsid wsp:val=&quot;7B950D81&quot;/&gt;&lt;wsp:rsid wsp:val=&quot;7B9559F0&quot;/&gt;&lt;wsp:rsid wsp:val=&quot;7B9652C4&quot;/&gt;&lt;wsp:rsid wsp:val=&quot;7B987833&quot;/&gt;&lt;wsp:rsid wsp:val=&quot;7B997698&quot;/&gt;&lt;wsp:rsid wsp:val=&quot;7B9D2AF7&quot;/&gt;&lt;wsp:rsid wsp:val=&quot;7B9D6653&quot;/&gt;&lt;wsp:rsid wsp:val=&quot;7B9E0939&quot;/&gt;&lt;wsp:rsid wsp:val=&quot;7B9F23CB&quot;/&gt;&lt;wsp:rsid wsp:val=&quot;7BA06143&quot;/&gt;&lt;wsp:rsid wsp:val=&quot;7BA14395&quot;/&gt;&lt;wsp:rsid wsp:val=&quot;7BA21EBB&quot;/&gt;&lt;wsp:rsid wsp:val=&quot;7BA25995&quot;/&gt;&lt;wsp:rsid wsp:val=&quot;7BA45C33&quot;/&gt;&lt;wsp:rsid wsp:val=&quot;7BA774D1&quot;/&gt;&lt;wsp:rsid wsp:val=&quot;7BA9149B&quot;/&gt;&lt;wsp:rsid wsp:val=&quot;7BAB6FC2&quot;/&gt;&lt;wsp:rsid wsp:val=&quot;7BAC2D3A&quot;/&gt;&lt;wsp:rsid wsp:val=&quot;7BAC4AE8&quot;/&gt;&lt;wsp:rsid wsp:val=&quot;7BAD6F9E&quot;/&gt;&lt;wsp:rsid wsp:val=&quot;7BB10350&quot;/&gt;&lt;wsp:rsid wsp:val=&quot;7BB302F8&quot;/&gt;&lt;wsp:rsid wsp:val=&quot;7BB340C8&quot;/&gt;&lt;wsp:rsid wsp:val=&quot;7BB442A0&quot;/&gt;&lt;wsp:rsid wsp:val=&quot;7BB46E71&quot;/&gt;&lt;wsp:rsid wsp:val=&quot;7BB551E1&quot;/&gt;&lt;wsp:rsid wsp:val=&quot;7BB73BB8&quot;/&gt;&lt;wsp:rsid wsp:val=&quot;7BB87930&quot;/&gt;&lt;wsp:rsid wsp:val=&quot;7BBC14BA&quot;/&gt;&lt;wsp:rsid wsp:val=&quot;7BBD3591&quot;/&gt;&lt;wsp:rsid wsp:val=&quot;7BBF2A6D&quot;/&gt;&lt;wsp:rsid wsp:val=&quot;7BBF30A8&quot;/&gt;&lt;wsp:rsid wsp:val=&quot;7BBF481B&quot;/&gt;&lt;wsp:rsid wsp:val=&quot;7BC43D95&quot;/&gt;&lt;wsp:rsid wsp:val=&quot;7BC52CCB&quot;/&gt;&lt;wsp:rsid wsp:val=&quot;7BC6204D&quot;/&gt;&lt;wsp:rsid wsp:val=&quot;7BC65BA9&quot;/&gt;&lt;wsp:rsid wsp:val=&quot;7BC71922&quot;/&gt;&lt;wsp:rsid wsp:val=&quot;7BC938EC&quot;/&gt;&lt;wsp:rsid wsp:val=&quot;7BCC50F8&quot;/&gt;&lt;wsp:rsid wsp:val=&quot;7BD06197&quot;/&gt;&lt;wsp:rsid wsp:val=&quot;7BD209F2&quot;/&gt;&lt;wsp:rsid wsp:val=&quot;7BD227A0&quot;/&gt;&lt;wsp:rsid wsp:val=&quot;7BD52290&quot;/&gt;&lt;wsp:rsid wsp:val=&quot;7BD55DED&quot;/&gt;&lt;wsp:rsid wsp:val=&quot;7BD61B65&quot;/&gt;&lt;wsp:rsid wsp:val=&quot;7BD75A22&quot;/&gt;&lt;wsp:rsid wsp:val=&quot;7BD823A4&quot;/&gt;&lt;wsp:rsid wsp:val=&quot;7BDA1655&quot;/&gt;&lt;wsp:rsid wsp:val=&quot;7BDA3403&quot;/&gt;&lt;wsp:rsid wsp:val=&quot;7BDA78A7&quot;/&gt;&lt;wsp:rsid wsp:val=&quot;7BDC191D&quot;/&gt;&lt;wsp:rsid wsp:val=&quot;7BDD2EF3&quot;/&gt;&lt;wsp:rsid wsp:val=&quot;7BDF0A19&quot;/&gt;&lt;wsp:rsid wsp:val=&quot;7BDF310F&quot;/&gt;&lt;wsp:rsid wsp:val=&quot;7BDF4EBD&quot;/&gt;&lt;wsp:rsid wsp:val=&quot;7BE2675B&quot;/&gt;&lt;wsp:rsid wsp:val=&quot;7BE424D4&quot;/&gt;&lt;wsp:rsid wsp:val=&quot;7BE6624C&quot;/&gt;&lt;wsp:rsid wsp:val=&quot;7BE67FFA&quot;/&gt;&lt;wsp:rsid wsp:val=&quot;7BE91898&quot;/&gt;&lt;wsp:rsid wsp:val=&quot;7BE97AEA&quot;/&gt;&lt;wsp:rsid wsp:val=&quot;7BEA7D4F&quot;/&gt;&lt;wsp:rsid wsp:val=&quot;7BEC1860&quot;/&gt;&lt;wsp:rsid wsp:val=&quot;7BEE7DDE&quot;/&gt;&lt;wsp:rsid wsp:val=&quot;7BF00E78&quot;/&gt;&lt;wsp:rsid wsp:val=&quot;7BF070CA&quot;/&gt;&lt;wsp:rsid wsp:val=&quot;7BF1074D&quot;/&gt;&lt;wsp:rsid wsp:val=&quot;7BF24BF0&quot;/&gt;&lt;wsp:rsid wsp:val=&quot;7BF36B62&quot;/&gt;&lt;wsp:rsid wsp:val=&quot;7BF73FB5&quot;/&gt;&lt;wsp:rsid wsp:val=&quot;7BF81544&quot;/&gt;&lt;wsp:rsid wsp:val=&quot;7BF81ADB&quot;/&gt;&lt;wsp:rsid wsp:val=&quot;7BF85F7F&quot;/&gt;&lt;wsp:rsid wsp:val=&quot;7BF94115&quot;/&gt;&lt;wsp:rsid wsp:val=&quot;7BFA5853&quot;/&gt;&lt;wsp:rsid wsp:val=&quot;7BFB7EC5&quot;/&gt;&lt;wsp:rsid wsp:val=&quot;7BFC781D&quot;/&gt;&lt;wsp:rsid wsp:val=&quot;7BFD3595&quot;/&gt;&lt;wsp:rsid wsp:val=&quot;7BFE412C&quot;/&gt;&lt;wsp:rsid wsp:val=&quot;7BFF10BB&quot;/&gt;&lt;wsp:rsid wsp:val=&quot;7BFF730D&quot;/&gt;&lt;wsp:rsid wsp:val=&quot;7C013085&quot;/&gt;&lt;wsp:rsid wsp:val=&quot;7C01581E&quot;/&gt;&lt;wsp:rsid wsp:val=&quot;7C02295A&quot;/&gt;&lt;wsp:rsid wsp:val=&quot;7C030BAC&quot;/&gt;&lt;wsp:rsid wsp:val=&quot;7C032A6B&quot;/&gt;&lt;wsp:rsid wsp:val=&quot;7C044924&quot;/&gt;&lt;wsp:rsid wsp:val=&quot;7C06244A&quot;/&gt;&lt;wsp:rsid wsp:val=&quot;7C0641F8&quot;/&gt;&lt;wsp:rsid wsp:val=&quot;7C091F3A&quot;/&gt;&lt;wsp:rsid wsp:val=&quot;7C0B7A60&quot;/&gt;&lt;wsp:rsid wsp:val=&quot;7C0D1A2A&quot;/&gt;&lt;wsp:rsid wsp:val=&quot;7C0E18D7&quot;/&gt;&lt;wsp:rsid wsp:val=&quot;7C0E7550&quot;/&gt;&lt;wsp:rsid wsp:val=&quot;7C10151B&quot;/&gt;&lt;wsp:rsid wsp:val=&quot;7C134B67&quot;/&gt;&lt;wsp:rsid wsp:val=&quot;7C1354EF&quot;/&gt;&lt;wsp:rsid wsp:val=&quot;7C142DB9&quot;/&gt;&lt;wsp:rsid wsp:val=&quot;7C15363D&quot;/&gt;&lt;wsp:rsid wsp:val=&quot;7C156B31&quot;/&gt;&lt;wsp:rsid wsp:val=&quot;7C157102&quot;/&gt;&lt;wsp:rsid wsp:val=&quot;7C174657&quot;/&gt;&lt;wsp:rsid wsp:val=&quot;7C18217D&quot;/&gt;&lt;wsp:rsid wsp:val=&quot;7C183F2B&quot;/&gt;&lt;wsp:rsid wsp:val=&quot;7C1903CF&quot;/&gt;&lt;wsp:rsid wsp:val=&quot;7C1F175E&quot;/&gt;&lt;wsp:rsid wsp:val=&quot;7C1F39FE&quot;/&gt;&lt;wsp:rsid wsp:val=&quot;7C1F52BA&quot;/&gt;&lt;wsp:rsid wsp:val=&quot;7C211032&quot;/&gt;&lt;wsp:rsid wsp:val=&quot;7C2154D6&quot;/&gt;&lt;wsp:rsid wsp:val=&quot;7C2171A3&quot;/&gt;&lt;wsp:rsid wsp:val=&quot;7C246653&quot;/&gt;&lt;wsp:rsid wsp:val=&quot;7C262AEC&quot;/&gt;&lt;wsp:rsid wsp:val=&quot;7C296138&quot;/&gt;&lt;wsp:rsid wsp:val=&quot;7C2A2C16&quot;/&gt;&lt;wsp:rsid wsp:val=&quot;7C2B3C5E&quot;/&gt;&lt;wsp:rsid wsp:val=&quot;7C2D3E7B&quot;/&gt;&lt;wsp:rsid wsp:val=&quot;7C2D5C29&quot;/&gt;&lt;wsp:rsid wsp:val=&quot;7C2D79D7&quot;/&gt;&lt;wsp:rsid wsp:val=&quot;7C2E048F&quot;/&gt;&lt;wsp:rsid wsp:val=&quot;7C2E374F&quot;/&gt;&lt;wsp:rsid wsp:val=&quot;7C322B65&quot;/&gt;&lt;wsp:rsid wsp:val=&quot;7C350F81&quot;/&gt;&lt;wsp:rsid wsp:val=&quot;7C354ADD&quot;/&gt;&lt;wsp:rsid wsp:val=&quot;7C370855&quot;/&gt;&lt;wsp:rsid wsp:val=&quot;7C372603&quot;/&gt;&lt;wsp:rsid wsp:val=&quot;7C3945CD&quot;/&gt;&lt;wsp:rsid wsp:val=&quot;7C3A0345&quot;/&gt;&lt;wsp:rsid wsp:val=&quot;7C3C2310&quot;/&gt;&lt;wsp:rsid wsp:val=&quot;7C3C5C2A&quot;/&gt;&lt;wsp:rsid wsp:val=&quot;7C3D07C3&quot;/&gt;&lt;wsp:rsid wsp:val=&quot;7C3E0A71&quot;/&gt;&lt;wsp:rsid wsp:val=&quot;7C3F595C&quot;/&gt;&lt;wsp:rsid wsp:val=&quot;7C4111CA&quot;/&gt;&lt;wsp:rsid wsp:val=&quot;7C417926&quot;/&gt;&lt;wsp:rsid wsp:val=&quot;7C4371FA&quot;/&gt;&lt;wsp:rsid wsp:val=&quot;7C4411C4&quot;/&gt;&lt;wsp:rsid wsp:val=&quot;7C442F72&quot;/&gt;&lt;wsp:rsid wsp:val=&quot;7C457B4B&quot;/&gt;&lt;wsp:rsid wsp:val=&quot;7C460A98&quot;/&gt;&lt;wsp:rsid wsp:val=&quot;7C460FDB&quot;/&gt;&lt;wsp:rsid wsp:val=&quot;7C46568D&quot;/&gt;&lt;wsp:rsid wsp:val=&quot;7C484810&quot;/&gt;&lt;wsp:rsid wsp:val=&quot;7C4B2553&quot;/&gt;&lt;wsp:rsid wsp:val=&quot;7C4B4301&quot;/&gt;&lt;wsp:rsid wsp:val=&quot;7C4B60AF&quot;/&gt;&lt;wsp:rsid wsp:val=&quot;7C4D323B&quot;/&gt;&lt;wsp:rsid wsp:val=&quot;7C4E5B9F&quot;/&gt;&lt;wsp:rsid wsp:val=&quot;7C4F2043&quot;/&gt;&lt;wsp:rsid wsp:val=&quot;7C5036C5&quot;/&gt;&lt;wsp:rsid wsp:val=&quot;7C5238E1&quot;/&gt;&lt;wsp:rsid wsp:val=&quot;7C525607&quot;/&gt;&lt;wsp:rsid wsp:val=&quot;7C5331B5&quot;/&gt;&lt;wsp:rsid wsp:val=&quot;7C55517F&quot;/&gt;&lt;wsp:rsid wsp:val=&quot;7C570EF7&quot;/&gt;&lt;wsp:rsid wsp:val=&quot;7C590215&quot;/&gt;&lt;wsp:rsid wsp:val=&quot;7C5A2796&quot;/&gt;&lt;wsp:rsid wsp:val=&quot;7C5A4544&quot;/&gt;&lt;wsp:rsid wsp:val=&quot;7C5B09E8&quot;/&gt;&lt;wsp:rsid wsp:val=&quot;7C5E4034&quot;/&gt;&lt;wsp:rsid wsp:val=&quot;7C5F1B5A&quot;/&gt;&lt;wsp:rsid wsp:val=&quot;7C5F1B82&quot;/&gt;&lt;wsp:rsid wsp:val=&quot;7C601079&quot;/&gt;&lt;wsp:rsid wsp:val=&quot;7C605FFE&quot;/&gt;&lt;wsp:rsid wsp:val=&quot;7C617073&quot;/&gt;&lt;wsp:rsid wsp:val=&quot;7C63164A&quot;/&gt;&lt;wsp:rsid wsp:val=&quot;7C6333F8&quot;/&gt;&lt;wsp:rsid wsp:val=&quot;7C6453C2&quot;/&gt;&lt;wsp:rsid wsp:val=&quot;7C66113B&quot;/&gt;&lt;wsp:rsid wsp:val=&quot;7C684EB3&quot;/&gt;&lt;wsp:rsid wsp:val=&quot;7C6B04FF&quot;/&gt;&lt;wsp:rsid wsp:val=&quot;7C6B5616&quot;/&gt;&lt;wsp:rsid wsp:val=&quot;7C6B6751&quot;/&gt;&lt;wsp:rsid wsp:val=&quot;7C6B7A54&quot;/&gt;&lt;wsp:rsid wsp:val=&quot;7C6C5AC7&quot;/&gt;&lt;wsp:rsid wsp:val=&quot;7C6D007A&quot;/&gt;&lt;wsp:rsid wsp:val=&quot;7C6D4277&quot;/&gt;&lt;wsp:rsid wsp:val=&quot;7C6D5616&quot;/&gt;&lt;wsp:rsid wsp:val=&quot;7C6D5F2E&quot;/&gt;&lt;wsp:rsid wsp:val=&quot;7C701FB9&quot;/&gt;&lt;wsp:rsid wsp:val=&quot;7C7056D8&quot;/&gt;&lt;wsp:rsid wsp:val=&quot;7C705B15&quot;/&gt;&lt;wsp:rsid wsp:val=&quot;7C75312C&quot;/&gt;&lt;wsp:rsid wsp:val=&quot;7C7553A2&quot;/&gt;&lt;wsp:rsid wsp:val=&quot;7C7554E9&quot;/&gt;&lt;wsp:rsid wsp:val=&quot;7C7575D0&quot;/&gt;&lt;wsp:rsid wsp:val=&quot;7C765821&quot;/&gt;&lt;wsp:rsid wsp:val=&quot;7C790E6E&quot;/&gt;&lt;wsp:rsid wsp:val=&quot;7C7A4BE6&quot;/&gt;&lt;wsp:rsid wsp:val=&quot;7C7E0232&quot;/&gt;&lt;wsp:rsid wsp:val=&quot;7C7E1AF1&quot;/&gt;&lt;wsp:rsid wsp:val=&quot;7C7F66B9&quot;/&gt;&lt;wsp:rsid wsp:val=&quot;7C80044E&quot;/&gt;&lt;wsp:rsid wsp:val=&quot;7C8021FC&quot;/&gt;&lt;wsp:rsid wsp:val=&quot;7C817D22&quot;/&gt;&lt;wsp:rsid wsp:val=&quot;7C831CEC&quot;/&gt;&lt;wsp:rsid wsp:val=&quot;7C833A9B&quot;/&gt;&lt;wsp:rsid wsp:val=&quot;7C887303&quot;/&gt;&lt;wsp:rsid wsp:val=&quot;7C8A0E4F&quot;/&gt;&lt;wsp:rsid wsp:val=&quot;7C8B6DF3&quot;/&gt;&lt;wsp:rsid wsp:val=&quot;7C8C67B6&quot;/&gt;&lt;wsp:rsid wsp:val=&quot;7C8D2B6B&quot;/&gt;&lt;wsp:rsid wsp:val=&quot;7C8E41ED&quot;/&gt;&lt;wsp:rsid wsp:val=&quot;7C8F243F&quot;/&gt;&lt;wsp:rsid wsp:val=&quot;7C9061B7&quot;/&gt;&lt;wsp:rsid wsp:val=&quot;7C94199E&quot;/&gt;&lt;wsp:rsid wsp:val=&quot;7C947A56&quot;/&gt;&lt;wsp:rsid wsp:val=&quot;7C9712F4&quot;/&gt;&lt;wsp:rsid wsp:val=&quot;7C975798&quot;/&gt;&lt;wsp:rsid wsp:val=&quot;7C977546&quot;/&gt;&lt;wsp:rsid wsp:val=&quot;7C9960B9&quot;/&gt;&lt;wsp:rsid wsp:val=&quot;7C997985&quot;/&gt;&lt;wsp:rsid wsp:val=&quot;7C9B5288&quot;/&gt;&lt;wsp:rsid wsp:val=&quot;7C9C2DAE&quot;/&gt;&lt;wsp:rsid wsp:val=&quot;7C9C65D2&quot;/&gt;&lt;wsp:rsid wsp:val=&quot;7C9D1B23&quot;/&gt;&lt;wsp:rsid wsp:val=&quot;7C9E6B26&quot;/&gt;&lt;wsp:rsid wsp:val=&quot;7CA12173&quot;/&gt;&lt;wsp:rsid wsp:val=&quot;7CA3413D&quot;/&gt;&lt;wsp:rsid wsp:val=&quot;7CA36E25&quot;/&gt;&lt;wsp:rsid wsp:val=&quot;7CA419F6&quot;/&gt;&lt;wsp:rsid wsp:val=&quot;7CA51C63&quot;/&gt;&lt;wsp:rsid wsp:val=&quot;7CA67789&quot;/&gt;&lt;wsp:rsid wsp:val=&quot;7CA73C2D&quot;/&gt;&lt;wsp:rsid wsp:val=&quot;7CAA54CB&quot;/&gt;&lt;wsp:rsid wsp:val=&quot;7CAB16E6&quot;/&gt;&lt;wsp:rsid wsp:val=&quot;7CAB2FF1&quot;/&gt;&lt;wsp:rsid wsp:val=&quot;7CAB4D9F&quot;/&gt;&lt;wsp:rsid wsp:val=&quot;7CAE58D3&quot;/&gt;&lt;wsp:rsid wsp:val=&quot;7CAE62A4&quot;/&gt;&lt;wsp:rsid wsp:val=&quot;7CB1685A&quot;/&gt;&lt;wsp:rsid wsp:val=&quot;7CB24380&quot;/&gt;&lt;wsp:rsid wsp:val=&quot;7CB2612E&quot;/&gt;&lt;wsp:rsid wsp:val=&quot;7CB414EB&quot;/&gt;&lt;wsp:rsid wsp:val=&quot;7CB443E4&quot;/&gt;&lt;wsp:rsid wsp:val=&quot;7CB52486&quot;/&gt;&lt;wsp:rsid wsp:val=&quot;7CB63E70&quot;/&gt;&lt;wsp:rsid wsp:val=&quot;7CB73744&quot;/&gt;&lt;wsp:rsid wsp:val=&quot;7CB93960&quot;/&gt;&lt;wsp:rsid wsp:val=&quot;7CB9570E&quot;/&gt;&lt;wsp:rsid wsp:val=&quot;7CB97A54&quot;/&gt;&lt;wsp:rsid wsp:val=&quot;7CBA26A7&quot;/&gt;&lt;wsp:rsid wsp:val=&quot;7CBA32DC&quot;/&gt;&lt;wsp:rsid wsp:val=&quot;7CBA4FE2&quot;/&gt;&lt;wsp:rsid wsp:val=&quot;7CBA733C&quot;/&gt;&lt;wsp:rsid wsp:val=&quot;7CBB1486&quot;/&gt;&lt;wsp:rsid wsp:val=&quot;7CBB3234&quot;/&gt;&lt;wsp:rsid wsp:val=&quot;7CBC110D&quot;/&gt;&lt;wsp:rsid wsp:val=&quot;7CBC51FE&quot;/&gt;&lt;wsp:rsid wsp:val=&quot;7CBC6FAC&quot;/&gt;&lt;wsp:rsid wsp:val=&quot;7CC04CEF&quot;/&gt;&lt;wsp:rsid wsp:val=&quot;7CC06A9D&quot;/&gt;&lt;wsp:rsid wsp:val=&quot;7CC174D4&quot;/&gt;&lt;wsp:rsid wsp:val=&quot;7CC3658D&quot;/&gt;&lt;wsp:rsid wsp:val=&quot;7CC61BD9&quot;/&gt;&lt;wsp:rsid wsp:val=&quot;7CC6544B&quot;/&gt;&lt;wsp:rsid wsp:val=&quot;7CC77E2B&quot;/&gt;&lt;wsp:rsid wsp:val=&quot;7CCC3693&quot;/&gt;&lt;wsp:rsid wsp:val=&quot;7CCF6CE0&quot;/&gt;&lt;wsp:rsid wsp:val=&quot;7CD04806&quot;/&gt;&lt;wsp:rsid wsp:val=&quot;7CD10CAA&quot;/&gt;&lt;wsp:rsid wsp:val=&quot;7CD24A22&quot;/&gt;&lt;wsp:rsid wsp:val=&quot;7CD41612&quot;/&gt;&lt;wsp:rsid wsp:val=&quot;7CD460A4&quot;/&gt;&lt;wsp:rsid wsp:val=&quot;7CD46F1F&quot;/&gt;&lt;wsp:rsid wsp:val=&quot;7CD56132&quot;/&gt;&lt;wsp:rsid wsp:val=&quot;7CD6079C&quot;/&gt;&lt;wsp:rsid wsp:val=&quot;7CDA0507&quot;/&gt;&lt;wsp:rsid wsp:val=&quot;7CDB38D7&quot;/&gt;&lt;wsp:rsid wsp:val=&quot;7CDB7433&quot;/&gt;&lt;wsp:rsid wsp:val=&quot;7CDB7F75&quot;/&gt;&lt;wsp:rsid wsp:val=&quot;7CDD764F&quot;/&gt;&lt;wsp:rsid wsp:val=&quot;7CDE0A96&quot;/&gt;&lt;wsp:rsid wsp:val=&quot;7CDE5175&quot;/&gt;&lt;wsp:rsid wsp:val=&quot;7CDF5BE8&quot;/&gt;&lt;wsp:rsid wsp:val=&quot;7CE00EED&quot;/&gt;&lt;wsp:rsid wsp:val=&quot;7CE10508&quot;/&gt;&lt;wsp:rsid wsp:val=&quot;7CE3278B&quot;/&gt;&lt;wsp:rsid wsp:val=&quot;7CE36A7B&quot;/&gt;&lt;wsp:rsid wsp:val=&quot;7CE64029&quot;/&gt;&lt;wsp:rsid wsp:val=&quot;7CE65DD7&quot;/&gt;&lt;wsp:rsid wsp:val=&quot;7CE7227B&quot;/&gt;&lt;wsp:rsid wsp:val=&quot;7CE81B50&quot;/&gt;&lt;wsp:rsid wsp:val=&quot;7CE87DA1&quot;/&gt;&lt;wsp:rsid wsp:val=&quot;7CEA3B1A&quot;/&gt;&lt;wsp:rsid wsp:val=&quot;7CEA58C8&quot;/&gt;&lt;wsp:rsid wsp:val=&quot;7CEC1640&quot;/&gt;&lt;wsp:rsid wsp:val=&quot;7CED360A&quot;/&gt;&lt;wsp:rsid wsp:val=&quot;7CED3947&quot;/&gt;&lt;wsp:rsid wsp:val=&quot;7CED53B8&quot;/&gt;&lt;wsp:rsid wsp:val=&quot;7CED670E&quot;/&gt;&lt;wsp:rsid wsp:val=&quot;7CED6AAB&quot;/&gt;&lt;wsp:rsid wsp:val=&quot;7CEF7382&quot;/&gt;&lt;wsp:rsid wsp:val=&quot;7CF013CC&quot;/&gt;&lt;wsp:rsid wsp:val=&quot;7CF16C56&quot;/&gt;&lt;wsp:rsid wsp:val=&quot;7CF229CE&quot;/&gt;&lt;wsp:rsid wsp:val=&quot;7CF36E72&quot;/&gt;&lt;wsp:rsid wsp:val=&quot;7CF44998&quot;/&gt;&lt;wsp:rsid wsp:val=&quot;7CF6426C&quot;/&gt;&lt;wsp:rsid wsp:val=&quot;7CF7337E&quot;/&gt;&lt;wsp:rsid wsp:val=&quot;7CF77FE5&quot;/&gt;&lt;wsp:rsid wsp:val=&quot;7CF8424B&quot;/&gt;&lt;wsp:rsid wsp:val=&quot;7CF90201&quot;/&gt;&lt;wsp:rsid wsp:val=&quot;7CF9504E&quot;/&gt;&lt;wsp:rsid wsp:val=&quot;7CFB6428&quot;/&gt;&lt;wsp:rsid wsp:val=&quot;7CFD1A9F&quot;/&gt;&lt;wsp:rsid wsp:val=&quot;7CFD384D&quot;/&gt;&lt;wsp:rsid wsp:val=&quot;7CFE75C5&quot;/&gt;&lt;wsp:rsid wsp:val=&quot;7D0050EB&quot;/&gt;&lt;wsp:rsid wsp:val=&quot;7D016B7E&quot;/&gt;&lt;wsp:rsid wsp:val=&quot;7D0239FF&quot;/&gt;&lt;wsp:rsid wsp:val=&quot;7D052445&quot;/&gt;&lt;wsp:rsid wsp:val=&quot;7D052701&quot;/&gt;&lt;wsp:rsid wsp:val=&quot;7D056BA5&quot;/&gt;&lt;wsp:rsid wsp:val=&quot;7D0607E8&quot;/&gt;&lt;wsp:rsid wsp:val=&quot;7D061599&quot;/&gt;&lt;wsp:rsid wsp:val=&quot;7D0739BA&quot;/&gt;&lt;wsp:rsid wsp:val=&quot;7D07647A&quot;/&gt;&lt;wsp:rsid wsp:val=&quot;7D080444&quot;/&gt;&lt;wsp:rsid wsp:val=&quot;7D083996&quot;/&gt;&lt;wsp:rsid wsp:val=&quot;7D0A7D18&quot;/&gt;&lt;wsp:rsid wsp:val=&quot;7D0B2882&quot;/&gt;&lt;wsp:rsid wsp:val=&quot;7D0B583E&quot;/&gt;&lt;wsp:rsid wsp:val=&quot;7D0C7F34&quot;/&gt;&lt;wsp:rsid wsp:val=&quot;7D0D4954&quot;/&gt;&lt;wsp:rsid wsp:val=&quot;7D0F17D2&quot;/&gt;&lt;wsp:rsid wsp:val=&quot;7D1110A6&quot;/&gt;&lt;wsp:rsid wsp:val=&quot;7D124E1E&quot;/&gt;&lt;wsp:rsid wsp:val=&quot;7D133070&quot;/&gt;&lt;wsp:rsid wsp:val=&quot;7D1868D9&quot;/&gt;&lt;wsp:rsid wsp:val=&quot;7D186F3E&quot;/&gt;&lt;wsp:rsid wsp:val=&quot;7D1961AD&quot;/&gt;&lt;wsp:rsid wsp:val=&quot;7D1B0177&quot;/&gt;&lt;wsp:rsid wsp:val=&quot;7D1B1F25&quot;/&gt;&lt;wsp:rsid wsp:val=&quot;7D1B3CD3&quot;/&gt;&lt;wsp:rsid wsp:val=&quot;7D1C187F&quot;/&gt;&lt;wsp:rsid wsp:val=&quot;7D1D3EEF&quot;/&gt;&lt;wsp:rsid wsp:val=&quot;7D20753B&quot;/&gt;&lt;wsp:rsid wsp:val=&quot;7D232E8C&quot;/&gt;&lt;wsp:rsid wsp:val=&quot;7D2431E0&quot;/&gt;&lt;wsp:rsid wsp:val=&quot;7D250FF6&quot;/&gt;&lt;wsp:rsid wsp:val=&quot;7D2565CF&quot;/&gt;&lt;wsp:rsid wsp:val=&quot;7D267526&quot;/&gt;&lt;wsp:rsid wsp:val=&quot;7D2708CA&quot;/&gt;&lt;wsp:rsid wsp:val=&quot;7D2A03BA&quot;/&gt;&lt;wsp:rsid wsp:val=&quot;7D2A2168&quot;/&gt;&lt;wsp:rsid wsp:val=&quot;7D2B0EB1&quot;/&gt;&lt;wsp:rsid wsp:val=&quot;7D2C4132&quot;/&gt;&lt;wsp:rsid wsp:val=&quot;7D2E5C49&quot;/&gt;&lt;wsp:rsid wsp:val=&quot;7D2F3C22&quot;/&gt;&lt;wsp:rsid wsp:val=&quot;7D3251DF&quot;/&gt;&lt;wsp:rsid wsp:val=&quot;7D3354C1&quot;/&gt;&lt;wsp:rsid wsp:val=&quot;7D341239&quot;/&gt;&lt;wsp:rsid wsp:val=&quot;7D364FB1&quot;/&gt;&lt;wsp:rsid wsp:val=&quot;7D376633&quot;/&gt;&lt;wsp:rsid wsp:val=&quot;7D380D29&quot;/&gt;&lt;wsp:rsid wsp:val=&quot;7D3905FD&quot;/&gt;&lt;wsp:rsid wsp:val=&quot;7D391DCB&quot;/&gt;&lt;wsp:rsid wsp:val=&quot;7D39684F&quot;/&gt;&lt;wsp:rsid wsp:val=&quot;7D3D00ED&quot;/&gt;&lt;wsp:rsid wsp:val=&quot;7D40007C&quot;/&gt;&lt;wsp:rsid wsp:val=&quot;7D4023B4&quot;/&gt;&lt;wsp:rsid wsp:val=&quot;7D40373A&quot;/&gt;&lt;wsp:rsid wsp:val=&quot;7D424CD4&quot;/&gt;&lt;wsp:rsid wsp:val=&quot;7D44147C&quot;/&gt;&lt;wsp:rsid wsp:val=&quot;7D444E48&quot;/&gt;&lt;wsp:rsid wsp:val=&quot;7D456FA2&quot;/&gt;&lt;wsp:rsid wsp:val=&quot;7D474AC8&quot;/&gt;&lt;wsp:rsid wsp:val=&quot;7D484972&quot;/&gt;&lt;wsp:rsid wsp:val=&quot;7D494BA7&quot;/&gt;&lt;wsp:rsid wsp:val=&quot;7D496A92&quot;/&gt;&lt;wsp:rsid wsp:val=&quot;7D4A0A5C&quot;/&gt;&lt;wsp:rsid wsp:val=&quot;7D4B59EB&quot;/&gt;&lt;wsp:rsid wsp:val=&quot;7D4E33DB&quot;/&gt;&lt;wsp:rsid wsp:val=&quot;7D4F6073&quot;/&gt;&lt;wsp:rsid wsp:val=&quot;7D4F7E21&quot;/&gt;&lt;wsp:rsid wsp:val=&quot;7D511DEB&quot;/&gt;&lt;wsp:rsid wsp:val=&quot;7D52346D&quot;/&gt;&lt;wsp:rsid wsp:val=&quot;7D524328&quot;/&gt;&lt;wsp:rsid wsp:val=&quot;7D5316BF&quot;/&gt;&lt;wsp:rsid wsp:val=&quot;7D540579&quot;/&gt;&lt;wsp:rsid wsp:val=&quot;7D5771AB&quot;/&gt;&lt;wsp:rsid wsp:val=&quot;7D592A4D&quot;/&gt;&lt;wsp:rsid wsp:val=&quot;7D5947FB&quot;/&gt;&lt;wsp:rsid wsp:val=&quot;7D5B4A17&quot;/&gt;&lt;wsp:rsid wsp:val=&quot;7D5E0064&quot;/&gt;&lt;wsp:rsid wsp:val=&quot;7D5E40CD&quot;/&gt;&lt;wsp:rsid wsp:val=&quot;7D5E674A&quot;/&gt;&lt;wsp:rsid wsp:val=&quot;7D5F3C88&quot;/&gt;&lt;wsp:rsid wsp:val=&quot;7D5F62B6&quot;/&gt;&lt;wsp:rsid wsp:val=&quot;7D6003A6&quot;/&gt;&lt;wsp:rsid wsp:val=&quot;7D601980&quot;/&gt;&lt;wsp:rsid wsp:val=&quot;7D60202E&quot;/&gt;&lt;wsp:rsid wsp:val=&quot;7D652E27&quot;/&gt;&lt;wsp:rsid wsp:val=&quot;7D67516A&quot;/&gt;&lt;wsp:rsid wsp:val=&quot;7D67555F&quot;/&gt;&lt;wsp:rsid wsp:val=&quot;7D692C90&quot;/&gt;&lt;wsp:rsid wsp:val=&quot;7D697134&quot;/&gt;&lt;wsp:rsid wsp:val=&quot;7D6A07B6&quot;/&gt;&lt;wsp:rsid wsp:val=&quot;7D6B1788&quot;/&gt;&lt;wsp:rsid wsp:val=&quot;7D6B2EAC&quot;/&gt;&lt;wsp:rsid wsp:val=&quot;7D6C09D3&quot;/&gt;&lt;wsp:rsid wsp:val=&quot;7D6D33E9&quot;/&gt;&lt;wsp:rsid wsp:val=&quot;7D6E02A7&quot;/&gt;&lt;wsp:rsid wsp:val=&quot;7D6E474B&quot;/&gt;&lt;wsp:rsid wsp:val=&quot;7D6F5120&quot;/&gt;&lt;wsp:rsid wsp:val=&quot;7D711B45&quot;/&gt;&lt;wsp:rsid wsp:val=&quot;7D7274AA&quot;/&gt;&lt;wsp:rsid wsp:val=&quot;7D731D61&quot;/&gt;&lt;wsp:rsid wsp:val=&quot;7D73234A&quot;/&gt;&lt;wsp:rsid wsp:val=&quot;7D7635FF&quot;/&gt;&lt;wsp:rsid wsp:val=&quot;7D7706BD&quot;/&gt;&lt;wsp:rsid wsp:val=&quot;7D777879&quot;/&gt;&lt;wsp:rsid wsp:val=&quot;7D781125&quot;/&gt;&lt;wsp:rsid wsp:val=&quot;7D782ED3&quot;/&gt;&lt;wsp:rsid wsp:val=&quot;7D787377&quot;/&gt;&lt;wsp:rsid wsp:val=&quot;7D796C4C&quot;/&gt;&lt;wsp:rsid wsp:val=&quot;7D7A3160&quot;/&gt;&lt;wsp:rsid wsp:val=&quot;7D7B29C4&quot;/&gt;&lt;wsp:rsid wsp:val=&quot;7D7E2356&quot;/&gt;&lt;wsp:rsid wsp:val=&quot;7D7F0706&quot;/&gt;&lt;wsp:rsid wsp:val=&quot;7D7F24B4&quot;/&gt;&lt;wsp:rsid wsp:val=&quot;7D80128F&quot;/&gt;&lt;wsp:rsid wsp:val=&quot;7D801F0B&quot;/&gt;&lt;wsp:rsid wsp:val=&quot;7D80622C&quot;/&gt;&lt;wsp:rsid wsp:val=&quot;7D807FDA&quot;/&gt;&lt;wsp:rsid wsp:val=&quot;7D831878&quot;/&gt;&lt;wsp:rsid wsp:val=&quot;7D8361C8&quot;/&gt;&lt;wsp:rsid wsp:val=&quot;7D844A87&quot;/&gt;&lt;wsp:rsid wsp:val=&quot;7D8555F0&quot;/&gt;&lt;wsp:rsid wsp:val=&quot;7D860E2B&quot;/&gt;&lt;wsp:rsid wsp:val=&quot;7D871368&quot;/&gt;&lt;wsp:rsid wsp:val=&quot;7D89592A&quot;/&gt;&lt;wsp:rsid wsp:val=&quot;7D8A2C07&quot;/&gt;&lt;wsp:rsid wsp:val=&quot;7D8B70AB&quot;/&gt;&lt;wsp:rsid wsp:val=&quot;7D8C4BD1&quot;/&gt;&lt;wsp:rsid wsp:val=&quot;7D8C6DBE&quot;/&gt;&lt;wsp:rsid wsp:val=&quot;7D8E0949&quot;/&gt;&lt;wsp:rsid wsp:val=&quot;7D8E26F7&quot;/&gt;&lt;wsp:rsid wsp:val=&quot;7D8F646F&quot;/&gt;&lt;wsp:rsid wsp:val=&quot;7D8F7DEC&quot;/&gt;&lt;wsp:rsid wsp:val=&quot;7D9121E7&quot;/&gt;&lt;wsp:rsid wsp:val=&quot;7D92689C&quot;/&gt;&lt;wsp:rsid wsp:val=&quot;7D9336CB&quot;/&gt;&lt;wsp:rsid wsp:val=&quot;7D9341B1&quot;/&gt;&lt;wsp:rsid wsp:val=&quot;7D937D0D&quot;/&gt;&lt;wsp:rsid wsp:val=&quot;7D9677FD&quot;/&gt;&lt;wsp:rsid wsp:val=&quot;7D972E83&quot;/&gt;&lt;wsp:rsid wsp:val=&quot;7D9817C8&quot;/&gt;&lt;wsp:rsid wsp:val=&quot;7D983576&quot;/&gt;&lt;wsp:rsid wsp:val=&quot;7D98438D&quot;/&gt;&lt;wsp:rsid wsp:val=&quot;7D985324&quot;/&gt;&lt;wsp:rsid wsp:val=&quot;7D9A72EE&quot;/&gt;&lt;wsp:rsid wsp:val=&quot;7D9B3066&quot;/&gt;&lt;wsp:rsid wsp:val=&quot;7D9C18D5&quot;/&gt;&lt;wsp:rsid wsp:val=&quot;7D9E2DD0&quot;/&gt;&lt;wsp:rsid wsp:val=&quot;7DA0067C&quot;/&gt;&lt;wsp:rsid wsp:val=&quot;7DA261A2&quot;/&gt;&lt;wsp:rsid wsp:val=&quot;7DA4016C&quot;/&gt;&lt;wsp:rsid wsp:val=&quot;7DA55C93&quot;/&gt;&lt;wsp:rsid wsp:val=&quot;7DA63EE4&quot;/&gt;&lt;wsp:rsid wsp:val=&quot;7DA71A0B&quot;/&gt;&lt;wsp:rsid wsp:val=&quot;7DA912DF&quot;/&gt;&lt;wsp:rsid wsp:val=&quot;7DAA5DED&quot;/&gt;&lt;wsp:rsid wsp:val=&quot;7DAB14FB&quot;/&gt;&lt;wsp:rsid wsp:val=&quot;7DAC2806&quot;/&gt;&lt;wsp:rsid wsp:val=&quot;7DAE0FEB&quot;/&gt;&lt;wsp:rsid wsp:val=&quot;7DAE4B47&quot;/&gt;&lt;wsp:rsid wsp:val=&quot;7DAF266D&quot;/&gt;&lt;wsp:rsid wsp:val=&quot;7DB008BF&quot;/&gt;&lt;wsp:rsid wsp:val=&quot;7DB14637&quot;/&gt;&lt;wsp:rsid wsp:val=&quot;7DB3215D&quot;/&gt;&lt;wsp:rsid wsp:val=&quot;7DB52379&quot;/&gt;&lt;wsp:rsid wsp:val=&quot;7DB54128&quot;/&gt;&lt;wsp:rsid wsp:val=&quot;7DB61C4E&quot;/&gt;&lt;wsp:rsid wsp:val=&quot;7DB859C6&quot;/&gt;&lt;wsp:rsid wsp:val=&quot;7DB94E07&quot;/&gt;&lt;wsp:rsid wsp:val=&quot;7DBB2AB4&quot;/&gt;&lt;wsp:rsid wsp:val=&quot;7DBB7264&quot;/&gt;&lt;wsp:rsid wsp:val=&quot;7DBD122E&quot;/&gt;&lt;wsp:rsid wsp:val=&quot;7DBD4D8A&quot;/&gt;&lt;wsp:rsid wsp:val=&quot;7DBF0B02&quot;/&gt;&lt;wsp:rsid wsp:val=&quot;7DBF6B39&quot;/&gt;&lt;wsp:rsid wsp:val=&quot;7DC10D1E&quot;/&gt;&lt;wsp:rsid wsp:val=&quot;7DC425BD&quot;/&gt;&lt;wsp:rsid wsp:val=&quot;7DC46119&quot;/&gt;&lt;wsp:rsid wsp:val=&quot;7DC73E5B&quot;/&gt;&lt;wsp:rsid wsp:val=&quot;7DCA74A7&quot;/&gt;&lt;wsp:rsid wsp:val=&quot;7DCC321F&quot;/&gt;&lt;wsp:rsid wsp:val=&quot;7DCC3C07&quot;/&gt;&lt;wsp:rsid wsp:val=&quot;7DCD56F2&quot;/&gt;&lt;wsp:rsid wsp:val=&quot;7DD02D0F&quot;/&gt;&lt;wsp:rsid wsp:val=&quot;7DD06D82&quot;/&gt;&lt;wsp:rsid wsp:val=&quot;7DD16A88&quot;/&gt;&lt;wsp:rsid wsp:val=&quot;7DD24CD9&quot;/&gt;&lt;wsp:rsid wsp:val=&quot;7DD32800&quot;/&gt;&lt;wsp:rsid wsp:val=&quot;7DD56578&quot;/&gt;&lt;wsp:rsid wsp:val=&quot;7DD8176D&quot;/&gt;&lt;wsp:rsid wsp:val=&quot;7DD87E16&quot;/&gt;&lt;wsp:rsid wsp:val=&quot;7DD918A9&quot;/&gt;&lt;wsp:rsid wsp:val=&quot;7DD95881&quot;/&gt;&lt;wsp:rsid wsp:val=&quot;7DDC7906&quot;/&gt;&lt;wsp:rsid wsp:val=&quot;7DDC79A9&quot;/&gt;&lt;wsp:rsid wsp:val=&quot;7DDD542C&quot;/&gt;&lt;wsp:rsid wsp:val=&quot;7DDD6DD3&quot;/&gt;&lt;wsp:rsid wsp:val=&quot;7DDF2F52&quot;/&gt;&lt;wsp:rsid wsp:val=&quot;7DDF73F6&quot;/&gt;&lt;wsp:rsid wsp:val=&quot;7DE06CCB&quot;/&gt;&lt;wsp:rsid wsp:val=&quot;7DE14F1D&quot;/&gt;&lt;wsp:rsid wsp:val=&quot;7DE20C95&quot;/&gt;&lt;wsp:rsid wsp:val=&quot;7DE44A0D&quot;/&gt;&lt;wsp:rsid wsp:val=&quot;7DE467BB&quot;/&gt;&lt;wsp:rsid wsp:val=&quot;7DE47E14&quot;/&gt;&lt;wsp:rsid wsp:val=&quot;7DE93DD1&quot;/&gt;&lt;wsp:rsid wsp:val=&quot;7DEB5D9B&quot;/&gt;&lt;wsp:rsid wsp:val=&quot;7DEB7B49&quot;/&gt;&lt;wsp:rsid wsp:val=&quot;7DEC38C1&quot;/&gt;&lt;wsp:rsid wsp:val=&quot;7DED1B13&quot;/&gt;&lt;wsp:rsid wsp:val=&quot;7DF05160&quot;/&gt;&lt;wsp:rsid wsp:val=&quot;7DF34C50&quot;/&gt;&lt;wsp:rsid wsp:val=&quot;7DF369FE&quot;/&gt;&lt;wsp:rsid wsp:val=&quot;7DF509C8&quot;/&gt;&lt;wsp:rsid wsp:val=&quot;7DF52776&quot;/&gt;&lt;wsp:rsid wsp:val=&quot;7DF53919&quot;/&gt;&lt;wsp:rsid wsp:val=&quot;7DF6029C&quot;/&gt;&lt;wsp:rsid wsp:val=&quot;7DF73FD2&quot;/&gt;&lt;wsp:rsid wsp:val=&quot;7DF82266&quot;/&gt;&lt;wsp:rsid wsp:val=&quot;7DFA0355&quot;/&gt;&lt;wsp:rsid wsp:val=&quot;7DFC1D56&quot;/&gt;&lt;wsp:rsid wsp:val=&quot;7DFD162B&quot;/&gt;&lt;wsp:rsid wsp:val=&quot;7DFD20AA&quot;/&gt;&lt;wsp:rsid wsp:val=&quot;7DFD5ACF&quot;/&gt;&lt;wsp:rsid wsp:val=&quot;7DFD787D&quot;/&gt;&lt;wsp:rsid wsp:val=&quot;7DFF35F5&quot;/&gt;&lt;wsp:rsid wsp:val=&quot;7DFF53A3&quot;/&gt;&lt;wsp:rsid wsp:val=&quot;7E000A2B&quot;/&gt;&lt;wsp:rsid wsp:val=&quot;7E003F9D&quot;/&gt;&lt;wsp:rsid wsp:val=&quot;7E024E93&quot;/&gt;&lt;wsp:rsid wsp:val=&quot;7E026C41&quot;/&gt;&lt;wsp:rsid wsp:val=&quot;7E040C0B&quot;/&gt;&lt;wsp:rsid wsp:val=&quot;7E0429B9&quot;/&gt;&lt;wsp:rsid wsp:val=&quot;7E096221&quot;/&gt;&lt;wsp:rsid wsp:val=&quot;7E0977F0&quot;/&gt;&lt;wsp:rsid wsp:val=&quot;7E097FCF&quot;/&gt;&lt;wsp:rsid wsp:val=&quot;7E0B01EB&quot;/&gt;&lt;wsp:rsid wsp:val=&quot;7E0B1F99&quot;/&gt;&lt;wsp:rsid wsp:val=&quot;7E0B673C&quot;/&gt;&lt;wsp:rsid wsp:val=&quot;7E0C7AC0&quot;/&gt;&lt;wsp:rsid wsp:val=&quot;7E0E5F91&quot;/&gt;&lt;wsp:rsid wsp:val=&quot;7E121076&quot;/&gt;&lt;wsp:rsid wsp:val=&quot;7E123328&quot;/&gt;&lt;wsp:rsid wsp:val=&quot;7E125FC0&quot;/&gt;&lt;wsp:rsid wsp:val=&quot;7E130E4E&quot;/&gt;&lt;wsp:rsid wsp:val=&quot;7E1352F2&quot;/&gt;&lt;wsp:rsid wsp:val=&quot;7E1370A0&quot;/&gt;&lt;wsp:rsid wsp:val=&quot;7E140841&quot;/&gt;&lt;wsp:rsid wsp:val=&quot;7E142CC9&quot;/&gt;&lt;wsp:rsid wsp:val=&quot;7E155919&quot;/&gt;&lt;wsp:rsid wsp:val=&quot;7E156974&quot;/&gt;&lt;wsp:rsid wsp:val=&quot;7E1626EC&quot;/&gt;&lt;wsp:rsid wsp:val=&quot;7E1846B6&quot;/&gt;&lt;wsp:rsid wsp:val=&quot;7E186464&quot;/&gt;&lt;wsp:rsid wsp:val=&quot;7E196427&quot;/&gt;&lt;wsp:rsid wsp:val=&quot;7E1A042F&quot;/&gt;&lt;wsp:rsid wsp:val=&quot;7E1C41A7&quot;/&gt;&lt;wsp:rsid wsp:val=&quot;7E1C5F55&quot;/&gt;&lt;wsp:rsid wsp:val=&quot;7E1E7F1F&quot;/&gt;&lt;wsp:rsid wsp:val=&quot;7E1F3C97&quot;/&gt;&lt;wsp:rsid wsp:val=&quot;7E2059DB&quot;/&gt;&lt;wsp:rsid wsp:val=&quot;7E21356B&quot;/&gt;&lt;wsp:rsid wsp:val=&quot;7E215319&quot;/&gt;&lt;wsp:rsid wsp:val=&quot;7E235535&quot;/&gt;&lt;wsp:rsid wsp:val=&quot;7E244E09&quot;/&gt;&lt;wsp:rsid wsp:val=&quot;7E2651F7&quot;/&gt;&lt;wsp:rsid wsp:val=&quot;7E2A3C98&quot;/&gt;&lt;wsp:rsid wsp:val=&quot;7E2B43EA&quot;/&gt;&lt;wsp:rsid wsp:val=&quot;7E2B727B&quot;/&gt;&lt;wsp:rsid wsp:val=&quot;7E2D0162&quot;/&gt;&lt;wsp:rsid wsp:val=&quot;7E2E3EDA&quot;/&gt;&lt;wsp:rsid wsp:val=&quot;7E2E5C88&quot;/&gt;&lt;wsp:rsid wsp:val=&quot;7E3037AE&quot;/&gt;&lt;wsp:rsid wsp:val=&quot;7E327526&quot;/&gt;&lt;wsp:rsid wsp:val=&quot;7E34648B&quot;/&gt;&lt;wsp:rsid wsp:val=&quot;7E350DC4&quot;/&gt;&lt;wsp:rsid wsp:val=&quot;7E357016&quot;/&gt;&lt;wsp:rsid wsp:val=&quot;7E394D59&quot;/&gt;&lt;wsp:rsid wsp:val=&quot;7E3A287F&quot;/&gt;&lt;wsp:rsid wsp:val=&quot;7E3C60AD&quot;/&gt;&lt;wsp:rsid wsp:val=&quot;7E3C65F7&quot;/&gt;&lt;wsp:rsid wsp:val=&quot;7E3D5ECB&quot;/&gt;&lt;wsp:rsid wsp:val=&quot;7E3F60E7&quot;/&gt;&lt;wsp:rsid wsp:val=&quot;7E405EBE&quot;/&gt;&lt;wsp:rsid wsp:val=&quot;7E4234E1&quot;/&gt;&lt;wsp:rsid wsp:val=&quot;7E423C46&quot;/&gt;&lt;wsp:rsid wsp:val=&quot;7E431733&quot;/&gt;&lt;wsp:rsid wsp:val=&quot;7E464D80&quot;/&gt;&lt;wsp:rsid wsp:val=&quot;7E4B05E8&quot;/&gt;&lt;wsp:rsid wsp:val=&quot;7E4B4A8C&quot;/&gt;&lt;wsp:rsid wsp:val=&quot;7E4D4360&quot;/&gt;&lt;wsp:rsid wsp:val=&quot;7E4E5849&quot;/&gt;&lt;wsp:rsid wsp:val=&quot;7E5020A2&quot;/&gt;&lt;wsp:rsid wsp:val=&quot;7E505BFE&quot;/&gt;&lt;wsp:rsid wsp:val=&quot;7E510584&quot;/&gt;&lt;wsp:rsid wsp:val=&quot;7E551467&quot;/&gt;&lt;wsp:rsid wsp:val=&quot;7E573431&quot;/&gt;&lt;wsp:rsid wsp:val=&quot;7E582D05&quot;/&gt;&lt;wsp:rsid wsp:val=&quot;7E5971A9&quot;/&gt;&lt;wsp:rsid wsp:val=&quot;7E5A4CCF&quot;/&gt;&lt;wsp:rsid wsp:val=&quot;7E5E656D&quot;/&gt;&lt;wsp:rsid wsp:val=&quot;7E5F1447&quot;/&gt;&lt;wsp:rsid wsp:val=&quot;7E621509&quot;/&gt;&lt;wsp:rsid wsp:val=&quot;7E627771&quot;/&gt;&lt;wsp:rsid wsp:val=&quot;7E631DD5&quot;/&gt;&lt;wsp:rsid wsp:val=&quot;7E633AAA&quot;/&gt;&lt;wsp:rsid wsp:val=&quot;7E633B84&quot;/&gt;&lt;wsp:rsid wsp:val=&quot;7E635932&quot;/&gt;&lt;wsp:rsid wsp:val=&quot;7E665422&quot;/&gt;&lt;wsp:rsid wsp:val=&quot;7E6A6190&quot;/&gt;&lt;wsp:rsid wsp:val=&quot;7E6B58D5&quot;/&gt;&lt;wsp:rsid wsp:val=&quot;7E6D4A02&quot;/&gt;&lt;wsp:rsid wsp:val=&quot;7E6E4135&quot;/&gt;&lt;wsp:rsid wsp:val=&quot;7E6F7507&quot;/&gt;&lt;wsp:rsid wsp:val=&quot;7E70004F&quot;/&gt;&lt;wsp:rsid wsp:val=&quot;7E703825&quot;/&gt;&lt;wsp:rsid wsp:val=&quot;7E725B75&quot;/&gt;&lt;wsp:rsid wsp:val=&quot;7E7757D5&quot;/&gt;&lt;wsp:rsid wsp:val=&quot;7E7933A7&quot;/&gt;&lt;wsp:rsid wsp:val=&quot;7E7A0ECD&quot;/&gt;&lt;wsp:rsid wsp:val=&quot;7E7A2C7B&quot;/&gt;&lt;wsp:rsid wsp:val=&quot;7E7A711F&quot;/&gt;&lt;wsp:rsid wsp:val=&quot;7E7E6C0F&quot;/&gt;&lt;wsp:rsid wsp:val=&quot;7E7F0292&quot;/&gt;&lt;wsp:rsid wsp:val=&quot;7E7F64E4&quot;/&gt;&lt;wsp:rsid wsp:val=&quot;7E81400A&quot;/&gt;&lt;wsp:rsid wsp:val=&quot;7E834226&quot;/&gt;&lt;wsp:rsid wsp:val=&quot;7E857F9E&quot;/&gt;&lt;wsp:rsid wsp:val=&quot;7E861620&quot;/&gt;&lt;wsp:rsid wsp:val=&quot;7E8807F6&quot;/&gt;&lt;wsp:rsid wsp:val=&quot;7E8835EA&quot;/&gt;&lt;wsp:rsid wsp:val=&quot;7E891110&quot;/&gt;&lt;wsp:rsid wsp:val=&quot;7E8A4D88&quot;/&gt;&lt;wsp:rsid wsp:val=&quot;7E8A5B6F&quot;/&gt;&lt;wsp:rsid wsp:val=&quot;7E8B30DA&quot;/&gt;&lt;wsp:rsid wsp:val=&quot;7E8B6C36&quot;/&gt;&lt;wsp:rsid wsp:val=&quot;7E8C49F5&quot;/&gt;&lt;wsp:rsid wsp:val=&quot;7E8D44C5&quot;/&gt;&lt;wsp:rsid wsp:val=&quot;7E8D6E52&quot;/&gt;&lt;wsp:rsid wsp:val=&quot;7E8E6727&quot;/&gt;&lt;wsp:rsid wsp:val=&quot;7E8F2BCB&quot;/&gt;&lt;wsp:rsid wsp:val=&quot;7E902E46&quot;/&gt;&lt;wsp:rsid wsp:val=&quot;7E906943&quot;/&gt;&lt;wsp:rsid wsp:val=&quot;7E924469&quot;/&gt;&lt;wsp:rsid wsp:val=&quot;7E933E58&quot;/&gt;&lt;wsp:rsid wsp:val=&quot;7E9401E1&quot;/&gt;&lt;wsp:rsid wsp:val=&quot;7E971A7F&quot;/&gt;&lt;wsp:rsid wsp:val=&quot;7E975577&quot;/&gt;&lt;wsp:rsid wsp:val=&quot;7E9957F7&quot;/&gt;&lt;wsp:rsid wsp:val=&quot;7E9A3EF8&quot;/&gt;&lt;wsp:rsid wsp:val=&quot;7E9B6AC9&quot;/&gt;&lt;wsp:rsid wsp:val=&quot;7E9C13E9&quot;/&gt;&lt;wsp:rsid wsp:val=&quot;7E9C48E7&quot;/&gt;&lt;wsp:rsid wsp:val=&quot;7E9E2E0E&quot;/&gt;&lt;wsp:rsid wsp:val=&quot;7E9F0934&quot;/&gt;&lt;wsp:rsid wsp:val=&quot;7E9F26E2&quot;/&gt;&lt;wsp:rsid wsp:val=&quot;7EA128FE&quot;/&gt;&lt;wsp:rsid wsp:val=&quot;7EA321D2&quot;/&gt;&lt;wsp:rsid wsp:val=&quot;7EA5419C&quot;/&gt;&lt;wsp:rsid wsp:val=&quot;7EA61CC2&quot;/&gt;&lt;wsp:rsid wsp:val=&quot;7EA83C8C&quot;/&gt;&lt;wsp:rsid wsp:val=&quot;7EA85A3A&quot;/&gt;&lt;wsp:rsid wsp:val=&quot;7EA877E8&quot;/&gt;&lt;wsp:rsid wsp:val=&quot;7EAA17B2&quot;/&gt;&lt;wsp:rsid wsp:val=&quot;7EAB50F7&quot;/&gt;&lt;wsp:rsid wsp:val=&quot;7EAB7A4E&quot;/&gt;&lt;wsp:rsid wsp:val=&quot;7EAD3051&quot;/&gt;&lt;wsp:rsid wsp:val=&quot;7EAD3724&quot;/&gt;&lt;wsp:rsid wsp:val=&quot;7EAD4DFF&quot;/&gt;&lt;wsp:rsid wsp:val=&quot;7EB0669D&quot;/&gt;&lt;wsp:rsid wsp:val=&quot;7EB138C0&quot;/&gt;&lt;wsp:rsid wsp:val=&quot;7EB24D50&quot;/&gt;&lt;wsp:rsid wsp:val=&quot;7EB268B9&quot;/&gt;&lt;wsp:rsid wsp:val=&quot;7EB40DB1&quot;/&gt;&lt;wsp:rsid wsp:val=&quot;7EB42631&quot;/&gt;&lt;wsp:rsid wsp:val=&quot;7EB451A2&quot;/&gt;&lt;wsp:rsid wsp:val=&quot;7EB61686&quot;/&gt;&lt;wsp:rsid wsp:val=&quot;7EB75C7D&quot;/&gt;&lt;wsp:rsid wsp:val=&quot;7EBA751C&quot;/&gt;&lt;wsp:rsid wsp:val=&quot;7EBC3294&quot;/&gt;&lt;wsp:rsid wsp:val=&quot;7EBD7E66&quot;/&gt;&lt;wsp:rsid wsp:val=&quot;7EBF08B1&quot;/&gt;&lt;wsp:rsid wsp:val=&quot;7EC00FD6&quot;/&gt;&lt;wsp:rsid wsp:val=&quot;7EC16AFC&quot;/&gt;&lt;wsp:rsid wsp:val=&quot;7EC2593C&quot;/&gt;&lt;wsp:rsid wsp:val=&quot;7EC363D0&quot;/&gt;&lt;wsp:rsid wsp:val=&quot;7EC5039A&quot;/&gt;&lt;wsp:rsid wsp:val=&quot;7EC50D5E&quot;/&gt;&lt;wsp:rsid wsp:val=&quot;7EC531C6&quot;/&gt;&lt;wsp:rsid wsp:val=&quot;7EC65EC0&quot;/&gt;&lt;wsp:rsid wsp:val=&quot;7EC81C39&quot;/&gt;&lt;wsp:rsid wsp:val=&quot;7EC860DC&quot;/&gt;&lt;wsp:rsid wsp:val=&quot;7EC9775F&quot;/&gt;&lt;wsp:rsid wsp:val=&quot;7ECA59B1&quot;/&gt;&lt;wsp:rsid wsp:val=&quot;7ECC2D22&quot;/&gt;&lt;wsp:rsid wsp:val=&quot;7ECD54A1&quot;/&gt;&lt;wsp:rsid wsp:val=&quot;7ECF746B&quot;/&gt;&lt;wsp:rsid wsp:val=&quot;7ED06D3F&quot;/&gt;&lt;wsp:rsid wsp:val=&quot;7ED14F91&quot;/&gt;&lt;wsp:rsid wsp:val=&quot;7ED20D09&quot;/&gt;&lt;wsp:rsid wsp:val=&quot;7ED22AB7&quot;/&gt;&lt;wsp:rsid wsp:val=&quot;7ED3017A&quot;/&gt;&lt;wsp:rsid wsp:val=&quot;7ED405DD&quot;/&gt;&lt;wsp:rsid wsp:val=&quot;7ED4682F&quot;/&gt;&lt;wsp:rsid wsp:val=&quot;7ED54355&quot;/&gt;&lt;wsp:rsid wsp:val=&quot;7ED607F9&quot;/&gt;&lt;wsp:rsid wsp:val=&quot;7ED93E46&quot;/&gt;&lt;wsp:rsid wsp:val=&quot;7ED97EFB&quot;/&gt;&lt;wsp:rsid wsp:val=&quot;7EDA196C&quot;/&gt;&lt;wsp:rsid wsp:val=&quot;7EDA1D53&quot;/&gt;&lt;wsp:rsid wsp:val=&quot;7EDB7BBE&quot;/&gt;&lt;wsp:rsid wsp:val=&quot;7EDC1B88&quot;/&gt;&lt;wsp:rsid wsp:val=&quot;7EDC7492&quot;/&gt;&lt;wsp:rsid wsp:val=&quot;7EDE320A&quot;/&gt;&lt;wsp:rsid wsp:val=&quot;7EDE76AE&quot;/&gt;&lt;wsp:rsid wsp:val=&quot;7EE051FD&quot;/&gt;&lt;wsp:rsid wsp:val=&quot;7EE10F4C&quot;/&gt;&lt;wsp:rsid wsp:val=&quot;7EE12CFA&quot;/&gt;&lt;wsp:rsid wsp:val=&quot;7EE30820&quot;/&gt;&lt;wsp:rsid wsp:val=&quot;7EE747B5&quot;/&gt;&lt;wsp:rsid wsp:val=&quot;7EE8052D&quot;/&gt;&lt;wsp:rsid wsp:val=&quot;7EED169F&quot;/&gt;&lt;wsp:rsid wsp:val=&quot;7EED5B43&quot;/&gt;&lt;wsp:rsid wsp:val=&quot;7EEF71C5&quot;/&gt;&lt;wsp:rsid wsp:val=&quot;7EF00CCA&quot;/&gt;&lt;wsp:rsid wsp:val=&quot;7EF02F3D&quot;/&gt;&lt;wsp:rsid wsp:val=&quot;7EF03E00&quot;/&gt;&lt;wsp:rsid wsp:val=&quot;7EF20AA2&quot;/&gt;&lt;wsp:rsid wsp:val=&quot;7EF23899&quot;/&gt;&lt;wsp:rsid wsp:val=&quot;7EF40C80&quot;/&gt;&lt;wsp:rsid wsp:val=&quot;7EF415E7&quot;/&gt;&lt;wsp:rsid wsp:val=&quot;7EF42A2E&quot;/&gt;&lt;wsp:rsid wsp:val=&quot;7EF649F8&quot;/&gt;&lt;wsp:rsid wsp:val=&quot;7EF7251E&quot;/&gt;&lt;wsp:rsid wsp:val=&quot;7EF742CC&quot;/&gt;&lt;wsp:rsid wsp:val=&quot;7EF931C4&quot;/&gt;&lt;wsp:rsid wsp:val=&quot;7EFA0B2A&quot;/&gt;&lt;wsp:rsid wsp:val=&quot;7EFB3DBC&quot;/&gt;&lt;wsp:rsid wsp:val=&quot;7EFC5D86&quot;/&gt;&lt;wsp:rsid wsp:val=&quot;7EFE38AC&quot;/&gt;&lt;wsp:rsid wsp:val=&quot;7F001CE7&quot;/&gt;&lt;wsp:rsid wsp:val=&quot;7F0215EE&quot;/&gt;&lt;wsp:rsid wsp:val=&quot;7F032C71&quot;/&gt;&lt;wsp:rsid wsp:val=&quot;7F054C3B&quot;/&gt;&lt;wsp:rsid wsp:val=&quot;7F062761&quot;/&gt;&lt;wsp:rsid wsp:val=&quot;7F0709B3&quot;/&gt;&lt;wsp:rsid wsp:val=&quot;7F076C05&quot;/&gt;&lt;wsp:rsid wsp:val=&quot;7F0A3FFF&quot;/&gt;&lt;wsp:rsid wsp:val=&quot;7F0C281B&quot;/&gt;&lt;wsp:rsid wsp:val=&quot;7F0F1615&quot;/&gt;&lt;wsp:rsid wsp:val=&quot;7F0F5AB9&quot;/&gt;&lt;wsp:rsid wsp:val=&quot;7F0F7867&quot;/&gt;&lt;wsp:rsid wsp:val=&quot;7F1042DC&quot;/&gt;&lt;wsp:rsid wsp:val=&quot;7F122CEE&quot;/&gt;&lt;wsp:rsid wsp:val=&quot;7F127358&quot;/&gt;&lt;wsp:rsid wsp:val=&quot;7F141322&quot;/&gt;&lt;wsp:rsid wsp:val=&quot;7F1430D0&quot;/&gt;&lt;wsp:rsid wsp:val=&quot;7F1629A4&quot;/&gt;&lt;wsp:rsid wsp:val=&quot;7F166E48&quot;/&gt;&lt;wsp:rsid wsp:val=&quot;7F17164A&quot;/&gt;&lt;wsp:rsid wsp:val=&quot;7F17496E&quot;/&gt;&lt;wsp:rsid wsp:val=&quot;7F182BC0&quot;/&gt;&lt;wsp:rsid wsp:val=&quot;7F1B620C&quot;/&gt;&lt;wsp:rsid wsp:val=&quot;7F1B7CAE&quot;/&gt;&lt;wsp:rsid wsp:val=&quot;7F1C287F&quot;/&gt;&lt;wsp:rsid wsp:val=&quot;7F1C3D32&quot;/&gt;&lt;wsp:rsid wsp:val=&quot;7F207CC7&quot;/&gt;&lt;wsp:rsid wsp:val=&quot;7F211349&quot;/&gt;&lt;wsp:rsid wsp:val=&quot;7F2257ED&quot;/&gt;&lt;wsp:rsid wsp:val=&quot;7F241613&quot;/&gt;&lt;wsp:rsid wsp:val=&quot;7F250E39&quot;/&gt;&lt;wsp:rsid wsp:val=&quot;7F253C46&quot;/&gt;&lt;wsp:rsid wsp:val=&quot;7F264BB1&quot;/&gt;&lt;wsp:rsid wsp:val=&quot;7F2770C2&quot;/&gt;&lt;wsp:rsid wsp:val=&quot;7F294E83&quot;/&gt;&lt;wsp:rsid wsp:val=&quot;7F2A46A1&quot;/&gt;&lt;wsp:rsid wsp:val=&quot;7F2A6313&quot;/&gt;&lt;wsp:rsid wsp:val=&quot;7F2C21C7&quot;/&gt;&lt;wsp:rsid wsp:val=&quot;7F2D4191&quot;/&gt;&lt;wsp:rsid wsp:val=&quot;7F2E7F2D&quot;/&gt;&lt;wsp:rsid wsp:val=&quot;7F2F3A66&quot;/&gt;&lt;wsp:rsid wsp:val=&quot;7F2F7F0A&quot;/&gt;&lt;wsp:rsid wsp:val=&quot;7F315A30&quot;/&gt;&lt;wsp:rsid wsp:val=&quot;7F323556&quot;/&gt;&lt;wsp:rsid wsp:val=&quot;7F327676&quot;/&gt;&lt;wsp:rsid wsp:val=&quot;7F34107C&quot;/&gt;&lt;wsp:rsid wsp:val=&quot;7F3472CE&quot;/&gt;&lt;wsp:rsid wsp:val=&quot;7F385E37&quot;/&gt;&lt;wsp:rsid wsp:val=&quot;7F392B36&quot;/&gt;&lt;wsp:rsid wsp:val=&quot;7F393237&quot;/&gt;&lt;wsp:rsid wsp:val=&quot;7F3A0C3E&quot;/&gt;&lt;wsp:rsid wsp:val=&quot;7F3B065C&quot;/&gt;&lt;wsp:rsid wsp:val=&quot;7F3D43D5&quot;/&gt;&lt;wsp:rsid wsp:val=&quot;7F3E2029&quot;/&gt;&lt;wsp:rsid wsp:val=&quot;7F401C7A&quot;/&gt;&lt;wsp:rsid wsp:val=&quot;7F420B28&quot;/&gt;&lt;wsp:rsid wsp:val=&quot;7F425A2A&quot;/&gt;&lt;wsp:rsid wsp:val=&quot;7F437511&quot;/&gt;&lt;wsp:rsid wsp:val=&quot;7F4514DB&quot;/&gt;&lt;wsp:rsid wsp:val=&quot;7F453289&quot;/&gt;&lt;wsp:rsid wsp:val=&quot;7F45772D&quot;/&gt;&lt;wsp:rsid wsp:val=&quot;7F4643AB&quot;/&gt;&lt;wsp:rsid wsp:val=&quot;7F4734A5&quot;/&gt;&lt;wsp:rsid wsp:val=&quot;7F475253&quot;/&gt;&lt;wsp:rsid wsp:val=&quot;7F482D79&quot;/&gt;&lt;wsp:rsid wsp:val=&quot;7F496799&quot;/&gt;&lt;wsp:rsid wsp:val=&quot;7F4A08A0&quot;/&gt;&lt;wsp:rsid wsp:val=&quot;7F4A4D43&quot;/&gt;&lt;wsp:rsid wsp:val=&quot;7F4A6AF1&quot;/&gt;&lt;wsp:rsid wsp:val=&quot;7F4D5B65&quot;/&gt;&lt;wsp:rsid wsp:val=&quot;7F4F235A&quot;/&gt;&lt;wsp:rsid wsp:val=&quot;7F52633B&quot;/&gt;&lt;wsp:rsid wsp:val=&quot;7F565496&quot;/&gt;&lt;wsp:rsid wsp:val=&quot;7F5867C0&quot;/&gt;&lt;wsp:rsid wsp:val=&quot;7F587460&quot;/&gt;&lt;wsp:rsid wsp:val=&quot;7F596D35&quot;/&gt;&lt;wsp:rsid wsp:val=&quot;7F5B1BB7&quot;/&gt;&lt;wsp:rsid wsp:val=&quot;7F5B30BB&quot;/&gt;&lt;wsp:rsid wsp:val=&quot;7F5C05D3&quot;/&gt;&lt;wsp:rsid wsp:val=&quot;7F5D4E94&quot;/&gt;&lt;wsp:rsid wsp:val=&quot;7F5F07EF&quot;/&gt;&lt;wsp:rsid wsp:val=&quot;7F623E3B&quot;/&gt;&lt;wsp:rsid wsp:val=&quot;7F625BE9&quot;/&gt;&lt;wsp:rsid wsp:val=&quot;7F642A82&quot;/&gt;&lt;wsp:rsid wsp:val=&quot;7F65392B&quot;/&gt;&lt;wsp:rsid wsp:val=&quot;7F66411F&quot;/&gt;&lt;wsp:rsid wsp:val=&quot;7F671451&quot;/&gt;&lt;wsp:rsid wsp:val=&quot;7F6749FC&quot;/&gt;&lt;wsp:rsid wsp:val=&quot;7F686806&quot;/&gt;&lt;wsp:rsid wsp:val=&quot;7F6C0C97&quot;/&gt;&lt;wsp:rsid wsp:val=&quot;7F6C4CBA&quot;/&gt;&lt;wsp:rsid wsp:val=&quot;7F6F6558&quot;/&gt;&lt;wsp:rsid wsp:val=&quot;7F700A57&quot;/&gt;&lt;wsp:rsid wsp:val=&quot;7F720EA7&quot;/&gt;&lt;wsp:rsid wsp:val=&quot;7F722CA2&quot;/&gt;&lt;wsp:rsid wsp:val=&quot;7F737DF6&quot;/&gt;&lt;wsp:rsid wsp:val=&quot;7F74591C&quot;/&gt;&lt;wsp:rsid wsp:val=&quot;7F754A2B&quot;/&gt;&lt;wsp:rsid wsp:val=&quot;7F761695&quot;/&gt;&lt;wsp:rsid wsp:val=&quot;7F765B38&quot;/&gt;&lt;wsp:rsid wsp:val=&quot;7F7678E7&quot;/&gt;&lt;wsp:rsid wsp:val=&quot;7F7818B1&quot;/&gt;&lt;wsp:rsid wsp:val=&quot;7F78540D&quot;/&gt;&lt;wsp:rsid wsp:val=&quot;7F7B472A&quot;/&gt;&lt;wsp:rsid wsp:val=&quot;7F7F5C7C&quot;/&gt;&lt;wsp:rsid wsp:val=&quot;7F824394&quot;/&gt;&lt;wsp:rsid wsp:val=&quot;7F82628B&quot;/&gt;&lt;wsp:rsid wsp:val=&quot;7F842003&quot;/&gt;&lt;wsp:rsid wsp:val=&quot;7F8457DC&quot;/&gt;&lt;wsp:rsid wsp:val=&quot;7F846F1D&quot;/&gt;&lt;wsp:rsid wsp:val=&quot;7F8518D8&quot;/&gt;&lt;wsp:rsid wsp:val=&quot;7F855246&quot;/&gt;&lt;wsp:rsid wsp:val=&quot;7F855D7C&quot;/&gt;&lt;wsp:rsid wsp:val=&quot;7F857B2A&quot;/&gt;&lt;wsp:rsid wsp:val=&quot;7F871AF4&quot;/&gt;&lt;wsp:rsid wsp:val=&quot;7F8813C8&quot;/&gt;&lt;wsp:rsid wsp:val=&quot;7F8879AA&quot;/&gt;&lt;wsp:rsid wsp:val=&quot;7F892B1E&quot;/&gt;&lt;wsp:rsid wsp:val=&quot;7F8C0EB8&quot;/&gt;&lt;wsp:rsid wsp:val=&quot;7F8F4102&quot;/&gt;&lt;wsp:rsid wsp:val=&quot;7F914720&quot;/&gt;&lt;wsp:rsid wsp:val=&quot;7F925AEA&quot;/&gt;&lt;wsp:rsid wsp:val=&quot;7F932247&quot;/&gt;&lt;wsp:rsid wsp:val=&quot;7F963AE5&quot;/&gt;&lt;wsp:rsid wsp:val=&quot;7F970ECA&quot;/&gt;&lt;wsp:rsid wsp:val=&quot;7F98785D&quot;/&gt;&lt;wsp:rsid wsp:val=&quot;7F997CB3&quot;/&gt;&lt;wsp:rsid wsp:val=&quot;7F9B734D&quot;/&gt;&lt;wsp:rsid wsp:val=&quot;7F9D1317&quot;/&gt;&lt;wsp:rsid wsp:val=&quot;7F9D6634&quot;/&gt;&lt;wsp:rsid wsp:val=&quot;7F9F508F&quot;/&gt;&lt;wsp:rsid wsp:val=&quot;7F9F6E3D&quot;/&gt;&lt;wsp:rsid wsp:val=&quot;7FA03EF9&quot;/&gt;&lt;wsp:rsid wsp:val=&quot;7FA426A6&quot;/&gt;&lt;wsp:rsid wsp:val=&quot;7FA44454&quot;/&gt;&lt;wsp:rsid wsp:val=&quot;7FA56256&quot;/&gt;&lt;wsp:rsid wsp:val=&quot;7FA610A8&quot;/&gt;&lt;wsp:rsid wsp:val=&quot;7FA676E6&quot;/&gt;&lt;wsp:rsid wsp:val=&quot;7FA73F44&quot;/&gt;&lt;wsp:rsid wsp:val=&quot;7FA77392&quot;/&gt;&lt;wsp:rsid wsp:val=&quot;7FA93855&quot;/&gt;&lt;wsp:rsid wsp:val=&quot;7FA97CBC&quot;/&gt;&lt;wsp:rsid wsp:val=&quot;7FAA68F3&quot;/&gt;&lt;wsp:rsid wsp:val=&quot;7FAC4C99&quot;/&gt;&lt;wsp:rsid wsp:val=&quot;7FAC50B6&quot;/&gt;&lt;wsp:rsid wsp:val=&quot;7FAE0F2C&quot;/&gt;&lt;wsp:rsid wsp:val=&quot;7FAF0FC2&quot;/&gt;&lt;wsp:rsid wsp:val=&quot;7FAF2DF8&quot;/&gt;&lt;wsp:rsid wsp:val=&quot;7FB14DC3&quot;/&gt;&lt;wsp:rsid wsp:val=&quot;7FB273CA&quot;/&gt;&lt;wsp:rsid wsp:val=&quot;7FB36445&quot;/&gt;&lt;wsp:rsid wsp:val=&quot;7FB4040F&quot;/&gt;&lt;wsp:rsid wsp:val=&quot;7FB421BD&quot;/&gt;&lt;wsp:rsid wsp:val=&quot;7FB65F35&quot;/&gt;&lt;wsp:rsid wsp:val=&quot;7FB671DB&quot;/&gt;&lt;wsp:rsid wsp:val=&quot;7FBA5A25&quot;/&gt;&lt;wsp:rsid wsp:val=&quot;7FBA6FEC&quot;/&gt;&lt;wsp:rsid wsp:val=&quot;7FBA7941&quot;/&gt;&lt;wsp:rsid wsp:val=&quot;7FBB7440&quot;/&gt;&lt;wsp:rsid wsp:val=&quot;7FBD44DD&quot;/&gt;&lt;wsp:rsid wsp:val=&quot;7FBD5515&quot;/&gt;&lt;wsp:rsid wsp:val=&quot;7FBE4DEA&quot;/&gt;&lt;wsp:rsid wsp:val=&quot;7FC00B62&quot;/&gt;&lt;wsp:rsid wsp:val=&quot;7FC02E5E&quot;/&gt;&lt;wsp:rsid wsp:val=&quot;7FC27C35&quot;/&gt;&lt;wsp:rsid wsp:val=&quot;7FC30BE7&quot;/&gt;&lt;wsp:rsid wsp:val=&quot;7FC32F20&quot;/&gt;&lt;wsp:rsid wsp:val=&quot;7FC44AF6&quot;/&gt;&lt;wsp:rsid wsp:val=&quot;7FC5261C&quot;/&gt;&lt;wsp:rsid wsp:val=&quot;7FC56178&quot;/&gt;&lt;wsp:rsid wsp:val=&quot;7FC632C4&quot;/&gt;&lt;wsp:rsid wsp:val=&quot;7FC65272&quot;/&gt;&lt;wsp:rsid wsp:val=&quot;7FC70142&quot;/&gt;&lt;wsp:rsid wsp:val=&quot;7FC84033&quot;/&gt;&lt;wsp:rsid wsp:val=&quot;7FC9210C&quot;/&gt;&lt;wsp:rsid wsp:val=&quot;7FC93EBA&quot;/&gt;&lt;wsp:rsid wsp:val=&quot;7FC95C68&quot;/&gt;&lt;wsp:rsid wsp:val=&quot;7FCA378E&quot;/&gt;&lt;wsp:rsid wsp:val=&quot;7FCA6AE1&quot;/&gt;&lt;wsp:rsid wsp:val=&quot;7FCB55CD&quot;/&gt;&lt;wsp:rsid wsp:val=&quot;7FCB6A2C&quot;/&gt;&lt;wsp:rsid wsp:val=&quot;7FCB7C32&quot;/&gt;&lt;wsp:rsid wsp:val=&quot;7FCC39AA&quot;/&gt;&lt;wsp:rsid wsp:val=&quot;7FCE14D1&quot;/&gt;&lt;wsp:rsid wsp:val=&quot;7FD0349B&quot;/&gt;&lt;wsp:rsid wsp:val=&quot;7FD12D6F&quot;/&gt;&lt;wsp:rsid wsp:val=&quot;7FD34D39&quot;/&gt;&lt;wsp:rsid wsp:val=&quot;7FD40A33&quot;/&gt;&lt;wsp:rsid wsp:val=&quot;7FD4460D&quot;/&gt;&lt;wsp:rsid wsp:val=&quot;7FD8234F&quot;/&gt;&lt;wsp:rsid wsp:val=&quot;7FD9642C&quot;/&gt;&lt;wsp:rsid wsp:val=&quot;7FDA65D6&quot;/&gt;&lt;wsp:rsid wsp:val=&quot;7FDA7E75&quot;/&gt;&lt;wsp:rsid wsp:val=&quot;7FDB3BED&quot;/&gt;&lt;wsp:rsid wsp:val=&quot;7FDB599C&quot;/&gt;&lt;wsp:rsid wsp:val=&quot;7FDF548C&quot;/&gt;&lt;wsp:rsid wsp:val=&quot;7FE06D2E&quot;/&gt;&lt;wsp:rsid wsp:val=&quot;7FE14CA0&quot;/&gt;&lt;wsp:rsid wsp:val=&quot;7FE26D2A&quot;/&gt;&lt;wsp:rsid wsp:val=&quot;7FE40CF4&quot;/&gt;&lt;wsp:rsid wsp:val=&quot;7FE47E50&quot;/&gt;&lt;wsp:rsid wsp:val=&quot;7FE53549&quot;/&gt;&lt;wsp:rsid wsp:val=&quot;7FE72592&quot;/&gt;&lt;wsp:rsid wsp:val=&quot;7FE74340&quot;/&gt;&lt;wsp:rsid wsp:val=&quot;7FEC35BC&quot;/&gt;&lt;wsp:rsid wsp:val=&quot;7FEC7BA9&quot;/&gt;&lt;wsp:rsid wsp:val=&quot;7FED5DAB&quot;/&gt;&lt;wsp:rsid wsp:val=&quot;7FEE3921&quot;/&gt;&lt;wsp:rsid wsp:val=&quot;7FEE56CF&quot;/&gt;&lt;wsp:rsid wsp:val=&quot;7FF07D9E&quot;/&gt;&lt;wsp:rsid wsp:val=&quot;7FF151BF&quot;/&gt;&lt;wsp:rsid wsp:val=&quot;7FF16F6D&quot;/&gt;&lt;wsp:rsid wsp:val=&quot;7FF17C71&quot;/&gt;&lt;wsp:rsid wsp:val=&quot;7FF2594B&quot;/&gt;&lt;wsp:rsid wsp:val=&quot;7FF32CE5&quot;/&gt;&lt;wsp:rsid wsp:val=&quot;7FF76C79&quot;/&gt;&lt;wsp:rsid wsp:val=&quot;7FF7723F&quot;/&gt;&lt;wsp:rsid wsp:val=&quot;7FF802FC&quot;/&gt;&lt;wsp:rsid wsp:val=&quot;7FF8654D&quot;/&gt;&lt;wsp:rsid wsp:val=&quot;7FFB603E&quot;/&gt;&lt;wsp:rsid wsp:val=&quot;7FFF5B2E&quot;/&gt;&lt;/wsp:rsids&gt;&lt;/w:docPr&gt;&lt;w:body&gt;&lt;wx:sect&gt;&lt;w:p wsp:rsidR=&quot;00000000&quot; wsp:rsidRDefault=&quot;00721B5C&quot; wsp:rsidP=&quot;00721B5C&quot;&gt;&lt;w:pPr&gt;&lt;w:ind w:first-line=&quot;480&quot;/&gt;&lt;/w:pPr&gt;&lt;m:oMathPara&gt;&lt;m:oMath&gt;&lt;m:sSubSup&gt;&lt;m:sSubSupPr&gt;&lt;m:ctrlPr&gt;&lt;w:rPr&gt;&lt;w:rFonts w:ascii=&quot;Cambria Math&quot; w:h-ansi=&quot;Cambria Math&quot;/&gt;&lt;wx:font wx:val=&quot;Cambria Math&quot;/&gt;&lt;w:i/&gt;&lt;w:sz-cs w:val=&quot;21&quot;/&gt;&lt;/w:rPr&gt;&lt;/m:ctrlPr&gt;&lt;/m:sSubSupPr&gt;&lt;m:e&gt;&lt;m:r&gt;&lt;w:rPr&gt;&lt;w:rFonts w:ascii=&quot;Cambria Math&quot; w:h-ansi=&quot;Cambria Math&quot;/&gt;&lt;wx:font wx:val=&quot;Cambria Math&quot;/&gt;&lt;w:i/&gt;&lt;w:sz-cs w:val=&quot;21&quot;/&gt;&lt;/w:rPr&gt;&lt;m:t&gt;Q&lt;/m:t&gt;&lt;/m:r&gt;&lt;/m:e&gt;&lt;m:sub&gt;&lt;m:r&gt;&lt;w:rPr&gt;&lt;w:rFonts w:ascii=&quot;Cambria Math&quot; w:h-ansi=&quot;Cambria Math&quot;/&gt;&lt;wx:font wx:val=&quot;Cambria Math&quot;/&gt;&lt;w:i/&gt;&lt;w:sz-cs w:val=&quot;21&quot;/&gt;&lt;/w:rPr&gt;&lt;m:t&gt;p&lt;/m:t&gt;&lt;/m:r&gt;&lt;/m:sub&gt;&lt;m:sup&gt;&lt;m:r&gt;&lt;w:rPr&gt;&lt;w:rFonts w:ascii=&quot;Cambria Math&quot; w:h-ansi=&quot;Cambria Math&quot;/&gt;&lt;wx:font wx:val=&quot;Cambria Math&quot;/&gt;&lt;w:i/&gt;&lt;w:sz-cs w:val=&quot;21&quot;/&gt;&lt;/w:rPr&gt;&lt;m:t&gt;'&lt;/m:t&gt;&lt;/m:r&gt;&lt;/m:sup&gt;&lt;/m:sSub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8" chromakey="#FFFFFF" o:title=""/>
                  <o:lock v:ext="edit" aspectratio="t"/>
                  <w10:wrap type="none"/>
                  <w10:anchorlock/>
                </v:shape>
              </w:pict>
            </w:r>
            <w:r>
              <w:rPr>
                <w:rFonts w:hint="default"/>
                <w:color w:val="auto"/>
                <w:highlight w:val="none"/>
              </w:rPr>
              <w:instrText xml:space="preserve"> </w:instrText>
            </w:r>
            <w:r>
              <w:rPr>
                <w:rFonts w:hint="default"/>
                <w:color w:val="auto"/>
                <w:highlight w:val="none"/>
              </w:rPr>
              <w:fldChar w:fldCharType="separate"/>
            </w:r>
            <w:r>
              <w:rPr>
                <w:rFonts w:hint="default"/>
                <w:color w:val="auto"/>
                <w:highlight w:val="none"/>
              </w:rPr>
              <w:pict>
                <v:shape id="_x0000_i1029" o:spt="75" type="#_x0000_t75" style="height:22.2pt;width:13.8pt;" filled="f" stroked="f" coordsize="21600,21600" equationxml="&lt;?xml version=&quot;1.0&quot; encoding=&quot;UTF-8&quot; standalone=&quot;yes&quot;?&gt;&#13;&#10;&lt;?mso-application progid=&quot;Word.Document&quot;?&gt;&#13;&#10;&lt;w:wordDocument xmlns:aml=&quot;http://schemas.microsoft.com/aml/2001/core&quot; xmlns:wpc=&quot;http://schemas.microsoft.com/office/word/2010/wordprocessingCanvas&quot; xmlns:cx=&quot;http://schemas.microsoft.com/office/drawing/2014/chartex&quot; xmlns:cx1=&quot;http://schemas.microsoft.com/office/drawing/2015/9/8/chartex&quot; xmlns:cx2=&quot;http://schemas.microsoft.com/office/drawing/2015/10/21/chartex&quot; xmlns:cx3=&quot;http://schemas.microsoft.com/office/drawing/2016/5/9/chartex&quot; xmlns:cx4=&quot;http://schemas.microsoft.com/office/drawing/2016/5/10/chartex&quot; xmlns:cx5=&quot;http://schemas.microsoft.com/office/drawing/2016/5/11/chartex&quot; xmlns:cx6=&quot;http://schemas.microsoft.com/office/drawing/2016/5/12/chartex&quot; xmlns:cx7=&quot;http://schemas.microsoft.com/office/drawing/2016/5/13/chartex&quot; xmlns:cx8=&quot;http://schemas.microsoft.com/office/drawing/2016/5/14/chartex&quot; xmlns:dt=&quot;uuid:C2F41010-65B3-11d1-A29F-00AA00C14882&quot; xmlns:mc=&quot;http://schemas.openxmlformats.org/markup-compatibility/2006&quot; xmlns:aink=&quot;http://schemas.microsoft.com/office/drawing/2016/ink&quot; xmlns:am3d=&quot;http://schemas.microsoft.com/office/drawing/2017/model3d&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6&lt;/o:Version&gt;&lt;/o:DocumentProperties&gt;&lt;w:docPr&gt;&lt;w:view w:val=&quot;print&quot;/&gt;&lt;w:zoom w:percent=&quot;90&quot;/&gt;&lt;w:displayBackgroundShape/&gt;&lt;w:doNotEmbedSystemFonts/&gt;&lt;w:stylePaneFormatFilter w:val=&quot;3F01&quot;/&gt;&lt;w:documentProtection w:edit=&quot;tracked-changes&quot; w:enforcement=&quot;off&quot;/&gt;&lt;w:defaultTabStop w:val=&quot;420&quot;/&gt;&lt;w:doNotHyphenateCaps/&gt;&lt;w:drawingGridVerticalSpacing w:val=&quot;156&quot;/&gt;&lt;w:displayHorizontalDrawingGridEvery w:val=&quot;0&quot;/&gt;&lt;w:displayVerticalDrawingGridEvery w:val=&quot;2&quot;/&gt;&lt;w:punctuationKerning/&gt;&lt;w:characterSpacingControl w:val=&quot;CompressPunctuation&quot;/&gt;&lt;w:webPageEncoding w:val=&quot;x-cp20936&quot;/&gt;&lt;w:optimizeForBrowser/&gt;&lt;w:allowPNG/&gt;&lt;w:pixelsPerInch w:val=&quot;120&quot;/&gt;&lt;w:validateAgainstSchema w:val=&quot;off&quot;/&gt;&lt;w:saveInvalidXML w:val=&quot;off&quot;/&gt;&lt;w:ignoreMixedContent w:val=&quot;off&quot;/&gt;&lt;w:alwaysShowPlaceholderText w:val=&quot;off&quot;/&gt;&lt;w:doNotUnderlineInvalidXML/&gt;&lt;w:compat&gt;&lt;w:spaceForUL/&gt;&lt;w:balanceSingleByteDoubleByteWidth/&gt;&lt;w:doNotLeaveBackslashAlone/&gt;&lt;w:ulTrailSpace/&gt;&lt;w:doNotExpandShiftReturn/&gt;&lt;w:adjustLineHeightInTable/&gt;&lt;w:breakWrappedTables/&gt;&lt;w:snapToGridInCell/&gt;&lt;w:dontGrowAutofit/&gt;&lt;w:useFELayout/&gt;&lt;/w:compat&gt;&lt;w:docVars&gt;&lt;w:docVar w:name=&quot;commondata&quot; w:val=&quot;eyJoZGlkIjoiNTBkODU1MmE1ODg5NTM1YzE3MGE2MjA1Y2IwMTM3ZjQifQ==&quot;/&gt;&lt;/w:docVars&gt;&lt;wsp:rsids&gt;&lt;wsp:rsidRoot wsp:val=&quot;00172A27&quot;/&gt;&lt;wsp:rsid wsp:val=&quot;000030E6&quot;/&gt;&lt;wsp:rsid wsp:val=&quot;000060B3&quot;/&gt;&lt;wsp:rsid wsp:val=&quot;00007440&quot;/&gt;&lt;wsp:rsid wsp:val=&quot;0001147F&quot;/&gt;&lt;wsp:rsid wsp:val=&quot;0001333D&quot;/&gt;&lt;wsp:rsid wsp:val=&quot;00015825&quot;/&gt;&lt;wsp:rsid wsp:val=&quot;000172E8&quot;/&gt;&lt;wsp:rsid wsp:val=&quot;00020CF2&quot;/&gt;&lt;wsp:rsid wsp:val=&quot;0002561E&quot;/&gt;&lt;wsp:rsid wsp:val=&quot;00041942&quot;/&gt;&lt;wsp:rsid wsp:val=&quot;00042137&quot;/&gt;&lt;wsp:rsid wsp:val=&quot;0004364B&quot;/&gt;&lt;wsp:rsid wsp:val=&quot;00044EF2&quot;/&gt;&lt;wsp:rsid wsp:val=&quot;00054764&quot;/&gt;&lt;wsp:rsid wsp:val=&quot;00055109&quot;/&gt;&lt;wsp:rsid wsp:val=&quot;000552F8&quot;/&gt;&lt;wsp:rsid wsp:val=&quot;000575B9&quot;/&gt;&lt;wsp:rsid wsp:val=&quot;00061B1F&quot;/&gt;&lt;wsp:rsid wsp:val=&quot;000733C4&quot;/&gt;&lt;wsp:rsid wsp:val=&quot;00074783&quot;/&gt;&lt;wsp:rsid wsp:val=&quot;000765B9&quot;/&gt;&lt;wsp:rsid wsp:val=&quot;000771E8&quot;/&gt;&lt;wsp:rsid wsp:val=&quot;0008070B&quot;/&gt;&lt;wsp:rsid wsp:val=&quot;000810AC&quot;/&gt;&lt;wsp:rsid wsp:val=&quot;00081914&quot;/&gt;&lt;wsp:rsid wsp:val=&quot;00081A02&quot;/&gt;&lt;wsp:rsid wsp:val=&quot;0008205D&quot;/&gt;&lt;wsp:rsid wsp:val=&quot;00082231&quot;/&gt;&lt;wsp:rsid wsp:val=&quot;00092638&quot;/&gt;&lt;wsp:rsid wsp:val=&quot;00092D38&quot;/&gt;&lt;wsp:rsid wsp:val=&quot;0009377B&quot;/&gt;&lt;wsp:rsid wsp:val=&quot;00096560&quot;/&gt;&lt;wsp:rsid wsp:val=&quot;000A002F&quot;/&gt;&lt;wsp:rsid wsp:val=&quot;000A1BD1&quot;/&gt;&lt;wsp:rsid wsp:val=&quot;000A20C9&quot;/&gt;&lt;wsp:rsid wsp:val=&quot;000B058F&quot;/&gt;&lt;wsp:rsid wsp:val=&quot;000B3A41&quot;/&gt;&lt;wsp:rsid wsp:val=&quot;000B4467&quot;/&gt;&lt;wsp:rsid wsp:val=&quot;000B4DB9&quot;/&gt;&lt;wsp:rsid wsp:val=&quot;000B5404&quot;/&gt;&lt;wsp:rsid wsp:val=&quot;000B6281&quot;/&gt;&lt;wsp:rsid wsp:val=&quot;000B70D0&quot;/&gt;&lt;wsp:rsid wsp:val=&quot;000B74A6&quot;/&gt;&lt;wsp:rsid wsp:val=&quot;000C038D&quot;/&gt;&lt;wsp:rsid wsp:val=&quot;000C09AC&quot;/&gt;&lt;wsp:rsid wsp:val=&quot;000C0AE0&quot;/&gt;&lt;wsp:rsid wsp:val=&quot;000C0F10&quot;/&gt;&lt;wsp:rsid wsp:val=&quot;000C1FF9&quot;/&gt;&lt;wsp:rsid wsp:val=&quot;000C6CB9&quot;/&gt;&lt;wsp:rsid wsp:val=&quot;000C7560&quot;/&gt;&lt;wsp:rsid wsp:val=&quot;000C767F&quot;/&gt;&lt;wsp:rsid wsp:val=&quot;000D4715&quot;/&gt;&lt;wsp:rsid wsp:val=&quot;000D5A44&quot;/&gt;&lt;wsp:rsid wsp:val=&quot;000E3D36&quot;/&gt;&lt;wsp:rsid wsp:val=&quot;000E3ED2&quot;/&gt;&lt;wsp:rsid wsp:val=&quot;000E3FC3&quot;/&gt;&lt;wsp:rsid wsp:val=&quot;000E6A66&quot;/&gt;&lt;wsp:rsid wsp:val=&quot;000E7B1F&quot;/&gt;&lt;wsp:rsid wsp:val=&quot;000F2724&quot;/&gt;&lt;wsp:rsid wsp:val=&quot;000F48DE&quot;/&gt;&lt;wsp:rsid wsp:val=&quot;00113289&quot;/&gt;&lt;wsp:rsid wsp:val=&quot;00114B16&quot;/&gt;&lt;wsp:rsid wsp:val=&quot;001171F4&quot;/&gt;&lt;wsp:rsid wsp:val=&quot;00121EA8&quot;/&gt;&lt;wsp:rsid wsp:val=&quot;00121FAE&quot;/&gt;&lt;wsp:rsid wsp:val=&quot;00125861&quot;/&gt;&lt;wsp:rsid wsp:val=&quot;001302F0&quot;/&gt;&lt;wsp:rsid wsp:val=&quot;0013111E&quot;/&gt;&lt;wsp:rsid wsp:val=&quot;00131F42&quot;/&gt;&lt;wsp:rsid wsp:val=&quot;00135135&quot;/&gt;&lt;wsp:rsid wsp:val=&quot;001357F1&quot;/&gt;&lt;wsp:rsid wsp:val=&quot;00137F5F&quot;/&gt;&lt;wsp:rsid wsp:val=&quot;00140FA8&quot;/&gt;&lt;wsp:rsid wsp:val=&quot;00142FEB&quot;/&gt;&lt;wsp:rsid wsp:val=&quot;0014309E&quot;/&gt;&lt;wsp:rsid wsp:val=&quot;00143A2D&quot;/&gt;&lt;wsp:rsid wsp:val=&quot;00144837&quot;/&gt;&lt;wsp:rsid wsp:val=&quot;00145A41&quot;/&gt;&lt;wsp:rsid wsp:val=&quot;00151675&quot;/&gt;&lt;wsp:rsid wsp:val=&quot;00155EE4&quot;/&gt;&lt;wsp:rsid wsp:val=&quot;001570FF&quot;/&gt;&lt;wsp:rsid wsp:val=&quot;00157435&quot;/&gt;&lt;wsp:rsid wsp:val=&quot;0016008A&quot;/&gt;&lt;wsp:rsid wsp:val=&quot;00172E78&quot;/&gt;&lt;wsp:rsid wsp:val=&quot;001745C3&quot;/&gt;&lt;wsp:rsid wsp:val=&quot;0017504D&quot;/&gt;&lt;wsp:rsid wsp:val=&quot;00175502&quot;/&gt;&lt;wsp:rsid wsp:val=&quot;0017671A&quot;/&gt;&lt;wsp:rsid wsp:val=&quot;00177422&quot;/&gt;&lt;wsp:rsid wsp:val=&quot;00184590&quot;/&gt;&lt;wsp:rsid wsp:val=&quot;001870D1&quot;/&gt;&lt;wsp:rsid wsp:val=&quot;0018781E&quot;/&gt;&lt;wsp:rsid wsp:val=&quot;0019262D&quot;/&gt;&lt;wsp:rsid wsp:val=&quot;0019443D&quot;/&gt;&lt;wsp:rsid wsp:val=&quot;001A1B35&quot;/&gt;&lt;wsp:rsid wsp:val=&quot;001A48A2&quot;/&gt;&lt;wsp:rsid wsp:val=&quot;001A64C4&quot;/&gt;&lt;wsp:rsid wsp:val=&quot;001A6F61&quot;/&gt;&lt;wsp:rsid wsp:val=&quot;001B223C&quot;/&gt;&lt;wsp:rsid wsp:val=&quot;001B719A&quot;/&gt;&lt;wsp:rsid wsp:val=&quot;001B72B8&quot;/&gt;&lt;wsp:rsid wsp:val=&quot;001C3130&quot;/&gt;&lt;wsp:rsid wsp:val=&quot;001C66E0&quot;/&gt;&lt;wsp:rsid wsp:val=&quot;001C688B&quot;/&gt;&lt;wsp:rsid wsp:val=&quot;001C69B3&quot;/&gt;&lt;wsp:rsid wsp:val=&quot;001D03B5&quot;/&gt;&lt;wsp:rsid wsp:val=&quot;001D3722&quot;/&gt;&lt;wsp:rsid wsp:val=&quot;001D3E81&quot;/&gt;&lt;wsp:rsid wsp:val=&quot;001D5036&quot;/&gt;&lt;wsp:rsid wsp:val=&quot;001D5595&quot;/&gt;&lt;wsp:rsid wsp:val=&quot;001D5C99&quot;/&gt;&lt;wsp:rsid wsp:val=&quot;001D6A02&quot;/&gt;&lt;wsp:rsid wsp:val=&quot;001D7874&quot;/&gt;&lt;wsp:rsid wsp:val=&quot;001D7F22&quot;/&gt;&lt;wsp:rsid wsp:val=&quot;001E1318&quot;/&gt;&lt;wsp:rsid wsp:val=&quot;001E20B9&quot;/&gt;&lt;wsp:rsid wsp:val=&quot;001E21B6&quot;/&gt;&lt;wsp:rsid wsp:val=&quot;001E29A9&quot;/&gt;&lt;wsp:rsid wsp:val=&quot;001F0F17&quot;/&gt;&lt;wsp:rsid wsp:val=&quot;001F3347&quot;/&gt;&lt;wsp:rsid wsp:val=&quot;001F3ADA&quot;/&gt;&lt;wsp:rsid wsp:val=&quot;001F4063&quot;/&gt;&lt;wsp:rsid wsp:val=&quot;001F64F6&quot;/&gt;&lt;wsp:rsid wsp:val=&quot;001F69E4&quot;/&gt;&lt;wsp:rsid wsp:val=&quot;00201632&quot;/&gt;&lt;wsp:rsid wsp:val=&quot;00206B4F&quot;/&gt;&lt;wsp:rsid wsp:val=&quot;00207852&quot;/&gt;&lt;wsp:rsid wsp:val=&quot;0021252D&quot;/&gt;&lt;wsp:rsid wsp:val=&quot;002125B4&quot;/&gt;&lt;wsp:rsid wsp:val=&quot;00213694&quot;/&gt;&lt;wsp:rsid wsp:val=&quot;002155B8&quot;/&gt;&lt;wsp:rsid wsp:val=&quot;00215AA4&quot;/&gt;&lt;wsp:rsid wsp:val=&quot;002163B1&quot;/&gt;&lt;wsp:rsid wsp:val=&quot;0022181C&quot;/&gt;&lt;wsp:rsid wsp:val=&quot;002233E5&quot;/&gt;&lt;wsp:rsid wsp:val=&quot;002235CA&quot;/&gt;&lt;wsp:rsid wsp:val=&quot;00224839&quot;/&gt;&lt;wsp:rsid wsp:val=&quot;002249B2&quot;/&gt;&lt;wsp:rsid wsp:val=&quot;00225378&quot;/&gt;&lt;wsp:rsid wsp:val=&quot;00225B36&quot;/&gt;&lt;wsp:rsid wsp:val=&quot;0022608A&quot;/&gt;&lt;wsp:rsid wsp:val=&quot;00226574&quot;/&gt;&lt;wsp:rsid wsp:val=&quot;002278EC&quot;/&gt;&lt;wsp:rsid wsp:val=&quot;0023280E&quot;/&gt;&lt;wsp:rsid wsp:val=&quot;00232E9D&quot;/&gt;&lt;wsp:rsid wsp:val=&quot;00232F24&quot;/&gt;&lt;wsp:rsid wsp:val=&quot;002366A6&quot;/&gt;&lt;wsp:rsid wsp:val=&quot;002377D1&quot;/&gt;&lt;wsp:rsid wsp:val=&quot;00237DF4&quot;/&gt;&lt;wsp:rsid wsp:val=&quot;002412D4&quot;/&gt;&lt;wsp:rsid wsp:val=&quot;002444D9&quot;/&gt;&lt;wsp:rsid wsp:val=&quot;0024517A&quot;/&gt;&lt;wsp:rsid wsp:val=&quot;00247343&quot;/&gt;&lt;wsp:rsid wsp:val=&quot;002506BC&quot;/&gt;&lt;wsp:rsid wsp:val=&quot;00252F19&quot;/&gt;&lt;wsp:rsid wsp:val=&quot;00254345&quot;/&gt;&lt;wsp:rsid wsp:val=&quot;00254504&quot;/&gt;&lt;wsp:rsid wsp:val=&quot;00260E93&quot;/&gt;&lt;wsp:rsid wsp:val=&quot;00261E19&quot;/&gt;&lt;wsp:rsid wsp:val=&quot;0026257F&quot;/&gt;&lt;wsp:rsid wsp:val=&quot;002630BB&quot;/&gt;&lt;wsp:rsid wsp:val=&quot;002636CC&quot;/&gt;&lt;wsp:rsid wsp:val=&quot;00264557&quot;/&gt;&lt;wsp:rsid wsp:val=&quot;00264E69&quot;/&gt;&lt;wsp:rsid wsp:val=&quot;00265FAE&quot;/&gt;&lt;wsp:rsid wsp:val=&quot;00270A79&quot;/&gt;&lt;wsp:rsid wsp:val=&quot;00276E33&quot;/&gt;&lt;wsp:rsid wsp:val=&quot;002805AB&quot;/&gt;&lt;wsp:rsid wsp:val=&quot;00284204&quot;/&gt;&lt;wsp:rsid wsp:val=&quot;00284B4A&quot;/&gt;&lt;wsp:rsid wsp:val=&quot;00290BE0&quot;/&gt;&lt;wsp:rsid wsp:val=&quot;00291773&quot;/&gt;&lt;wsp:rsid wsp:val=&quot;00294613&quot;/&gt;&lt;wsp:rsid wsp:val=&quot;00295963&quot;/&gt;&lt;wsp:rsid wsp:val=&quot;002A098D&quot;/&gt;&lt;wsp:rsid wsp:val=&quot;002A168C&quot;/&gt;&lt;wsp:rsid wsp:val=&quot;002A3D00&quot;/&gt;&lt;wsp:rsid wsp:val=&quot;002A3DC7&quot;/&gt;&lt;wsp:rsid wsp:val=&quot;002A6522&quot;/&gt;&lt;wsp:rsid wsp:val=&quot;002A6926&quot;/&gt;&lt;wsp:rsid wsp:val=&quot;002B06D1&quot;/&gt;&lt;wsp:rsid wsp:val=&quot;002B247F&quot;/&gt;&lt;wsp:rsid wsp:val=&quot;002B3B82&quot;/&gt;&lt;wsp:rsid wsp:val=&quot;002B4926&quot;/&gt;&lt;wsp:rsid wsp:val=&quot;002B49E2&quot;/&gt;&lt;wsp:rsid wsp:val=&quot;002B536E&quot;/&gt;&lt;wsp:rsid wsp:val=&quot;002B74B5&quot;/&gt;&lt;wsp:rsid wsp:val=&quot;002B7B00&quot;/&gt;&lt;wsp:rsid wsp:val=&quot;002B7C44&quot;/&gt;&lt;wsp:rsid wsp:val=&quot;002C2B17&quot;/&gt;&lt;wsp:rsid wsp:val=&quot;002C4449&quot;/&gt;&lt;wsp:rsid wsp:val=&quot;002D215E&quot;/&gt;&lt;wsp:rsid wsp:val=&quot;002D3DD0&quot;/&gt;&lt;wsp:rsid wsp:val=&quot;002D4BA8&quot;/&gt;&lt;wsp:rsid wsp:val=&quot;002D4C90&quot;/&gt;&lt;wsp:rsid wsp:val=&quot;002D7AB9&quot;/&gt;&lt;wsp:rsid wsp:val=&quot;002E1F3A&quot;/&gt;&lt;wsp:rsid wsp:val=&quot;002E298A&quot;/&gt;&lt;wsp:rsid wsp:val=&quot;002F2D1E&quot;/&gt;&lt;wsp:rsid wsp:val=&quot;00300DF6&quot;/&gt;&lt;wsp:rsid wsp:val=&quot;00301978&quot;/&gt;&lt;wsp:rsid wsp:val=&quot;00302555&quot;/&gt;&lt;wsp:rsid wsp:val=&quot;0030332C&quot;/&gt;&lt;wsp:rsid wsp:val=&quot;00303F39&quot;/&gt;&lt;wsp:rsid wsp:val=&quot;003051C2&quot;/&gt;&lt;wsp:rsid wsp:val=&quot;00305CFD&quot;/&gt;&lt;wsp:rsid wsp:val=&quot;00306C23&quot;/&gt;&lt;wsp:rsid wsp:val=&quot;003071AB&quot;/&gt;&lt;wsp:rsid wsp:val=&quot;00307A95&quot;/&gt;&lt;wsp:rsid wsp:val=&quot;00310154&quot;/&gt;&lt;wsp:rsid wsp:val=&quot;00312296&quot;/&gt;&lt;wsp:rsid wsp:val=&quot;00314F0E&quot;/&gt;&lt;wsp:rsid wsp:val=&quot;00316633&quot;/&gt;&lt;wsp:rsid wsp:val=&quot;00321D8E&quot;/&gt;&lt;wsp:rsid wsp:val=&quot;003222D7&quot;/&gt;&lt;wsp:rsid wsp:val=&quot;00322DCE&quot;/&gt;&lt;wsp:rsid wsp:val=&quot;00323C98&quot;/&gt;&lt;wsp:rsid wsp:val=&quot;00323F36&quot;/&gt;&lt;wsp:rsid wsp:val=&quot;00325928&quot;/&gt;&lt;wsp:rsid wsp:val=&quot;00327CB1&quot;/&gt;&lt;wsp:rsid wsp:val=&quot;00332863&quot;/&gt;&lt;wsp:rsid wsp:val=&quot;00334AFE&quot;/&gt;&lt;wsp:rsid wsp:val=&quot;00336280&quot;/&gt;&lt;wsp:rsid wsp:val=&quot;0033684D&quot;/&gt;&lt;wsp:rsid wsp:val=&quot;00337B42&quot;/&gt;&lt;wsp:rsid wsp:val=&quot;00337F95&quot;/&gt;&lt;wsp:rsid wsp:val=&quot;00341B42&quot;/&gt;&lt;wsp:rsid wsp:val=&quot;0034348F&quot;/&gt;&lt;wsp:rsid wsp:val=&quot;003471E1&quot;/&gt;&lt;wsp:rsid wsp:val=&quot;003550AC&quot;/&gt;&lt;wsp:rsid wsp:val=&quot;0035547D&quot;/&gt;&lt;wsp:rsid wsp:val=&quot;00356653&quot;/&gt;&lt;wsp:rsid wsp:val=&quot;0035743F&quot;/&gt;&lt;wsp:rsid wsp:val=&quot;00357BE2&quot;/&gt;&lt;wsp:rsid wsp:val=&quot;0036170C&quot;/&gt;&lt;wsp:rsid wsp:val=&quot;00366E0F&quot;/&gt;&lt;wsp:rsid wsp:val=&quot;003752C8&quot;/&gt;&lt;wsp:rsid wsp:val=&quot;00381A72&quot;/&gt;&lt;wsp:rsid wsp:val=&quot;00382DEE&quot;/&gt;&lt;wsp:rsid wsp:val=&quot;00384676&quot;/&gt;&lt;wsp:rsid wsp:val=&quot;003847F9&quot;/&gt;&lt;wsp:rsid wsp:val=&quot;00390857&quot;/&gt;&lt;wsp:rsid wsp:val=&quot;0039109A&quot;/&gt;&lt;wsp:rsid wsp:val=&quot;00391E93&quot;/&gt;&lt;wsp:rsid wsp:val=&quot;003A0631&quot;/&gt;&lt;wsp:rsid wsp:val=&quot;003A3053&quot;/&gt;&lt;wsp:rsid wsp:val=&quot;003A4BF3&quot;/&gt;&lt;wsp:rsid wsp:val=&quot;003A4DB8&quot;/&gt;&lt;wsp:rsid wsp:val=&quot;003A6D8B&quot;/&gt;&lt;wsp:rsid wsp:val=&quot;003B2D66&quot;/&gt;&lt;wsp:rsid wsp:val=&quot;003B420D&quot;/&gt;&lt;wsp:rsid wsp:val=&quot;003B488E&quot;/&gt;&lt;wsp:rsid wsp:val=&quot;003C1876&quot;/&gt;&lt;wsp:rsid wsp:val=&quot;003C468C&quot;/&gt;&lt;wsp:rsid wsp:val=&quot;003C63BE&quot;/&gt;&lt;wsp:rsid wsp:val=&quot;003C6C16&quot;/&gt;&lt;wsp:rsid wsp:val=&quot;003C7C00&quot;/&gt;&lt;wsp:rsid wsp:val=&quot;003D0B69&quot;/&gt;&lt;wsp:rsid wsp:val=&quot;003D21B2&quot;/&gt;&lt;wsp:rsid wsp:val=&quot;003D794D&quot;/&gt;&lt;wsp:rsid wsp:val=&quot;003E3058&quot;/&gt;&lt;wsp:rsid wsp:val=&quot;003E3BB8&quot;/&gt;&lt;wsp:rsid wsp:val=&quot;003E46E3&quot;/&gt;&lt;wsp:rsid wsp:val=&quot;003E7244&quot;/&gt;&lt;wsp:rsid wsp:val=&quot;003E76A9&quot;/&gt;&lt;wsp:rsid wsp:val=&quot;003F0809&quot;/&gt;&lt;wsp:rsid wsp:val=&quot;003F2E14&quot;/&gt;&lt;wsp:rsid wsp:val=&quot;003F5F2A&quot;/&gt;&lt;wsp:rsid wsp:val=&quot;003F6927&quot;/&gt;&lt;wsp:rsid wsp:val=&quot;003F6A8C&quot;/&gt;&lt;wsp:rsid wsp:val=&quot;003F755C&quot;/&gt;&lt;wsp:rsid wsp:val=&quot;00406BAB&quot;/&gt;&lt;wsp:rsid wsp:val=&quot;00406F01&quot;/&gt;&lt;wsp:rsid wsp:val=&quot;0041439F&quot;/&gt;&lt;wsp:rsid wsp:val=&quot;00415118&quot;/&gt;&lt;wsp:rsid wsp:val=&quot;00416D50&quot;/&gt;&lt;wsp:rsid wsp:val=&quot;00416FD5&quot;/&gt;&lt;wsp:rsid wsp:val=&quot;00417772&quot;/&gt;&lt;wsp:rsid wsp:val=&quot;00420E6A&quot;/&gt;&lt;wsp:rsid wsp:val=&quot;00423AEC&quot;/&gt;&lt;wsp:rsid wsp:val=&quot;00425A9E&quot;/&gt;&lt;wsp:rsid wsp:val=&quot;00426D6B&quot;/&gt;&lt;wsp:rsid wsp:val=&quot;00427644&quot;/&gt;&lt;wsp:rsid wsp:val=&quot;0043008C&quot;/&gt;&lt;wsp:rsid wsp:val=&quot;00431E6C&quot;/&gt;&lt;wsp:rsid wsp:val=&quot;00433CE7&quot;/&gt;&lt;wsp:rsid wsp:val=&quot;00442B87&quot;/&gt;&lt;wsp:rsid wsp:val=&quot;00443541&quot;/&gt;&lt;wsp:rsid wsp:val=&quot;0044386F&quot;/&gt;&lt;wsp:rsid wsp:val=&quot;00445D95&quot;/&gt;&lt;wsp:rsid wsp:val=&quot;004513A3&quot;/&gt;&lt;wsp:rsid wsp:val=&quot;00451F76&quot;/&gt;&lt;wsp:rsid wsp:val=&quot;00452738&quot;/&gt;&lt;wsp:rsid wsp:val=&quot;00452B84&quot;/&gt;&lt;wsp:rsid wsp:val=&quot;00456091&quot;/&gt;&lt;wsp:rsid wsp:val=&quot;00456126&quot;/&gt;&lt;wsp:rsid wsp:val=&quot;00456B28&quot;/&gt;&lt;wsp:rsid wsp:val=&quot;00460C15&quot;/&gt;&lt;wsp:rsid wsp:val=&quot;00464CC6&quot;/&gt;&lt;wsp:rsid wsp:val=&quot;0046550B&quot;/&gt;&lt;wsp:rsid wsp:val=&quot;00466012&quot;/&gt;&lt;wsp:rsid wsp:val=&quot;00466321&quot;/&gt;&lt;wsp:rsid wsp:val=&quot;004672B9&quot;/&gt;&lt;wsp:rsid wsp:val=&quot;00467D8F&quot;/&gt;&lt;wsp:rsid wsp:val=&quot;00476A91&quot;/&gt;&lt;wsp:rsid wsp:val=&quot;00484B9B&quot;/&gt;&lt;wsp:rsid wsp:val=&quot;004855F6&quot;/&gt;&lt;wsp:rsid wsp:val=&quot;004856E9&quot;/&gt;&lt;wsp:rsid wsp:val=&quot;0048661E&quot;/&gt;&lt;wsp:rsid wsp:val=&quot;004913B4&quot;/&gt;&lt;wsp:rsid wsp:val=&quot;004916C3&quot;/&gt;&lt;wsp:rsid wsp:val=&quot;0049198A&quot;/&gt;&lt;wsp:rsid wsp:val=&quot;00494670&quot;/&gt;&lt;wsp:rsid wsp:val=&quot;00494FFB&quot;/&gt;&lt;wsp:rsid wsp:val=&quot;004A3823&quot;/&gt;&lt;wsp:rsid wsp:val=&quot;004B0D73&quot;/&gt;&lt;wsp:rsid wsp:val=&quot;004B205F&quot;/&gt;&lt;wsp:rsid wsp:val=&quot;004B2B21&quot;/&gt;&lt;wsp:rsid wsp:val=&quot;004B7B9A&quot;/&gt;&lt;wsp:rsid wsp:val=&quot;004B7EF4&quot;/&gt;&lt;wsp:rsid wsp:val=&quot;004C2FCF&quot;/&gt;&lt;wsp:rsid wsp:val=&quot;004C35B6&quot;/&gt;&lt;wsp:rsid wsp:val=&quot;004C56B3&quot;/&gt;&lt;wsp:rsid wsp:val=&quot;004C623F&quot;/&gt;&lt;wsp:rsid wsp:val=&quot;004D6899&quot;/&gt;&lt;wsp:rsid wsp:val=&quot;004E0863&quot;/&gt;&lt;wsp:rsid wsp:val=&quot;004E2959&quot;/&gt;&lt;wsp:rsid wsp:val=&quot;004E5C9B&quot;/&gt;&lt;wsp:rsid wsp:val=&quot;004E6946&quot;/&gt;&lt;wsp:rsid wsp:val=&quot;004E7838&quot;/&gt;&lt;wsp:rsid wsp:val=&quot;004F1417&quot;/&gt;&lt;wsp:rsid wsp:val=&quot;004F1AD8&quot;/&gt;&lt;wsp:rsid wsp:val=&quot;004F46C4&quot;/&gt;&lt;wsp:rsid wsp:val=&quot;00500138&quot;/&gt;&lt;wsp:rsid wsp:val=&quot;00501EE6&quot;/&gt;&lt;wsp:rsid wsp:val=&quot;00502069&quot;/&gt;&lt;wsp:rsid wsp:val=&quot;005039CB&quot;/&gt;&lt;wsp:rsid wsp:val=&quot;00505138&quot;/&gt;&lt;wsp:rsid wsp:val=&quot;00505279&quot;/&gt;&lt;wsp:rsid wsp:val=&quot;0050558F&quot;/&gt;&lt;wsp:rsid wsp:val=&quot;00506286&quot;/&gt;&lt;wsp:rsid wsp:val=&quot;0050638A&quot;/&gt;&lt;wsp:rsid wsp:val=&quot;0050640C&quot;/&gt;&lt;wsp:rsid wsp:val=&quot;00510813&quot;/&gt;&lt;wsp:rsid wsp:val=&quot;00511990&quot;/&gt;&lt;wsp:rsid wsp:val=&quot;00511DE0&quot;/&gt;&lt;wsp:rsid wsp:val=&quot;00514870&quot;/&gt;&lt;wsp:rsid wsp:val=&quot;00514B9B&quot;/&gt;&lt;wsp:rsid wsp:val=&quot;00515C5E&quot;/&gt;&lt;wsp:rsid wsp:val=&quot;00517F02&quot;/&gt;&lt;wsp:rsid wsp:val=&quot;0052089D&quot;/&gt;&lt;wsp:rsid wsp:val=&quot;00522102&quot;/&gt;&lt;wsp:rsid wsp:val=&quot;00523F11&quot;/&gt;&lt;wsp:rsid wsp:val=&quot;00524303&quot;/&gt;&lt;wsp:rsid wsp:val=&quot;005258A2&quot;/&gt;&lt;wsp:rsid wsp:val=&quot;005301B0&quot;/&gt;&lt;wsp:rsid wsp:val=&quot;005358FA&quot;/&gt;&lt;wsp:rsid wsp:val=&quot;00535E7A&quot;/&gt;&lt;wsp:rsid wsp:val=&quot;005401AE&quot;/&gt;&lt;wsp:rsid wsp:val=&quot;00542E07&quot;/&gt;&lt;wsp:rsid wsp:val=&quot;00544ABF&quot;/&gt;&lt;wsp:rsid wsp:val=&quot;00545424&quot;/&gt;&lt;wsp:rsid wsp:val=&quot;005509CF&quot;/&gt;&lt;wsp:rsid wsp:val=&quot;00554A7B&quot;/&gt;&lt;wsp:rsid wsp:val=&quot;005555F5&quot;/&gt;&lt;wsp:rsid wsp:val=&quot;0055572C&quot;/&gt;&lt;wsp:rsid wsp:val=&quot;0055615C&quot;/&gt;&lt;wsp:rsid wsp:val=&quot;0056106A&quot;/&gt;&lt;wsp:rsid wsp:val=&quot;0056152C&quot;/&gt;&lt;wsp:rsid wsp:val=&quot;00563821&quot;/&gt;&lt;wsp:rsid wsp:val=&quot;005720AE&quot;/&gt;&lt;wsp:rsid wsp:val=&quot;005748C0&quot;/&gt;&lt;wsp:rsid wsp:val=&quot;00577718&quot;/&gt;&lt;wsp:rsid wsp:val=&quot;0058073D&quot;/&gt;&lt;wsp:rsid wsp:val=&quot;0058523E&quot;/&gt;&lt;wsp:rsid wsp:val=&quot;00592129&quot;/&gt;&lt;wsp:rsid wsp:val=&quot;00594D77&quot;/&gt;&lt;wsp:rsid wsp:val=&quot;00595668&quot;/&gt;&lt;wsp:rsid wsp:val=&quot;005962BF&quot;/&gt;&lt;wsp:rsid wsp:val=&quot;005966E4&quot;/&gt;&lt;wsp:rsid wsp:val=&quot;005969E4&quot;/&gt;&lt;wsp:rsid wsp:val=&quot;00596ABC&quot;/&gt;&lt;wsp:rsid wsp:val=&quot;005A06B7&quot;/&gt;&lt;wsp:rsid wsp:val=&quot;005A1759&quot;/&gt;&lt;wsp:rsid wsp:val=&quot;005A2D64&quot;/&gt;&lt;wsp:rsid wsp:val=&quot;005A2EB1&quot;/&gt;&lt;wsp:rsid wsp:val=&quot;005A51EE&quot;/&gt;&lt;wsp:rsid wsp:val=&quot;005A5320&quot;/&gt;&lt;wsp:rsid wsp:val=&quot;005A68A7&quot;/&gt;&lt;wsp:rsid wsp:val=&quot;005A6B1E&quot;/&gt;&lt;wsp:rsid wsp:val=&quot;005B5550&quot;/&gt;&lt;wsp:rsid wsp:val=&quot;005B5D4A&quot;/&gt;&lt;wsp:rsid wsp:val=&quot;005B7BC2&quot;/&gt;&lt;wsp:rsid wsp:val=&quot;005C1D4D&quot;/&gt;&lt;wsp:rsid wsp:val=&quot;005C1F7F&quot;/&gt;&lt;wsp:rsid wsp:val=&quot;005C6CF4&quot;/&gt;&lt;wsp:rsid wsp:val=&quot;005D0A1A&quot;/&gt;&lt;wsp:rsid wsp:val=&quot;005D2B43&quot;/&gt;&lt;wsp:rsid wsp:val=&quot;005D36AB&quot;/&gt;&lt;wsp:rsid wsp:val=&quot;005D63ED&quot;/&gt;&lt;wsp:rsid wsp:val=&quot;005D745C&quot;/&gt;&lt;wsp:rsid wsp:val=&quot;005E787D&quot;/&gt;&lt;wsp:rsid wsp:val=&quot;005F037B&quot;/&gt;&lt;wsp:rsid wsp:val=&quot;006140F3&quot;/&gt;&lt;wsp:rsid wsp:val=&quot;00616552&quot;/&gt;&lt;wsp:rsid wsp:val=&quot;0061655A&quot;/&gt;&lt;wsp:rsid wsp:val=&quot;00616AB7&quot;/&gt;&lt;wsp:rsid wsp:val=&quot;00617301&quot;/&gt;&lt;wsp:rsid wsp:val=&quot;00617CC3&quot;/&gt;&lt;wsp:rsid wsp:val=&quot;006201BE&quot;/&gt;&lt;wsp:rsid wsp:val=&quot;0062260B&quot;/&gt;&lt;wsp:rsid wsp:val=&quot;00624E0A&quot;/&gt;&lt;wsp:rsid wsp:val=&quot;00636BF8&quot;/&gt;&lt;wsp:rsid wsp:val=&quot;006377A6&quot;/&gt;&lt;wsp:rsid wsp:val=&quot;00637A3D&quot;/&gt;&lt;wsp:rsid wsp:val=&quot;006411EF&quot;/&gt;&lt;wsp:rsid wsp:val=&quot;00641FAE&quot;/&gt;&lt;wsp:rsid wsp:val=&quot;00647B0A&quot;/&gt;&lt;wsp:rsid wsp:val=&quot;00647F8D&quot;/&gt;&lt;wsp:rsid wsp:val=&quot;0065499D&quot;/&gt;&lt;wsp:rsid wsp:val=&quot;006601A1&quot;/&gt;&lt;wsp:rsid wsp:val=&quot;00667315&quot;/&gt;&lt;wsp:rsid wsp:val=&quot;0066795B&quot;/&gt;&lt;wsp:rsid wsp:val=&quot;0067166B&quot;/&gt;&lt;wsp:rsid wsp:val=&quot;006748B8&quot;/&gt;&lt;wsp:rsid wsp:val=&quot;00675481&quot;/&gt;&lt;wsp:rsid wsp:val=&quot;00676A18&quot;/&gt;&lt;wsp:rsid wsp:val=&quot;0067722F&quot;/&gt;&lt;wsp:rsid wsp:val=&quot;006775C3&quot;/&gt;&lt;wsp:rsid wsp:val=&quot;00680358&quot;/&gt;&lt;wsp:rsid wsp:val=&quot;00680D2C&quot;/&gt;&lt;wsp:rsid wsp:val=&quot;00683408&quot;/&gt;&lt;wsp:rsid wsp:val=&quot;0068421A&quot;/&gt;&lt;wsp:rsid wsp:val=&quot;00685D9B&quot;/&gt;&lt;wsp:rsid wsp:val=&quot;0069290A&quot;/&gt;&lt;wsp:rsid wsp:val=&quot;00692FA7&quot;/&gt;&lt;wsp:rsid wsp:val=&quot;0069744B&quot;/&gt;&lt;wsp:rsid wsp:val=&quot;0069775A&quot;/&gt;&lt;wsp:rsid wsp:val=&quot;00697813&quot;/&gt;&lt;wsp:rsid wsp:val=&quot;006A26EE&quot;/&gt;&lt;wsp:rsid wsp:val=&quot;006A2DB4&quot;/&gt;&lt;wsp:rsid wsp:val=&quot;006A3EE8&quot;/&gt;&lt;wsp:rsid wsp:val=&quot;006A72B0&quot;/&gt;&lt;wsp:rsid wsp:val=&quot;006A72BF&quot;/&gt;&lt;wsp:rsid wsp:val=&quot;006B03F2&quot;/&gt;&lt;wsp:rsid wsp:val=&quot;006B31C3&quot;/&gt;&lt;wsp:rsid wsp:val=&quot;006B37DC&quot;/&gt;&lt;wsp:rsid wsp:val=&quot;006B3AC1&quot;/&gt;&lt;wsp:rsid wsp:val=&quot;006B4F68&quot;/&gt;&lt;wsp:rsid wsp:val=&quot;006B4F71&quot;/&gt;&lt;wsp:rsid wsp:val=&quot;006B747D&quot;/&gt;&lt;wsp:rsid wsp:val=&quot;006C00AE&quot;/&gt;&lt;wsp:rsid wsp:val=&quot;006C0592&quot;/&gt;&lt;wsp:rsid wsp:val=&quot;006C14C6&quot;/&gt;&lt;wsp:rsid wsp:val=&quot;006C272E&quot;/&gt;&lt;wsp:rsid wsp:val=&quot;006C5479&quot;/&gt;&lt;wsp:rsid wsp:val=&quot;006D07F9&quot;/&gt;&lt;wsp:rsid wsp:val=&quot;006D13B5&quot;/&gt;&lt;wsp:rsid wsp:val=&quot;006E0919&quot;/&gt;&lt;wsp:rsid wsp:val=&quot;006E1248&quot;/&gt;&lt;wsp:rsid wsp:val=&quot;006E12FF&quot;/&gt;&lt;wsp:rsid wsp:val=&quot;006E4A62&quot;/&gt;&lt;wsp:rsid wsp:val=&quot;006E607E&quot;/&gt;&lt;wsp:rsid wsp:val=&quot;006E6810&quot;/&gt;&lt;wsp:rsid wsp:val=&quot;006F5236&quot;/&gt;&lt;wsp:rsid wsp:val=&quot;00700148&quot;/&gt;&lt;wsp:rsid wsp:val=&quot;007024A0&quot;/&gt;&lt;wsp:rsid wsp:val=&quot;00704336&quot;/&gt;&lt;wsp:rsid wsp:val=&quot;00706C5D&quot;/&gt;&lt;wsp:rsid wsp:val=&quot;00713930&quot;/&gt;&lt;wsp:rsid wsp:val=&quot;00721B5C&quot;/&gt;&lt;wsp:rsid wsp:val=&quot;00732922&quot;/&gt;&lt;wsp:rsid wsp:val=&quot;00733155&quot;/&gt;&lt;wsp:rsid wsp:val=&quot;007353D3&quot;/&gt;&lt;wsp:rsid wsp:val=&quot;007408CB&quot;/&gt;&lt;wsp:rsid wsp:val=&quot;00741E3C&quot;/&gt;&lt;wsp:rsid wsp:val=&quot;00743E43&quot;/&gt;&lt;wsp:rsid wsp:val=&quot;00744674&quot;/&gt;&lt;wsp:rsid wsp:val=&quot;00747FB3&quot;/&gt;&lt;wsp:rsid wsp:val=&quot;0075162E&quot;/&gt;&lt;wsp:rsid wsp:val=&quot;00753484&quot;/&gt;&lt;wsp:rsid wsp:val=&quot;00754034&quot;/&gt;&lt;wsp:rsid wsp:val=&quot;007544C4&quot;/&gt;&lt;wsp:rsid wsp:val=&quot;00756556&quot;/&gt;&lt;wsp:rsid wsp:val=&quot;00757108&quot;/&gt;&lt;wsp:rsid wsp:val=&quot;00757B9E&quot;/&gt;&lt;wsp:rsid wsp:val=&quot;00757E2F&quot;/&gt;&lt;wsp:rsid wsp:val=&quot;007618C4&quot;/&gt;&lt;wsp:rsid wsp:val=&quot;00763C81&quot;/&gt;&lt;wsp:rsid wsp:val=&quot;00765535&quot;/&gt;&lt;wsp:rsid wsp:val=&quot;00766F94&quot;/&gt;&lt;wsp:rsid wsp:val=&quot;00767980&quot;/&gt;&lt;wsp:rsid wsp:val=&quot;00770B19&quot;/&gt;&lt;wsp:rsid wsp:val=&quot;0077463F&quot;/&gt;&lt;wsp:rsid wsp:val=&quot;00775479&quot;/&gt;&lt;wsp:rsid wsp:val=&quot;0077569B&quot;/&gt;&lt;wsp:rsid wsp:val=&quot;00777753&quot;/&gt;&lt;wsp:rsid wsp:val=&quot;00777B9D&quot;/&gt;&lt;wsp:rsid wsp:val=&quot;00777D75&quot;/&gt;&lt;wsp:rsid wsp:val=&quot;007825EA&quot;/&gt;&lt;wsp:rsid wsp:val=&quot;0078306E&quot;/&gt;&lt;wsp:rsid wsp:val=&quot;007836EA&quot;/&gt;&lt;wsp:rsid wsp:val=&quot;00783CAC&quot;/&gt;&lt;wsp:rsid wsp:val=&quot;00784CDA&quot;/&gt;&lt;wsp:rsid wsp:val=&quot;007868DF&quot;/&gt;&lt;wsp:rsid wsp:val=&quot;007906C4&quot;/&gt;&lt;wsp:rsid wsp:val=&quot;007940EA&quot;/&gt;&lt;wsp:rsid wsp:val=&quot;0079539A&quot;/&gt;&lt;wsp:rsid wsp:val=&quot;007958E0&quot;/&gt;&lt;wsp:rsid wsp:val=&quot;007967E8&quot;/&gt;&lt;wsp:rsid wsp:val=&quot;007A09ED&quot;/&gt;&lt;wsp:rsid wsp:val=&quot;007A2170&quot;/&gt;&lt;wsp:rsid wsp:val=&quot;007A22BF&quot;/&gt;&lt;wsp:rsid wsp:val=&quot;007A3323&quot;/&gt;&lt;wsp:rsid wsp:val=&quot;007A4023&quot;/&gt;&lt;wsp:rsid wsp:val=&quot;007A660E&quot;/&gt;&lt;wsp:rsid wsp:val=&quot;007B4027&quot;/&gt;&lt;wsp:rsid wsp:val=&quot;007B72B8&quot;/&gt;&lt;wsp:rsid wsp:val=&quot;007B7A58&quot;/&gt;&lt;wsp:rsid wsp:val=&quot;007C1B2E&quot;/&gt;&lt;wsp:rsid wsp:val=&quot;007C21B5&quot;/&gt;&lt;wsp:rsid wsp:val=&quot;007C296B&quot;/&gt;&lt;wsp:rsid wsp:val=&quot;007C6EB9&quot;/&gt;&lt;wsp:rsid wsp:val=&quot;007D4CAA&quot;/&gt;&lt;wsp:rsid wsp:val=&quot;007D6CAE&quot;/&gt;&lt;wsp:rsid wsp:val=&quot;007D6E62&quot;/&gt;&lt;wsp:rsid wsp:val=&quot;007E4BD2&quot;/&gt;&lt;wsp:rsid wsp:val=&quot;007E6B27&quot;/&gt;&lt;wsp:rsid wsp:val=&quot;007F023D&quot;/&gt;&lt;wsp:rsid wsp:val=&quot;007F2767&quot;/&gt;&lt;wsp:rsid wsp:val=&quot;007F6C6F&quot;/&gt;&lt;wsp:rsid wsp:val=&quot;00801393&quot;/&gt;&lt;wsp:rsid wsp:val=&quot;00802F88&quot;/&gt;&lt;wsp:rsid wsp:val=&quot;00803FE3&quot;/&gt;&lt;wsp:rsid wsp:val=&quot;008102F1&quot;/&gt;&lt;wsp:rsid wsp:val=&quot;00811C7B&quot;/&gt;&lt;wsp:rsid wsp:val=&quot;0081293E&quot;/&gt;&lt;wsp:rsid wsp:val=&quot;00814795&quot;/&gt;&lt;wsp:rsid wsp:val=&quot;00815465&quot;/&gt;&lt;wsp:rsid wsp:val=&quot;00815CDE&quot;/&gt;&lt;wsp:rsid wsp:val=&quot;00817E9A&quot;/&gt;&lt;wsp:rsid wsp:val=&quot;008230B2&quot;/&gt;&lt;wsp:rsid wsp:val=&quot;00824069&quot;/&gt;&lt;wsp:rsid wsp:val=&quot;008306BD&quot;/&gt;&lt;wsp:rsid wsp:val=&quot;00831A80&quot;/&gt;&lt;wsp:rsid wsp:val=&quot;00832DDB&quot;/&gt;&lt;wsp:rsid wsp:val=&quot;00833743&quot;/&gt;&lt;wsp:rsid wsp:val=&quot;008340A4&quot;/&gt;&lt;wsp:rsid wsp:val=&quot;00835316&quot;/&gt;&lt;wsp:rsid wsp:val=&quot;008421FB&quot;/&gt;&lt;wsp:rsid wsp:val=&quot;0084319E&quot;/&gt;&lt;wsp:rsid wsp:val=&quot;00846033&quot;/&gt;&lt;wsp:rsid wsp:val=&quot;008501BD&quot;/&gt;&lt;wsp:rsid wsp:val=&quot;0085040B&quot;/&gt;&lt;wsp:rsid wsp:val=&quot;00852F35&quot;/&gt;&lt;wsp:rsid wsp:val=&quot;00856784&quot;/&gt;&lt;wsp:rsid wsp:val=&quot;00863B59&quot;/&gt;&lt;wsp:rsid wsp:val=&quot;00866C70&quot;/&gt;&lt;wsp:rsid wsp:val=&quot;00867FFD&quot;/&gt;&lt;wsp:rsid wsp:val=&quot;0087135F&quot;/&gt;&lt;wsp:rsid wsp:val=&quot;0087167F&quot;/&gt;&lt;wsp:rsid wsp:val=&quot;0087279F&quot;/&gt;&lt;wsp:rsid wsp:val=&quot;00872D94&quot;/&gt;&lt;wsp:rsid wsp:val=&quot;008761E7&quot;/&gt;&lt;wsp:rsid wsp:val=&quot;00880364&quot;/&gt;&lt;wsp:rsid wsp:val=&quot;00880B80&quot;/&gt;&lt;wsp:rsid wsp:val=&quot;0088464D&quot;/&gt;&lt;wsp:rsid wsp:val=&quot;00887E9B&quot;/&gt;&lt;wsp:rsid wsp:val=&quot;00891592&quot;/&gt;&lt;wsp:rsid wsp:val=&quot;0089189B&quot;/&gt;&lt;wsp:rsid wsp:val=&quot;00891E9E&quot;/&gt;&lt;wsp:rsid wsp:val=&quot;00893649&quot;/&gt;&lt;wsp:rsid wsp:val=&quot;008953F8&quot;/&gt;&lt;wsp:rsid wsp:val=&quot;008A2F68&quot;/&gt;&lt;wsp:rsid wsp:val=&quot;008B146B&quot;/&gt;&lt;wsp:rsid wsp:val=&quot;008B4FA6&quot;/&gt;&lt;wsp:rsid wsp:val=&quot;008B5282&quot;/&gt;&lt;wsp:rsid wsp:val=&quot;008B7C17&quot;/&gt;&lt;wsp:rsid wsp:val=&quot;008C2021&quot;/&gt;&lt;wsp:rsid wsp:val=&quot;008C2D01&quot;/&gt;&lt;wsp:rsid wsp:val=&quot;008C40E6&quot;/&gt;&lt;wsp:rsid wsp:val=&quot;008C551E&quot;/&gt;&lt;wsp:rsid wsp:val=&quot;008C5A84&quot;/&gt;&lt;wsp:rsid wsp:val=&quot;008C6F31&quot;/&gt;&lt;wsp:rsid wsp:val=&quot;008D0F7A&quot;/&gt;&lt;wsp:rsid wsp:val=&quot;008D1F7D&quot;/&gt;&lt;wsp:rsid wsp:val=&quot;008D68E4&quot;/&gt;&lt;wsp:rsid wsp:val=&quot;008E0506&quot;/&gt;&lt;wsp:rsid wsp:val=&quot;008E0C60&quot;/&gt;&lt;wsp:rsid wsp:val=&quot;008E0CFF&quot;/&gt;&lt;wsp:rsid wsp:val=&quot;008E2D99&quot;/&gt;&lt;wsp:rsid wsp:val=&quot;008E4BC5&quot;/&gt;&lt;wsp:rsid wsp:val=&quot;008E5D6B&quot;/&gt;&lt;wsp:rsid wsp:val=&quot;008E76F0&quot;/&gt;&lt;wsp:rsid wsp:val=&quot;008F15FE&quot;/&gt;&lt;wsp:rsid wsp:val=&quot;008F25AA&quot;/&gt;&lt;wsp:rsid wsp:val=&quot;008F2D29&quot;/&gt;&lt;wsp:rsid wsp:val=&quot;008F30F3&quot;/&gt;&lt;wsp:rsid wsp:val=&quot;008F5187&quot;/&gt;&lt;wsp:rsid wsp:val=&quot;008F60D8&quot;/&gt;&lt;wsp:rsid wsp:val=&quot;008F73B9&quot;/&gt;&lt;wsp:rsid wsp:val=&quot;009021E7&quot;/&gt;&lt;wsp:rsid wsp:val=&quot;00902727&quot;/&gt;&lt;wsp:rsid wsp:val=&quot;0090312B&quot;/&gt;&lt;wsp:rsid wsp:val=&quot;00910162&quot;/&gt;&lt;wsp:rsid wsp:val=&quot;00913F01&quot;/&gt;&lt;wsp:rsid wsp:val=&quot;009148A4&quot;/&gt;&lt;wsp:rsid wsp:val=&quot;0091736D&quot;/&gt;&lt;wsp:rsid wsp:val=&quot;00924D69&quot;/&gt;&lt;wsp:rsid wsp:val=&quot;00925278&quot;/&gt;&lt;wsp:rsid wsp:val=&quot;00927B61&quot;/&gt;&lt;wsp:rsid wsp:val=&quot;0093037A&quot;/&gt;&lt;wsp:rsid wsp:val=&quot;00935118&quot;/&gt;&lt;wsp:rsid wsp:val=&quot;00936276&quot;/&gt;&lt;wsp:rsid wsp:val=&quot;0094154D&quot;/&gt;&lt;wsp:rsid wsp:val=&quot;00942D5A&quot;/&gt;&lt;wsp:rsid wsp:val=&quot;00950240&quot;/&gt;&lt;wsp:rsid wsp:val=&quot;009511CE&quot;/&gt;&lt;wsp:rsid wsp:val=&quot;0095155F&quot;/&gt;&lt;wsp:rsid wsp:val=&quot;00954429&quot;/&gt;&lt;wsp:rsid wsp:val=&quot;009563CE&quot;/&gt;&lt;wsp:rsid wsp:val=&quot;00957E9E&quot;/&gt;&lt;wsp:rsid wsp:val=&quot;009657D5&quot;/&gt;&lt;wsp:rsid wsp:val=&quot;0096657E&quot;/&gt;&lt;wsp:rsid wsp:val=&quot;00975D66&quot;/&gt;&lt;wsp:rsid wsp:val=&quot;00976328&quot;/&gt;&lt;wsp:rsid wsp:val=&quot;00976381&quot;/&gt;&lt;wsp:rsid wsp:val=&quot;0097680D&quot;/&gt;&lt;wsp:rsid wsp:val=&quot;00977B14&quot;/&gt;&lt;wsp:rsid wsp:val=&quot;00980E9E&quot;/&gt;&lt;wsp:rsid wsp:val=&quot;00982438&quot;/&gt;&lt;wsp:rsid wsp:val=&quot;0098245F&quot;/&gt;&lt;wsp:rsid wsp:val=&quot;0098388D&quot;/&gt;&lt;wsp:rsid wsp:val=&quot;0098404C&quot;/&gt;&lt;wsp:rsid wsp:val=&quot;00985283&quot;/&gt;&lt;wsp:rsid wsp:val=&quot;00986659&quot;/&gt;&lt;wsp:rsid wsp:val=&quot;00987413&quot;/&gt;&lt;wsp:rsid wsp:val=&quot;009910E5&quot;/&gt;&lt;wsp:rsid wsp:val=&quot;0099261C&quot;/&gt;&lt;wsp:rsid wsp:val=&quot;00995992&quot;/&gt;&lt;wsp:rsid wsp:val=&quot;009975AA&quot;/&gt;&lt;wsp:rsid wsp:val=&quot;009A03E5&quot;/&gt;&lt;wsp:rsid wsp:val=&quot;009A0F3B&quot;/&gt;&lt;wsp:rsid wsp:val=&quot;009A13B3&quot;/&gt;&lt;wsp:rsid wsp:val=&quot;009A168D&quot;/&gt;&lt;wsp:rsid wsp:val=&quot;009A1BB4&quot;/&gt;&lt;wsp:rsid wsp:val=&quot;009A1E4B&quot;/&gt;&lt;wsp:rsid wsp:val=&quot;009A2628&quot;/&gt;&lt;wsp:rsid wsp:val=&quot;009A2BED&quot;/&gt;&lt;wsp:rsid wsp:val=&quot;009A3200&quot;/&gt;&lt;wsp:rsid wsp:val=&quot;009B0897&quot;/&gt;&lt;wsp:rsid wsp:val=&quot;009B7BD9&quot;/&gt;&lt;wsp:rsid wsp:val=&quot;009C7DD5&quot;/&gt;&lt;wsp:rsid wsp:val=&quot;009D04B7&quot;/&gt;&lt;wsp:rsid wsp:val=&quot;009D4B99&quot;/&gt;&lt;wsp:rsid wsp:val=&quot;009D540F&quot;/&gt;&lt;wsp:rsid wsp:val=&quot;009E227D&quot;/&gt;&lt;wsp:rsid wsp:val=&quot;009E5019&quot;/&gt;&lt;wsp:rsid wsp:val=&quot;009F0C0B&quot;/&gt;&lt;wsp:rsid wsp:val=&quot;009F16F1&quot;/&gt;&lt;wsp:rsid wsp:val=&quot;009F40BA&quot;/&gt;&lt;wsp:rsid wsp:val=&quot;009F55E7&quot;/&gt;&lt;wsp:rsid wsp:val=&quot;009F6963&quot;/&gt;&lt;wsp:rsid wsp:val=&quot;00A00E1A&quot;/&gt;&lt;wsp:rsid wsp:val=&quot;00A013E6&quot;/&gt;&lt;wsp:rsid wsp:val=&quot;00A041F6&quot;/&gt;&lt;wsp:rsid wsp:val=&quot;00A04F1B&quot;/&gt;&lt;wsp:rsid wsp:val=&quot;00A0501B&quot;/&gt;&lt;wsp:rsid wsp:val=&quot;00A05A1D&quot;/&gt;&lt;wsp:rsid wsp:val=&quot;00A073D5&quot;/&gt;&lt;wsp:rsid wsp:val=&quot;00A14947&quot;/&gt;&lt;wsp:rsid wsp:val=&quot;00A1658C&quot;/&gt;&lt;wsp:rsid wsp:val=&quot;00A17C10&quot;/&gt;&lt;wsp:rsid wsp:val=&quot;00A24389&quot;/&gt;&lt;wsp:rsid wsp:val=&quot;00A32418&quot;/&gt;&lt;wsp:rsid wsp:val=&quot;00A3295D&quot;/&gt;&lt;wsp:rsid wsp:val=&quot;00A32A83&quot;/&gt;&lt;wsp:rsid wsp:val=&quot;00A364B9&quot;/&gt;&lt;wsp:rsid wsp:val=&quot;00A368DB&quot;/&gt;&lt;wsp:rsid wsp:val=&quot;00A40483&quot;/&gt;&lt;wsp:rsid wsp:val=&quot;00A423AA&quot;/&gt;&lt;wsp:rsid wsp:val=&quot;00A5373B&quot;/&gt;&lt;wsp:rsid wsp:val=&quot;00A53EC6&quot;/&gt;&lt;wsp:rsid wsp:val=&quot;00A54547&quot;/&gt;&lt;wsp:rsid wsp:val=&quot;00A55B18&quot;/&gt;&lt;wsp:rsid wsp:val=&quot;00A55C0F&quot;/&gt;&lt;wsp:rsid wsp:val=&quot;00A57FCD&quot;/&gt;&lt;wsp:rsid wsp:val=&quot;00A60657&quot;/&gt;&lt;wsp:rsid wsp:val=&quot;00A65FA9&quot;/&gt;&lt;wsp:rsid wsp:val=&quot;00A735A0&quot;/&gt;&lt;wsp:rsid wsp:val=&quot;00A738A9&quot;/&gt;&lt;wsp:rsid wsp:val=&quot;00A73910&quot;/&gt;&lt;wsp:rsid wsp:val=&quot;00A815A2&quot;/&gt;&lt;wsp:rsid wsp:val=&quot;00A82D89&quot;/&gt;&lt;wsp:rsid wsp:val=&quot;00A8713F&quot;/&gt;&lt;wsp:rsid wsp:val=&quot;00A8786B&quot;/&gt;&lt;wsp:rsid wsp:val=&quot;00A90BA1&quot;/&gt;&lt;wsp:rsid wsp:val=&quot;00A91086&quot;/&gt;&lt;wsp:rsid wsp:val=&quot;00A91530&quot;/&gt;&lt;wsp:rsid wsp:val=&quot;00A92DDC&quot;/&gt;&lt;wsp:rsid wsp:val=&quot;00A93D9E&quot;/&gt;&lt;wsp:rsid wsp:val=&quot;00A97315&quot;/&gt;&lt;wsp:rsid wsp:val=&quot;00A97A9A&quot;/&gt;&lt;wsp:rsid wsp:val=&quot;00AA0671&quot;/&gt;&lt;wsp:rsid wsp:val=&quot;00AA1B9A&quot;/&gt;&lt;wsp:rsid wsp:val=&quot;00AA1FFF&quot;/&gt;&lt;wsp:rsid wsp:val=&quot;00AA2531&quot;/&gt;&lt;wsp:rsid wsp:val=&quot;00AA3CEC&quot;/&gt;&lt;wsp:rsid wsp:val=&quot;00AA4733&quot;/&gt;&lt;wsp:rsid wsp:val=&quot;00AA5519&quot;/&gt;&lt;wsp:rsid wsp:val=&quot;00AB1E09&quot;/&gt;&lt;wsp:rsid wsp:val=&quot;00AB35C0&quot;/&gt;&lt;wsp:rsid wsp:val=&quot;00AB3DAD&quot;/&gt;&lt;wsp:rsid wsp:val=&quot;00AB5330&quot;/&gt;&lt;wsp:rsid wsp:val=&quot;00AB6EE2&quot;/&gt;&lt;wsp:rsid wsp:val=&quot;00AB7747&quot;/&gt;&lt;wsp:rsid wsp:val=&quot;00AC14CE&quot;/&gt;&lt;wsp:rsid wsp:val=&quot;00AC1889&quot;/&gt;&lt;wsp:rsid wsp:val=&quot;00AC2A56&quot;/&gt;&lt;wsp:rsid wsp:val=&quot;00AC2DEF&quot;/&gt;&lt;wsp:rsid wsp:val=&quot;00AC5C90&quot;/&gt;&lt;wsp:rsid wsp:val=&quot;00AC72B9&quot;/&gt;&lt;wsp:rsid wsp:val=&quot;00AD055E&quot;/&gt;&lt;wsp:rsid wsp:val=&quot;00AD22BE&quot;/&gt;&lt;wsp:rsid wsp:val=&quot;00AD47A7&quot;/&gt;&lt;wsp:rsid wsp:val=&quot;00AD4F86&quot;/&gt;&lt;wsp:rsid wsp:val=&quot;00AD7338&quot;/&gt;&lt;wsp:rsid wsp:val=&quot;00AE2918&quot;/&gt;&lt;wsp:rsid wsp:val=&quot;00AE4805&quot;/&gt;&lt;wsp:rsid wsp:val=&quot;00AF0CBF&quot;/&gt;&lt;wsp:rsid wsp:val=&quot;00AF1F5E&quot;/&gt;&lt;wsp:rsid wsp:val=&quot;00AF257F&quot;/&gt;&lt;wsp:rsid wsp:val=&quot;00AF33CF&quot;/&gt;&lt;wsp:rsid wsp:val=&quot;00AF4D50&quot;/&gt;&lt;wsp:rsid wsp:val=&quot;00AF6179&quot;/&gt;&lt;wsp:rsid wsp:val=&quot;00B00061&quot;/&gt;&lt;wsp:rsid wsp:val=&quot;00B0419F&quot;/&gt;&lt;wsp:rsid wsp:val=&quot;00B066FD&quot;/&gt;&lt;wsp:rsid wsp:val=&quot;00B07FD9&quot;/&gt;&lt;wsp:rsid wsp:val=&quot;00B1295A&quot;/&gt;&lt;wsp:rsid wsp:val=&quot;00B1314A&quot;/&gt;&lt;wsp:rsid wsp:val=&quot;00B1650A&quot;/&gt;&lt;wsp:rsid wsp:val=&quot;00B20A45&quot;/&gt;&lt;wsp:rsid wsp:val=&quot;00B22C5C&quot;/&gt;&lt;wsp:rsid wsp:val=&quot;00B24F30&quot;/&gt;&lt;wsp:rsid wsp:val=&quot;00B256FD&quot;/&gt;&lt;wsp:rsid wsp:val=&quot;00B31647&quot;/&gt;&lt;wsp:rsid wsp:val=&quot;00B31ABF&quot;/&gt;&lt;wsp:rsid wsp:val=&quot;00B333DE&quot;/&gt;&lt;wsp:rsid wsp:val=&quot;00B33BE3&quot;/&gt;&lt;wsp:rsid wsp:val=&quot;00B3548A&quot;/&gt;&lt;wsp:rsid wsp:val=&quot;00B3632D&quot;/&gt;&lt;wsp:rsid wsp:val=&quot;00B36DD2&quot;/&gt;&lt;wsp:rsid wsp:val=&quot;00B406C6&quot;/&gt;&lt;wsp:rsid wsp:val=&quot;00B43A9B&quot;/&gt;&lt;wsp:rsid wsp:val=&quot;00B457CC&quot;/&gt;&lt;wsp:rsid wsp:val=&quot;00B53B5D&quot;/&gt;&lt;wsp:rsid wsp:val=&quot;00B5443F&quot;/&gt;&lt;wsp:rsid wsp:val=&quot;00B5621D&quot;/&gt;&lt;wsp:rsid wsp:val=&quot;00B6055E&quot;/&gt;&lt;wsp:rsid wsp:val=&quot;00B6317D&quot;/&gt;&lt;wsp:rsid wsp:val=&quot;00B64019&quot;/&gt;&lt;wsp:rsid wsp:val=&quot;00B65C81&quot;/&gt;&lt;wsp:rsid wsp:val=&quot;00B6623C&quot;/&gt;&lt;wsp:rsid wsp:val=&quot;00B715E4&quot;/&gt;&lt;wsp:rsid wsp:val=&quot;00B731ED&quot;/&gt;&lt;wsp:rsid wsp:val=&quot;00B74C55&quot;/&gt;&lt;wsp:rsid wsp:val=&quot;00B75F72&quot;/&gt;&lt;wsp:rsid wsp:val=&quot;00B7723F&quot;/&gt;&lt;wsp:rsid wsp:val=&quot;00B777AE&quot;/&gt;&lt;wsp:rsid wsp:val=&quot;00B80534&quot;/&gt;&lt;wsp:rsid wsp:val=&quot;00B8433C&quot;/&gt;&lt;wsp:rsid wsp:val=&quot;00B853C4&quot;/&gt;&lt;wsp:rsid wsp:val=&quot;00B86A09&quot;/&gt;&lt;wsp:rsid wsp:val=&quot;00B86D47&quot;/&gt;&lt;wsp:rsid wsp:val=&quot;00B87491&quot;/&gt;&lt;wsp:rsid wsp:val=&quot;00B96D8D&quot;/&gt;&lt;wsp:rsid wsp:val=&quot;00BA039D&quot;/&gt;&lt;wsp:rsid wsp:val=&quot;00BA1659&quot;/&gt;&lt;wsp:rsid wsp:val=&quot;00BA29E9&quot;/&gt;&lt;wsp:rsid wsp:val=&quot;00BA3803&quot;/&gt;&lt;wsp:rsid wsp:val=&quot;00BA625B&quot;/&gt;&lt;wsp:rsid wsp:val=&quot;00BA7142&quot;/&gt;&lt;wsp:rsid wsp:val=&quot;00BB13AD&quot;/&gt;&lt;wsp:rsid wsp:val=&quot;00BB237C&quot;/&gt;&lt;wsp:rsid wsp:val=&quot;00BB257A&quot;/&gt;&lt;wsp:rsid wsp:val=&quot;00BB27D6&quot;/&gt;&lt;wsp:rsid wsp:val=&quot;00BB3585&quot;/&gt;&lt;wsp:rsid wsp:val=&quot;00BB41A3&quot;/&gt;&lt;wsp:rsid wsp:val=&quot;00BB612F&quot;/&gt;&lt;wsp:rsid wsp:val=&quot;00BB695F&quot;/&gt;&lt;wsp:rsid wsp:val=&quot;00BB6BB5&quot;/&gt;&lt;wsp:rsid wsp:val=&quot;00BC24AF&quot;/&gt;&lt;wsp:rsid wsp:val=&quot;00BC32DC&quot;/&gt;&lt;wsp:rsid wsp:val=&quot;00BC35B6&quot;/&gt;&lt;wsp:rsid wsp:val=&quot;00BD126B&quot;/&gt;&lt;wsp:rsid wsp:val=&quot;00BD1B51&quot;/&gt;&lt;wsp:rsid wsp:val=&quot;00BD4596&quot;/&gt;&lt;wsp:rsid wsp:val=&quot;00BE1405&quot;/&gt;&lt;wsp:rsid wsp:val=&quot;00BE1545&quot;/&gt;&lt;wsp:rsid wsp:val=&quot;00BE312D&quot;/&gt;&lt;wsp:rsid wsp:val=&quot;00BE573D&quot;/&gt;&lt;wsp:rsid wsp:val=&quot;00BE7183&quot;/&gt;&lt;wsp:rsid wsp:val=&quot;00BF0E19&quot;/&gt;&lt;wsp:rsid wsp:val=&quot;00BF1C20&quot;/&gt;&lt;wsp:rsid wsp:val=&quot;00BF3E3B&quot;/&gt;&lt;wsp:rsid wsp:val=&quot;00C03875&quot;/&gt;&lt;wsp:rsid wsp:val=&quot;00C062F0&quot;/&gt;&lt;wsp:rsid wsp:val=&quot;00C10578&quot;/&gt;&lt;wsp:rsid wsp:val=&quot;00C11035&quot;/&gt;&lt;wsp:rsid wsp:val=&quot;00C12DE3&quot;/&gt;&lt;wsp:rsid wsp:val=&quot;00C135BC&quot;/&gt;&lt;wsp:rsid wsp:val=&quot;00C14B91&quot;/&gt;&lt;wsp:rsid wsp:val=&quot;00C1515C&quot;/&gt;&lt;wsp:rsid wsp:val=&quot;00C15C95&quot;/&gt;&lt;wsp:rsid wsp:val=&quot;00C22910&quot;/&gt;&lt;wsp:rsid wsp:val=&quot;00C2596A&quot;/&gt;&lt;wsp:rsid wsp:val=&quot;00C25F3F&quot;/&gt;&lt;wsp:rsid wsp:val=&quot;00C27537&quot;/&gt;&lt;wsp:rsid wsp:val=&quot;00C30909&quot;/&gt;&lt;wsp:rsid wsp:val=&quot;00C328FE&quot;/&gt;&lt;wsp:rsid wsp:val=&quot;00C33507&quot;/&gt;&lt;wsp:rsid wsp:val=&quot;00C4409D&quot;/&gt;&lt;wsp:rsid wsp:val=&quot;00C444DF&quot;/&gt;&lt;wsp:rsid wsp:val=&quot;00C44A20&quot;/&gt;&lt;wsp:rsid wsp:val=&quot;00C44E72&quot;/&gt;&lt;wsp:rsid wsp:val=&quot;00C45A06&quot;/&gt;&lt;wsp:rsid wsp:val=&quot;00C47E5B&quot;/&gt;&lt;wsp:rsid wsp:val=&quot;00C50241&quot;/&gt;&lt;wsp:rsid wsp:val=&quot;00C50CA9&quot;/&gt;&lt;wsp:rsid wsp:val=&quot;00C5134B&quot;/&gt;&lt;wsp:rsid wsp:val=&quot;00C51FE0&quot;/&gt;&lt;wsp:rsid wsp:val=&quot;00C5593B&quot;/&gt;&lt;wsp:rsid wsp:val=&quot;00C61E4B&quot;/&gt;&lt;wsp:rsid wsp:val=&quot;00C64BFF&quot;/&gt;&lt;wsp:rsid wsp:val=&quot;00C65933&quot;/&gt;&lt;wsp:rsid wsp:val=&quot;00C704E9&quot;/&gt;&lt;wsp:rsid wsp:val=&quot;00C70CA4&quot;/&gt;&lt;wsp:rsid wsp:val=&quot;00C763C9&quot;/&gt;&lt;wsp:rsid wsp:val=&quot;00C80057&quot;/&gt;&lt;wsp:rsid wsp:val=&quot;00C80D58&quot;/&gt;&lt;wsp:rsid wsp:val=&quot;00C82232&quot;/&gt;&lt;wsp:rsid wsp:val=&quot;00C82913&quot;/&gt;&lt;wsp:rsid wsp:val=&quot;00C84172&quot;/&gt;&lt;wsp:rsid wsp:val=&quot;00C86196&quot;/&gt;&lt;wsp:rsid wsp:val=&quot;00C86BE2&quot;/&gt;&lt;wsp:rsid wsp:val=&quot;00C86ECE&quot;/&gt;&lt;wsp:rsid wsp:val=&quot;00C9012E&quot;/&gt;&lt;wsp:rsid wsp:val=&quot;00C9169D&quot;/&gt;&lt;wsp:rsid wsp:val=&quot;00C91D93&quot;/&gt;&lt;wsp:rsid wsp:val=&quot;00C9611B&quot;/&gt;&lt;wsp:rsid wsp:val=&quot;00C967CF&quot;/&gt;&lt;wsp:rsid wsp:val=&quot;00C972B1&quot;/&gt;&lt;wsp:rsid wsp:val=&quot;00CA0A03&quot;/&gt;&lt;wsp:rsid wsp:val=&quot;00CA115C&quot;/&gt;&lt;wsp:rsid wsp:val=&quot;00CA2CCE&quot;/&gt;&lt;wsp:rsid wsp:val=&quot;00CA43FD&quot;/&gt;&lt;wsp:rsid wsp:val=&quot;00CA5242&quot;/&gt;&lt;wsp:rsid wsp:val=&quot;00CA7B6F&quot;/&gt;&lt;wsp:rsid wsp:val=&quot;00CA7EEA&quot;/&gt;&lt;wsp:rsid wsp:val=&quot;00CA7EF8&quot;/&gt;&lt;wsp:rsid wsp:val=&quot;00CB1A5A&quot;/&gt;&lt;wsp:rsid wsp:val=&quot;00CB1EB4&quot;/&gt;&lt;wsp:rsid wsp:val=&quot;00CB4678&quot;/&gt;&lt;wsp:rsid wsp:val=&quot;00CB5A73&quot;/&gt;&lt;wsp:rsid wsp:val=&quot;00CB746B&quot;/&gt;&lt;wsp:rsid wsp:val=&quot;00CB77BE&quot;/&gt;&lt;wsp:rsid wsp:val=&quot;00CC489B&quot;/&gt;&lt;wsp:rsid wsp:val=&quot;00CD0212&quot;/&gt;&lt;wsp:rsid wsp:val=&quot;00CD28C9&quot;/&gt;&lt;wsp:rsid wsp:val=&quot;00CD2BCD&quot;/&gt;&lt;wsp:rsid wsp:val=&quot;00CD3A4C&quot;/&gt;&lt;wsp:rsid wsp:val=&quot;00CD7A40&quot;/&gt;&lt;wsp:rsid wsp:val=&quot;00CE10E9&quot;/&gt;&lt;wsp:rsid wsp:val=&quot;00CE2910&quot;/&gt;&lt;wsp:rsid wsp:val=&quot;00CE5393&quot;/&gt;&lt;wsp:rsid wsp:val=&quot;00CF20B6&quot;/&gt;&lt;wsp:rsid wsp:val=&quot;00CF36BE&quot;/&gt;&lt;wsp:rsid wsp:val=&quot;00CF6000&quot;/&gt;&lt;wsp:rsid wsp:val=&quot;00D003F3&quot;/&gt;&lt;wsp:rsid wsp:val=&quot;00D004AD&quot;/&gt;&lt;wsp:rsid wsp:val=&quot;00D03026&quot;/&gt;&lt;wsp:rsid wsp:val=&quot;00D0364F&quot;/&gt;&lt;wsp:rsid wsp:val=&quot;00D06834&quot;/&gt;&lt;wsp:rsid wsp:val=&quot;00D07005&quot;/&gt;&lt;wsp:rsid wsp:val=&quot;00D07B9F&quot;/&gt;&lt;wsp:rsid wsp:val=&quot;00D07F0D&quot;/&gt;&lt;wsp:rsid wsp:val=&quot;00D127C9&quot;/&gt;&lt;wsp:rsid wsp:val=&quot;00D22781&quot;/&gt;&lt;wsp:rsid wsp:val=&quot;00D2435B&quot;/&gt;&lt;wsp:rsid wsp:val=&quot;00D24E50&quot;/&gt;&lt;wsp:rsid wsp:val=&quot;00D308ED&quot;/&gt;&lt;wsp:rsid wsp:val=&quot;00D337D8&quot;/&gt;&lt;wsp:rsid wsp:val=&quot;00D36D86&quot;/&gt;&lt;wsp:rsid wsp:val=&quot;00D428AA&quot;/&gt;&lt;wsp:rsid wsp:val=&quot;00D50A34&quot;/&gt;&lt;wsp:rsid wsp:val=&quot;00D53EFA&quot;/&gt;&lt;wsp:rsid wsp:val=&quot;00D54F24&quot;/&gt;&lt;wsp:rsid wsp:val=&quot;00D6134A&quot;/&gt;&lt;wsp:rsid wsp:val=&quot;00D62385&quot;/&gt;&lt;wsp:rsid wsp:val=&quot;00D74C8E&quot;/&gt;&lt;wsp:rsid wsp:val=&quot;00D74EA1&quot;/&gt;&lt;wsp:rsid wsp:val=&quot;00D859F7&quot;/&gt;&lt;wsp:rsid wsp:val=&quot;00D9012D&quot;/&gt;&lt;wsp:rsid wsp:val=&quot;00D93289&quot;/&gt;&lt;wsp:rsid wsp:val=&quot;00D94A7C&quot;/&gt;&lt;wsp:rsid wsp:val=&quot;00D95896&quot;/&gt;&lt;wsp:rsid wsp:val=&quot;00DA1667&quot;/&gt;&lt;wsp:rsid wsp:val=&quot;00DA516B&quot;/&gt;&lt;wsp:rsid wsp:val=&quot;00DB0D62&quot;/&gt;&lt;wsp:rsid wsp:val=&quot;00DB2983&quot;/&gt;&lt;wsp:rsid wsp:val=&quot;00DB2D5D&quot;/&gt;&lt;wsp:rsid wsp:val=&quot;00DB3413&quot;/&gt;&lt;wsp:rsid wsp:val=&quot;00DB48CA&quot;/&gt;&lt;wsp:rsid wsp:val=&quot;00DB52CC&quot;/&gt;&lt;wsp:rsid wsp:val=&quot;00DB6628&quot;/&gt;&lt;wsp:rsid wsp:val=&quot;00DC1257&quot;/&gt;&lt;wsp:rsid wsp:val=&quot;00DC1734&quot;/&gt;&lt;wsp:rsid wsp:val=&quot;00DC250E&quot;/&gt;&lt;wsp:rsid wsp:val=&quot;00DC3DC0&quot;/&gt;&lt;wsp:rsid wsp:val=&quot;00DC5B2B&quot;/&gt;&lt;wsp:rsid wsp:val=&quot;00DC5E6F&quot;/&gt;&lt;wsp:rsid wsp:val=&quot;00DD318D&quot;/&gt;&lt;wsp:rsid wsp:val=&quot;00DE0CF6&quot;/&gt;&lt;wsp:rsid wsp:val=&quot;00DE1458&quot;/&gt;&lt;wsp:rsid wsp:val=&quot;00DE2FB0&quot;/&gt;&lt;wsp:rsid wsp:val=&quot;00DE3995&quot;/&gt;&lt;wsp:rsid wsp:val=&quot;00DF2E12&quot;/&gt;&lt;wsp:rsid wsp:val=&quot;00DF514A&quot;/&gt;&lt;wsp:rsid wsp:val=&quot;00DF6690&quot;/&gt;&lt;wsp:rsid wsp:val=&quot;00DF6804&quot;/&gt;&lt;wsp:rsid wsp:val=&quot;00DF7251&quot;/&gt;&lt;wsp:rsid wsp:val=&quot;00E0358D&quot;/&gt;&lt;wsp:rsid wsp:val=&quot;00E04323&quot;/&gt;&lt;wsp:rsid wsp:val=&quot;00E070A2&quot;/&gt;&lt;wsp:rsid wsp:val=&quot;00E106F3&quot;/&gt;&lt;wsp:rsid wsp:val=&quot;00E13486&quot;/&gt;&lt;wsp:rsid wsp:val=&quot;00E200F4&quot;/&gt;&lt;wsp:rsid wsp:val=&quot;00E2454E&quot;/&gt;&lt;wsp:rsid wsp:val=&quot;00E2656A&quot;/&gt;&lt;wsp:rsid wsp:val=&quot;00E265D8&quot;/&gt;&lt;wsp:rsid wsp:val=&quot;00E306EB&quot;/&gt;&lt;wsp:rsid wsp:val=&quot;00E30FAC&quot;/&gt;&lt;wsp:rsid wsp:val=&quot;00E31687&quot;/&gt;&lt;wsp:rsid wsp:val=&quot;00E33CD4&quot;/&gt;&lt;wsp:rsid wsp:val=&quot;00E34FD7&quot;/&gt;&lt;wsp:rsid wsp:val=&quot;00E40880&quot;/&gt;&lt;wsp:rsid wsp:val=&quot;00E412D0&quot;/&gt;&lt;wsp:rsid wsp:val=&quot;00E4135D&quot;/&gt;&lt;wsp:rsid wsp:val=&quot;00E41A76&quot;/&gt;&lt;wsp:rsid wsp:val=&quot;00E44657&quot;/&gt;&lt;wsp:rsid wsp:val=&quot;00E526A2&quot;/&gt;&lt;wsp:rsid wsp:val=&quot;00E52F76&quot;/&gt;&lt;wsp:rsid wsp:val=&quot;00E56322&quot;/&gt;&lt;wsp:rsid wsp:val=&quot;00E57012&quot;/&gt;&lt;wsp:rsid wsp:val=&quot;00E60982&quot;/&gt;&lt;wsp:rsid wsp:val=&quot;00E62C62&quot;/&gt;&lt;wsp:rsid wsp:val=&quot;00E654C1&quot;/&gt;&lt;wsp:rsid wsp:val=&quot;00E658DB&quot;/&gt;&lt;wsp:rsid wsp:val=&quot;00E65D97&quot;/&gt;&lt;wsp:rsid wsp:val=&quot;00E72A5A&quot;/&gt;&lt;wsp:rsid wsp:val=&quot;00E73354&quot;/&gt;&lt;wsp:rsid wsp:val=&quot;00E80642&quot;/&gt;&lt;wsp:rsid wsp:val=&quot;00E80A88&quot;/&gt;&lt;wsp:rsid wsp:val=&quot;00E90A6A&quot;/&gt;&lt;wsp:rsid wsp:val=&quot;00E9242D&quot;/&gt;&lt;wsp:rsid wsp:val=&quot;00E9288D&quot;/&gt;&lt;wsp:rsid wsp:val=&quot;00E939F8&quot;/&gt;&lt;wsp:rsid wsp:val=&quot;00E93F34&quot;/&gt;&lt;wsp:rsid wsp:val=&quot;00E957A0&quot;/&gt;&lt;wsp:rsid wsp:val=&quot;00EA058C&quot;/&gt;&lt;wsp:rsid wsp:val=&quot;00EA0D83&quot;/&gt;&lt;wsp:rsid wsp:val=&quot;00EA1A34&quot;/&gt;&lt;wsp:rsid wsp:val=&quot;00EA40E8&quot;/&gt;&lt;wsp:rsid wsp:val=&quot;00EA6457&quot;/&gt;&lt;wsp:rsid wsp:val=&quot;00EB45D6&quot;/&gt;&lt;wsp:rsid wsp:val=&quot;00EB5255&quot;/&gt;&lt;wsp:rsid wsp:val=&quot;00EB5C47&quot;/&gt;&lt;wsp:rsid wsp:val=&quot;00EC04CC&quot;/&gt;&lt;wsp:rsid wsp:val=&quot;00EC2B9A&quot;/&gt;&lt;wsp:rsid wsp:val=&quot;00ED0639&quot;/&gt;&lt;wsp:rsid wsp:val=&quot;00ED234F&quot;/&gt;&lt;wsp:rsid wsp:val=&quot;00ED3E0E&quot;/&gt;&lt;wsp:rsid wsp:val=&quot;00EF4755&quot;/&gt;&lt;wsp:rsid wsp:val=&quot;00EF5BA2&quot;/&gt;&lt;wsp:rsid wsp:val=&quot;00EF7135&quot;/&gt;&lt;wsp:rsid wsp:val=&quot;00F0218F&quot;/&gt;&lt;wsp:rsid wsp:val=&quot;00F027DB&quot;/&gt;&lt;wsp:rsid wsp:val=&quot;00F036C9&quot;/&gt;&lt;wsp:rsid wsp:val=&quot;00F05477&quot;/&gt;&lt;wsp:rsid wsp:val=&quot;00F124AA&quot;/&gt;&lt;wsp:rsid wsp:val=&quot;00F13F69&quot;/&gt;&lt;wsp:rsid wsp:val=&quot;00F14A7A&quot;/&gt;&lt;wsp:rsid wsp:val=&quot;00F175F7&quot;/&gt;&lt;wsp:rsid wsp:val=&quot;00F20962&quot;/&gt;&lt;wsp:rsid wsp:val=&quot;00F211EF&quot;/&gt;&lt;wsp:rsid wsp:val=&quot;00F22985&quot;/&gt;&lt;wsp:rsid wsp:val=&quot;00F22F9D&quot;/&gt;&lt;wsp:rsid wsp:val=&quot;00F25C11&quot;/&gt;&lt;wsp:rsid wsp:val=&quot;00F30AC1&quot;/&gt;&lt;wsp:rsid wsp:val=&quot;00F3383E&quot;/&gt;&lt;wsp:rsid wsp:val=&quot;00F354E7&quot;/&gt;&lt;wsp:rsid wsp:val=&quot;00F363B3&quot;/&gt;&lt;wsp:rsid wsp:val=&quot;00F465A7&quot;/&gt;&lt;wsp:rsid wsp:val=&quot;00F50A8E&quot;/&gt;&lt;wsp:rsid wsp:val=&quot;00F50B7C&quot;/&gt;&lt;wsp:rsid wsp:val=&quot;00F54B35&quot;/&gt;&lt;wsp:rsid wsp:val=&quot;00F550E6&quot;/&gt;&lt;wsp:rsid wsp:val=&quot;00F63C38&quot;/&gt;&lt;wsp:rsid wsp:val=&quot;00F64F0F&quot;/&gt;&lt;wsp:rsid wsp:val=&quot;00F705B3&quot;/&gt;&lt;wsp:rsid wsp:val=&quot;00F73D8A&quot;/&gt;&lt;wsp:rsid wsp:val=&quot;00F74345&quot;/&gt;&lt;wsp:rsid wsp:val=&quot;00F76805&quot;/&gt;&lt;wsp:rsid wsp:val=&quot;00F80A0A&quot;/&gt;&lt;wsp:rsid wsp:val=&quot;00F80BD5&quot;/&gt;&lt;wsp:rsid wsp:val=&quot;00F82835&quot;/&gt;&lt;wsp:rsid wsp:val=&quot;00F82B19&quot;/&gt;&lt;wsp:rsid wsp:val=&quot;00F83568&quot;/&gt;&lt;wsp:rsid wsp:val=&quot;00F906B5&quot;/&gt;&lt;wsp:rsid wsp:val=&quot;00F9212D&quot;/&gt;&lt;wsp:rsid wsp:val=&quot;00F95851&quot;/&gt;&lt;wsp:rsid wsp:val=&quot;00F965DA&quot;/&gt;&lt;wsp:rsid wsp:val=&quot;00FA20D0&quot;/&gt;&lt;wsp:rsid wsp:val=&quot;00FA406A&quot;/&gt;&lt;wsp:rsid wsp:val=&quot;00FB503A&quot;/&gt;&lt;wsp:rsid wsp:val=&quot;00FB516C&quot;/&gt;&lt;wsp:rsid wsp:val=&quot;00FB5550&quot;/&gt;&lt;wsp:rsid wsp:val=&quot;00FB659B&quot;/&gt;&lt;wsp:rsid wsp:val=&quot;00FB6DC2&quot;/&gt;&lt;wsp:rsid wsp:val=&quot;00FB6F37&quot;/&gt;&lt;wsp:rsid wsp:val=&quot;00FC02BF&quot;/&gt;&lt;wsp:rsid wsp:val=&quot;00FC206D&quot;/&gt;&lt;wsp:rsid wsp:val=&quot;00FC32CC&quot;/&gt;&lt;wsp:rsid wsp:val=&quot;00FC7849&quot;/&gt;&lt;wsp:rsid wsp:val=&quot;00FD0236&quot;/&gt;&lt;wsp:rsid wsp:val=&quot;00FD18F4&quot;/&gt;&lt;wsp:rsid wsp:val=&quot;00FD54DB&quot;/&gt;&lt;wsp:rsid wsp:val=&quot;00FD59BF&quot;/&gt;&lt;wsp:rsid wsp:val=&quot;00FD5F35&quot;/&gt;&lt;wsp:rsid wsp:val=&quot;00FD619F&quot;/&gt;&lt;wsp:rsid wsp:val=&quot;00FD643F&quot;/&gt;&lt;wsp:rsid wsp:val=&quot;00FE1942&quot;/&gt;&lt;wsp:rsid wsp:val=&quot;00FF0212&quot;/&gt;&lt;wsp:rsid wsp:val=&quot;00FF1DF6&quot;/&gt;&lt;wsp:rsid wsp:val=&quot;00FF4C64&quot;/&gt;&lt;wsp:rsid wsp:val=&quot;00FF795D&quot;/&gt;&lt;wsp:rsid wsp:val=&quot;01001546&quot;/&gt;&lt;wsp:rsid wsp:val=&quot;01001B5E&quot;/&gt;&lt;wsp:rsid wsp:val=&quot;01011432&quot;/&gt;&lt;wsp:rsid wsp:val=&quot;010158D6&quot;/&gt;&lt;wsp:rsid wsp:val=&quot;01026E45&quot;/&gt;&lt;wsp:rsid wsp:val=&quot;01031592&quot;/&gt;&lt;wsp:rsid wsp:val=&quot;010333FC&quot;/&gt;&lt;wsp:rsid wsp:val=&quot;010351AA&quot;/&gt;&lt;wsp:rsid wsp:val=&quot;01067C6D&quot;/&gt;&lt;wsp:rsid wsp:val=&quot;01080A12&quot;/&gt;&lt;wsp:rsid wsp:val=&quot;010827C0&quot;/&gt;&lt;wsp:rsid wsp:val=&quot;0109515E&quot;/&gt;&lt;wsp:rsid wsp:val=&quot;0109689F&quot;/&gt;&lt;wsp:rsid wsp:val=&quot;01097DCB&quot;/&gt;&lt;wsp:rsid wsp:val=&quot;010A0977&quot;/&gt;&lt;wsp:rsid wsp:val=&quot;010A6538&quot;/&gt;&lt;wsp:rsid wsp:val=&quot;010B22B0&quot;/&gt;&lt;wsp:rsid wsp:val=&quot;010C0502&quot;/&gt;&lt;wsp:rsid wsp:val=&quot;010D4F6F&quot;/&gt;&lt;wsp:rsid wsp:val=&quot;010D7DD7&quot;/&gt;&lt;wsp:rsid wsp:val=&quot;010F15F0&quot;/&gt;&lt;wsp:rsid wsp:val=&quot;010F1DA1&quot;/&gt;&lt;wsp:rsid wsp:val=&quot;01101675&quot;/&gt;&lt;wsp:rsid wsp:val=&quot;011078C7&quot;/&gt;&lt;wsp:rsid wsp:val=&quot;01115B19&quot;/&gt;&lt;wsp:rsid wsp:val=&quot;0112004D&quot;/&gt;&lt;wsp:rsid wsp:val=&quot;0112363F&quot;/&gt;&lt;wsp:rsid wsp:val=&quot;01141165&quot;/&gt;&lt;wsp:rsid wsp:val=&quot;01142271&quot;/&gt;&lt;wsp:rsid wsp:val=&quot;01154EDD&quot;/&gt;&lt;wsp:rsid wsp:val=&quot;011562D2&quot;/&gt;&lt;wsp:rsid wsp:val=&quot;011570DC&quot;/&gt;&lt;wsp:rsid wsp:val=&quot;01161381&quot;/&gt;&lt;wsp:rsid wsp:val=&quot;0116312F&quot;/&gt;&lt;wsp:rsid wsp:val=&quot;011679E5&quot;/&gt;&lt;wsp:rsid wsp:val=&quot;01170C55&quot;/&gt;&lt;wsp:rsid wsp:val=&quot;01172333&quot;/&gt;&lt;wsp:rsid wsp:val=&quot;01192C1F&quot;/&gt;&lt;wsp:rsid wsp:val=&quot;0119334B&quot;/&gt;&lt;wsp:rsid wsp:val=&quot;01193755&quot;/&gt;&lt;wsp:rsid wsp:val=&quot;011A24F4&quot;/&gt;&lt;wsp:rsid wsp:val=&quot;011B57BD&quot;/&gt;&lt;wsp:rsid wsp:val=&quot;011B6516&quot;/&gt;&lt;wsp:rsid wsp:val=&quot;011D2710&quot;/&gt;&lt;wsp:rsid wsp:val=&quot;011E0004&quot;/&gt;&lt;wsp:rsid wsp:val=&quot;01203FAE&quot;/&gt;&lt;wsp:rsid wsp:val=&quot;01205D5C&quot;/&gt;&lt;wsp:rsid wsp:val=&quot;01207B0A&quot;/&gt;&lt;wsp:rsid wsp:val=&quot;01213882&quot;/&gt;&lt;wsp:rsid wsp:val=&quot;01264686&quot;/&gt;&lt;wsp:rsid wsp:val=&quot;01270291&quot;/&gt;&lt;wsp:rsid wsp:val=&quot;0127533C&quot;/&gt;&lt;wsp:rsid wsp:val=&quot;01287F18&quot;/&gt;&lt;wsp:rsid wsp:val=&quot;01290F7E&quot;/&gt;&lt;wsp:rsid wsp:val=&quot;012A4E2C&quot;/&gt;&lt;wsp:rsid wsp:val=&quot;012B64AF&quot;/&gt;&lt;wsp:rsid wsp:val=&quot;012C2953&quot;/&gt;&lt;wsp:rsid wsp:val=&quot;012D4559&quot;/&gt;&lt;wsp:rsid wsp:val=&quot;012D66CB&quot;/&gt;&lt;wsp:rsid wsp:val=&quot;012E74A2&quot;/&gt;&lt;wsp:rsid wsp:val=&quot;012F2443&quot;/&gt;&lt;wsp:rsid wsp:val=&quot;012F5F9F&quot;/&gt;&lt;wsp:rsid wsp:val=&quot;01323CE1&quot;/&gt;&lt;wsp:rsid wsp:val=&quot;013435B5&quot;/&gt;&lt;wsp:rsid wsp:val=&quot;013637D1&quot;/&gt;&lt;wsp:rsid wsp:val=&quot;013712F7&quot;/&gt;&lt;wsp:rsid wsp:val=&quot;0137560B&quot;/&gt;&lt;wsp:rsid wsp:val=&quot;01390BCC&quot;/&gt;&lt;wsp:rsid wsp:val=&quot;013B4530&quot;/&gt;&lt;wsp:rsid wsp:val=&quot;013D4B60&quot;/&gt;&lt;wsp:rsid wsp:val=&quot;013E61E2&quot;/&gt;&lt;wsp:rsid wsp:val=&quot;014001AC&quot;/&gt;&lt;wsp:rsid wsp:val=&quot;01402DC2&quot;/&gt;&lt;wsp:rsid wsp:val=&quot;01413E5F&quot;/&gt;&lt;wsp:rsid wsp:val=&quot;0141499A&quot;/&gt;&lt;wsp:rsid wsp:val=&quot;01415CD2&quot;/&gt;&lt;wsp:rsid wsp:val=&quot;01422DB3&quot;/&gt;&lt;wsp:rsid wsp:val=&quot;01437C9C&quot;/&gt;&lt;wsp:rsid wsp:val=&quot;01453A52&quot;/&gt;&lt;wsp:rsid wsp:val=&quot;014557C2&quot;/&gt;&lt;wsp:rsid wsp:val=&quot;01457570&quot;/&gt;&lt;wsp:rsid wsp:val=&quot;014632E9&quot;/&gt;&lt;wsp:rsid wsp:val=&quot;0147778C&quot;/&gt;&lt;wsp:rsid wsp:val=&quot;01487061&quot;/&gt;&lt;wsp:rsid wsp:val=&quot;014A2DD9&quot;/&gt;&lt;wsp:rsid wsp:val=&quot;014C0F72&quot;/&gt;&lt;wsp:rsid wsp:val=&quot;014C637D&quot;/&gt;&lt;wsp:rsid wsp:val=&quot;014D28C9&quot;/&gt;&lt;wsp:rsid wsp:val=&quot;014D4997&quot;/&gt;&lt;wsp:rsid wsp:val=&quot;014E2D2F&quot;/&gt;&lt;wsp:rsid wsp:val=&quot;014F219D&quot;/&gt;&lt;wsp:rsid wsp:val=&quot;014F6641&quot;/&gt;&lt;wsp:rsid wsp:val=&quot;01505F15&quot;/&gt;&lt;wsp:rsid wsp:val=&quot;015123B9&quot;/&gt;&lt;wsp:rsid wsp:val=&quot;01527EDF&quot;/&gt;&lt;wsp:rsid wsp:val=&quot;01541EA9&quot;/&gt;&lt;wsp:rsid wsp:val=&quot;01543C57&quot;/&gt;&lt;wsp:rsid wsp:val=&quot;0156177E&quot;/&gt;&lt;wsp:rsid wsp:val=&quot;01565C22&quot;/&gt;&lt;wsp:rsid wsp:val=&quot;015726F9&quot;/&gt;&lt;wsp:rsid wsp:val=&quot;015B6D94&quot;/&gt;&lt;wsp:rsid wsp:val=&quot;015C48BA&quot;/&gt;&lt;wsp:rsid wsp:val=&quot;015D1E09&quot;/&gt;&lt;wsp:rsid wsp:val=&quot;015E4AD6&quot;/&gt;&lt;wsp:rsid wsp:val=&quot;0160084E&quot;/&gt;&lt;wsp:rsid wsp:val=&quot;016073E8&quot;/&gt;&lt;wsp:rsid wsp:val=&quot;0161427F&quot;/&gt;&lt;wsp:rsid wsp:val=&quot;016245C6&quot;/&gt;&lt;wsp:rsid wsp:val=&quot;01633E9B&quot;/&gt;&lt;wsp:rsid wsp:val=&quot;016519C1&quot;/&gt;&lt;wsp:rsid wsp:val=&quot;0165325A&quot;/&gt;&lt;wsp:rsid wsp:val=&quot;01671BDD&quot;/&gt;&lt;wsp:rsid wsp:val=&quot;0167398B&quot;/&gt;&lt;wsp:rsid wsp:val=&quot;01675739&quot;/&gt;&lt;wsp:rsid wsp:val=&quot;016814B1&quot;/&gt;&lt;wsp:rsid wsp:val=&quot;016874B2&quot;/&gt;&lt;wsp:rsid wsp:val=&quot;016A5229&quot;/&gt;&lt;wsp:rsid wsp:val=&quot;016C055C&quot;/&gt;&lt;wsp:rsid wsp:val=&quot;016E2F6B&quot;/&gt;&lt;wsp:rsid wsp:val=&quot;016F0A91&quot;/&gt;&lt;wsp:rsid wsp:val=&quot;016F1C45&quot;/&gt;&lt;wsp:rsid wsp:val=&quot;016F283F&quot;/&gt;&lt;wsp:rsid wsp:val=&quot;0170236A&quot;/&gt;&lt;wsp:rsid wsp:val=&quot;017302B7&quot;/&gt;&lt;wsp:rsid wsp:val=&quot;01730582&quot;/&gt;&lt;wsp:rsid wsp:val=&quot;01731C66&quot;/&gt;&lt;wsp:rsid wsp:val=&quot;0173585E&quot;/&gt;&lt;wsp:rsid wsp:val=&quot;017460A8&quot;/&gt;&lt;wsp:rsid wsp:val=&quot;01747E56&quot;/&gt;&lt;wsp:rsid wsp:val=&quot;0175017E&quot;/&gt;&lt;wsp:rsid wsp:val=&quot;0179546C&quot;/&gt;&lt;wsp:rsid wsp:val=&quot;017B11E4&quot;/&gt;&lt;wsp:rsid wsp:val=&quot;017B2F92&quot;/&gt;&lt;wsp:rsid wsp:val=&quot;017B3FF0&quot;/&gt;&lt;wsp:rsid wsp:val=&quot;017D4F5C&quot;/&gt;&lt;wsp:rsid wsp:val=&quot;017E2A82&quot;/&gt;&lt;wsp:rsid wsp:val=&quot;017F5F3B&quot;/&gt;&lt;wsp:rsid wsp:val=&quot;01852063&quot;/&gt;&lt;wsp:rsid wsp:val=&quot;01854AA0&quot;/&gt;&lt;wsp:rsid wsp:val=&quot;01875164&quot;/&gt;&lt;wsp:rsid wsp:val=&quot;018A1427&quot;/&gt;&lt;wsp:rsid wsp:val=&quot;018A58CB&quot;/&gt;&lt;wsp:rsid wsp:val=&quot;018F04BB&quot;/&gt;&lt;wsp:rsid wsp:val=&quot;018F4C90&quot;/&gt;&lt;wsp:rsid wsp:val=&quot;01916C5A&quot;/&gt;&lt;wsp:rsid wsp:val=&quot;019276A6&quot;/&gt;&lt;wsp:rsid wsp:val=&quot;01930B36&quot;/&gt;&lt;wsp:rsid wsp:val=&quot;01944054&quot;/&gt;&lt;wsp:rsid wsp:val=&quot;01967DCC&quot;/&gt;&lt;wsp:rsid wsp:val=&quot;01981D96&quot;/&gt;&lt;wsp:rsid wsp:val=&quot;01995B0E&quot;/&gt;&lt;wsp:rsid wsp:val=&quot;019978BC&quot;/&gt;&lt;wsp:rsid wsp:val=&quot;019A20D0&quot;/&gt;&lt;wsp:rsid wsp:val=&quot;019E18C1&quot;/&gt;&lt;wsp:rsid wsp:val=&quot;019E3125&quot;/&gt;&lt;wsp:rsid wsp:val=&quot;01A06E9D&quot;/&gt;&lt;wsp:rsid wsp:val=&quot;01A253C9&quot;/&gt;&lt;wsp:rsid wsp:val=&quot;01A4698D&quot;/&gt;&lt;wsp:rsid wsp:val=&quot;01A52705&quot;/&gt;&lt;wsp:rsid wsp:val=&quot;01A544B3&quot;/&gt;&lt;wsp:rsid wsp:val=&quot;01A73D87&quot;/&gt;&lt;wsp:rsid wsp:val=&quot;01A7647D&quot;/&gt;&lt;wsp:rsid wsp:val=&quot;01A8508C&quot;/&gt;&lt;wsp:rsid wsp:val=&quot;01A85D51&quot;/&gt;&lt;wsp:rsid wsp:val=&quot;01A87AFF&quot;/&gt;&lt;wsp:rsid wsp:val=&quot;01A9592D&quot;/&gt;&lt;wsp:rsid wsp:val=&quot;01AA04FE&quot;/&gt;&lt;wsp:rsid wsp:val=&quot;01AA3877&quot;/&gt;&lt;wsp:rsid wsp:val=&quot;01AB7BDE&quot;/&gt;&lt;wsp:rsid wsp:val=&quot;01AC3A93&quot;/&gt;&lt;wsp:rsid wsp:val=&quot;01AC5842&quot;/&gt;&lt;wsp:rsid wsp:val=&quot;01AD5116&quot;/&gt;&lt;wsp:rsid wsp:val=&quot;01AE15BA&quot;/&gt;&lt;wsp:rsid wsp:val=&quot;01AE3368&quot;/&gt;&lt;wsp:rsid wsp:val=&quot;01B110AA&quot;/&gt;&lt;wsp:rsid wsp:val=&quot;01B14C06&quot;/&gt;&lt;wsp:rsid wsp:val=&quot;01B36BD0&quot;/&gt;&lt;wsp:rsid wsp:val=&quot;01B446F6&quot;/&gt;&lt;wsp:rsid wsp:val=&quot;01B53BF3&quot;/&gt;&lt;wsp:rsid wsp:val=&quot;01B6046E&quot;/&gt;&lt;wsp:rsid wsp:val=&quot;01B81547&quot;/&gt;&lt;wsp:rsid wsp:val=&quot;01B85F94&quot;/&gt;&lt;wsp:rsid wsp:val=&quot;01BA61B0&quot;/&gt;&lt;wsp:rsid wsp:val=&quot;01BB00AF&quot;/&gt;&lt;wsp:rsid wsp:val=&quot;01BD7A4F&quot;/&gt;&lt;wsp:rsid wsp:val=&quot;01BF5575&quot;/&gt;&lt;wsp:rsid wsp:val=&quot;01C0309B&quot;/&gt;&lt;wsp:rsid wsp:val=&quot;01C16785&quot;/&gt;&lt;wsp:rsid wsp:val=&quot;01C20BC1&quot;/&gt;&lt;wsp:rsid wsp:val=&quot;01C25065&quot;/&gt;&lt;wsp:rsid wsp:val=&quot;01C26E13&quot;/&gt;&lt;wsp:rsid wsp:val=&quot;01C42B8B&quot;/&gt;&lt;wsp:rsid wsp:val=&quot;01C563DE&quot;/&gt;&lt;wsp:rsid wsp:val=&quot;01C62732&quot;/&gt;&lt;wsp:rsid wsp:val=&quot;01C963F3&quot;/&gt;&lt;wsp:rsid wsp:val=&quot;01CB0F78&quot;/&gt;&lt;wsp:rsid wsp:val=&quot;01CC1A40&quot;/&gt;&lt;wsp:rsid wsp:val=&quot;01CD722E&quot;/&gt;&lt;wsp:rsid wsp:val=&quot;01CD7566&quot;/&gt;&lt;wsp:rsid wsp:val=&quot;01CE78F9&quot;/&gt;&lt;wsp:rsid wsp:val=&quot;01CF1530&quot;/&gt;&lt;wsp:rsid wsp:val=&quot;01CF32DE&quot;/&gt;&lt;wsp:rsid wsp:val=&quot;01CF7782&quot;/&gt;&lt;wsp:rsid wsp:val=&quot;01D13C8A&quot;/&gt;&lt;wsp:rsid wsp:val=&quot;01D31020&quot;/&gt;&lt;wsp:rsid wsp:val=&quot;01D37272&quot;/&gt;&lt;wsp:rsid wsp:val=&quot;01D408F4&quot;/&gt;&lt;wsp:rsid wsp:val=&quot;01D43F24&quot;/&gt;&lt;wsp:rsid wsp:val=&quot;01D46B46&quot;/&gt;&lt;wsp:rsid wsp:val=&quot;01D628BE&quot;/&gt;&lt;wsp:rsid wsp:val=&quot;01D8357C&quot;/&gt;&lt;wsp:rsid wsp:val=&quot;01D84888&quot;/&gt;&lt;wsp:rsid wsp:val=&quot;01D866AD&quot;/&gt;&lt;wsp:rsid wsp:val=&quot;01D95F0B&quot;/&gt;&lt;wsp:rsid wsp:val=&quot;01DA23AF&quot;/&gt;&lt;wsp:rsid wsp:val=&quot;01DA596D&quot;/&gt;&lt;wsp:rsid wsp:val=&quot;01DD59FB&quot;/&gt;&lt;wsp:rsid wsp:val=&quot;01DF79C5&quot;/&gt;&lt;wsp:rsid wsp:val=&quot;01E0373D&quot;/&gt;&lt;wsp:rsid wsp:val=&quot;01E0730D&quot;/&gt;&lt;wsp:rsid wsp:val=&quot;01E10B2C&quot;/&gt;&lt;wsp:rsid wsp:val=&quot;01E1319E&quot;/&gt;&lt;wsp:rsid wsp:val=&quot;01E44FDB&quot;/&gt;&lt;wsp:rsid wsp:val=&quot;01E50D53&quot;/&gt;&lt;wsp:rsid wsp:val=&quot;01E7687A&quot;/&gt;&lt;wsp:rsid wsp:val=&quot;01E925F2&quot;/&gt;&lt;wsp:rsid wsp:val=&quot;01EA0118&quot;/&gt;&lt;wsp:rsid wsp:val=&quot;01EC0334&quot;/&gt;&lt;wsp:rsid wsp:val=&quot;01F01BD2&quot;/&gt;&lt;wsp:rsid wsp:val=&quot;01F14123&quot;/&gt;&lt;wsp:rsid wsp:val=&quot;01F36FCC&quot;/&gt;&lt;wsp:rsid wsp:val=&quot;01F40F97&quot;/&gt;&lt;wsp:rsid wsp:val=&quot;01F42D45&quot;/&gt;&lt;wsp:rsid wsp:val=&quot;01F66ABD&quot;/&gt;&lt;wsp:rsid wsp:val=&quot;01F8223F&quot;/&gt;&lt;wsp:rsid wsp:val=&quot;01F86CD9&quot;/&gt;&lt;wsp:rsid wsp:val=&quot;01FB0577&quot;/&gt;&lt;wsp:rsid wsp:val=&quot;01FC7DA6&quot;/&gt;&lt;wsp:rsid wsp:val=&quot;01FD609D&quot;/&gt;&lt;wsp:rsid wsp:val=&quot;01FF1E15&quot;/&gt;&lt;wsp:rsid wsp:val=&quot;02002788&quot;/&gt;&lt;wsp:rsid wsp:val=&quot;020236B3&quot;/&gt;&lt;wsp:rsid wsp:val=&quot;0204742C&quot;/&gt;&lt;wsp:rsid wsp:val=&quot;020531A4&quot;/&gt;&lt;wsp:rsid wsp:val=&quot;02054F52&quot;/&gt;&lt;wsp:rsid wsp:val=&quot;02070CCA&quot;/&gt;&lt;wsp:rsid wsp:val=&quot;02076F1C&quot;/&gt;&lt;wsp:rsid wsp:val=&quot;020B07BA&quot;/&gt;&lt;wsp:rsid wsp:val=&quot;020C008E&quot;/&gt;&lt;wsp:rsid wsp:val=&quot;020C554D&quot;/&gt;&lt;wsp:rsid wsp:val=&quot;020C62E0&quot;/&gt;&lt;wsp:rsid wsp:val=&quot;020E3E06&quot;/&gt;&lt;wsp:rsid wsp:val=&quot;02104022&quot;/&gt;&lt;wsp:rsid wsp:val=&quot;02117D9A&quot;/&gt;&lt;wsp:rsid wsp:val=&quot;0213141D&quot;/&gt;&lt;wsp:rsid wsp:val=&quot;021358C1&quot;/&gt;&lt;wsp:rsid wsp:val=&quot;02160F0D&quot;/&gt;&lt;wsp:rsid wsp:val=&quot;021653B1&quot;/&gt;&lt;wsp:rsid wsp:val=&quot;02186A33&quot;/&gt;&lt;wsp:rsid wsp:val=&quot;021872CE&quot;/&gt;&lt;wsp:rsid wsp:val=&quot;021D04ED&quot;/&gt;&lt;wsp:rsid wsp:val=&quot;021D673F&quot;/&gt;&lt;wsp:rsid wsp:val=&quot;021F4265&quot;/&gt;&lt;wsp:rsid wsp:val=&quot;02203B3A&quot;/&gt;&lt;wsp:rsid wsp:val=&quot;02205A33&quot;/&gt;&lt;wsp:rsid wsp:val=&quot;02223D56&quot;/&gt;&lt;wsp:rsid wsp:val=&quot;022415AB&quot;/&gt;&lt;wsp:rsid wsp:val=&quot;0224187C&quot;/&gt;&lt;wsp:rsid wsp:val=&quot;02290C40&quot;/&gt;&lt;wsp:rsid wsp:val=&quot;02292750&quot;/&gt;&lt;wsp:rsid wsp:val=&quot;022C0730&quot;/&gt;&lt;wsp:rsid wsp:val=&quot;022C5D05&quot;/&gt;&lt;wsp:rsid wsp:val=&quot;022D740A&quot;/&gt;&lt;wsp:rsid wsp:val=&quot;022E26FA&quot;/&gt;&lt;wsp:rsid wsp:val=&quot;02301FCF&quot;/&gt;&lt;wsp:rsid wsp:val=&quot;02322A46&quot;/&gt;&lt;wsp:rsid wsp:val=&quot;02337D11&quot;/&gt;&lt;wsp:rsid wsp:val=&quot;02345366&quot;/&gt;&lt;wsp:rsid wsp:val=&quot;02365B70&quot;/&gt;&lt;wsp:rsid wsp:val=&quot;02376C53&quot;/&gt;&lt;wsp:rsid wsp:val=&quot;02377801&quot;/&gt;&lt;wsp:rsid wsp:val=&quot;023868B8&quot;/&gt;&lt;wsp:rsid wsp:val=&quot;02397D48&quot;/&gt;&lt;wsp:rsid wsp:val=&quot;023B0973&quot;/&gt;&lt;wsp:rsid wsp:val=&quot;023D293E&quot;/&gt;&lt;wsp:rsid wsp:val=&quot;0240504A&quot;/&gt;&lt;wsp:rsid wsp:val=&quot;02405F8A&quot;/&gt;&lt;wsp:rsid wsp:val=&quot;024164DA&quot;/&gt;&lt;wsp:rsid wsp:val=&quot;02457A2C&quot;/&gt;&lt;wsp:rsid wsp:val=&quot;024617F2&quot;/&gt;&lt;wsp:rsid wsp:val=&quot;024737BC&quot;/&gt;&lt;wsp:rsid wsp:val=&quot;0247556A&quot;/&gt;&lt;wsp:rsid wsp:val=&quot;02477318&quot;/&gt;&lt;wsp:rsid wsp:val=&quot;02493090&quot;/&gt;&lt;wsp:rsid wsp:val=&quot;02497D5F&quot;/&gt;&lt;wsp:rsid wsp:val=&quot;024A6C81&quot;/&gt;&lt;wsp:rsid wsp:val=&quot;024C492F&quot;/&gt;&lt;wsp:rsid wsp:val=&quot;024D4EDE&quot;/&gt;&lt;wsp:rsid wsp:val=&quot;024D764E&quot;/&gt;&lt;wsp:rsid wsp:val=&quot;02527FB8&quot;/&gt;&lt;wsp:rsid wsp:val=&quot;02557C87&quot;/&gt;&lt;wsp:rsid wsp:val=&quot;025657AD&quot;/&gt;&lt;wsp:rsid wsp:val=&quot;02570700&quot;/&gt;&lt;wsp:rsid wsp:val=&quot;02572162&quot;/&gt;&lt;wsp:rsid wsp:val=&quot;025C7268&quot;/&gt;&lt;wsp:rsid wsp:val=&quot;025D08EA&quot;/&gt;&lt;wsp:rsid wsp:val=&quot;025F0B06&quot;/&gt;&lt;wsp:rsid wsp:val=&quot;025F4662&quot;/&gt;&lt;wsp:rsid wsp:val=&quot;02624152&quot;/&gt;&lt;wsp:rsid wsp:val=&quot;026305F6&quot;/&gt;&lt;wsp:rsid wsp:val=&quot;02647ECA&quot;/&gt;&lt;wsp:rsid wsp:val=&quot;02651518&quot;/&gt;&lt;wsp:rsid wsp:val=&quot;02671768&quot;/&gt;&lt;wsp:rsid wsp:val=&quot;02681684&quot;/&gt;&lt;wsp:rsid wsp:val=&quot;02693733&quot;/&gt;&lt;wsp:rsid wsp:val=&quot;02697903&quot;/&gt;&lt;wsp:rsid wsp:val=&quot;026A6B75&quot;/&gt;&lt;wsp:rsid wsp:val=&quot;026B74AB&quot;/&gt;&lt;wsp:rsid wsp:val=&quot;026E6F9B&quot;/&gt;&lt;wsp:rsid wsp:val=&quot;0270061D&quot;/&gt;&lt;wsp:rsid wsp:val=&quot;027125E7&quot;/&gt;&lt;wsp:rsid wsp:val=&quot;02714395&quot;/&gt;&lt;wsp:rsid wsp:val=&quot;02720839&quot;/&gt;&lt;wsp:rsid wsp:val=&quot;02746F16&quot;/&gt;&lt;wsp:rsid wsp:val=&quot;02750329&quot;/&gt;&lt;wsp:rsid wsp:val=&quot;027520D7&quot;/&gt;&lt;wsp:rsid wsp:val=&quot;0275544D&quot;/&gt;&lt;wsp:rsid wsp:val=&quot;02785724&quot;/&gt;&lt;wsp:rsid wsp:val=&quot;027A76EE&quot;/&gt;&lt;wsp:rsid wsp:val=&quot;027B5D8E&quot;/&gt;&lt;wsp:rsid wsp:val=&quot;027D0F8C&quot;/&gt;&lt;wsp:rsid wsp:val=&quot;027D71DE&quot;/&gt;&lt;wsp:rsid wsp:val=&quot;0281282A&quot;/&gt;&lt;wsp:rsid wsp:val=&quot;02820350&quot;/&gt;&lt;wsp:rsid wsp:val=&quot;02832A46&quot;/&gt;&lt;wsp:rsid wsp:val=&quot;0284056C&quot;/&gt;&lt;wsp:rsid wsp:val=&quot;028422ED&quot;/&gt;&lt;wsp:rsid wsp:val=&quot;02854EBE&quot;/&gt;&lt;wsp:rsid wsp:val=&quot;028714FA&quot;/&gt;&lt;wsp:rsid wsp:val=&quot;0287551F&quot;/&gt;&lt;wsp:rsid wsp:val=&quot;02881420&quot;/&gt;&lt;wsp:rsid wsp:val=&quot;02881E0B&quot;/&gt;&lt;wsp:rsid wsp:val=&quot;0288383F&quot;/&gt;&lt;wsp:rsid wsp:val=&quot;02883974&quot;/&gt;&lt;wsp:rsid wsp:val=&quot;028B36A9&quot;/&gt;&lt;wsp:rsid wsp:val=&quot;028C11CF&quot;/&gt;&lt;wsp:rsid wsp:val=&quot;028C3EBB&quot;/&gt;&lt;wsp:rsid wsp:val=&quot;028C4D7E&quot;/&gt;&lt;wsp:rsid wsp:val=&quot;028D5673&quot;/&gt;&lt;wsp:rsid wsp:val=&quot;028E4F47&quot;/&gt;&lt;wsp:rsid wsp:val=&quot;028F3AEF&quot;/&gt;&lt;wsp:rsid wsp:val=&quot;02906F11&quot;/&gt;&lt;wsp:rsid wsp:val=&quot;029201DD&quot;/&gt;&lt;wsp:rsid wsp:val=&quot;02954528&quot;/&gt;&lt;wsp:rsid wsp:val=&quot;02961A83&quot;/&gt;&lt;wsp:rsid wsp:val=&quot;02964D69&quot;/&gt;&lt;wsp:rsid wsp:val=&quot;0297204E&quot;/&gt;&lt;wsp:rsid wsp:val=&quot;029772D3&quot;/&gt;&lt;wsp:rsid wsp:val=&quot;02987B74&quot;/&gt;&lt;wsp:rsid wsp:val=&quot;02994018&quot;/&gt;&lt;wsp:rsid wsp:val=&quot;029A38EC&quot;/&gt;&lt;wsp:rsid wsp:val=&quot;029C1412&quot;/&gt;&lt;wsp:rsid wsp:val=&quot;029C7664&quot;/&gt;&lt;wsp:rsid wsp:val=&quot;029D518A&quot;/&gt;&lt;wsp:rsid wsp:val=&quot;029F1DE1&quot;/&gt;&lt;wsp:rsid wsp:val=&quot;02A12ECC&quot;/&gt;&lt;wsp:rsid wsp:val=&quot;02A14C7A&quot;/&gt;&lt;wsp:rsid wsp:val=&quot;02A227A1&quot;/&gt;&lt;wsp:rsid wsp:val=&quot;02A357AF&quot;/&gt;&lt;wsp:rsid wsp:val=&quot;02A4476B&quot;/&gt;&lt;wsp:rsid wsp:val=&quot;02A47E10&quot;/&gt;&lt;wsp:rsid wsp:val=&quot;02A604E3&quot;/&gt;&lt;wsp:rsid wsp:val=&quot;02A75687&quot;/&gt;&lt;wsp:rsid wsp:val=&quot;02A8425B&quot;/&gt;&lt;wsp:rsid wsp:val=&quot;02A97830&quot;/&gt;&lt;wsp:rsid wsp:val=&quot;02AB16C1&quot;/&gt;&lt;wsp:rsid wsp:val=&quot;02AC5426&quot;/&gt;&lt;wsp:rsid wsp:val=&quot;02AD1871&quot;/&gt;&lt;wsp:rsid wsp:val=&quot;02AF363D&quot;/&gt;&lt;wsp:rsid wsp:val=&quot;02B01361&quot;/&gt;&lt;wsp:rsid wsp:val=&quot;02B052A9&quot;/&gt;&lt;wsp:rsid wsp:val=&quot;02B07E7A&quot;/&gt;&lt;wsp:rsid wsp:val=&quot;02B20C36&quot;/&gt;&lt;wsp:rsid wsp:val=&quot;02B2285A&quot;/&gt;&lt;wsp:rsid wsp:val=&quot;02B250DA&quot;/&gt;&lt;wsp:rsid wsp:val=&quot;02B40466&quot;/&gt;&lt;wsp:rsid wsp:val=&quot;02B50726&quot;/&gt;&lt;wsp:rsid wsp:val=&quot;02B726F0&quot;/&gt;&lt;wsp:rsid wsp:val=&quot;02B96468&quot;/&gt;&lt;wsp:rsid wsp:val=&quot;02BC4B03&quot;/&gt;&lt;wsp:rsid wsp:val=&quot;02BC6564&quot;/&gt;&lt;wsp:rsid wsp:val=&quot;02BC7D06&quot;/&gt;&lt;wsp:rsid wsp:val=&quot;02BE582C&quot;/&gt;&lt;wsp:rsid wsp:val=&quot;02BF77F6&quot;/&gt;&lt;wsp:rsid wsp:val=&quot;02C10E79&quot;/&gt;&lt;wsp:rsid wsp:val=&quot;02C55120&quot;/&gt;&lt;wsp:rsid wsp:val=&quot;02C646E1&quot;/&gt;&lt;wsp:rsid wsp:val=&quot;02C941D1&quot;/&gt;&lt;wsp:rsid wsp:val=&quot;02C95F7F&quot;/&gt;&lt;wsp:rsid wsp:val=&quot;02CB1CF7&quot;/&gt;&lt;wsp:rsid wsp:val=&quot;02CB7F49&quot;/&gt;&lt;wsp:rsid wsp:val=&quot;02CD5A6F&quot;/&gt;&lt;wsp:rsid wsp:val=&quot;02D037B2&quot;/&gt;&lt;wsp:rsid wsp:val=&quot;02D50DC8&quot;/&gt;&lt;wsp:rsid wsp:val=&quot;02D52B76&quot;/&gt;&lt;wsp:rsid wsp:val=&quot;02D54924&quot;/&gt;&lt;wsp:rsid wsp:val=&quot;02D71101&quot;/&gt;&lt;wsp:rsid wsp:val=&quot;02D74B40&quot;/&gt;&lt;wsp:rsid wsp:val=&quot;02D84414&quot;/&gt;&lt;wsp:rsid wsp:val=&quot;02DA018C&quot;/&gt;&lt;wsp:rsid wsp:val=&quot;02DA1F3A&quot;/&gt;&lt;wsp:rsid wsp:val=&quot;02DC3F04&quot;/&gt;&lt;wsp:rsid wsp:val=&quot;02DC5CB3&quot;/&gt;&lt;wsp:rsid wsp:val=&quot;02DE5ECF&quot;/&gt;&lt;wsp:rsid wsp:val=&quot;02DE6EAF&quot;/&gt;&lt;wsp:rsid wsp:val=&quot;02DE7C7D&quot;/&gt;&lt;wsp:rsid wsp:val=&quot;02E1151B&quot;/&gt;&lt;wsp:rsid wsp:val=&quot;02E334E5&quot;/&gt;&lt;wsp:rsid wsp:val=&quot;02E35293&quot;/&gt;&lt;wsp:rsid wsp:val=&quot;02E41BD9&quot;/&gt;&lt;wsp:rsid wsp:val=&quot;02E5725D&quot;/&gt;&lt;wsp:rsid wsp:val=&quot;02E64D83&quot;/&gt;&lt;wsp:rsid wsp:val=&quot;02E84657&quot;/&gt;&lt;wsp:rsid wsp:val=&quot;02ED6E19&quot;/&gt;&lt;wsp:rsid wsp:val=&quot;02ED7EC0&quot;/&gt;&lt;wsp:rsid wsp:val=&quot;02EE67F5&quot;/&gt;&lt;wsp:rsid wsp:val=&quot;02EF12AC&quot;/&gt;&lt;wsp:rsid wsp:val=&quot;02EF3E7D&quot;/&gt;&lt;wsp:rsid wsp:val=&quot;02F05C02&quot;/&gt;&lt;wsp:rsid wsp:val=&quot;02F079B0&quot;/&gt;&lt;wsp:rsid wsp:val=&quot;02F32FFC&quot;/&gt;&lt;wsp:rsid wsp:val=&quot;02F474A0&quot;/&gt;&lt;wsp:rsid wsp:val=&quot;02F500EE&quot;/&gt;&lt;wsp:rsid wsp:val=&quot;02F54FC6&quot;/&gt;&lt;wsp:rsid wsp:val=&quot;02F70D3E&quot;/&gt;&lt;wsp:rsid wsp:val=&quot;02F76F90&quot;/&gt;&lt;wsp:rsid wsp:val=&quot;02F92D08&quot;/&gt;&lt;wsp:rsid wsp:val=&quot;02F94AB6&quot;/&gt;&lt;wsp:rsid wsp:val=&quot;02F96569&quot;/&gt;&lt;wsp:rsid wsp:val=&quot;02FA25DD&quot;/&gt;&lt;wsp:rsid wsp:val=&quot;02FC0103&quot;/&gt;&lt;wsp:rsid wsp:val=&quot;02FF2231&quot;/&gt;&lt;wsp:rsid wsp:val=&quot;03062D2F&quot;/&gt;&lt;wsp:rsid wsp:val=&quot;030A0A72&quot;/&gt;&lt;wsp:rsid wsp:val=&quot;030A1E29&quot;/&gt;&lt;wsp:rsid wsp:val=&quot;030B2A3C&quot;/&gt;&lt;wsp:rsid wsp:val=&quot;030E0896&quot;/&gt;&lt;wsp:rsid wsp:val=&quot;030E5A07&quot;/&gt;&lt;wsp:rsid wsp:val=&quot;03101E00&quot;/&gt;&lt;wsp:rsid wsp:val=&quot;03103BAE&quot;/&gt;&lt;wsp:rsid wsp:val=&quot;03125B78&quot;/&gt;&lt;wsp:rsid wsp:val=&quot;031511C4&quot;/&gt;&lt;wsp:rsid wsp:val=&quot;03165668&quot;/&gt;&lt;wsp:rsid wsp:val=&quot;03192A63&quot;/&gt;&lt;wsp:rsid wsp:val=&quot;03195159&quot;/&gt;&lt;wsp:rsid wsp:val=&quot;03196F07&quot;/&gt;&lt;wsp:rsid wsp:val=&quot;031A67DB&quot;/&gt;&lt;wsp:rsid wsp:val=&quot;031B2C7F&quot;/&gt;&lt;wsp:rsid wsp:val=&quot;031D1CF9&quot;/&gt;&lt;wsp:rsid wsp:val=&quot;031E276F&quot;/&gt;&lt;wsp:rsid wsp:val=&quot;03200295&quot;/&gt;&lt;wsp:rsid wsp:val=&quot;03231B33&quot;/&gt;&lt;wsp:rsid wsp:val=&quot;032338E1&quot;/&gt;&lt;wsp:rsid wsp:val=&quot;03242405&quot;/&gt;&lt;wsp:rsid wsp:val=&quot;032558AB&quot;/&gt;&lt;wsp:rsid wsp:val=&quot;03274B78&quot;/&gt;&lt;wsp:rsid wsp:val=&quot;03280EF8&quot;/&gt;&lt;wsp:rsid wsp:val=&quot;0328400E&quot;/&gt;&lt;wsp:rsid wsp:val=&quot;032869F6&quot;/&gt;&lt;wsp:rsid wsp:val=&quot;032A1114&quot;/&gt;&lt;wsp:rsid wsp:val=&quot;032A2EC2&quot;/&gt;&lt;wsp:rsid wsp:val=&quot;032B6C3A&quot;/&gt;&lt;wsp:rsid wsp:val=&quot;032D4760&quot;/&gt;&lt;wsp:rsid wsp:val=&quot;032D650E&quot;/&gt;&lt;wsp:rsid wsp:val=&quot;032D7ACD&quot;/&gt;&lt;wsp:rsid wsp:val=&quot;03304250&quot;/&gt;&lt;wsp:rsid wsp:val=&quot;03305FFE&quot;/&gt;&lt;wsp:rsid wsp:val=&quot;03307091&quot;/&gt;&lt;wsp:rsid wsp:val=&quot;03311865&quot;/&gt;&lt;wsp:rsid wsp:val=&quot;033124A2&quot;/&gt;&lt;wsp:rsid wsp:val=&quot;03323B24&quot;/&gt;&lt;wsp:rsid wsp:val=&quot;03327FC8&quot;/&gt;&lt;wsp:rsid wsp:val=&quot;03337221&quot;/&gt;&lt;wsp:rsid wsp:val=&quot;0334789D&quot;/&gt;&lt;wsp:rsid wsp:val=&quot;033B50CF&quot;/&gt;&lt;wsp:rsid wsp:val=&quot;033C0D43&quot;/&gt;&lt;wsp:rsid wsp:val=&quot;033D00D6&quot;/&gt;&lt;wsp:rsid wsp:val=&quot;03402295&quot;/&gt;&lt;wsp:rsid wsp:val=&quot;034026E5&quot;/&gt;&lt;wsp:rsid wsp:val=&quot;03411FB9&quot;/&gt;&lt;wsp:rsid wsp:val=&quot;034128F9&quot;/&gt;&lt;wsp:rsid wsp:val=&quot;03413725&quot;/&gt;&lt;wsp:rsid wsp:val=&quot;0342096A&quot;/&gt;&lt;wsp:rsid wsp:val=&quot;03454CDB&quot;/&gt;&lt;wsp:rsid wsp:val=&quot;03463A74&quot;/&gt;&lt;wsp:rsid wsp:val=&quot;034675D0&quot;/&gt;&lt;wsp:rsid wsp:val=&quot;03475B40&quot;/&gt;&lt;wsp:rsid wsp:val=&quot;03480A27&quot;/&gt;&lt;wsp:rsid wsp:val=&quot;0348159A&quot;/&gt;&lt;wsp:rsid wsp:val=&quot;034877EC&quot;/&gt;&lt;wsp:rsid wsp:val=&quot;0349016D&quot;/&gt;&lt;wsp:rsid wsp:val=&quot;034A18C4&quot;/&gt;&lt;wsp:rsid wsp:val=&quot;034A3564&quot;/&gt;&lt;wsp:rsid wsp:val=&quot;034A5312&quot;/&gt;&lt;wsp:rsid wsp:val=&quot;034B4BE6&quot;/&gt;&lt;wsp:rsid wsp:val=&quot;034C108A&quot;/&gt;&lt;wsp:rsid wsp:val=&quot;035241C7&quot;/&gt;&lt;wsp:rsid wsp:val=&quot;03561F09&quot;/&gt;&lt;wsp:rsid wsp:val=&quot;03563CB7&quot;/&gt;&lt;wsp:rsid wsp:val=&quot;035919AC&quot;/&gt;&lt;wsp:rsid wsp:val=&quot;0359239C&quot;/&gt;&lt;wsp:rsid wsp:val=&quot;035A60F3&quot;/&gt;&lt;wsp:rsid wsp:val=&quot;035B4B68&quot;/&gt;&lt;wsp:rsid wsp:val=&quot;035B751F&quot;/&gt;&lt;wsp:rsid wsp:val=&quot;035C5045&quot;/&gt;&lt;wsp:rsid wsp:val=&quot;035C6DF3&quot;/&gt;&lt;wsp:rsid wsp:val=&quot;035E700F&quot;/&gt;&lt;wsp:rsid wsp:val=&quot;03604B36&quot;/&gt;&lt;wsp:rsid wsp:val=&quot;03633EEE&quot;/&gt;&lt;wsp:rsid wsp:val=&quot;036363D4&quot;/&gt;&lt;wsp:rsid wsp:val=&quot;03653EFA&quot;/&gt;&lt;wsp:rsid wsp:val=&quot;03664663&quot;/&gt;&lt;wsp:rsid wsp:val=&quot;036A1510&quot;/&gt;&lt;wsp:rsid wsp:val=&quot;036A7762&quot;/&gt;&lt;wsp:rsid wsp:val=&quot;036C66E1&quot;/&gt;&lt;wsp:rsid wsp:val=&quot;036D2C68&quot;/&gt;&lt;wsp:rsid wsp:val=&quot;036D7252&quot;/&gt;&lt;wsp:rsid wsp:val=&quot;03716D43&quot;/&gt;&lt;wsp:rsid wsp:val=&quot;03726617&quot;/&gt;&lt;wsp:rsid wsp:val=&quot;03726C53&quot;/&gt;&lt;wsp:rsid wsp:val=&quot;03744E73&quot;/&gt;&lt;wsp:rsid wsp:val=&quot;03764359&quot;/&gt;&lt;wsp:rsid wsp:val=&quot;03767EB5&quot;/&gt;&lt;wsp:rsid wsp:val=&quot;03771E7F&quot;/&gt;&lt;wsp:rsid wsp:val=&quot;03773C2D&quot;/&gt;&lt;wsp:rsid wsp:val=&quot;037759DB&quot;/&gt;&lt;wsp:rsid wsp:val=&quot;03777697&quot;/&gt;&lt;wsp:rsid wsp:val=&quot;03795BF7&quot;/&gt;&lt;wsp:rsid wsp:val=&quot;037B371D&quot;/&gt;&lt;wsp:rsid wsp:val=&quot;037E1AD1&quot;/&gt;&lt;wsp:rsid wsp:val=&quot;037F41D8&quot;/&gt;&lt;wsp:rsid wsp:val=&quot;03806094&quot;/&gt;&lt;wsp:rsid wsp:val=&quot;03815ED1&quot;/&gt;&lt;wsp:rsid wsp:val=&quot;0381685A&quot;/&gt;&lt;wsp:rsid wsp:val=&quot;03824AAC&quot;/&gt;&lt;wsp:rsid wsp:val=&quot;03830824&quot;/&gt;&lt;wsp:rsid wsp:val=&quot;03836A76&quot;/&gt;&lt;wsp:rsid wsp:val=&quot;03860CAF&quot;/&gt;&lt;wsp:rsid wsp:val=&quot;03863E70&quot;/&gt;&lt;wsp:rsid wsp:val=&quot;03870314&quot;/&gt;&lt;wsp:rsid wsp:val=&quot;03887307&quot;/&gt;&lt;wsp:rsid wsp:val=&quot;03896FE7&quot;/&gt;&lt;wsp:rsid wsp:val=&quot;038D1478&quot;/&gt;&lt;wsp:rsid wsp:val=&quot;038D16A3&quot;/&gt;&lt;wsp:rsid wsp:val=&quot;038D3451&quot;/&gt;&lt;wsp:rsid wsp:val=&quot;038F265D&quot;/&gt;&lt;wsp:rsid wsp:val=&quot;03912F41&quot;/&gt;&lt;wsp:rsid wsp:val=&quot;03920A67&quot;/&gt;&lt;wsp:rsid wsp:val=&quot;03920A7C&quot;/&gt;&lt;wsp:rsid wsp:val=&quot;0394702E&quot;/&gt;&lt;wsp:rsid wsp:val=&quot;0397607D&quot;/&gt;&lt;wsp:rsid wsp:val=&quot;039842CF&quot;/&gt;&lt;wsp:rsid wsp:val=&quot;039A7DB6&quot;/&gt;&lt;wsp:rsid wsp:val=&quot;039B0BCA&quot;/&gt;&lt;wsp:rsid wsp:val=&quot;039B3DC0&quot;/&gt;&lt;wsp:rsid wsp:val=&quot;039C57C0&quot;/&gt;&lt;wsp:rsid wsp:val=&quot;039E565E&quot;/&gt;&lt;wsp:rsid wsp:val=&quot;039F4B0C&quot;/&gt;&lt;wsp:rsid wsp:val=&quot;03A013D6&quot;/&gt;&lt;wsp:rsid wsp:val=&quot;03A038B1&quot;/&gt;&lt;wsp:rsid wsp:val=&quot;03A223FB&quot;/&gt;&lt;wsp:rsid wsp:val=&quot;03A2514E&quot;/&gt;&lt;wsp:rsid wsp:val=&quot;03A32C74&quot;/&gt;&lt;wsp:rsid wsp:val=&quot;03A367D0&quot;/&gt;&lt;wsp:rsid wsp:val=&quot;03A52548&quot;/&gt;&lt;wsp:rsid wsp:val=&quot;03A56CF2&quot;/&gt;&lt;wsp:rsid wsp:val=&quot;03A64B7B&quot;/&gt;&lt;wsp:rsid wsp:val=&quot;03A66872&quot;/&gt;&lt;wsp:rsid wsp:val=&quot;03A72764&quot;/&gt;&lt;wsp:rsid wsp:val=&quot;03A74512&quot;/&gt;&lt;wsp:rsid wsp:val=&quot;03A964DC&quot;/&gt;&lt;wsp:rsid wsp:val=&quot;03AA5DB1&quot;/&gt;&lt;wsp:rsid wsp:val=&quot;03AC1B29&quot;/&gt;&lt;wsp:rsid wsp:val=&quot;03AE3AF3&quot;/&gt;&lt;wsp:rsid wsp:val=&quot;03B00259&quot;/&gt;&lt;wsp:rsid wsp:val=&quot;03B10EED&quot;/&gt;&lt;wsp:rsid wsp:val=&quot;03B24C65&quot;/&gt;&lt;wsp:rsid wsp:val=&quot;03B60333&quot;/&gt;&lt;wsp:rsid wsp:val=&quot;03B629A7&quot;/&gt;&lt;wsp:rsid wsp:val=&quot;03B92498&quot;/&gt;&lt;wsp:rsid wsp:val=&quot;03B946F4&quot;/&gt;&lt;wsp:rsid wsp:val=&quot;03BB7FBE&quot;/&gt;&lt;wsp:rsid wsp:val=&quot;03BC7892&quot;/&gt;&lt;wsp:rsid wsp:val=&quot;03BD5AE4&quot;/&gt;&lt;wsp:rsid wsp:val=&quot;03BD623A&quot;/&gt;&lt;wsp:rsid wsp:val=&quot;03BE185C&quot;/&gt;&lt;wsp:rsid wsp:val=&quot;03BE360A&quot;/&gt;&lt;wsp:rsid wsp:val=&quot;03BE7AAE&quot;/&gt;&lt;wsp:rsid wsp:val=&quot;03C2134C&quot;/&gt;&lt;wsp:rsid wsp:val=&quot;03C350C4&quot;/&gt;&lt;wsp:rsid wsp:val=&quot;03C52BEB&quot;/&gt;&lt;wsp:rsid wsp:val=&quot;03C74BB5&quot;/&gt;&lt;wsp:rsid wsp:val=&quot;03C84489&quot;/&gt;&lt;wsp:rsid wsp:val=&quot;03C926DB&quot;/&gt;&lt;wsp:rsid wsp:val=&quot;03CA0201&quot;/&gt;&lt;wsp:rsid wsp:val=&quot;03CA6453&quot;/&gt;&lt;wsp:rsid wsp:val=&quot;03CC5D27&quot;/&gt;&lt;wsp:rsid wsp:val=&quot;03CD1A9F&quot;/&gt;&lt;wsp:rsid wsp:val=&quot;03CD57E0&quot;/&gt;&lt;wsp:rsid wsp:val=&quot;03CE5A7E&quot;/&gt;&lt;wsp:rsid wsp:val=&quot;03CF5817&quot;/&gt;&lt;wsp:rsid wsp:val=&quot;03D1333D&quot;/&gt;&lt;wsp:rsid wsp:val=&quot;03D26A21&quot;/&gt;&lt;wsp:rsid wsp:val=&quot;03D270B5&quot;/&gt;&lt;wsp:rsid wsp:val=&quot;03D41080&quot;/&gt;&lt;wsp:rsid wsp:val=&quot;03D66BA6&quot;/&gt;&lt;wsp:rsid wsp:val=&quot;03D8291E&quot;/&gt;&lt;wsp:rsid wsp:val=&quot;03D90444&quot;/&gt;&lt;wsp:rsid wsp:val=&quot;03DB240E&quot;/&gt;&lt;wsp:rsid wsp:val=&quot;03DE5A5A&quot;/&gt;&lt;wsp:rsid wsp:val=&quot;03DF158C&quot;/&gt;&lt;wsp:rsid wsp:val=&quot;03E11322&quot;/&gt;&lt;wsp:rsid wsp:val=&quot;03E270E6&quot;/&gt;&lt;wsp:rsid wsp:val=&quot;03E272F9&quot;/&gt;&lt;wsp:rsid wsp:val=&quot;03E33071&quot;/&gt;&lt;wsp:rsid wsp:val=&quot;03E47515&quot;/&gt;&lt;wsp:rsid wsp:val=&quot;03E5328D&quot;/&gt;&lt;wsp:rsid wsp:val=&quot;03E868D9&quot;/&gt;&lt;wsp:rsid wsp:val=&quot;03E94B2B&quot;/&gt;&lt;wsp:rsid wsp:val=&quot;03EA2651&quot;/&gt;&lt;wsp:rsid wsp:val=&quot;03EA7B21&quot;/&gt;&lt;wsp:rsid wsp:val=&quot;03EB521C&quot;/&gt;&lt;wsp:rsid wsp:val=&quot;03EC461B&quot;/&gt;&lt;wsp:rsid wsp:val=&quot;03EE2141&quot;/&gt;&lt;wsp:rsid wsp:val=&quot;03EF5EB9&quot;/&gt;&lt;wsp:rsid wsp:val=&quot;03EF7C67&quot;/&gt;&lt;wsp:rsid wsp:val=&quot;03F10E17&quot;/&gt;&lt;wsp:rsid wsp:val=&quot;03F112DB&quot;/&gt;&lt;wsp:rsid wsp:val=&quot;03F222A7&quot;/&gt;&lt;wsp:rsid wsp:val=&quot;03F359AA&quot;/&gt;&lt;wsp:rsid wsp:val=&quot;03F40ED9&quot;/&gt;&lt;wsp:rsid wsp:val=&quot;03F60FF6&quot;/&gt;&lt;wsp:rsid wsp:val=&quot;03F82FC0&quot;/&gt;&lt;wsp:rsid wsp:val=&quot;03F86B1C&quot;/&gt;&lt;wsp:rsid wsp:val=&quot;03FC7842&quot;/&gt;&lt;wsp:rsid wsp:val=&quot;03FF3CD8&quot;/&gt;&lt;wsp:rsid wsp:val=&quot;040000C7&quot;/&gt;&lt;wsp:rsid wsp:val=&quot;04001E75&quot;/&gt;&lt;wsp:rsid wsp:val=&quot;040451F1&quot;/&gt;&lt;wsp:rsid wsp:val=&quot;04047518&quot;/&gt;&lt;wsp:rsid wsp:val=&quot;04051239&quot;/&gt;&lt;wsp:rsid wsp:val=&quot;040532EE&quot;/&gt;&lt;wsp:rsid wsp:val=&quot;040556DD&quot;/&gt;&lt;wsp:rsid wsp:val=&quot;040700BF&quot;/&gt;&lt;wsp:rsid wsp:val=&quot;04073203&quot;/&gt;&lt;wsp:rsid wsp:val=&quot;04074FB1&quot;/&gt;&lt;wsp:rsid wsp:val=&quot;04082329&quot;/&gt;&lt;wsp:rsid wsp:val=&quot;04082AD7&quot;/&gt;&lt;wsp:rsid wsp:val=&quot;04096F7B&quot;/&gt;&lt;wsp:rsid wsp:val=&quot;040A4AA1&quot;/&gt;&lt;wsp:rsid wsp:val=&quot;040A684F&quot;/&gt;&lt;wsp:rsid wsp:val=&quot;040A7970&quot;/&gt;&lt;wsp:rsid wsp:val=&quot;040C49EA&quot;/&gt;&lt;wsp:rsid wsp:val=&quot;040C6A6B&quot;/&gt;&lt;wsp:rsid wsp:val=&quot;040D00EE&quot;/&gt;&lt;wsp:rsid wsp:val=&quot;040D4E97&quot;/&gt;&lt;wsp:rsid wsp:val=&quot;040E2F10&quot;/&gt;&lt;wsp:rsid wsp:val=&quot;040E6340&quot;/&gt;&lt;wsp:rsid wsp:val=&quot;040F20B8&quot;/&gt;&lt;wsp:rsid wsp:val=&quot;04106F71&quot;/&gt;&lt;wsp:rsid wsp:val=&quot;041476CE&quot;/&gt;&lt;wsp:rsid wsp:val=&quot;041845DB&quot;/&gt;&lt;wsp:rsid wsp:val=&quot;04186B93&quot;/&gt;&lt;wsp:rsid wsp:val=&quot;04194CE4&quot;/&gt;&lt;wsp:rsid wsp:val=&quot;041A2F36&quot;/&gt;&lt;wsp:rsid wsp:val=&quot;041D1579&quot;/&gt;&lt;wsp:rsid wsp:val=&quot;041F679F&quot;/&gt;&lt;wsp:rsid wsp:val=&quot;042042C5&quot;/&gt;&lt;wsp:rsid wsp:val=&quot;04233CA6&quot;/&gt;&lt;wsp:rsid wsp:val=&quot;04242D62&quot;/&gt;&lt;wsp:rsid wsp:val=&quot;042434D3&quot;/&gt;&lt;wsp:rsid wsp:val=&quot;04245B63&quot;/&gt;&lt;wsp:rsid wsp:val=&quot;04247911&quot;/&gt;&lt;wsp:rsid wsp:val=&quot;04267B2D&quot;/&gt;&lt;wsp:rsid wsp:val=&quot;042711AF&quot;/&gt;&lt;wsp:rsid wsp:val=&quot;04272627&quot;/&gt;&lt;wsp:rsid wsp:val=&quot;04277401&quot;/&gt;&lt;wsp:rsid wsp:val=&quot;042913CB&quot;/&gt;&lt;wsp:rsid wsp:val=&quot;04292471&quot;/&gt;&lt;wsp:rsid wsp:val=&quot;042A0CA0&quot;/&gt;&lt;wsp:rsid wsp:val=&quot;042C4A18&quot;/&gt;&lt;wsp:rsid wsp:val=&quot;042C6499&quot;/&gt;&lt;wsp:rsid wsp:val=&quot;042E0790&quot;/&gt;&lt;wsp:rsid wsp:val=&quot;042E24FA&quot;/&gt;&lt;wsp:rsid wsp:val=&quot;042E69E2&quot;/&gt;&lt;wsp:rsid wsp:val=&quot;0430275A&quot;/&gt;&lt;wsp:rsid wsp:val=&quot;04310280&quot;/&gt;&lt;wsp:rsid wsp:val=&quot;04312C14&quot;/&gt;&lt;wsp:rsid wsp:val=&quot;04314F03&quot;/&gt;&lt;wsp:rsid wsp:val=&quot;043162AA&quot;/&gt;&lt;wsp:rsid wsp:val=&quot;04351B1E&quot;/&gt;&lt;wsp:rsid wsp:val=&quot;04352BE0&quot;/&gt;&lt;wsp:rsid wsp:val=&quot;043537B8&quot;/&gt;&lt;wsp:rsid wsp:val=&quot;043579D8&quot;/&gt;&lt;wsp:rsid wsp:val=&quot;04363AE8&quot;/&gt;&lt;wsp:rsid wsp:val=&quot;04365896&quot;/&gt;&lt;wsp:rsid wsp:val=&quot;043867EE&quot;/&gt;&lt;wsp:rsid wsp:val=&quot;043D484D&quot;/&gt;&lt;wsp:rsid wsp:val=&quot;043D6C25&quot;/&gt;&lt;wsp:rsid wsp:val=&quot;043F299D&quot;/&gt;&lt;wsp:rsid wsp:val=&quot;044004C3&quot;/&gt;&lt;wsp:rsid wsp:val=&quot;04402271&quot;/&gt;&lt;wsp:rsid wsp:val=&quot;0440490F&quot;/&gt;&lt;wsp:rsid wsp:val=&quot;04421C84&quot;/&gt;&lt;wsp:rsid wsp:val=&quot;04422150&quot;/&gt;&lt;wsp:rsid wsp:val=&quot;0442423B&quot;/&gt;&lt;wsp:rsid wsp:val=&quot;04441D61&quot;/&gt;&lt;wsp:rsid wsp:val=&quot;044628F3&quot;/&gt;&lt;wsp:rsid wsp:val=&quot;04471852&quot;/&gt;&lt;wsp:rsid wsp:val=&quot;044730A1&quot;/&gt;&lt;wsp:rsid wsp:val=&quot;04477AA3&quot;/&gt;&lt;wsp:rsid wsp:val=&quot;04497378&quot;/&gt;&lt;wsp:rsid wsp:val=&quot;044A0592&quot;/&gt;&lt;wsp:rsid wsp:val=&quot;044B7594&quot;/&gt;&lt;wsp:rsid wsp:val=&quot;044C6E68&quot;/&gt;&lt;wsp:rsid wsp:val=&quot;04502B0E&quot;/&gt;&lt;wsp:rsid wsp:val=&quot;045301F6&quot;/&gt;&lt;wsp:rsid wsp:val=&quot;04531FA4&quot;/&gt;&lt;wsp:rsid wsp:val=&quot;04536448&quot;/&gt;&lt;wsp:rsid wsp:val=&quot;04545D1C&quot;/&gt;&lt;wsp:rsid wsp:val=&quot;04553F6E&quot;/&gt;&lt;wsp:rsid wsp:val=&quot;045556A5&quot;/&gt;&lt;wsp:rsid wsp:val=&quot;04567CE7&quot;/&gt;&lt;wsp:rsid wsp:val=&quot;04581455&quot;/&gt;&lt;wsp:rsid wsp:val=&quot;04594577&quot;/&gt;&lt;wsp:rsid wsp:val=&quot;045A22A5&quot;/&gt;&lt;wsp:rsid wsp:val=&quot;045A6946&quot;/&gt;&lt;wsp:rsid wsp:val=&quot;045F303F&quot;/&gt;&lt;wsp:rsid wsp:val=&quot;045F4DED&quot;/&gt;&lt;wsp:rsid wsp:val=&quot;045F58FA&quot;/&gt;&lt;wsp:rsid wsp:val=&quot;04603ACA&quot;/&gt;&lt;wsp:rsid wsp:val=&quot;046046C1&quot;/&gt;&lt;wsp:rsid wsp:val=&quot;046250D8&quot;/&gt;&lt;wsp:rsid wsp:val=&quot;04644636&quot;/&gt;&lt;wsp:rsid wsp:val=&quot;04662722&quot;/&gt;&lt;wsp:rsid wsp:val=&quot;0466617C&quot;/&gt;&lt;wsp:rsid wsp:val=&quot;04671EF4&quot;/&gt;&lt;wsp:rsid wsp:val=&quot;04673E53&quot;/&gt;&lt;wsp:rsid wsp:val=&quot;04675A50&quot;/&gt;&lt;wsp:rsid wsp:val=&quot;04695C6C&quot;/&gt;&lt;wsp:rsid wsp:val=&quot;046B5355&quot;/&gt;&lt;wsp:rsid wsp:val=&quot;046C3066&quot;/&gt;&lt;wsp:rsid wsp:val=&quot;046E5030&quot;/&gt;&lt;wsp:rsid wsp:val=&quot;046E6DDE&quot;/&gt;&lt;wsp:rsid wsp:val=&quot;04700DA8&quot;/&gt;&lt;wsp:rsid wsp:val=&quot;04702B56&quot;/&gt;&lt;wsp:rsid wsp:val=&quot;04705B1D&quot;/&gt;&lt;wsp:rsid wsp:val=&quot;04706FFA&quot;/&gt;&lt;wsp:rsid wsp:val=&quot;04714B20&quot;/&gt;&lt;wsp:rsid wsp:val=&quot;0472733C&quot;/&gt;&lt;wsp:rsid wsp:val=&quot;04730898&quot;/&gt;&lt;wsp:rsid wsp:val=&quot;047420BE&quot;/&gt;&lt;wsp:rsid wsp:val=&quot;0474497E&quot;/&gt;&lt;wsp:rsid wsp:val=&quot;04785FF9&quot;/&gt;&lt;wsp:rsid wsp:val=&quot;04793F05&quot;/&gt;&lt;wsp:rsid wsp:val=&quot;047955F4&quot;/&gt;&lt;wsp:rsid wsp:val=&quot;047A1C27&quot;/&gt;&lt;wsp:rsid wsp:val=&quot;047A39D5&quot;/&gt;&lt;wsp:rsid wsp:val=&quot;047B1417&quot;/&gt;&lt;wsp:rsid wsp:val=&quot;047E26A8&quot;/&gt;&lt;wsp:rsid wsp:val=&quot;047F2D99&quot;/&gt;&lt;wsp:rsid wsp:val=&quot;047F723D&quot;/&gt;&lt;wsp:rsid wsp:val=&quot;048031B8&quot;/&gt;&lt;wsp:rsid wsp:val=&quot;04806B11&quot;/&gt;&lt;wsp:rsid wsp:val=&quot;04812FB5&quot;/&gt;&lt;wsp:rsid wsp:val=&quot;04814D63&quot;/&gt;&lt;wsp:rsid wsp:val=&quot;04842AA6&quot;/&gt;&lt;wsp:rsid wsp:val=&quot;04854128&quot;/&gt;&lt;wsp:rsid wsp:val=&quot;048605CC&quot;/&gt;&lt;wsp:rsid wsp:val=&quot;04877EA0&quot;/&gt;&lt;wsp:rsid wsp:val=&quot;048900BC&quot;/&gt;&lt;wsp:rsid wsp:val=&quot;04891E6A&quot;/&gt;&lt;wsp:rsid wsp:val=&quot;04892E54&quot;/&gt;&lt;wsp:rsid wsp:val=&quot;048B3E34&quot;/&gt;&lt;wsp:rsid wsp:val=&quot;048B7990&quot;/&gt;&lt;wsp:rsid wsp:val=&quot;048E122E&quot;/&gt;&lt;wsp:rsid wsp:val=&quot;04904FA7&quot;/&gt;&lt;wsp:rsid wsp:val=&quot;04947F67&quot;/&gt;&lt;wsp:rsid wsp:val=&quot;0495080F&quot;/&gt;&lt;wsp:rsid wsp:val=&quot;049525BD&quot;/&gt;&lt;wsp:rsid wsp:val=&quot;04956A61&quot;/&gt;&lt;wsp:rsid wsp:val=&quot;04974587&quot;/&gt;&lt;wsp:rsid wsp:val=&quot;049802FF&quot;/&gt;&lt;wsp:rsid wsp:val=&quot;049A7BD3&quot;/&gt;&lt;wsp:rsid wsp:val=&quot;049C1B9D&quot;/&gt;&lt;wsp:rsid wsp:val=&quot;049F168E&quot;/&gt;&lt;wsp:rsid wsp:val=&quot;049F343C&quot;/&gt;&lt;wsp:rsid wsp:val=&quot;049F37E8&quot;/&gt;&lt;wsp:rsid wsp:val=&quot;04A10F62&quot;/&gt;&lt;wsp:rsid wsp:val=&quot;04A15406&quot;/&gt;&lt;wsp:rsid wsp:val=&quot;04A2256B&quot;/&gt;&lt;wsp:rsid wsp:val=&quot;04A3117E&quot;/&gt;&lt;wsp:rsid wsp:val=&quot;04A86794&quot;/&gt;&lt;wsp:rsid wsp:val=&quot;04A937D5&quot;/&gt;&lt;wsp:rsid wsp:val=&quot;04A96068&quot;/&gt;&lt;wsp:rsid wsp:val=&quot;04A9786D&quot;/&gt;&lt;wsp:rsid wsp:val=&quot;04AB1DE0&quot;/&gt;&lt;wsp:rsid wsp:val=&quot;04AB3B8E&quot;/&gt;&lt;wsp:rsid wsp:val=&quot;04AC0C48&quot;/&gt;&lt;wsp:rsid wsp:val=&quot;04AD3DAA&quot;/&gt;&lt;wsp:rsid wsp:val=&quot;04AE18D1&quot;/&gt;&lt;wsp:rsid wsp:val=&quot;04AE367F&quot;/&gt;&lt;wsp:rsid wsp:val=&quot;04AE7B23&quot;/&gt;&lt;wsp:rsid wsp:val=&quot;04B073F7&quot;/&gt;&lt;wsp:rsid wsp:val=&quot;04B213C1&quot;/&gt;&lt;wsp:rsid wsp:val=&quot;04B22060&quot;/&gt;&lt;wsp:rsid wsp:val=&quot;04B2316F&quot;/&gt;&lt;wsp:rsid wsp:val=&quot;04B25DED&quot;/&gt;&lt;wsp:rsid wsp:val=&quot;04B47551&quot;/&gt;&lt;wsp:rsid wsp:val=&quot;04B50EB1&quot;/&gt;&lt;wsp:rsid wsp:val=&quot;04B70785&quot;/&gt;&lt;wsp:rsid wsp:val=&quot;04B74C29&quot;/&gt;&lt;wsp:rsid wsp:val=&quot;04B8274F&quot;/&gt;&lt;wsp:rsid wsp:val=&quot;04B82D60&quot;/&gt;&lt;wsp:rsid wsp:val=&quot;04B844FD&quot;/&gt;&lt;wsp:rsid wsp:val=&quot;04BD1B14&quot;/&gt;&lt;wsp:rsid wsp:val=&quot;04BE31D4&quot;/&gt;&lt;wsp:rsid wsp:val=&quot;04C063C5&quot;/&gt;&lt;wsp:rsid wsp:val=&quot;04C11604&quot;/&gt;&lt;wsp:rsid wsp:val=&quot;04C46318&quot;/&gt;&lt;wsp:rsid wsp:val=&quot;04C74F24&quot;/&gt;&lt;wsp:rsid wsp:val=&quot;04C80BE4&quot;/&gt;&lt;wsp:rsid wsp:val=&quot;04C95D42&quot;/&gt;&lt;wsp:rsid wsp:val=&quot;04CB2483&quot;/&gt;&lt;wsp:rsid wsp:val=&quot;04CE5ACF&quot;/&gt;&lt;wsp:rsid wsp:val=&quot;04D035F5&quot;/&gt;&lt;wsp:rsid wsp:val=&quot;04D04690&quot;/&gt;&lt;wsp:rsid wsp:val=&quot;04D06D2A&quot;/&gt;&lt;wsp:rsid wsp:val=&quot;04D23811&quot;/&gt;&lt;wsp:rsid wsp:val=&quot;04D255BF&quot;/&gt;&lt;wsp:rsid wsp:val=&quot;04D27F09&quot;/&gt;&lt;wsp:rsid wsp:val=&quot;04D31337&quot;/&gt;&lt;wsp:rsid wsp:val=&quot;04D33D38&quot;/&gt;&lt;wsp:rsid wsp:val=&quot;04D70E27&quot;/&gt;&lt;wsp:rsid wsp:val=&quot;04D87ADD&quot;/&gt;&lt;wsp:rsid wsp:val=&quot;04D921AC&quot;/&gt;&lt;wsp:rsid wsp:val=&quot;04DA26C6&quot;/&gt;&lt;wsp:rsid wsp:val=&quot;04DC643E&quot;/&gt;&lt;wsp:rsid wsp:val=&quot;04E11CA6&quot;/&gt;&lt;wsp:rsid wsp:val=&quot;04E13A54&quot;/&gt;&lt;wsp:rsid wsp:val=&quot;04E15802&quot;/&gt;&lt;wsp:rsid wsp:val=&quot;04E23328&quot;/&gt;&lt;wsp:rsid wsp:val=&quot;04E470A0&quot;/&gt;&lt;wsp:rsid wsp:val=&quot;04E569E0&quot;/&gt;&lt;wsp:rsid wsp:val=&quot;04E807D8&quot;/&gt;&lt;wsp:rsid wsp:val=&quot;04E86B91&quot;/&gt;&lt;wsp:rsid wsp:val=&quot;04ED014B&quot;/&gt;&lt;wsp:rsid wsp:val=&quot;04ED064B&quot;/&gt;&lt;wsp:rsid wsp:val=&quot;04ED23F9&quot;/&gt;&lt;wsp:rsid wsp:val=&quot;04ED41A7&quot;/&gt;&lt;wsp:rsid wsp:val=&quot;04EE6171&quot;/&gt;&lt;wsp:rsid wsp:val=&quot;04F03A34&quot;/&gt;&lt;wsp:rsid wsp:val=&quot;04F217BD&quot;/&gt;&lt;wsp:rsid wsp:val=&quot;04F25C61&quot;/&gt;&lt;wsp:rsid wsp:val=&quot;04F27A0F&quot;/&gt;&lt;wsp:rsid wsp:val=&quot;04F33787&quot;/&gt;&lt;wsp:rsid wsp:val=&quot;04F5472C&quot;/&gt;&lt;wsp:rsid wsp:val=&quot;04F55751&quot;/&gt;&lt;wsp:rsid wsp:val=&quot;04F95C85&quot;/&gt;&lt;wsp:rsid wsp:val=&quot;04FC088E&quot;/&gt;&lt;wsp:rsid wsp:val=&quot;04FC263C&quot;/&gt;&lt;wsp:rsid wsp:val=&quot;04FC359C&quot;/&gt;&lt;wsp:rsid wsp:val=&quot;04FF037E&quot;/&gt;&lt;wsp:rsid wsp:val=&quot;04FF7EFB&quot;/&gt;&lt;wsp:rsid wsp:val=&quot;05025778&quot;/&gt;&lt;wsp:rsid wsp:val=&quot;05033049&quot;/&gt;&lt;wsp:rsid wsp:val=&quot;0504615D&quot;/&gt;&lt;wsp:rsid wsp:val=&quot;05087233&quot;/&gt;&lt;wsp:rsid wsp:val=&quot;050938AE&quot;/&gt;&lt;wsp:rsid wsp:val=&quot;0509577A&quot;/&gt;&lt;wsp:rsid wsp:val=&quot;05096B07&quot;/&gt;&lt;wsp:rsid wsp:val=&quot;050977E4&quot;/&gt;&lt;wsp:rsid wsp:val=&quot;050B6D23&quot;/&gt;&lt;wsp:rsid wsp:val=&quot;050D4849&quot;/&gt;&lt;wsp:rsid wsp:val=&quot;050F15EC&quot;/&gt;&lt;wsp:rsid wsp:val=&quot;0510425D&quot;/&gt;&lt;wsp:rsid wsp:val=&quot;05113F0C&quot;/&gt;&lt;wsp:rsid wsp:val=&quot;05114226&quot;/&gt;&lt;wsp:rsid wsp:val=&quot;05127B50&quot;/&gt;&lt;wsp:rsid wsp:val=&quot;051339FC&quot;/&gt;&lt;wsp:rsid wsp:val=&quot;05143E2A&quot;/&gt;&lt;wsp:rsid wsp:val=&quot;05143FCE&quot;/&gt;&lt;wsp:rsid wsp:val=&quot;05145BD8&quot;/&gt;&lt;wsp:rsid wsp:val=&quot;051536FE&quot;/&gt;&lt;wsp:rsid wsp:val=&quot;05157BA2&quot;/&gt;&lt;wsp:rsid wsp:val=&quot;0518120E&quot;/&gt;&lt;wsp:rsid wsp:val=&quot;0519526F&quot;/&gt;&lt;wsp:rsid wsp:val=&quot;051A6F66&quot;/&gt;&lt;wsp:rsid wsp:val=&quot;051B5485&quot;/&gt;&lt;wsp:rsid wsp:val=&quot;051E5080&quot;/&gt;&lt;wsp:rsid wsp:val=&quot;052027CE&quot;/&gt;&lt;wsp:rsid wsp:val=&quot;052102F4&quot;/&gt;&lt;wsp:rsid wsp:val=&quot;052136C5&quot;/&gt;&lt;wsp:rsid wsp:val=&quot;0523012E&quot;/&gt;&lt;wsp:rsid wsp:val=&quot;0523406D&quot;/&gt;&lt;wsp:rsid wsp:val=&quot;05237BC9&quot;/&gt;&lt;wsp:rsid wsp:val=&quot;052A1D5E&quot;/&gt;&lt;wsp:rsid wsp:val=&quot;052D0A47&quot;/&gt;&lt;wsp:rsid wsp:val=&quot;052E656D&quot;/&gt;&lt;wsp:rsid wsp:val=&quot;053022E6&quot;/&gt;&lt;wsp:rsid wsp:val=&quot;0530678A&quot;/&gt;&lt;wsp:rsid wsp:val=&quot;05340028&quot;/&gt;&lt;wsp:rsid wsp:val=&quot;05341DD6&quot;/&gt;&lt;wsp:rsid wsp:val=&quot;053425C2&quot;/&gt;&lt;wsp:rsid wsp:val=&quot;0534627A&quot;/&gt;&lt;wsp:rsid wsp:val=&quot;05353DA0&quot;/&gt;&lt;wsp:rsid wsp:val=&quot;05355B4E&quot;/&gt;&lt;wsp:rsid wsp:val=&quot;053578FC&quot;/&gt;&lt;wsp:rsid wsp:val=&quot;05364797&quot;/&gt;&lt;wsp:rsid wsp:val=&quot;05377B18&quot;/&gt;&lt;wsp:rsid wsp:val=&quot;053973EC&quot;/&gt;&lt;wsp:rsid wsp:val=&quot;053A3164&quot;/&gt;&lt;wsp:rsid wsp:val=&quot;053B422B&quot;/&gt;&lt;wsp:rsid wsp:val=&quot;053C512E&quot;/&gt;&lt;wsp:rsid wsp:val=&quot;053E0EA6&quot;/&gt;&lt;wsp:rsid wsp:val=&quot;054335EC&quot;/&gt;&lt;wsp:rsid wsp:val=&quot;05445D91&quot;/&gt;&lt;wsp:rsid wsp:val=&quot;0546428C&quot;/&gt;&lt;wsp:rsid wsp:val=&quot;05465CDE&quot;/&gt;&lt;wsp:rsid wsp:val=&quot;05483AD3&quot;/&gt;&lt;wsp:rsid wsp:val=&quot;05485881&quot;/&gt;&lt;wsp:rsid wsp:val=&quot;05492C0D&quot;/&gt;&lt;wsp:rsid wsp:val=&quot;054B6C6E&quot;/&gt;&lt;wsp:rsid wsp:val=&quot;054D2E98&quot;/&gt;&lt;wsp:rsid wsp:val=&quot;054D733B&quot;/&gt;&lt;wsp:rsid wsp:val=&quot;054E6641&quot;/&gt;&lt;wsp:rsid wsp:val=&quot;054F6C10&quot;/&gt;&lt;wsp:rsid wsp:val=&quot;05500BDA&quot;/&gt;&lt;wsp:rsid wsp:val=&quot;055224BF&quot;/&gt;&lt;wsp:rsid wsp:val=&quot;05557F9E&quot;/&gt;&lt;wsp:rsid wsp:val=&quot;05573D16&quot;/&gt;&lt;wsp:rsid wsp:val=&quot;05575AC4&quot;/&gt;&lt;wsp:rsid wsp:val=&quot;055A55B4&quot;/&gt;&lt;wsp:rsid wsp:val=&quot;055F2BCB&quot;/&gt;&lt;wsp:rsid wsp:val=&quot;05616943&quot;/&gt;&lt;wsp:rsid wsp:val=&quot;05626134&quot;/&gt;&lt;wsp:rsid wsp:val=&quot;056273E3&quot;/&gt;&lt;wsp:rsid wsp:val=&quot;0563090D&quot;/&gt;&lt;wsp:rsid wsp:val=&quot;056326BB&quot;/&gt;&lt;wsp:rsid wsp:val=&quot;05654DFE&quot;/&gt;&lt;wsp:rsid wsp:val=&quot;056621AB&quot;/&gt;&lt;wsp:rsid wsp:val=&quot;05665D07&quot;/&gt;&lt;wsp:rsid wsp:val=&quot;05681A7F&quot;/&gt;&lt;wsp:rsid wsp:val=&quot;05687CD1&quot;/&gt;&lt;wsp:rsid wsp:val=&quot;056A6836&quot;/&gt;&lt;wsp:rsid wsp:val=&quot;056B1570&quot;/&gt;&lt;wsp:rsid wsp:val=&quot;056D353A&quot;/&gt;&lt;wsp:rsid wsp:val=&quot;056F1060&quot;/&gt;&lt;wsp:rsid wsp:val=&quot;05704DD8&quot;/&gt;&lt;wsp:rsid wsp:val=&quot;05706B86&quot;/&gt;&lt;wsp:rsid wsp:val=&quot;0571302A&quot;/&gt;&lt;wsp:rsid wsp:val=&quot;05720B50&quot;/&gt;&lt;wsp:rsid wsp:val=&quot;05726DA2&quot;/&gt;&lt;wsp:rsid wsp:val=&quot;057448C8&quot;/&gt;&lt;wsp:rsid wsp:val=&quot;05777F14&quot;/&gt;&lt;wsp:rsid wsp:val=&quot;05785C8A&quot;/&gt;&lt;wsp:rsid wsp:val=&quot;057905AA&quot;/&gt;&lt;wsp:rsid wsp:val=&quot;057A317B&quot;/&gt;&lt;wsp:rsid wsp:val=&quot;057C552B&quot;/&gt;&lt;wsp:rsid wsp:val=&quot;057D1AFC&quot;/&gt;&lt;wsp:rsid wsp:val=&quot;057E12A3&quot;/&gt;&lt;wsp:rsid wsp:val=&quot;058058AC&quot;/&gt;&lt;wsp:rsid wsp:val=&quot;05816D3C&quot;/&gt;&lt;wsp:rsid wsp:val=&quot;05816FE5&quot;/&gt;&lt;wsp:rsid wsp:val=&quot;05827C69&quot;/&gt;&lt;wsp:rsid wsp:val=&quot;05834B0B&quot;/&gt;&lt;wsp:rsid wsp:val=&quot;05850883&quot;/&gt;&lt;wsp:rsid wsp:val=&quot;05856AD5&quot;/&gt;&lt;wsp:rsid wsp:val=&quot;0586171E&quot;/&gt;&lt;wsp:rsid wsp:val=&quot;058755A7&quot;/&gt;&lt;wsp:rsid wsp:val=&quot;05882122&quot;/&gt;&lt;wsp:rsid wsp:val=&quot;05883ED0&quot;/&gt;&lt;wsp:rsid wsp:val=&quot;058A7C48&quot;/&gt;&lt;wsp:rsid wsp:val=&quot;058D7738&quot;/&gt;&lt;wsp:rsid wsp:val=&quot;058F1340&quot;/&gt;&lt;wsp:rsid wsp:val=&quot;058F34B0&quot;/&gt;&lt;wsp:rsid wsp:val=&quot;059053A1&quot;/&gt;&lt;wsp:rsid wsp:val=&quot;05921402&quot;/&gt;&lt;wsp:rsid wsp:val=&quot;05924D4E&quot;/&gt;&lt;wsp:rsid wsp:val=&quot;0592789B&quot;/&gt;&lt;wsp:rsid wsp:val=&quot;05946D18&quot;/&gt;&lt;wsp:rsid wsp:val=&quot;059565ED&quot;/&gt;&lt;wsp:rsid wsp:val=&quot;05960810&quot;/&gt;&lt;wsp:rsid wsp:val=&quot;0596483F&quot;/&gt;&lt;wsp:rsid wsp:val=&quot;0596560E&quot;/&gt;&lt;wsp:rsid wsp:val=&quot;059705B7&quot;/&gt;&lt;wsp:rsid wsp:val=&quot;05972365&quot;/&gt;&lt;wsp:rsid wsp:val=&quot;059B00A7&quot;/&gt;&lt;wsp:rsid wsp:val=&quot;059B275E&quot;/&gt;&lt;wsp:rsid wsp:val=&quot;059C797B&quot;/&gt;&lt;wsp:rsid wsp:val=&quot;059D002F&quot;/&gt;&lt;wsp:rsid wsp:val=&quot;059D1DD7&quot;/&gt;&lt;wsp:rsid wsp:val=&quot;059E36F3&quot;/&gt;&lt;wsp:rsid wsp:val=&quot;059E3A51&quot;/&gt;&lt;wsp:rsid wsp:val=&quot;059F689E&quot;/&gt;&lt;wsp:rsid wsp:val=&quot;05A14F91&quot;/&gt;&lt;wsp:rsid wsp:val=&quot;05A30C46&quot;/&gt;&lt;wsp:rsid wsp:val=&quot;05A36F5B&quot;/&gt;&lt;wsp:rsid wsp:val=&quot;05A47C83&quot;/&gt;&lt;wsp:rsid wsp:val=&quot;05A607FA&quot;/&gt;&lt;wsp:rsid wsp:val=&quot;05A84572&quot;/&gt;&lt;wsp:rsid wsp:val=&quot;05A86320&quot;/&gt;&lt;wsp:rsid wsp:val=&quot;05AA653C&quot;/&gt;&lt;wsp:rsid wsp:val=&quot;05AC22B4&quot;/&gt;&lt;wsp:rsid wsp:val=&quot;05AD1B88&quot;/&gt;&lt;wsp:rsid wsp:val=&quot;05B05EAE&quot;/&gt;&lt;wsp:rsid wsp:val=&quot;05B11678&quot;/&gt;&lt;wsp:rsid wsp:val=&quot;05B11BB0&quot;/&gt;&lt;wsp:rsid wsp:val=&quot;05B13426&quot;/&gt;&lt;wsp:rsid wsp:val=&quot;05B44CC5&quot;/&gt;&lt;wsp:rsid wsp:val=&quot;05B515C4&quot;/&gt;&lt;wsp:rsid wsp:val=&quot;05B72A07&quot;/&gt;&lt;wsp:rsid wsp:val=&quot;05B747B5&quot;/&gt;&lt;wsp:rsid wsp:val=&quot;05B80C59&quot;/&gt;&lt;wsp:rsid wsp:val=&quot;05BB42A5&quot;/&gt;&lt;wsp:rsid wsp:val=&quot;05BC1DCB&quot;/&gt;&lt;wsp:rsid wsp:val=&quot;05BE0308&quot;/&gt;&lt;wsp:rsid wsp:val=&quot;05BE5B43&quot;/&gt;&lt;wsp:rsid wsp:val=&quot;05C0366A&quot;/&gt;&lt;wsp:rsid wsp:val=&quot;05C05142&quot;/&gt;&lt;wsp:rsid wsp:val=&quot;05C173E2&quot;/&gt;&lt;wsp:rsid wsp:val=&quot;05C375FE&quot;/&gt;&lt;wsp:rsid wsp:val=&quot;05C50C80&quot;/&gt;&lt;wsp:rsid wsp:val=&quot;05C56ED2&quot;/&gt;&lt;wsp:rsid wsp:val=&quot;05C649F8&quot;/&gt;&lt;wsp:rsid wsp:val=&quot;05C84C14&quot;/&gt;&lt;wsp:rsid wsp:val=&quot;05CA273A&quot;/&gt;&lt;wsp:rsid wsp:val=&quot;05CB200E&quot;/&gt;&lt;wsp:rsid wsp:val=&quot;05CD3FD8&quot;/&gt;&lt;wsp:rsid wsp:val=&quot;05CD426B&quot;/&gt;&lt;wsp:rsid wsp:val=&quot;05CF7D50&quot;/&gt;&lt;wsp:rsid wsp:val=&quot;05D25154&quot;/&gt;&lt;wsp:rsid wsp:val=&quot;05D435B9&quot;/&gt;&lt;wsp:rsid wsp:val=&quot;05D610DF&quot;/&gt;&lt;wsp:rsid wsp:val=&quot;05D709B3&quot;/&gt;&lt;wsp:rsid wsp:val=&quot;05D76C05&quot;/&gt;&lt;wsp:rsid wsp:val=&quot;05D77B36&quot;/&gt;&lt;wsp:rsid wsp:val=&quot;05D830A9&quot;/&gt;&lt;wsp:rsid wsp:val=&quot;05D9297D&quot;/&gt;&lt;wsp:rsid wsp:val=&quot;05D95027&quot;/&gt;&lt;wsp:rsid wsp:val=&quot;05D97CE4&quot;/&gt;&lt;wsp:rsid wsp:val=&quot;05DA498B&quot;/&gt;&lt;wsp:rsid wsp:val=&quot;05DB4947&quot;/&gt;&lt;wsp:rsid wsp:val=&quot;05DC034A&quot;/&gt;&lt;wsp:rsid wsp:val=&quot;05DC421B&quot;/&gt;&lt;wsp:rsid wsp:val=&quot;05DE1D42&quot;/&gt;&lt;wsp:rsid wsp:val=&quot;05E02329&quot;/&gt;&lt;wsp:rsid wsp:val=&quot;05E03D0C&quot;/&gt;&lt;wsp:rsid wsp:val=&quot;05E25CD6&quot;/&gt;&lt;wsp:rsid wsp:val=&quot;05E27A84&quot;/&gt;&lt;wsp:rsid wsp:val=&quot;05E41A4E&quot;/&gt;&lt;wsp:rsid wsp:val=&quot;05E66D48&quot;/&gt;&lt;wsp:rsid wsp:val=&quot;05E7509A&quot;/&gt;&lt;wsp:rsid wsp:val=&quot;05E76E48&quot;/&gt;&lt;wsp:rsid wsp:val=&quot;05E82BC0&quot;/&gt;&lt;wsp:rsid wsp:val=&quot;05E8737A&quot;/&gt;&lt;wsp:rsid wsp:val=&quot;05EA2DDC&quot;/&gt;&lt;wsp:rsid wsp:val=&quot;05EB743C&quot;/&gt;&lt;wsp:rsid wsp:val=&quot;05EC0902&quot;/&gt;&lt;wsp:rsid wsp:val=&quot;05EC26B0&quot;/&gt;&lt;wsp:rsid wsp:val=&quot;05EC445F&quot;/&gt;&lt;wsp:rsid wsp:val=&quot;05EE467B&quot;/&gt;&lt;wsp:rsid wsp:val=&quot;05EF03F3&quot;/&gt;&lt;wsp:rsid wsp:val=&quot;05F05CF2&quot;/&gt;&lt;wsp:rsid wsp:val=&quot;05F11A75&quot;/&gt;&lt;wsp:rsid wsp:val=&quot;05F31C91&quot;/&gt;&lt;wsp:rsid wsp:val=&quot;05F477B7&quot;/&gt;&lt;wsp:rsid wsp:val=&quot;05F504EE&quot;/&gt;&lt;wsp:rsid wsp:val=&quot;05F607BC&quot;/&gt;&lt;wsp:rsid wsp:val=&quot;05F81055&quot;/&gt;&lt;wsp:rsid wsp:val=&quot;05F83EAE&quot;/&gt;&lt;wsp:rsid wsp:val=&quot;05F872A7&quot;/&gt;&lt;wsp:rsid wsp:val=&quot;05F96B7B&quot;/&gt;&lt;wsp:rsid wsp:val=&quot;05FA2ED0&quot;/&gt;&lt;wsp:rsid wsp:val=&quot;05FB0B46&quot;/&gt;&lt;wsp:rsid wsp:val=&quot;05FB6F31&quot;/&gt;&lt;wsp:rsid wsp:val=&quot;05FC6E82&quot;/&gt;&lt;wsp:rsid wsp:val=&quot;05FD3676&quot;/&gt;&lt;wsp:rsid wsp:val=&quot;05FE4192&quot;/&gt;&lt;wsp:rsid wsp:val=&quot;0600615C&quot;/&gt;&lt;wsp:rsid wsp:val=&quot;06007521&quot;/&gt;&lt;wsp:rsid wsp:val=&quot;06020126&quot;/&gt;&lt;wsp:rsid wsp:val=&quot;06027304&quot;/&gt;&lt;wsp:rsid wsp:val=&quot;060379FA&quot;/&gt;&lt;wsp:rsid wsp:val=&quot;06043E9E&quot;/&gt;&lt;wsp:rsid wsp:val=&quot;0605140F&quot;/&gt;&lt;wsp:rsid wsp:val=&quot;06055745&quot;/&gt;&lt;wsp:rsid wsp:val=&quot;060754D4&quot;/&gt;&lt;wsp:rsid wsp:val=&quot;060774EA&quot;/&gt;&lt;wsp:rsid wsp:val=&quot;060B3732&quot;/&gt;&lt;wsp:rsid wsp:val=&quot;060C4B01&quot;/&gt;&lt;wsp:rsid wsp:val=&quot;060D2627&quot;/&gt;&lt;wsp:rsid wsp:val=&quot;060E6ACB&quot;/&gt;&lt;wsp:rsid wsp:val=&quot;06103988&quot;/&gt;&lt;wsp:rsid wsp:val=&quot;06112117&quot;/&gt;&lt;wsp:rsid wsp:val=&quot;061619C4&quot;/&gt;&lt;wsp:rsid wsp:val=&quot;061922C9&quot;/&gt;&lt;wsp:rsid wsp:val=&quot;0619721E&quot;/&gt;&lt;wsp:rsid wsp:val=&quot;061B2F96&quot;/&gt;&lt;wsp:rsid wsp:val=&quot;061C6A69&quot;/&gt;&lt;wsp:rsid wsp:val=&quot;061E65E2&quot;/&gt;&lt;wsp:rsid wsp:val=&quot;0620235A&quot;/&gt;&lt;wsp:rsid wsp:val=&quot;06222576&quot;/&gt;&lt;wsp:rsid wsp:val=&quot;06225E41&quot;/&gt;&lt;wsp:rsid wsp:val=&quot;062260D2&quot;/&gt;&lt;wsp:rsid wsp:val=&quot;06242FF1&quot;/&gt;&lt;wsp:rsid wsp:val=&quot;06247AF7&quot;/&gt;&lt;wsp:rsid wsp:val=&quot;06250A5D&quot;/&gt;&lt;wsp:rsid wsp:val=&quot;06255BC2&quot;/&gt;&lt;wsp:rsid wsp:val=&quot;062655AD&quot;/&gt;&lt;wsp:rsid wsp:val=&quot;0627193B&quot;/&gt;&lt;wsp:rsid wsp:val=&quot;06277B8D&quot;/&gt;&lt;wsp:rsid wsp:val=&quot;062A142B&quot;/&gt;&lt;wsp:rsid wsp:val=&quot;062B48CF&quot;/&gt;&lt;wsp:rsid wsp:val=&quot;062C1FDF&quot;/&gt;&lt;wsp:rsid wsp:val=&quot;062C5DC4&quot;/&gt;&lt;wsp:rsid wsp:val=&quot;062E2CC9&quot;/&gt;&lt;wsp:rsid wsp:val=&quot;062F6A41&quot;/&gt;&lt;wsp:rsid wsp:val=&quot;063063B7&quot;/&gt;&lt;wsp:rsid wsp:val=&quot;06314567&quot;/&gt;&lt;wsp:rsid wsp:val=&quot;06336531&quot;/&gt;&lt;wsp:rsid wsp:val=&quot;06345E06&quot;/&gt;&lt;wsp:rsid wsp:val=&quot;0636392C&quot;/&gt;&lt;wsp:rsid wsp:val=&quot;06383B48&quot;/&gt;&lt;wsp:rsid wsp:val=&quot;0639166E&quot;/&gt;&lt;wsp:rsid wsp:val=&quot;0639341C&quot;/&gt;&lt;wsp:rsid wsp:val=&quot;063A2055&quot;/&gt;&lt;wsp:rsid wsp:val=&quot;063B3638&quot;/&gt;&lt;wsp:rsid wsp:val=&quot;063D2F0C&quot;/&gt;&lt;wsp:rsid wsp:val=&quot;063D4ADF&quot;/&gt;&lt;wsp:rsid wsp:val=&quot;063E7D85&quot;/&gt;&lt;wsp:rsid wsp:val=&quot;06420522&quot;/&gt;&lt;wsp:rsid wsp:val=&quot;064249C6&quot;/&gt;&lt;wsp:rsid wsp:val=&quot;06436049&quot;/&gt;&lt;wsp:rsid wsp:val=&quot;064424ED&quot;/&gt;&lt;wsp:rsid wsp:val=&quot;06466906&quot;/&gt;&lt;wsp:rsid wsp:val=&quot;0648365F&quot;/&gt;&lt;wsp:rsid wsp:val=&quot;064A5629&quot;/&gt;&lt;wsp:rsid wsp:val=&quot;064A72F9&quot;/&gt;&lt;wsp:rsid wsp:val=&quot;064A73D7&quot;/&gt;&lt;wsp:rsid wsp:val=&quot;064C13A1&quot;/&gt;&lt;wsp:rsid wsp:val=&quot;065026A6&quot;/&gt;&lt;wsp:rsid wsp:val=&quot;0650515A&quot;/&gt;&lt;wsp:rsid wsp:val=&quot;065344DE&quot;/&gt;&lt;wsp:rsid wsp:val=&quot;06565D7C&quot;/&gt;&lt;wsp:rsid wsp:val=&quot;0657245C&quot;/&gt;&lt;wsp:rsid wsp:val=&quot;06581AF4&quot;/&gt;&lt;wsp:rsid wsp:val=&quot;065B15E4&quot;/&gt;&lt;wsp:rsid wsp:val=&quot;065B7800&quot;/&gt;&lt;wsp:rsid wsp:val=&quot;065B7836&quot;/&gt;&lt;wsp:rsid wsp:val=&quot;065E2E82&quot;/&gt;&lt;wsp:rsid wsp:val=&quot;06604E4C&quot;/&gt;&lt;wsp:rsid wsp:val=&quot;06622973&quot;/&gt;&lt;wsp:rsid wsp:val=&quot;06624721&quot;/&gt;&lt;wsp:rsid wsp:val=&quot;066A1827&quot;/&gt;&lt;wsp:rsid wsp:val=&quot;066C559F&quot;/&gt;&lt;wsp:rsid wsp:val=&quot;066E30C6&quot;/&gt;&lt;wsp:rsid wsp:val=&quot;066E57BB&quot;/&gt;&lt;wsp:rsid wsp:val=&quot;066F6FA2&quot;/&gt;&lt;wsp:rsid wsp:val=&quot;06717BF5&quot;/&gt;&lt;wsp:rsid wsp:val=&quot;06743E9A&quot;/&gt;&lt;wsp:rsid wsp:val=&quot;067601CC&quot;/&gt;&lt;wsp:rsid wsp:val=&quot;067642A4&quot;/&gt;&lt;wsp:rsid wsp:val=&quot;06764670&quot;/&gt;&lt;wsp:rsid wsp:val=&quot;067716B0&quot;/&gt;&lt;wsp:rsid wsp:val=&quot;067803E8&quot;/&gt;&lt;wsp:rsid wsp:val=&quot;067A4160&quot;/&gt;&lt;wsp:rsid wsp:val=&quot;067A7CBC&quot;/&gt;&lt;wsp:rsid wsp:val=&quot;067B3A34&quot;/&gt;&lt;wsp:rsid wsp:val=&quot;067C0116&quot;/&gt;&lt;wsp:rsid wsp:val=&quot;067C1376&quot;/&gt;&lt;wsp:rsid wsp:val=&quot;067C3F20&quot;/&gt;&lt;wsp:rsid wsp:val=&quot;067D59FE&quot;/&gt;&lt;wsp:rsid wsp:val=&quot;067D77AC&quot;/&gt;&lt;wsp:rsid wsp:val=&quot;067E2910&quot;/&gt;&lt;wsp:rsid wsp:val=&quot;067F3525&quot;/&gt;&lt;wsp:rsid wsp:val=&quot;067F6A97&quot;/&gt;&lt;wsp:rsid wsp:val=&quot;06807F27&quot;/&gt;&lt;wsp:rsid wsp:val=&quot;068414E6&quot;/&gt;&lt;wsp:rsid wsp:val=&quot;06846D8D&quot;/&gt;&lt;wsp:rsid wsp:val=&quot;06856661&quot;/&gt;&lt;wsp:rsid wsp:val=&quot;06860D59&quot;/&gt;&lt;wsp:rsid wsp:val=&quot;06863D99&quot;/&gt;&lt;wsp:rsid wsp:val=&quot;068648B3&quot;/&gt;&lt;wsp:rsid wsp:val=&quot;0687062B&quot;/&gt;&lt;wsp:rsid wsp:val=&quot;068723D9&quot;/&gt;&lt;wsp:rsid wsp:val=&quot;06874187&quot;/&gt;&lt;wsp:rsid wsp:val=&quot;068943A3&quot;/&gt;&lt;wsp:rsid wsp:val=&quot;068A3169&quot;/&gt;&lt;wsp:rsid wsp:val=&quot;068A3C77&quot;/&gt;&lt;wsp:rsid wsp:val=&quot;068B011B&quot;/&gt;&lt;wsp:rsid wsp:val=&quot;068C109B&quot;/&gt;&lt;wsp:rsid wsp:val=&quot;068C5C42&quot;/&gt;&lt;wsp:rsid wsp:val=&quot;068C6DA8&quot;/&gt;&lt;wsp:rsid wsp:val=&quot;068E19BA&quot;/&gt;&lt;wsp:rsid wsp:val=&quot;068E3768&quot;/&gt;&lt;wsp:rsid wsp:val=&quot;068E5516&quot;/&gt;&lt;wsp:rsid wsp:val=&quot;068F29C4&quot;/&gt;&lt;wsp:rsid wsp:val=&quot;069006E6&quot;/&gt;&lt;wsp:rsid wsp:val=&quot;06905732&quot;/&gt;&lt;wsp:rsid wsp:val=&quot;06913258&quot;/&gt;&lt;wsp:rsid wsp:val=&quot;06913A7D&quot;/&gt;&lt;wsp:rsid wsp:val=&quot;06915006&quot;/&gt;&lt;wsp:rsid wsp:val=&quot;06921D2E&quot;/&gt;&lt;wsp:rsid wsp:val=&quot;0693207B&quot;/&gt;&lt;wsp:rsid wsp:val=&quot;069468A4&quot;/&gt;&lt;wsp:rsid wsp:val=&quot;06972968&quot;/&gt;&lt;wsp:rsid wsp:val=&quot;06976AC0&quot;/&gt;&lt;wsp:rsid wsp:val=&quot;06982838&quot;/&gt;&lt;wsp:rsid wsp:val=&quot;0699791D&quot;/&gt;&lt;wsp:rsid wsp:val=&quot;069A1511&quot;/&gt;&lt;wsp:rsid wsp:val=&quot;069A3EBB&quot;/&gt;&lt;wsp:rsid wsp:val=&quot;069B290D&quot;/&gt;&lt;wsp:rsid wsp:val=&quot;069B5E85&quot;/&gt;&lt;wsp:rsid wsp:val=&quot;069B7C33&quot;/&gt;&lt;wsp:rsid wsp:val=&quot;069C40D7&quot;/&gt;&lt;wsp:rsid wsp:val=&quot;069D39AB&quot;/&gt;&lt;wsp:rsid wsp:val=&quot;069D6E76&quot;/&gt;&lt;wsp:rsid wsp:val=&quot;069E34B0&quot;/&gt;&lt;wsp:rsid wsp:val=&quot;06A07511&quot;/&gt;&lt;wsp:rsid wsp:val=&quot;06A27213&quot;/&gt;&lt;wsp:rsid wsp:val=&quot;06A37C3B&quot;/&gt;&lt;wsp:rsid wsp:val=&quot;06A42F8B&quot;/&gt;&lt;wsp:rsid wsp:val=&quot;06A47322&quot;/&gt;&lt;wsp:rsid wsp:val=&quot;06A604B4&quot;/&gt;&lt;wsp:rsid wsp:val=&quot;06A64F55&quot;/&gt;&lt;wsp:rsid wsp:val=&quot;06A75CA3&quot;/&gt;&lt;wsp:rsid wsp:val=&quot;06A95C2E&quot;/&gt;&lt;wsp:rsid wsp:val=&quot;06AB256C&quot;/&gt;&lt;wsp:rsid wsp:val=&quot;06AB60C8&quot;/&gt;&lt;wsp:rsid wsp:val=&quot;06B153D4&quot;/&gt;&lt;wsp:rsid wsp:val=&quot;06B34246&quot;/&gt;&lt;wsp:rsid wsp:val=&quot;06B44301&quot;/&gt;&lt;wsp:rsid wsp:val=&quot;06B46E17&quot;/&gt;&lt;wsp:rsid wsp:val=&quot;06B676F4&quot;/&gt;&lt;wsp:rsid wsp:val=&quot;06B807E5&quot;/&gt;&lt;wsp:rsid wsp:val=&quot;06B86C6A&quot;/&gt;&lt;wsp:rsid wsp:val=&quot;06BA630B&quot;/&gt;&lt;wsp:rsid wsp:val=&quot;06BF1B73&quot;/&gt;&lt;wsp:rsid wsp:val=&quot;06BF7DC5&quot;/&gt;&lt;wsp:rsid wsp:val=&quot;06C13B3D&quot;/&gt;&lt;wsp:rsid wsp:val=&quot;06C17D49&quot;/&gt;&lt;wsp:rsid wsp:val=&quot;06C21162&quot;/&gt;&lt;wsp:rsid wsp:val=&quot;06C21663&quot;/&gt;&lt;wsp:rsid wsp:val=&quot;06C4362D&quot;/&gt;&lt;wsp:rsid wsp:val=&quot;06C61153&quot;/&gt;&lt;wsp:rsid wsp:val=&quot;06C90C44&quot;/&gt;&lt;wsp:rsid wsp:val=&quot;06C929F2&quot;/&gt;&lt;wsp:rsid wsp:val=&quot;06C947A0&quot;/&gt;&lt;wsp:rsid wsp:val=&quot;06CA3201&quot;/&gt;&lt;wsp:rsid wsp:val=&quot;06CB49BC&quot;/&gt;&lt;wsp:rsid wsp:val=&quot;06CC4290&quot;/&gt;&lt;wsp:rsid wsp:val=&quot;06CE625A&quot;/&gt;&lt;wsp:rsid wsp:val=&quot;06D05B2E&quot;/&gt;&lt;wsp:rsid wsp:val=&quot;06D21D6E&quot;/&gt;&lt;wsp:rsid wsp:val=&quot;06D44CBF&quot;/&gt;&lt;wsp:rsid wsp:val=&quot;06D46400&quot;/&gt;&lt;wsp:rsid wsp:val=&quot;06D80E87&quot;/&gt;&lt;wsp:rsid wsp:val=&quot;06D870D9&quot;/&gt;&lt;wsp:rsid wsp:val=&quot;06DC0977&quot;/&gt;&lt;wsp:rsid wsp:val=&quot;06DD024B&quot;/&gt;&lt;wsp:rsid wsp:val=&quot;06DE46EF&quot;/&gt;&lt;wsp:rsid wsp:val=&quot;06DF0467&quot;/&gt;&lt;wsp:rsid wsp:val=&quot;06DF3FC3&quot;/&gt;&lt;wsp:rsid wsp:val=&quot;06E17D3B&quot;/&gt;&lt;wsp:rsid wsp:val=&quot;06E23AB3&quot;/&gt;&lt;wsp:rsid wsp:val=&quot;06E31BE3&quot;/&gt;&lt;wsp:rsid wsp:val=&quot;06E31D05&quot;/&gt;&lt;wsp:rsid wsp:val=&quot;06E67100&quot;/&gt;&lt;wsp:rsid wsp:val=&quot;06E710CA&quot;/&gt;&lt;wsp:rsid wsp:val=&quot;06E845C5&quot;/&gt;&lt;wsp:rsid wsp:val=&quot;06EB0BBA&quot;/&gt;&lt;wsp:rsid wsp:val=&quot;06EB2968&quot;/&gt;&lt;wsp:rsid wsp:val=&quot;06EE2458&quot;/&gt;&lt;wsp:rsid wsp:val=&quot;06F02BDD&quot;/&gt;&lt;wsp:rsid wsp:val=&quot;06F35CC1&quot;/&gt;&lt;wsp:rsid wsp:val=&quot;06F85085&quot;/&gt;&lt;wsp:rsid wsp:val=&quot;06FA0DFD&quot;/&gt;&lt;wsp:rsid wsp:val=&quot;06FA2BAB&quot;/&gt;&lt;wsp:rsid wsp:val=&quot;06FB7310&quot;/&gt;&lt;wsp:rsid wsp:val=&quot;06FC4B75&quot;/&gt;&lt;wsp:rsid wsp:val=&quot;06FC6923&quot;/&gt;&lt;wsp:rsid wsp:val=&quot;06FD269B&quot;/&gt;&lt;wsp:rsid wsp:val=&quot;070103DE&quot;/&gt;&lt;wsp:rsid wsp:val=&quot;07043D9E&quot;/&gt;&lt;wsp:rsid wsp:val=&quot;0704692D&quot;/&gt;&lt;wsp:rsid wsp:val=&quot;07061550&quot;/&gt;&lt;wsp:rsid wsp:val=&quot;070659F4&quot;/&gt;&lt;wsp:rsid wsp:val=&quot;07091040&quot;/&gt;&lt;wsp:rsid wsp:val=&quot;070B300A&quot;/&gt;&lt;wsp:rsid wsp:val=&quot;070C28DE&quot;/&gt;&lt;wsp:rsid wsp:val=&quot;070C4C2F&quot;/&gt;&lt;wsp:rsid wsp:val=&quot;070E394A&quot;/&gt;&lt;wsp:rsid wsp:val=&quot;070E48A8&quot;/&gt;&lt;wsp:rsid wsp:val=&quot;070F58BA&quot;/&gt;&lt;wsp:rsid wsp:val=&quot;07155C37&quot;/&gt;&lt;wsp:rsid wsp:val=&quot;07177C01&quot;/&gt;&lt;wsp:rsid wsp:val=&quot;071874D5&quot;/&gt;&lt;wsp:rsid wsp:val=&quot;071A4FFB&quot;/&gt;&lt;wsp:rsid wsp:val=&quot;071C34B5&quot;/&gt;&lt;wsp:rsid wsp:val=&quot;071E0F8F&quot;/&gt;&lt;wsp:rsid wsp:val=&quot;071F6AB6&quot;/&gt;&lt;wsp:rsid wsp:val=&quot;0721282E&quot;/&gt;&lt;wsp:rsid wsp:val=&quot;07222102&quot;/&gt;&lt;wsp:rsid wsp:val=&quot;0728596A&quot;/&gt;&lt;wsp:rsid wsp:val=&quot;07293586&quot;/&gt;&lt;wsp:rsid wsp:val=&quot;07295285&quot;/&gt;&lt;wsp:rsid wsp:val=&quot;072C31D4&quot;/&gt;&lt;wsp:rsid wsp:val=&quot;072D2F81&quot;/&gt;&lt;wsp:rsid wsp:val=&quot;072F4F4B&quot;/&gt;&lt;wsp:rsid wsp:val=&quot;072F5DBC&quot;/&gt;&lt;wsp:rsid wsp:val=&quot;072F799E&quot;/&gt;&lt;wsp:rsid wsp:val=&quot;07305894&quot;/&gt;&lt;wsp:rsid wsp:val=&quot;07305FB4&quot;/&gt;&lt;wsp:rsid wsp:val=&quot;073065CD&quot;/&gt;&lt;wsp:rsid wsp:val=&quot;07320597&quot;/&gt;&lt;wsp:rsid wsp:val=&quot;073267E9&quot;/&gt;&lt;wsp:rsid wsp:val=&quot;073360BD&quot;/&gt;&lt;wsp:rsid wsp:val=&quot;07342561&quot;/&gt;&lt;wsp:rsid wsp:val=&quot;07350087&quot;/&gt;&lt;wsp:rsid wsp:val=&quot;07351E35&quot;/&gt;&lt;wsp:rsid wsp:val=&quot;07352BCC&quot;/&gt;&lt;wsp:rsid wsp:val=&quot;07373DFF&quot;/&gt;&lt;wsp:rsid wsp:val=&quot;0737795B&quot;/&gt;&lt;wsp:rsid wsp:val=&quot;07391925&quot;/&gt;&lt;wsp:rsid wsp:val=&quot;07397B77&quot;/&gt;&lt;wsp:rsid wsp:val=&quot;073A569E&quot;/&gt;&lt;wsp:rsid wsp:val=&quot;073C1416&quot;/&gt;&lt;wsp:rsid wsp:val=&quot;073C31C4&quot;/&gt;&lt;wsp:rsid wsp:val=&quot;073C5AF2&quot;/&gt;&lt;wsp:rsid wsp:val=&quot;073E3C7E&quot;/&gt;&lt;wsp:rsid wsp:val=&quot;073E5294&quot;/&gt;&lt;wsp:rsid wsp:val=&quot;073E6F3C&quot;/&gt;&lt;wsp:rsid wsp:val=&quot;073F2CB4&quot;/&gt;&lt;wsp:rsid wsp:val=&quot;07416A2C&quot;/&gt;&lt;wsp:rsid wsp:val=&quot;074309F6&quot;/&gt;&lt;wsp:rsid wsp:val=&quot;074327A4&quot;/&gt;&lt;wsp:rsid wsp:val=&quot;07436660&quot;/&gt;&lt;wsp:rsid wsp:val=&quot;07447AF0&quot;/&gt;&lt;wsp:rsid wsp:val=&quot;07464042&quot;/&gt;&lt;wsp:rsid wsp:val=&quot;07477BB2&quot;/&gt;&lt;wsp:rsid wsp:val=&quot;07481B68&quot;/&gt;&lt;wsp:rsid wsp:val=&quot;0748600C&quot;/&gt;&lt;wsp:rsid wsp:val=&quot;07486471&quot;/&gt;&lt;wsp:rsid wsp:val=&quot;0749768F&quot;/&gt;&lt;wsp:rsid wsp:val=&quot;074A1D85&quot;/&gt;&lt;wsp:rsid wsp:val=&quot;074A3B33&quot;/&gt;&lt;wsp:rsid wsp:val=&quot;074B3407&quot;/&gt;&lt;wsp:rsid wsp:val=&quot;074B78AB&quot;/&gt;&lt;wsp:rsid wsp:val=&quot;074D28B2&quot;/&gt;&lt;wsp:rsid wsp:val=&quot;074D53D1&quot;/&gt;&lt;wsp:rsid wsp:val=&quot;074D717F&quot;/&gt;&lt;wsp:rsid wsp:val=&quot;074F1149&quot;/&gt;&lt;wsp:rsid wsp:val=&quot;074F4623&quot;/&gt;&lt;wsp:rsid wsp:val=&quot;074F739B&quot;/&gt;&lt;wsp:rsid wsp:val=&quot;07500A1D&quot;/&gt;&lt;wsp:rsid wsp:val=&quot;07510F1E&quot;/&gt;&lt;wsp:rsid wsp:val=&quot;07524795&quot;/&gt;&lt;wsp:rsid wsp:val=&quot;0753050D&quot;/&gt;&lt;wsp:rsid wsp:val=&quot;07536155&quot;/&gt;&lt;wsp:rsid wsp:val=&quot;075449B1&quot;/&gt;&lt;wsp:rsid wsp:val=&quot;0754675F&quot;/&gt;&lt;wsp:rsid wsp:val=&quot;075475E5&quot;/&gt;&lt;wsp:rsid wsp:val=&quot;07550729&quot;/&gt;&lt;wsp:rsid wsp:val=&quot;07577FFE&quot;/&gt;&lt;wsp:rsid wsp:val=&quot;075C34FB&quot;/&gt;&lt;wsp:rsid wsp:val=&quot;075C73C2&quot;/&gt;&lt;wsp:rsid wsp:val=&quot;075E138C&quot;/&gt;&lt;wsp:rsid wsp:val=&quot;075F5104&quot;/&gt;&lt;wsp:rsid wsp:val=&quot;07604BD4&quot;/&gt;&lt;wsp:rsid wsp:val=&quot;07636392&quot;/&gt;&lt;wsp:rsid wsp:val=&quot;07660241&quot;/&gt;&lt;wsp:rsid wsp:val=&quot;076646E5&quot;/&gt;&lt;wsp:rsid wsp:val=&quot;07666493&quot;/&gt;&lt;wsp:rsid wsp:val=&quot;0768045D&quot;/&gt;&lt;wsp:rsid wsp:val=&quot;076845A8&quot;/&gt;&lt;wsp:rsid wsp:val=&quot;07685977&quot;/&gt;&lt;wsp:rsid wsp:val=&quot;07691ABC&quot;/&gt;&lt;wsp:rsid wsp:val=&quot;07691ADF&quot;/&gt;&lt;wsp:rsid wsp:val=&quot;076A6D07&quot;/&gt;&lt;wsp:rsid wsp:val=&quot;07702E6D&quot;/&gt;&lt;wsp:rsid wsp:val=&quot;07706FB0&quot;/&gt;&lt;wsp:rsid wsp:val=&quot;07754928&quot;/&gt;&lt;wsp:rsid wsp:val=&quot;07762B7A&quot;/&gt;&lt;wsp:rsid wsp:val=&quot;07770C56&quot;/&gt;&lt;wsp:rsid wsp:val=&quot;0777297F&quot;/&gt;&lt;wsp:rsid wsp:val=&quot;077811A5&quot;/&gt;&lt;wsp:rsid wsp:val=&quot;077961C6&quot;/&gt;&lt;wsp:rsid wsp:val=&quot;077A1F3E&quot;/&gt;&lt;wsp:rsid wsp:val=&quot;077B0190&quot;/&gt;&lt;wsp:rsid wsp:val=&quot;077E1A2E&quot;/&gt;&lt;wsp:rsid wsp:val=&quot;077E558A&quot;/&gt;&lt;wsp:rsid wsp:val=&quot;077F1302&quot;/&gt;&lt;wsp:rsid wsp:val=&quot;07801ECC&quot;/&gt;&lt;wsp:rsid wsp:val=&quot;07805172&quot;/&gt;&lt;wsp:rsid wsp:val=&quot;0781507A&quot;/&gt;&lt;wsp:rsid wsp:val=&quot;07827A92&quot;/&gt;&lt;wsp:rsid wsp:val=&quot;07832BA1&quot;/&gt;&lt;wsp:rsid wsp:val=&quot;07846626&quot;/&gt;&lt;wsp:rsid wsp:val=&quot;07854B6B&quot;/&gt;&lt;wsp:rsid wsp:val=&quot;07857B54&quot;/&gt;&lt;wsp:rsid wsp:val=&quot;07893136&quot;/&gt;&lt;wsp:rsid wsp:val=&quot;07893F2F&quot;/&gt;&lt;wsp:rsid wsp:val=&quot;078B414B&quot;/&gt;&lt;wsp:rsid wsp:val=&quot;078B5CF1&quot;/&gt;&lt;wsp:rsid wsp:val=&quot;078C2285&quot;/&gt;&lt;wsp:rsid wsp:val=&quot;078D0392&quot;/&gt;&lt;wsp:rsid wsp:val=&quot;078E1545&quot;/&gt;&lt;wsp:rsid wsp:val=&quot;078F7F52&quot;/&gt;&lt;wsp:rsid wsp:val=&quot;07910380&quot;/&gt;&lt;wsp:rsid wsp:val=&quot;07911761&quot;/&gt;&lt;wsp:rsid wsp:val=&quot;07917C6B&quot;/&gt;&lt;wsp:rsid wsp:val=&quot;079254DA&quot;/&gt;&lt;wsp:rsid wsp:val=&quot;07941252&quot;/&gt;&lt;wsp:rsid wsp:val=&quot;07944DAE&quot;/&gt;&lt;wsp:rsid wsp:val=&quot;07950B26&quot;/&gt;&lt;wsp:rsid wsp:val=&quot;0797489E&quot;/&gt;&lt;wsp:rsid wsp:val=&quot;0797664C&quot;/&gt;&lt;wsp:rsid wsp:val=&quot;079923C4&quot;/&gt;&lt;wsp:rsid wsp:val=&quot;07996868&quot;/&gt;&lt;wsp:rsid wsp:val=&quot;079A16F4&quot;/&gt;&lt;wsp:rsid wsp:val=&quot;079B25E0&quot;/&gt;&lt;wsp:rsid wsp:val=&quot;079B438E&quot;/&gt;&lt;wsp:rsid wsp:val=&quot;079C3C62&quot;/&gt;&lt;wsp:rsid wsp:val=&quot;079E06FB&quot;/&gt;&lt;wsp:rsid wsp:val=&quot;079E5C2C&quot;/&gt;&lt;wsp:rsid wsp:val=&quot;07A05C0E&quot;/&gt;&lt;wsp:rsid wsp:val=&quot;07A07BF6&quot;/&gt;&lt;wsp:rsid wsp:val=&quot;07A11279&quot;/&gt;&lt;wsp:rsid wsp:val=&quot;07A14383&quot;/&gt;&lt;wsp:rsid wsp:val=&quot;07A174CB&quot;/&gt;&lt;wsp:rsid wsp:val=&quot;07A2707C&quot;/&gt;&lt;wsp:rsid wsp:val=&quot;07A33243&quot;/&gt;&lt;wsp:rsid wsp:val=&quot;07A42E2C&quot;/&gt;&lt;wsp:rsid wsp:val=&quot;07A50D69&quot;/&gt;&lt;wsp:rsid wsp:val=&quot;07A559FD&quot;/&gt;&lt;wsp:rsid wsp:val=&quot;07A56FBB&quot;/&gt;&lt;wsp:rsid wsp:val=&quot;07A92310&quot;/&gt;&lt;wsp:rsid wsp:val=&quot;07AC1A3E&quot;/&gt;&lt;wsp:rsid wsp:val=&quot;07B205E1&quot;/&gt;&lt;wsp:rsid wsp:val=&quot;07B23486&quot;/&gt;&lt;wsp:rsid wsp:val=&quot;07B436A2&quot;/&gt;&lt;wsp:rsid wsp:val=&quot;07B812A2&quot;/&gt;&lt;wsp:rsid wsp:val=&quot;07BA6D2A&quot;/&gt;&lt;wsp:rsid wsp:val=&quot;07BB058C&quot;/&gt;&lt;wsp:rsid wsp:val=&quot;07BC2556&quot;/&gt;&lt;wsp:rsid wsp:val=&quot;07BE7AF8&quot;/&gt;&lt;wsp:rsid wsp:val=&quot;07BF1A61&quot;/&gt;&lt;wsp:rsid wsp:val=&quot;07C05BA3&quot;/&gt;&lt;wsp:rsid wsp:val=&quot;07C27AF6&quot;/&gt;&lt;wsp:rsid wsp:val=&quot;07C363B5&quot;/&gt;&lt;wsp:rsid wsp:val=&quot;07C37441&quot;/&gt;&lt;wsp:rsid wsp:val=&quot;07C531B9&quot;/&gt;&lt;wsp:rsid wsp:val=&quot;07C5765D&quot;/&gt;&lt;wsp:rsid wsp:val=&quot;07C91A81&quot;/&gt;&lt;wsp:rsid wsp:val=&quot;07CA07CF&quot;/&gt;&lt;wsp:rsid wsp:val=&quot;07CA4AA7&quot;/&gt;&lt;wsp:rsid wsp:val=&quot;07CA6A21&quot;/&gt;&lt;wsp:rsid wsp:val=&quot;07CE4C09&quot;/&gt;&lt;wsp:rsid wsp:val=&quot;07CF1338&quot;/&gt;&lt;wsp:rsid wsp:val=&quot;07CF4038&quot;/&gt;&lt;wsp:rsid wsp:val=&quot;07D21D7A&quot;/&gt;&lt;wsp:rsid wsp:val=&quot;07D23B28&quot;/&gt;&lt;wsp:rsid wsp:val=&quot;07D433FC&quot;/&gt;&lt;wsp:rsid wsp:val=&quot;07D478A0&quot;/&gt;&lt;wsp:rsid wsp:val=&quot;07D653C6&quot;/&gt;&lt;wsp:rsid wsp:val=&quot;07D7113E&quot;/&gt;&lt;wsp:rsid wsp:val=&quot;07D72EEC&quot;/&gt;&lt;wsp:rsid wsp:val=&quot;07D92D31&quot;/&gt;&lt;wsp:rsid wsp:val=&quot;07D948ED&quot;/&gt;&lt;wsp:rsid wsp:val=&quot;07DB0C2F&quot;/&gt;&lt;wsp:rsid wsp:val=&quot;07DB478B&quot;/&gt;&lt;wsp:rsid wsp:val=&quot;07DB63FB&quot;/&gt;&lt;wsp:rsid wsp:val=&quot;07DD49A7&quot;/&gt;&lt;wsp:rsid wsp:val=&quot;07DE427B&quot;/&gt;&lt;wsp:rsid wsp:val=&quot;07DE470A&quot;/&gt;&lt;wsp:rsid wsp:val=&quot;07E04497&quot;/&gt;&lt;wsp:rsid wsp:val=&quot;07E31891&quot;/&gt;&lt;wsp:rsid wsp:val=&quot;07E33A79&quot;/&gt;&lt;wsp:rsid wsp:val=&quot;07E35D35&quot;/&gt;&lt;wsp:rsid wsp:val=&quot;07E41A00&quot;/&gt;&lt;wsp:rsid wsp:val=&quot;07E51AAD&quot;/&gt;&lt;wsp:rsid wsp:val=&quot;07E5527B&quot;/&gt;&lt;wsp:rsid wsp:val=&quot;07E569E5&quot;/&gt;&lt;wsp:rsid wsp:val=&quot;07E61381&quot;/&gt;&lt;wsp:rsid wsp:val=&quot;07E6312F&quot;/&gt;&lt;wsp:rsid wsp:val=&quot;07E8334B&quot;/&gt;&lt;wsp:rsid wsp:val=&quot;07E850FA&quot;/&gt;&lt;wsp:rsid wsp:val=&quot;07EA42D2&quot;/&gt;&lt;wsp:rsid wsp:val=&quot;07ED0962&quot;/&gt;&lt;wsp:rsid wsp:val=&quot;07EE66EF&quot;/&gt;&lt;wsp:rsid wsp:val=&quot;07EF0236&quot;/&gt;&lt;wsp:rsid wsp:val=&quot;07EF6488&quot;/&gt;&lt;wsp:rsid wsp:val=&quot;07F25F78&quot;/&gt;&lt;wsp:rsid wsp:val=&quot;07F27D26&quot;/&gt;&lt;wsp:rsid wsp:val=&quot;07F341CA&quot;/&gt;&lt;wsp:rsid wsp:val=&quot;07F615C4&quot;/&gt;&lt;wsp:rsid wsp:val=&quot;07F7358F&quot;/&gt;&lt;wsp:rsid wsp:val=&quot;07F92E63&quot;/&gt;&lt;wsp:rsid wsp:val=&quot;07FA1055&quot;/&gt;&lt;wsp:rsid wsp:val=&quot;07FB4E2D&quot;/&gt;&lt;wsp:rsid wsp:val=&quot;07FC0BA5&quot;/&gt;&lt;wsp:rsid wsp:val=&quot;07FE66CB&quot;/&gt;&lt;wsp:rsid wsp:val=&quot;08010F28&quot;/&gt;&lt;wsp:rsid wsp:val=&quot;0802440D&quot;/&gt;&lt;wsp:rsid wsp:val=&quot;08035739&quot;/&gt;&lt;wsp:rsid wsp:val=&quot;0806421B&quot;/&gt;&lt;wsp:rsid wsp:val=&quot;080662FF&quot;/&gt;&lt;wsp:rsid wsp:val=&quot;080715F7&quot;/&gt;&lt;wsp:rsid wsp:val=&quot;08071A24&quot;/&gt;&lt;wsp:rsid wsp:val=&quot;080A32C2&quot;/&gt;&lt;wsp:rsid wsp:val=&quot;080A5070&quot;/&gt;&lt;wsp:rsid wsp:val=&quot;080C703A&quot;/&gt;&lt;wsp:rsid wsp:val=&quot;080D34CF&quot;/&gt;&lt;wsp:rsid wsp:val=&quot;080D690E&quot;/&gt;&lt;wsp:rsid wsp:val=&quot;080F08D8&quot;/&gt;&lt;wsp:rsid wsp:val=&quot;080F6B2A&quot;/&gt;&lt;wsp:rsid wsp:val=&quot;081128A2&quot;/&gt;&lt;wsp:rsid wsp:val=&quot;08123F24&quot;/&gt;&lt;wsp:rsid wsp:val=&quot;08140F75&quot;/&gt;&lt;wsp:rsid wsp:val=&quot;08147C9D&quot;/&gt;&lt;wsp:rsid wsp:val=&quot;081571C7&quot;/&gt;&lt;wsp:rsid wsp:val=&quot;08167EB9&quot;/&gt;&lt;wsp:rsid wsp:val=&quot;0817778D&quot;/&gt;&lt;wsp:rsid wsp:val=&quot;0818229C&quot;/&gt;&lt;wsp:rsid wsp:val=&quot;081845DE&quot;/&gt;&lt;wsp:rsid wsp:val=&quot;081B102B&quot;/&gt;&lt;wsp:rsid wsp:val=&quot;081C57E7&quot;/&gt;&lt;wsp:rsid wsp:val=&quot;081D79E5&quot;/&gt;&lt;wsp:rsid wsp:val=&quot;081E0B1B&quot;/&gt;&lt;wsp:rsid wsp:val=&quot;0822060B&quot;/&gt;&lt;wsp:rsid wsp:val=&quot;08232813&quot;/&gt;&lt;wsp:rsid wsp:val=&quot;082500FC&quot;/&gt;&lt;wsp:rsid wsp:val=&quot;08251EAA&quot;/&gt;&lt;wsp:rsid wsp:val=&quot;082617B3&quot;/&gt;&lt;wsp:rsid wsp:val=&quot;08272E75&quot;/&gt;&lt;wsp:rsid wsp:val=&quot;08273E74&quot;/&gt;&lt;wsp:rsid wsp:val=&quot;082779D0&quot;/&gt;&lt;wsp:rsid wsp:val=&quot;0828199A&quot;/&gt;&lt;wsp:rsid wsp:val=&quot;082827E7&quot;/&gt;&lt;wsp:rsid wsp:val=&quot;08283748&quot;/&gt;&lt;wsp:rsid wsp:val=&quot;082B3EF7&quot;/&gt;&lt;wsp:rsid wsp:val=&quot;082D6FB0&quot;/&gt;&lt;wsp:rsid wsp:val=&quot;082E1370&quot;/&gt;&lt;wsp:rsid wsp:val=&quot;082F13D5&quot;/&gt;&lt;wsp:rsid wsp:val=&quot;082F4AD6&quot;/&gt;&lt;wsp:rsid wsp:val=&quot;08311C34&quot;/&gt;&lt;wsp:rsid wsp:val=&quot;08332819&quot;/&gt;&lt;wsp:rsid wsp:val=&quot;08345F36&quot;/&gt;&lt;wsp:rsid wsp:val=&quot;08365E65&quot;/&gt;&lt;wsp:rsid wsp:val=&quot;0837398B&quot;/&gt;&lt;wsp:rsid wsp:val=&quot;08381BDD&quot;/&gt;&lt;wsp:rsid wsp:val=&quot;08395955&quot;/&gt;&lt;wsp:rsid wsp:val=&quot;083A10B9&quot;/&gt;&lt;wsp:rsid wsp:val=&quot;083C05DD&quot;/&gt;&lt;wsp:rsid wsp:val=&quot;083D3697&quot;/&gt;&lt;wsp:rsid wsp:val=&quot;084037EA&quot;/&gt;&lt;wsp:rsid wsp:val=&quot;08406CE4&quot;/&gt;&lt;wsp:rsid wsp:val=&quot;08417F6A&quot;/&gt;&lt;wsp:rsid wsp:val=&quot;084270BC&quot;/&gt;&lt;wsp:rsid wsp:val=&quot;08444A26&quot;/&gt;&lt;wsp:rsid wsp:val=&quot;08452613&quot;/&gt;&lt;wsp:rsid wsp:val=&quot;08464A84&quot;/&gt;&lt;wsp:rsid wsp:val=&quot;08470AEB&quot;/&gt;&lt;wsp:rsid wsp:val=&quot;084762C4&quot;/&gt;&lt;wsp:rsid wsp:val=&quot;08485B98&quot;/&gt;&lt;wsp:rsid wsp:val=&quot;084939FF&quot;/&gt;&lt;wsp:rsid wsp:val=&quot;0849771D&quot;/&gt;&lt;wsp:rsid wsp:val=&quot;084C7436&quot;/&gt;&lt;wsp:rsid wsp:val=&quot;084E7652&quot;/&gt;&lt;wsp:rsid wsp:val=&quot;084F5179&quot;/&gt;&lt;wsp:rsid wsp:val=&quot;08512CB2&quot;/&gt;&lt;wsp:rsid wsp:val=&quot;085207C5&quot;/&gt;&lt;wsp:rsid wsp:val=&quot;085539AF&quot;/&gt;&lt;wsp:rsid wsp:val=&quot;0858402D&quot;/&gt;&lt;wsp:rsid wsp:val=&quot;0858732C&quot;/&gt;&lt;wsp:rsid wsp:val=&quot;08591B53&quot;/&gt;&lt;wsp:rsid wsp:val=&quot;085A5AD1&quot;/&gt;&lt;wsp:rsid wsp:val=&quot;085B58CB&quot;/&gt;&lt;wsp:rsid wsp:val=&quot;085D4452&quot;/&gt;&lt;wsp:rsid wsp:val=&quot;085D7896&quot;/&gt;&lt;wsp:rsid wsp:val=&quot;085E716A&quot;/&gt;&lt;wsp:rsid wsp:val=&quot;08602EE2&quot;/&gt;&lt;wsp:rsid wsp:val=&quot;086230FE&quot;/&gt;&lt;wsp:rsid wsp:val=&quot;08624EAC&quot;/&gt;&lt;wsp:rsid wsp:val=&quot;08634780&quot;/&gt;&lt;wsp:rsid wsp:val=&quot;08646E76&quot;/&gt;&lt;wsp:rsid wsp:val=&quot;086557B5&quot;/&gt;&lt;wsp:rsid wsp:val=&quot;0865674A&quot;/&gt;&lt;wsp:rsid wsp:val=&quot;08664074&quot;/&gt;&lt;wsp:rsid wsp:val=&quot;08670714&quot;/&gt;&lt;wsp:rsid wsp:val=&quot;08674270&quot;/&gt;&lt;wsp:rsid wsp:val=&quot;0869448C&quot;/&gt;&lt;wsp:rsid wsp:val=&quot;0869623A&quot;/&gt;&lt;wsp:rsid wsp:val=&quot;086A1FB2&quot;/&gt;&lt;wsp:rsid wsp:val=&quot;086A3D60&quot;/&gt;&lt;wsp:rsid wsp:val=&quot;086A6A56&quot;/&gt;&lt;wsp:rsid wsp:val=&quot;086C1887&quot;/&gt;&lt;wsp:rsid wsp:val=&quot;086C5D2B&quot;/&gt;&lt;wsp:rsid wsp:val=&quot;086F75C9&quot;/&gt;&lt;wsp:rsid wsp:val=&quot;08713341&quot;/&gt;&lt;wsp:rsid wsp:val=&quot;087150EF&quot;/&gt;&lt;wsp:rsid wsp:val=&quot;08744BDF&quot;/&gt;&lt;wsp:rsid wsp:val=&quot;08760957&quot;/&gt;&lt;wsp:rsid wsp:val=&quot;087921F6&quot;/&gt;&lt;wsp:rsid wsp:val=&quot;087937D2&quot;/&gt;&lt;wsp:rsid wsp:val=&quot;087B3986&quot;/&gt;&lt;wsp:rsid wsp:val=&quot;087B41C0&quot;/&gt;&lt;wsp:rsid wsp:val=&quot;087B7D1C&quot;/&gt;&lt;wsp:rsid wsp:val=&quot;088352BB&quot;/&gt;&lt;wsp:rsid wsp:val=&quot;088618A1&quot;/&gt;&lt;wsp:rsid wsp:val=&quot;088766C0&quot;/&gt;&lt;wsp:rsid wsp:val=&quot;0889068B&quot;/&gt;&lt;wsp:rsid wsp:val=&quot;088A61B1&quot;/&gt;&lt;wsp:rsid wsp:val=&quot;088B080D&quot;/&gt;&lt;wsp:rsid wsp:val=&quot;088B74D0&quot;/&gt;&lt;wsp:rsid wsp:val=&quot;088C1F29&quot;/&gt;&lt;wsp:rsid wsp:val=&quot;088E3EF3&quot;/&gt;&lt;wsp:rsid wsp:val=&quot;088E5CA1&quot;/&gt;&lt;wsp:rsid wsp:val=&quot;088E7A4F&quot;/&gt;&lt;wsp:rsid wsp:val=&quot;089112ED&quot;/&gt;&lt;wsp:rsid wsp:val=&quot;08931509&quot;/&gt;&lt;wsp:rsid wsp:val=&quot;08961B37&quot;/&gt;&lt;wsp:rsid wsp:val=&quot;08964B56&quot;/&gt;&lt;wsp:rsid wsp:val=&quot;08980644&quot;/&gt;&lt;wsp:rsid wsp:val=&quot;089808CE&quot;/&gt;&lt;wsp:rsid wsp:val=&quot;089C787D&quot;/&gt;&lt;wsp:rsid wsp:val=&quot;089D4136&quot;/&gt;&lt;wsp:rsid wsp:val=&quot;08A059D4&quot;/&gt;&lt;wsp:rsid wsp:val=&quot;08A07D80&quot;/&gt;&lt;wsp:rsid wsp:val=&quot;08A13C26&quot;/&gt;&lt;wsp:rsid wsp:val=&quot;08A2174C&quot;/&gt;&lt;wsp:rsid wsp:val=&quot;08A31374&quot;/&gt;&lt;wsp:rsid wsp:val=&quot;08A41020&quot;/&gt;&lt;wsp:rsid wsp:val=&quot;08A46BE7&quot;/&gt;&lt;wsp:rsid wsp:val=&quot;08A52FEB&quot;/&gt;&lt;wsp:rsid wsp:val=&quot;08A54D99&quot;/&gt;&lt;wsp:rsid wsp:val=&quot;08A551D4&quot;/&gt;&lt;wsp:rsid wsp:val=&quot;08A6123D&quot;/&gt;&lt;wsp:rsid wsp:val=&quot;08A67A0E&quot;/&gt;&lt;wsp:rsid wsp:val=&quot;08A76D63&quot;/&gt;&lt;wsp:rsid wsp:val=&quot;08A90D2D&quot;/&gt;&lt;wsp:rsid wsp:val=&quot;08A92ADB&quot;/&gt;&lt;wsp:rsid wsp:val=&quot;08AB69AB&quot;/&gt;&lt;wsp:rsid wsp:val=&quot;08AC0DB1&quot;/&gt;&lt;wsp:rsid wsp:val=&quot;08AC25CB&quot;/&gt;&lt;wsp:rsid wsp:val=&quot;08AC35B4&quot;/&gt;&lt;wsp:rsid wsp:val=&quot;08AC4379&quot;/&gt;&lt;wsp:rsid wsp:val=&quot;08AC6127&quot;/&gt;&lt;wsp:rsid wsp:val=&quot;08B135FF&quot;/&gt;&lt;wsp:rsid wsp:val=&quot;08B1373D&quot;/&gt;&lt;wsp:rsid wsp:val=&quot;08B17BE1&quot;/&gt;&lt;wsp:rsid wsp:val=&quot;08B374B6&quot;/&gt;&lt;wsp:rsid wsp:val=&quot;08B4685D&quot;/&gt;&lt;wsp:rsid wsp:val=&quot;08B50FFC&quot;/&gt;&lt;wsp:rsid wsp:val=&quot;08B5322E&quot;/&gt;&lt;wsp:rsid wsp:val=&quot;08B53DF1&quot;/&gt;&lt;wsp:rsid wsp:val=&quot;08B576D2&quot;/&gt;&lt;wsp:rsid wsp:val=&quot;08B65A08&quot;/&gt;&lt;wsp:rsid wsp:val=&quot;08B66FA6&quot;/&gt;&lt;wsp:rsid wsp:val=&quot;08B8779C&quot;/&gt;&lt;wsp:rsid wsp:val=&quot;08B916C3&quot;/&gt;&lt;wsp:rsid wsp:val=&quot;08BA6A96&quot;/&gt;&lt;wsp:rsid wsp:val=&quot;08BB45BC&quot;/&gt;&lt;wsp:rsid wsp:val=&quot;08BB636A&quot;/&gt;&lt;wsp:rsid wsp:val=&quot;08BB7A19&quot;/&gt;&lt;wsp:rsid wsp:val=&quot;08BC0A60&quot;/&gt;&lt;wsp:rsid wsp:val=&quot;08BD6586&quot;/&gt;&lt;wsp:rsid wsp:val=&quot;08C04C7F&quot;/&gt;&lt;wsp:rsid wsp:val=&quot;08C07E24&quot;/&gt;&lt;wsp:rsid wsp:val=&quot;08C16076&quot;/&gt;&lt;wsp:rsid wsp:val=&quot;08C1610F&quot;/&gt;&lt;wsp:rsid wsp:val=&quot;08C3507A&quot;/&gt;&lt;wsp:rsid wsp:val=&quot;08C43471&quot;/&gt;&lt;wsp:rsid wsp:val=&quot;08C55F20&quot;/&gt;&lt;wsp:rsid wsp:val=&quot;08C61F81&quot;/&gt;&lt;wsp:rsid wsp:val=&quot;08C6368D&quot;/&gt;&lt;wsp:rsid wsp:val=&quot;08C77405&quot;/&gt;&lt;wsp:rsid wsp:val=&quot;08C82909&quot;/&gt;&lt;wsp:rsid wsp:val=&quot;08C848A1&quot;/&gt;&lt;wsp:rsid wsp:val=&quot;08C96CD9&quot;/&gt;&lt;wsp:rsid wsp:val=&quot;08CC0577&quot;/&gt;&lt;wsp:rsid wsp:val=&quot;08CF1E16&quot;/&gt;&lt;wsp:rsid wsp:val=&quot;08CF39D9&quot;/&gt;&lt;wsp:rsid wsp:val=&quot;08D00067&quot;/&gt;&lt;wsp:rsid wsp:val=&quot;08D04774&quot;/&gt;&lt;wsp:rsid wsp:val=&quot;08D12032&quot;/&gt;&lt;wsp:rsid wsp:val=&quot;08D31906&quot;/&gt;&lt;wsp:rsid wsp:val=&quot;08D35DAA&quot;/&gt;&lt;wsp:rsid wsp:val=&quot;08D51B22&quot;/&gt;&lt;wsp:rsid wsp:val=&quot;08D538D0&quot;/&gt;&lt;wsp:rsid wsp:val=&quot;08D631A4&quot;/&gt;&lt;wsp:rsid wsp:val=&quot;08D833C0&quot;/&gt;&lt;wsp:rsid wsp:val=&quot;08D8516E&quot;/&gt;&lt;wsp:rsid wsp:val=&quot;08DA0EE6&quot;/&gt;&lt;wsp:rsid wsp:val=&quot;08DA2C94&quot;/&gt;&lt;wsp:rsid wsp:val=&quot;08DB6A0C&quot;/&gt;&lt;wsp:rsid wsp:val=&quot;08DD4532&quot;/&gt;&lt;wsp:rsid wsp:val=&quot;08DF64FD&quot;/&gt;&lt;wsp:rsid wsp:val=&quot;08E104C7&quot;/&gt;&lt;wsp:rsid wsp:val=&quot;08E12275&quot;/&gt;&lt;wsp:rsid wsp:val=&quot;08E17D6D&quot;/&gt;&lt;wsp:rsid wsp:val=&quot;08E42E33&quot;/&gt;&lt;wsp:rsid wsp:val=&quot;08E458C1&quot;/&gt;&lt;wsp:rsid wsp:val=&quot;08E51639&quot;/&gt;&lt;wsp:rsid wsp:val=&quot;08E528FC&quot;/&gt;&lt;wsp:rsid wsp:val=&quot;08E6766C&quot;/&gt;&lt;wsp:rsid wsp:val=&quot;08E6788B&quot;/&gt;&lt;wsp:rsid wsp:val=&quot;08E76FAB&quot;/&gt;&lt;wsp:rsid wsp:val=&quot;08E828A9&quot;/&gt;&lt;wsp:rsid wsp:val=&quot;08E91129&quot;/&gt;&lt;wsp:rsid wsp:val=&quot;08E92ED7&quot;/&gt;&lt;wsp:rsid wsp:val=&quot;08EB30F3&quot;/&gt;&lt;wsp:rsid wsp:val=&quot;08EB4EA1&quot;/&gt;&lt;wsp:rsid wsp:val=&quot;08EB6C4F&quot;/&gt;&lt;wsp:rsid wsp:val=&quot;08EC0C19&quot;/&gt;&lt;wsp:rsid wsp:val=&quot;08EC29C7&quot;/&gt;&lt;wsp:rsid wsp:val=&quot;08EC3C9C&quot;/&gt;&lt;wsp:rsid wsp:val=&quot;08EE6740&quot;/&gt;&lt;wsp:rsid wsp:val=&quot;08EF6592&quot;/&gt;&lt;wsp:rsid wsp:val=&quot;08F024B8&quot;/&gt;&lt;wsp:rsid wsp:val=&quot;08F04266&quot;/&gt;&lt;wsp:rsid wsp:val=&quot;08F24482&quot;/&gt;&lt;wsp:rsid wsp:val=&quot;08F31FA8&quot;/&gt;&lt;wsp:rsid wsp:val=&quot;08F5187C&quot;/&gt;&lt;wsp:rsid wsp:val=&quot;08F63846&quot;/&gt;&lt;wsp:rsid wsp:val=&quot;08F951DD&quot;/&gt;&lt;wsp:rsid wsp:val=&quot;08FA3336&quot;/&gt;&lt;wsp:rsid wsp:val=&quot;08FA50E4&quot;/&gt;&lt;wsp:rsid wsp:val=&quot;08FA6E92&quot;/&gt;&lt;wsp:rsid wsp:val=&quot;08FB2771&quot;/&gt;&lt;wsp:rsid wsp:val=&quot;08FC3626&quot;/&gt;&lt;wsp:rsid wsp:val=&quot;08FF0C82&quot;/&gt;&lt;wsp:rsid wsp:val=&quot;08FF26FB&quot;/&gt;&lt;wsp:rsid wsp:val=&quot;09000221&quot;/&gt;&lt;wsp:rsid wsp:val=&quot;090137FA&quot;/&gt;&lt;wsp:rsid wsp:val=&quot;09016473&quot;/&gt;&lt;wsp:rsid wsp:val=&quot;0902043D&quot;/&gt;&lt;wsp:rsid wsp:val=&quot;090221EB&quot;/&gt;&lt;wsp:rsid wsp:val=&quot;09027603&quot;/&gt;&lt;wsp:rsid wsp:val=&quot;090441B5&quot;/&gt;&lt;wsp:rsid wsp:val=&quot;09044B9E&quot;/&gt;&lt;wsp:rsid wsp:val=&quot;09045F63&quot;/&gt;&lt;wsp:rsid wsp:val=&quot;09047D11&quot;/&gt;&lt;wsp:rsid wsp:val=&quot;09063A89&quot;/&gt;&lt;wsp:rsid wsp:val=&quot;09083475&quot;/&gt;&lt;wsp:rsid wsp:val=&quot;09093579&quot;/&gt;&lt;wsp:rsid wsp:val=&quot;090D12BC&quot;/&gt;&lt;wsp:rsid wsp:val=&quot;090D1B45&quot;/&gt;&lt;wsp:rsid wsp:val=&quot;09102B5A&quot;/&gt;&lt;wsp:rsid wsp:val=&quot;0911242E&quot;/&gt;&lt;wsp:rsid wsp:val=&quot;09120680&quot;/&gt;&lt;wsp:rsid wsp:val=&quot;0913264A&quot;/&gt;&lt;wsp:rsid wsp:val=&quot;09150170&quot;/&gt;&lt;wsp:rsid wsp:val=&quot;09151F1E&quot;/&gt;&lt;wsp:rsid wsp:val=&quot;09175C96&quot;/&gt;&lt;wsp:rsid wsp:val=&quot;091A12E3&quot;/&gt;&lt;wsp:rsid wsp:val=&quot;091F2D9D&quot;/&gt;&lt;wsp:rsid wsp:val=&quot;092108C3&quot;/&gt;&lt;wsp:rsid wsp:val=&quot;09212671&quot;/&gt;&lt;wsp:rsid wsp:val=&quot;092217DD&quot;/&gt;&lt;wsp:rsid wsp:val=&quot;0923288D&quot;/&gt;&lt;wsp:rsid wsp:val=&quot;092403B3&quot;/&gt;&lt;wsp:rsid wsp:val=&quot;09242161&quot;/&gt;&lt;wsp:rsid wsp:val=&quot;09245AAA&quot;/&gt;&lt;wsp:rsid wsp:val=&quot;0926237D&quot;/&gt;&lt;wsp:rsid wsp:val=&quot;09287EA3&quot;/&gt;&lt;wsp:rsid wsp:val=&quot;092927AE&quot;/&gt;&lt;wsp:rsid wsp:val=&quot;09292D87&quot;/&gt;&lt;wsp:rsid wsp:val=&quot;092959CA&quot;/&gt;&lt;wsp:rsid wsp:val=&quot;092E1232&quot;/&gt;&lt;wsp:rsid wsp:val=&quot;09300DA6&quot;/&gt;&lt;wsp:rsid wsp:val=&quot;09304FAA&quot;/&gt;&lt;wsp:rsid wsp:val=&quot;09306D58&quot;/&gt;&lt;wsp:rsid wsp:val=&quot;09336848&quot;/&gt;&lt;wsp:rsid wsp:val=&quot;09364DC9&quot;/&gt;&lt;wsp:rsid wsp:val=&quot;09382988&quot;/&gt;&lt;wsp:rsid wsp:val=&quot;093A3733&quot;/&gt;&lt;wsp:rsid wsp:val=&quot;093A7294&quot;/&gt;&lt;wsp:rsid wsp:val=&quot;093D1475&quot;/&gt;&lt;wsp:rsid wsp:val=&quot;093E76C7&quot;/&gt;&lt;wsp:rsid wsp:val=&quot;093F29B1&quot;/&gt;&lt;wsp:rsid wsp:val=&quot;093F29C2&quot;/&gt;&lt;wsp:rsid wsp:val=&quot;09410A35&quot;/&gt;&lt;wsp:rsid wsp:val=&quot;09414AC1&quot;/&gt;&lt;wsp:rsid wsp:val=&quot;09420839&quot;/&gt;&lt;wsp:rsid wsp:val=&quot;09436A8B&quot;/&gt;&lt;wsp:rsid wsp:val=&quot;09475E50&quot;/&gt;&lt;wsp:rsid wsp:val=&quot;09491BC8&quot;/&gt;&lt;wsp:rsid wsp:val=&quot;094B3B92&quot;/&gt;&lt;wsp:rsid wsp:val=&quot;094B59B5&quot;/&gt;&lt;wsp:rsid wsp:val=&quot;094B782F&quot;/&gt;&lt;wsp:rsid wsp:val=&quot;094C3466&quot;/&gt;&lt;wsp:rsid wsp:val=&quot;094E3682&quot;/&gt;&lt;wsp:rsid wsp:val=&quot;094F1627&quot;/&gt;&lt;wsp:rsid wsp:val=&quot;095073FA&quot;/&gt;&lt;wsp:rsid wsp:val=&quot;0951429E&quot;/&gt;&lt;wsp:rsid wsp:val=&quot;09532A47&quot;/&gt;&lt;wsp:rsid wsp:val=&quot;09542264&quot;/&gt;&lt;wsp:rsid wsp:val=&quot;09562B22&quot;/&gt;&lt;wsp:rsid wsp:val=&quot;09570789&quot;/&gt;&lt;wsp:rsid wsp:val=&quot;095742E5&quot;/&gt;&lt;wsp:rsid wsp:val=&quot;0958005D&quot;/&gt;&lt;wsp:rsid wsp:val=&quot;09585107&quot;/&gt;&lt;wsp:rsid wsp:val=&quot;095962AF&quot;/&gt;&lt;wsp:rsid wsp:val=&quot;095A2027&quot;/&gt;&lt;wsp:rsid wsp:val=&quot;095A3DD5&quot;/&gt;&lt;wsp:rsid wsp:val=&quot;095A5B83&quot;/&gt;&lt;wsp:rsid wsp:val=&quot;095C0F1D&quot;/&gt;&lt;wsp:rsid wsp:val=&quot;096124E4&quot;/&gt;&lt;wsp:rsid wsp:val=&quot;096133B5&quot;/&gt;&lt;wsp:rsid wsp:val=&quot;096236A8&quot;/&gt;&lt;wsp:rsid wsp:val=&quot;096609CC&quot;/&gt;&lt;wsp:rsid wsp:val=&quot;09664528&quot;/&gt;&lt;wsp:rsid wsp:val=&quot;09694018&quot;/&gt;&lt;wsp:rsid wsp:val=&quot;096A04BC&quot;/&gt;&lt;wsp:rsid wsp:val=&quot;096A533F&quot;/&gt;&lt;wsp:rsid wsp:val=&quot;096B7D90&quot;/&gt;&lt;wsp:rsid wsp:val=&quot;096C65C2&quot;/&gt;&lt;wsp:rsid wsp:val=&quot;096D3B08&quot;/&gt;&lt;wsp:rsid wsp:val=&quot;096E162B&quot;/&gt;&lt;wsp:rsid wsp:val=&quot;096E7880&quot;/&gt;&lt;wsp:rsid wsp:val=&quot;09711DE5&quot;/&gt;&lt;wsp:rsid wsp:val=&quot;0972111F&quot;/&gt;&lt;wsp:rsid wsp:val=&quot;09722ECD&quot;/&gt;&lt;wsp:rsid wsp:val=&quot;09727371&quot;/&gt;&lt;wsp:rsid wsp:val=&quot;097338C4&quot;/&gt;&lt;wsp:rsid wsp:val=&quot;09744D54&quot;/&gt;&lt;wsp:rsid wsp:val=&quot;09750C0F&quot;/&gt;&lt;wsp:rsid wsp:val=&quot;09756E61&quot;/&gt;&lt;wsp:rsid wsp:val=&quot;09761AF5&quot;/&gt;&lt;wsp:rsid wsp:val=&quot;09766816&quot;/&gt;&lt;wsp:rsid wsp:val=&quot;09772245&quot;/&gt;&lt;wsp:rsid wsp:val=&quot;097736D5&quot;/&gt;&lt;wsp:rsid wsp:val=&quot;0978425B&quot;/&gt;&lt;wsp:rsid wsp:val=&quot;097906FF&quot;/&gt;&lt;wsp:rsid wsp:val=&quot;097924AD&quot;/&gt;&lt;wsp:rsid wsp:val=&quot;097C2B40&quot;/&gt;&lt;wsp:rsid wsp:val=&quot;097C3D4B&quot;/&gt;&lt;wsp:rsid wsp:val=&quot;097D1872&quot;/&gt;&lt;wsp:rsid wsp:val=&quot;097E3F67&quot;/&gt;&lt;wsp:rsid wsp:val=&quot;097F5989&quot;/&gt;&lt;wsp:rsid wsp:val=&quot;098032F7&quot;/&gt;&lt;wsp:rsid wsp:val=&quot;098175B4&quot;/&gt;&lt;wsp:rsid wsp:val=&quot;0983332C&quot;/&gt;&lt;wsp:rsid wsp:val=&quot;098378B0&quot;/&gt;&lt;wsp:rsid wsp:val=&quot;09842C00&quot;/&gt;&lt;wsp:rsid wsp:val=&quot;098470A4&quot;/&gt;&lt;wsp:rsid wsp:val=&quot;09862E1C&quot;/&gt;&lt;wsp:rsid wsp:val=&quot;098B3F8E&quot;/&gt;&lt;wsp:rsid wsp:val=&quot;098D79C2&quot;/&gt;&lt;wsp:rsid wsp:val=&quot;098E3A7F&quot;/&gt;&lt;wsp:rsid wsp:val=&quot;098E58FB&quot;/&gt;&lt;wsp:rsid wsp:val=&quot;098E6D32&quot;/&gt;&lt;wsp:rsid wsp:val=&quot;098F7F23&quot;/&gt;&lt;wsp:rsid wsp:val=&quot;09903C9B&quot;/&gt;&lt;wsp:rsid wsp:val=&quot;099077F7&quot;/&gt;&lt;wsp:rsid wsp:val=&quot;09930631&quot;/&gt;&lt;wsp:rsid wsp:val=&quot;099472E7&quot;/&gt;&lt;wsp:rsid wsp:val=&quot;099512B1&quot;/&gt;&lt;wsp:rsid wsp:val=&quot;09954E0D&quot;/&gt;&lt;wsp:rsid wsp:val=&quot;0996182F&quot;/&gt;&lt;wsp:rsid wsp:val=&quot;0997182D&quot;/&gt;&lt;wsp:rsid wsp:val=&quot;09992BB0&quot;/&gt;&lt;wsp:rsid wsp:val=&quot;099948FD&quot;/&gt;&lt;wsp:rsid wsp:val=&quot;099A01B0&quot;/&gt;&lt;wsp:rsid wsp:val=&quot;099B68C7&quot;/&gt;&lt;wsp:rsid wsp:val=&quot;099F5C8C&quot;/&gt;&lt;wsp:rsid wsp:val=&quot;09A339CE&quot;/&gt;&lt;wsp:rsid wsp:val=&quot;09A3577C&quot;/&gt;&lt;wsp:rsid wsp:val=&quot;09A514F4&quot;/&gt;&lt;wsp:rsid wsp:val=&quot;09A552C3&quot;/&gt;&lt;wsp:rsid wsp:val=&quot;09A63E5B&quot;/&gt;&lt;wsp:rsid wsp:val=&quot;09A6701A&quot;/&gt;&lt;wsp:rsid wsp:val=&quot;09A80FE4&quot;/&gt;&lt;wsp:rsid wsp:val=&quot;09A83091&quot;/&gt;&lt;wsp:rsid wsp:val=&quot;09A911B7&quot;/&gt;&lt;wsp:rsid wsp:val=&quot;09AD480B&quot;/&gt;&lt;wsp:rsid wsp:val=&quot;09AD4EE5&quot;/&gt;&lt;wsp:rsid wsp:val=&quot;09AF2373&quot;/&gt;&lt;wsp:rsid wsp:val=&quot;09B2776D&quot;/&gt;&lt;wsp:rsid wsp:val=&quot;09B278C7&quot;/&gt;&lt;wsp:rsid wsp:val=&quot;09B36291&quot;/&gt;&lt;wsp:rsid wsp:val=&quot;09B554AF&quot;/&gt;&lt;wsp:rsid wsp:val=&quot;09B711FF&quot;/&gt;&lt;wsp:rsid wsp:val=&quot;09B71227&quot;/&gt;&lt;wsp:rsid wsp:val=&quot;09B72FD5&quot;/&gt;&lt;wsp:rsid wsp:val=&quot;09B74D83&quot;/&gt;&lt;wsp:rsid wsp:val=&quot;09B94F9F&quot;/&gt;&lt;wsp:rsid wsp:val=&quot;09B96D4E&quot;/&gt;&lt;wsp:rsid wsp:val=&quot;09BA2AC6&quot;/&gt;&lt;wsp:rsid wsp:val=&quot;09BA6059&quot;/&gt;&lt;wsp:rsid wsp:val=&quot;09BC683E&quot;/&gt;&lt;wsp:rsid wsp:val=&quot;09BD1661&quot;/&gt;&lt;wsp:rsid wsp:val=&quot;09BD3CE3&quot;/&gt;&lt;wsp:rsid wsp:val=&quot;09BE4364&quot;/&gt;&lt;wsp:rsid wsp:val=&quot;09C15C02&quot;/&gt;&lt;wsp:rsid wsp:val=&quot;09C33728&quot;/&gt;&lt;wsp:rsid wsp:val=&quot;09C37BCC&quot;/&gt;&lt;wsp:rsid wsp:val=&quot;09C4534A&quot;/&gt;&lt;wsp:rsid wsp:val=&quot;09C851E3&quot;/&gt;&lt;wsp:rsid wsp:val=&quot;09CB082F&quot;/&gt;&lt;wsp:rsid wsp:val=&quot;09CB4CD3&quot;/&gt;&lt;wsp:rsid wsp:val=&quot;09CC3D82&quot;/&gt;&lt;wsp:rsid wsp:val=&quot;09CD27F9&quot;/&gt;&lt;wsp:rsid wsp:val=&quot;09CE595E&quot;/&gt;&lt;wsp:rsid wsp:val=&quot;09CF031F&quot;/&gt;&lt;wsp:rsid wsp:val=&quot;09D04097&quot;/&gt;&lt;wsp:rsid wsp:val=&quot;09D26061&quot;/&gt;&lt;wsp:rsid wsp:val=&quot;09D35323&quot;/&gt;&lt;wsp:rsid wsp:val=&quot;09D516AE&quot;/&gt;&lt;wsp:rsid wsp:val=&quot;09D5345C&quot;/&gt;&lt;wsp:rsid wsp:val=&quot;09D57E5C&quot;/&gt;&lt;wsp:rsid wsp:val=&quot;09D65B51&quot;/&gt;&lt;wsp:rsid wsp:val=&quot;09D73678&quot;/&gt;&lt;wsp:rsid wsp:val=&quot;09D973F0&quot;/&gt;&lt;wsp:rsid wsp:val=&quot;09DA6CC4&quot;/&gt;&lt;wsp:rsid wsp:val=&quot;09DC2A3C&quot;/&gt;&lt;wsp:rsid wsp:val=&quot;09DC47EA&quot;/&gt;&lt;wsp:rsid wsp:val=&quot;09DE4A06&quot;/&gt;&lt;wsp:rsid wsp:val=&quot;09DE78F8&quot;/&gt;&lt;wsp:rsid wsp:val=&quot;09DF42DA&quot;/&gt;&lt;wsp:rsid wsp:val=&quot;09E0252C&quot;/&gt;&lt;wsp:rsid wsp:val=&quot;09E10931&quot;/&gt;&lt;wsp:rsid wsp:val=&quot;09E162A4&quot;/&gt;&lt;wsp:rsid wsp:val=&quot;09E22693&quot;/&gt;&lt;wsp:rsid wsp:val=&quot;09E32279&quot;/&gt;&lt;wsp:rsid wsp:val=&quot;09E33DCA&quot;/&gt;&lt;wsp:rsid wsp:val=&quot;09E813E1&quot;/&gt;&lt;wsp:rsid wsp:val=&quot;09ED2377&quot;/&gt;&lt;wsp:rsid wsp:val=&quot;09F064E7&quot;/&gt;&lt;wsp:rsid wsp:val=&quot;09F16263&quot;/&gt;&lt;wsp:rsid wsp:val=&quot;09F20866&quot;/&gt;&lt;wsp:rsid wsp:val=&quot;09F5224A&quot;/&gt;&lt;wsp:rsid wsp:val=&quot;09F63AFE&quot;/&gt;&lt;wsp:rsid wsp:val=&quot;09F63FDE&quot;/&gt;&lt;wsp:rsid wsp:val=&quot;09F71624&quot;/&gt;&lt;wsp:rsid wsp:val=&quot;09F77876&quot;/&gt;&lt;wsp:rsid wsp:val=&quot;09FB1114&quot;/&gt;&lt;wsp:rsid wsp:val=&quot;09FB7366&quot;/&gt;&lt;wsp:rsid wsp:val=&quot;09FC30DE&quot;/&gt;&lt;wsp:rsid wsp:val=&quot;09FE29B2&quot;/&gt;&lt;wsp:rsid wsp:val=&quot;09FE6E56&quot;/&gt;&lt;wsp:rsid wsp:val=&quot;0A002BCE&quot;/&gt;&lt;wsp:rsid wsp:val=&quot;0A00672A&quot;/&gt;&lt;wsp:rsid wsp:val=&quot;0A0124A3&quot;/&gt;&lt;wsp:rsid wsp:val=&quot;0A014251&quot;/&gt;&lt;wsp:rsid wsp:val=&quot;0A021C7D&quot;/&gt;&lt;wsp:rsid wsp:val=&quot;0A037FC9&quot;/&gt;&lt;wsp:rsid wsp:val=&quot;0A042DB5&quot;/&gt;&lt;wsp:rsid wsp:val=&quot;0A043EC0&quot;/&gt;&lt;wsp:rsid wsp:val=&quot;0A065F23&quot;/&gt;&lt;wsp:rsid wsp:val=&quot;0A081A83&quot;/&gt;&lt;wsp:rsid wsp:val=&quot;0A083831&quot;/&gt;&lt;wsp:rsid wsp:val=&quot;0A0855DF&quot;/&gt;&lt;wsp:rsid wsp:val=&quot;0A0A73CC&quot;/&gt;&lt;wsp:rsid wsp:val=&quot;0A0A75A9&quot;/&gt;&lt;wsp:rsid wsp:val=&quot;0A0B52DE&quot;/&gt;&lt;wsp:rsid wsp:val=&quot;0A0C3321&quot;/&gt;&lt;wsp:rsid wsp:val=&quot;0A0F4BBF&quot;/&gt;&lt;wsp:rsid wsp:val=&quot;0A1120C2&quot;/&gt;&lt;wsp:rsid wsp:val=&quot;0A1254C0&quot;/&gt;&lt;wsp:rsid wsp:val=&quot;0A125989&quot;/&gt;&lt;wsp:rsid wsp:val=&quot;0A157CFC&quot;/&gt;&lt;wsp:rsid wsp:val=&quot;0A1641A0&quot;/&gt;&lt;wsp:rsid wsp:val=&quot;0A171CC6&quot;/&gt;&lt;wsp:rsid wsp:val=&quot;0A1977EC&quot;/&gt;&lt;wsp:rsid wsp:val=&quot;0A1C6343&quot;/&gt;&lt;wsp:rsid wsp:val=&quot;0A1C72DC&quot;/&gt;&lt;wsp:rsid wsp:val=&quot;0A1D552E&quot;/&gt;&lt;wsp:rsid wsp:val=&quot;0A1E12A6&quot;/&gt;&lt;wsp:rsid wsp:val=&quot;0A1E3055&quot;/&gt;&lt;wsp:rsid wsp:val=&quot;0A1E4E03&quot;/&gt;&lt;wsp:rsid wsp:val=&quot;0A200B7B&quot;/&gt;&lt;wsp:rsid wsp:val=&quot;0A2166A1&quot;/&gt;&lt;wsp:rsid wsp:val=&quot;0A232C32&quot;/&gt;&lt;wsp:rsid wsp:val=&quot;0A233B87&quot;/&gt;&lt;wsp:rsid wsp:val=&quot;0A2368BD&quot;/&gt;&lt;wsp:rsid wsp:val=&quot;0A252635&quot;/&gt;&lt;wsp:rsid wsp:val=&quot;0A256191&quot;/&gt;&lt;wsp:rsid wsp:val=&quot;0A2564A7&quot;/&gt;&lt;wsp:rsid wsp:val=&quot;0A261F09&quot;/&gt;&lt;wsp:rsid wsp:val=&quot;0A263993&quot;/&gt;&lt;wsp:rsid wsp:val=&quot;0A27773E&quot;/&gt;&lt;wsp:rsid wsp:val=&quot;0A283ED3&quot;/&gt;&lt;wsp:rsid wsp:val=&quot;0A285C81&quot;/&gt;&lt;wsp:rsid wsp:val=&quot;0A2B3004&quot;/&gt;&lt;wsp:rsid wsp:val=&quot;0A2C5771&quot;/&gt;&lt;wsp:rsid wsp:val=&quot;0A2D14EA&quot;/&gt;&lt;wsp:rsid wsp:val=&quot;0A2D3298&quot;/&gt;&lt;wsp:rsid wsp:val=&quot;0A2D3AC2&quot;/&gt;&lt;wsp:rsid wsp:val=&quot;0A335ED5&quot;/&gt;&lt;wsp:rsid wsp:val=&quot;0A344626&quot;/&gt;&lt;wsp:rsid wsp:val=&quot;0A344DEA&quot;/&gt;&lt;wsp:rsid wsp:val=&quot;0A36039E&quot;/&gt;&lt;wsp:rsid wsp:val=&quot;0A365384&quot;/&gt;&lt;wsp:rsid wsp:val=&quot;0A374116&quot;/&gt;&lt;wsp:rsid wsp:val=&quot;0A375EC4&quot;/&gt;&lt;wsp:rsid wsp:val=&quot;0A382368&quot;/&gt;&lt;wsp:rsid wsp:val=&quot;0A395DAD&quot;/&gt;&lt;wsp:rsid wsp:val=&quot;0A3B1E0E&quot;/&gt;&lt;wsp:rsid wsp:val=&quot;0A3B3C06&quot;/&gt;&lt;wsp:rsid wsp:val=&quot;0A3B59B5&quot;/&gt;&lt;wsp:rsid wsp:val=&quot;0A3B7763&quot;/&gt;&lt;wsp:rsid wsp:val=&quot;0A3D5C96&quot;/&gt;&lt;wsp:rsid wsp:val=&quot;0A3D797F&quot;/&gt;&lt;wsp:rsid wsp:val=&quot;0A3E36F7&quot;/&gt;&lt;wsp:rsid wsp:val=&quot;0A3E54A5&quot;/&gt;&lt;wsp:rsid wsp:val=&quot;0A40746F&quot;/&gt;&lt;wsp:rsid wsp:val=&quot;0A410AF1&quot;/&gt;&lt;wsp:rsid wsp:val=&quot;0A426D43&quot;/&gt;&lt;wsp:rsid wsp:val=&quot;0A434869&quot;/&gt;&lt;wsp:rsid wsp:val=&quot;0A445900&quot;/&gt;&lt;wsp:rsid wsp:val=&quot;0A4505E1&quot;/&gt;&lt;wsp:rsid wsp:val=&quot;0A466F21&quot;/&gt;&lt;wsp:rsid wsp:val=&quot;0A4703B1&quot;/&gt;&lt;wsp:rsid wsp:val=&quot;0A4725AB&quot;/&gt;&lt;wsp:rsid wsp:val=&quot;0A4C7BC2&quot;/&gt;&lt;wsp:rsid wsp:val=&quot;0A4E0284&quot;/&gt;&lt;wsp:rsid wsp:val=&quot;0A4E393A&quot;/&gt;&lt;wsp:rsid wsp:val=&quot;0A522CFE&quot;/&gt;&lt;wsp:rsid wsp:val=&quot;0A5254C4&quot;/&gt;&lt;wsp:rsid wsp:val=&quot;0A530F50&quot;/&gt;&lt;wsp:rsid wsp:val=&quot;0A540824&quot;/&gt;&lt;wsp:rsid wsp:val=&quot;0A5440F6&quot;/&gt;&lt;wsp:rsid wsp:val=&quot;0A572A77&quot;/&gt;&lt;wsp:rsid wsp:val=&quot;0A5871AD&quot;/&gt;&lt;wsp:rsid wsp:val=&quot;0A590531&quot;/&gt;&lt;wsp:rsid wsp:val=&quot;0A59408D&quot;/&gt;&lt;wsp:rsid wsp:val=&quot;0A5A77C7&quot;/&gt;&lt;wsp:rsid wsp:val=&quot;0A5D3B7D&quot;/&gt;&lt;wsp:rsid wsp:val=&quot;0A5E7D79&quot;/&gt;&lt;wsp:rsid wsp:val=&quot;0A60541B&quot;/&gt;&lt;wsp:rsid wsp:val=&quot;0A6070FA&quot;/&gt;&lt;wsp:rsid wsp:val=&quot;0A634F0B&quot;/&gt;&lt;wsp:rsid wsp:val=&quot;0A670558&quot;/&gt;&lt;wsp:rsid wsp:val=&quot;0A6749FB&quot;/&gt;&lt;wsp:rsid wsp:val=&quot;0A67799B&quot;/&gt;&lt;wsp:rsid wsp:val=&quot;0A6937F7&quot;/&gt;&lt;wsp:rsid wsp:val=&quot;0A6A0048&quot;/&gt;&lt;wsp:rsid wsp:val=&quot;0A6C0264&quot;/&gt;&lt;wsp:rsid wsp:val=&quot;0A6D7B38&quot;/&gt;&lt;wsp:rsid wsp:val=&quot;0A6E1BE3&quot;/&gt;&lt;wsp:rsid wsp:val=&quot;0A6E2DC3&quot;/&gt;&lt;wsp:rsid wsp:val=&quot;0A7143CA&quot;/&gt;&lt;wsp:rsid wsp:val=&quot;0A71587A&quot;/&gt;&lt;wsp:rsid wsp:val=&quot;0A726EFC&quot;/&gt;&lt;wsp:rsid wsp:val=&quot;0A7315F2&quot;/&gt;&lt;wsp:rsid wsp:val=&quot;0A742C74&quot;/&gt;&lt;wsp:rsid wsp:val=&quot;0A75342F&quot;/&gt;&lt;wsp:rsid wsp:val=&quot;0A780920&quot;/&gt;&lt;wsp:rsid wsp:val=&quot;0A782765&quot;/&gt;&lt;wsp:rsid wsp:val=&quot;0A79028B&quot;/&gt;&lt;wsp:rsid wsp:val=&quot;0A793240&quot;/&gt;&lt;wsp:rsid wsp:val=&quot;0A79472F&quot;/&gt;&lt;wsp:rsid wsp:val=&quot;0A7B2255&quot;/&gt;&lt;wsp:rsid wsp:val=&quot;0A7D5FCD&quot;/&gt;&lt;wsp:rsid wsp:val=&quot;0A7F4ED7&quot;/&gt;&lt;wsp:rsid wsp:val=&quot;0A7F7F97&quot;/&gt;&lt;wsp:rsid wsp:val=&quot;0A801619&quot;/&gt;&lt;wsp:rsid wsp:val=&quot;0A805ABD&quot;/&gt;&lt;wsp:rsid wsp:val=&quot;0A851326&quot;/&gt;&lt;wsp:rsid wsp:val=&quot;0A8530D4&quot;/&gt;&lt;wsp:rsid wsp:val=&quot;0A856C30&quot;/&gt;&lt;wsp:rsid wsp:val=&quot;0A872AF4&quot;/&gt;&lt;wsp:rsid wsp:val=&quot;0A886CD4&quot;/&gt;&lt;wsp:rsid wsp:val=&quot;0A88778E&quot;/&gt;&lt;wsp:rsid wsp:val=&quot;0A8A06EA&quot;/&gt;&lt;wsp:rsid wsp:val=&quot;0A8A41C5&quot;/&gt;&lt;wsp:rsid wsp:val=&quot;0A8C0226&quot;/&gt;&lt;wsp:rsid wsp:val=&quot;0A8C4462&quot;/&gt;&lt;wsp:rsid wsp:val=&quot;0A8C6210&quot;/&gt;&lt;wsp:rsid wsp:val=&quot;0A8E5717&quot;/&gt;&lt;wsp:rsid wsp:val=&quot;0A8F7AAE&quot;/&gt;&lt;wsp:rsid wsp:val=&quot;0A905466&quot;/&gt;&lt;wsp:rsid wsp:val=&quot;0A913826&quot;/&gt;&lt;wsp:rsid wsp:val=&quot;0A934F20&quot;/&gt;&lt;wsp:rsid wsp:val=&quot;0A93759F&quot;/&gt;&lt;wsp:rsid wsp:val=&quot;0A9450C5&quot;/&gt;&lt;wsp:rsid wsp:val=&quot;0A975339&quot;/&gt;&lt;wsp:rsid wsp:val=&quot;0A9926DB&quot;/&gt;&lt;wsp:rsid wsp:val=&quot;0A9B61E0&quot;/&gt;&lt;wsp:rsid wsp:val=&quot;0A9F4BAA&quot;/&gt;&lt;wsp:rsid wsp:val=&quot;0AA03A6A&quot;/&gt;&lt;wsp:rsid wsp:val=&quot;0AA07F0D&quot;/&gt;&lt;wsp:rsid wsp:val=&quot;0AA277E2&quot;/&gt;&lt;wsp:rsid wsp:val=&quot;0AA30322&quot;/&gt;&lt;wsp:rsid wsp:val=&quot;0AA417AC&quot;/&gt;&lt;wsp:rsid wsp:val=&quot;0AA572D2&quot;/&gt;&lt;wsp:rsid wsp:val=&quot;0AA64BFD&quot;/&gt;&lt;wsp:rsid wsp:val=&quot;0AA7304A&quot;/&gt;&lt;wsp:rsid wsp:val=&quot;0AA7305B&quot;/&gt;&lt;wsp:rsid wsp:val=&quot;0AA755DF&quot;/&gt;&lt;wsp:rsid wsp:val=&quot;0AA95014&quot;/&gt;&lt;wsp:rsid wsp:val=&quot;0AA96DC2&quot;/&gt;&lt;wsp:rsid wsp:val=&quot;0AAA48E8&quot;/&gt;&lt;wsp:rsid wsp:val=&quot;0AAA76AD&quot;/&gt;&lt;wsp:rsid wsp:val=&quot;0AAE262A&quot;/&gt;&lt;wsp:rsid wsp:val=&quot;0AAE6186&quot;/&gt;&lt;wsp:rsid wsp:val=&quot;0AAF0151&quot;/&gt;&lt;wsp:rsid wsp:val=&quot;0AAF1EFF&quot;/&gt;&lt;wsp:rsid wsp:val=&quot;0AB13EC9&quot;/&gt;&lt;wsp:rsid wsp:val=&quot;0AB15C77&quot;/&gt;&lt;wsp:rsid wsp:val=&quot;0AB1607D&quot;/&gt;&lt;wsp:rsid wsp:val=&quot;0AB319EF&quot;/&gt;&lt;wsp:rsid wsp:val=&quot;0AB32A98&quot;/&gt;&lt;wsp:rsid wsp:val=&quot;0AB3379D&quot;/&gt;&lt;wsp:rsid wsp:val=&quot;0AB47515&quot;/&gt;&lt;wsp:rsid wsp:val=&quot;0AB539B9&quot;/&gt;&lt;wsp:rsid wsp:val=&quot;0AB6328D&quot;/&gt;&lt;wsp:rsid wsp:val=&quot;0AB67731&quot;/&gt;&lt;wsp:rsid wsp:val=&quot;0AB76A72&quot;/&gt;&lt;wsp:rsid wsp:val=&quot;0AB87005&quot;/&gt;&lt;wsp:rsid wsp:val=&quot;0AB9243E&quot;/&gt;&lt;wsp:rsid wsp:val=&quot;0ABA0FCF&quot;/&gt;&lt;wsp:rsid wsp:val=&quot;0ABA2D7D&quot;/&gt;&lt;wsp:rsid wsp:val=&quot;0ABB157D&quot;/&gt;&lt;wsp:rsid wsp:val=&quot;0ABB4D47&quot;/&gt;&lt;wsp:rsid wsp:val=&quot;0ABB6AF5&quot;/&gt;&lt;wsp:rsid wsp:val=&quot;0ABD461B&quot;/&gt;&lt;wsp:rsid wsp:val=&quot;0ABF4757&quot;/&gt;&lt;wsp:rsid wsp:val=&quot;0AC260D6&quot;/&gt;&lt;wsp:rsid wsp:val=&quot;0AC27E84&quot;/&gt;&lt;wsp:rsid wsp:val=&quot;0AC503B7&quot;/&gt;&lt;wsp:rsid wsp:val=&quot;0AC51722&quot;/&gt;&lt;wsp:rsid wsp:val=&quot;0AC56739&quot;/&gt;&lt;wsp:rsid wsp:val=&quot;0AC57974&quot;/&gt;&lt;wsp:rsid wsp:val=&quot;0AC7549A&quot;/&gt;&lt;wsp:rsid wsp:val=&quot;0AC96233&quot;/&gt;&lt;wsp:rsid wsp:val=&quot;0ACA1658&quot;/&gt;&lt;wsp:rsid wsp:val=&quot;0ACC5D22&quot;/&gt;&lt;wsp:rsid wsp:val=&quot;0ACE4A7B&quot;/&gt;&lt;wsp:rsid wsp:val=&quot;0AD100C7&quot;/&gt;&lt;wsp:rsid wsp:val=&quot;0AD16319&quot;/&gt;&lt;wsp:rsid wsp:val=&quot;0AD32091&quot;/&gt;&lt;wsp:rsid wsp:val=&quot;0AD6133C&quot;/&gt;&lt;wsp:rsid wsp:val=&quot;0AD61B81&quot;/&gt;&lt;wsp:rsid wsp:val=&quot;0AD876A7&quot;/&gt;&lt;wsp:rsid wsp:val=&quot;0ADA114D&quot;/&gt;&lt;wsp:rsid wsp:val=&quot;0ADD6A6C&quot;/&gt;&lt;wsp:rsid wsp:val=&quot;0ADF0F5E&quot;/&gt;&lt;wsp:rsid wsp:val=&quot;0AE20526&quot;/&gt;&lt;wsp:rsid wsp:val=&quot;0AE47DFA&quot;/&gt;&lt;wsp:rsid wsp:val=&quot;0AE55920&quot;/&gt;&lt;wsp:rsid wsp:val=&quot;0AE61DC4&quot;/&gt;&lt;wsp:rsid wsp:val=&quot;0AE676F0&quot;/&gt;&lt;wsp:rsid wsp:val=&quot;0AED76B8&quot;/&gt;&lt;wsp:rsid wsp:val=&quot;0AF02C43&quot;/&gt;&lt;wsp:rsid wsp:val=&quot;0AF049F1&quot;/&gt;&lt;wsp:rsid wsp:val=&quot;0AF0679F&quot;/&gt;&lt;wsp:rsid wsp:val=&quot;0AF10769&quot;/&gt;&lt;wsp:rsid wsp:val=&quot;0AF12517&quot;/&gt;&lt;wsp:rsid wsp:val=&quot;0AF13E1F&quot;/&gt;&lt;wsp:rsid wsp:val=&quot;0AF344E1&quot;/&gt;&lt;wsp:rsid wsp:val=&quot;0AF40A48&quot;/&gt;&lt;wsp:rsid wsp:val=&quot;0AF46B43&quot;/&gt;&lt;wsp:rsid wsp:val=&quot;0AF50230&quot;/&gt;&lt;wsp:rsid wsp:val=&quot;0AF83246&quot;/&gt;&lt;wsp:rsid wsp:val=&quot;0AF85654&quot;/&gt;&lt;wsp:rsid wsp:val=&quot;0AF97978&quot;/&gt;&lt;wsp:rsid wsp:val=&quot;0AFA5870&quot;/&gt;&lt;wsp:rsid wsp:val=&quot;0AFB2838&quot;/&gt;&lt;wsp:rsid wsp:val=&quot;0AFB3396&quot;/&gt;&lt;wsp:rsid wsp:val=&quot;0AFD0EBC&quot;/&gt;&lt;wsp:rsid wsp:val=&quot;0AFD2C6A&quot;/&gt;&lt;wsp:rsid wsp:val=&quot;0AFF4C34&quot;/&gt;&lt;wsp:rsid wsp:val=&quot;0AFF69E2&quot;/&gt;&lt;wsp:rsid wsp:val=&quot;0B022976&quot;/&gt;&lt;wsp:rsid wsp:val=&quot;0B024724&quot;/&gt;&lt;wsp:rsid wsp:val=&quot;0B026C14&quot;/&gt;&lt;wsp:rsid wsp:val=&quot;0B043FF8&quot;/&gt;&lt;wsp:rsid wsp:val=&quot;0B064214&quot;/&gt;&lt;wsp:rsid wsp:val=&quot;0B093D05&quot;/&gt;&lt;wsp:rsid wsp:val=&quot;0B0B182B&quot;/&gt;&lt;wsp:rsid wsp:val=&quot;0B0B35D9&quot;/&gt;&lt;wsp:rsid wsp:val=&quot;0B0C36F5&quot;/&gt;&lt;wsp:rsid wsp:val=&quot;0B0C55A3&quot;/&gt;&lt;wsp:rsid wsp:val=&quot;0B0E131B&quot;/&gt;&lt;wsp:rsid wsp:val=&quot;0B0E4E77&quot;/&gt;&lt;wsp:rsid wsp:val=&quot;0B0F4442&quot;/&gt;&lt;wsp:rsid wsp:val=&quot;0B0F4475&quot;/&gt;&lt;wsp:rsid wsp:val=&quot;0B106E41&quot;/&gt;&lt;wsp:rsid wsp:val=&quot;0B112BB9&quot;/&gt;&lt;wsp:rsid wsp:val=&quot;0B116715&quot;/&gt;&lt;wsp:rsid wsp:val=&quot;0B120D44&quot;/&gt;&lt;wsp:rsid wsp:val=&quot;0B1306DF&quot;/&gt;&lt;wsp:rsid wsp:val=&quot;0B1526A9&quot;/&gt;&lt;wsp:rsid wsp:val=&quot;0B1609CB&quot;/&gt;&lt;wsp:rsid wsp:val=&quot;0B1701D0&quot;/&gt;&lt;wsp:rsid wsp:val=&quot;0B187AA4&quot;/&gt;&lt;wsp:rsid wsp:val=&quot;0B1A59F6&quot;/&gt;&lt;wsp:rsid wsp:val=&quot;0B1B1342&quot;/&gt;&lt;wsp:rsid wsp:val=&quot;0B1B7594&quot;/&gt;&lt;wsp:rsid wsp:val=&quot;0B1C57E6&quot;/&gt;&lt;wsp:rsid wsp:val=&quot;0B1D155E&quot;/&gt;&lt;wsp:rsid wsp:val=&quot;0B1F0E32&quot;/&gt;&lt;wsp:rsid wsp:val=&quot;0B21104E&quot;/&gt;&lt;wsp:rsid wsp:val=&quot;0B212DFC&quot;/&gt;&lt;wsp:rsid wsp:val=&quot;0B226B74&quot;/&gt;&lt;wsp:rsid wsp:val=&quot;0B260413&quot;/&gt;&lt;wsp:rsid wsp:val=&quot;0B2621C1&quot;/&gt;&lt;wsp:rsid wsp:val=&quot;0B2823DD&quot;/&gt;&lt;wsp:rsid wsp:val=&quot;0B2B3533&quot;/&gt;&lt;wsp:rsid wsp:val=&quot;0B2B3C7B&quot;/&gt;&lt;wsp:rsid wsp:val=&quot;0B2B4994&quot;/&gt;&lt;wsp:rsid wsp:val=&quot;0B2B77D7&quot;/&gt;&lt;wsp:rsid wsp:val=&quot;0B2E376B&quot;/&gt;&lt;wsp:rsid wsp:val=&quot;0B2F0419&quot;/&gt;&lt;wsp:rsid wsp:val=&quot;0B30303F&quot;/&gt;&lt;wsp:rsid wsp:val=&quot;0B315442&quot;/&gt;&lt;wsp:rsid wsp:val=&quot;0B325009&quot;/&gt;&lt;wsp:rsid wsp:val=&quot;0B330D82&quot;/&gt;&lt;wsp:rsid wsp:val=&quot;0B332B30&quot;/&gt;&lt;wsp:rsid wsp:val=&quot;0B350656&quot;/&gt;&lt;wsp:rsid wsp:val=&quot;0B352404&quot;/&gt;&lt;wsp:rsid wsp:val=&quot;0B3568A8&quot;/&gt;&lt;wsp:rsid wsp:val=&quot;0B36617C&quot;/&gt;&lt;wsp:rsid wsp:val=&quot;0B3A7735&quot;/&gt;&lt;wsp:rsid wsp:val=&quot;0B3D39AE&quot;/&gt;&lt;wsp:rsid wsp:val=&quot;0B41349E&quot;/&gt;&lt;wsp:rsid wsp:val=&quot;0B424B21&quot;/&gt;&lt;wsp:rsid wsp:val=&quot;0B425A17&quot;/&gt;&lt;wsp:rsid wsp:val=&quot;0B460AB5&quot;/&gt;&lt;wsp:rsid wsp:val=&quot;0B464611&quot;/&gt;&lt;wsp:rsid wsp:val=&quot;0B494101&quot;/&gt;&lt;wsp:rsid wsp:val=&quot;0B495713&quot;/&gt;&lt;wsp:rsid wsp:val=&quot;0B4D3BF1&quot;/&gt;&lt;wsp:rsid wsp:val=&quot;0B4E1717&quot;/&gt;&lt;wsp:rsid wsp:val=&quot;0B4E7969&quot;/&gt;&lt;wsp:rsid wsp:val=&quot;0B52745A&quot;/&gt;&lt;wsp:rsid wsp:val=&quot;0B5330E0&quot;/&gt;&lt;wsp:rsid wsp:val=&quot;0B534F80&quot;/&gt;&lt;wsp:rsid wsp:val=&quot;0B554854&quot;/&gt;&lt;wsp:rsid wsp:val=&quot;0B57681E&quot;/&gt;&lt;wsp:rsid wsp:val=&quot;0B584344&quot;/&gt;&lt;wsp:rsid wsp:val=&quot;0B5A67F7&quot;/&gt;&lt;wsp:rsid wsp:val=&quot;0B5B2331&quot;/&gt;&lt;wsp:rsid wsp:val=&quot;0B5C3E34&quot;/&gt;&lt;wsp:rsid wsp:val=&quot;0B5D195B&quot;/&gt;&lt;wsp:rsid wsp:val=&quot;0B5F3925&quot;/&gt;&lt;wsp:rsid wsp:val=&quot;0B610D74&quot;/&gt;&lt;wsp:rsid wsp:val=&quot;0B61144B&quot;/&gt;&lt;wsp:rsid wsp:val=&quot;0B612DC8&quot;/&gt;&lt;wsp:rsid wsp:val=&quot;0B635EFF&quot;/&gt;&lt;wsp:rsid wsp:val=&quot;0B6363AB&quot;/&gt;&lt;wsp:rsid wsp:val=&quot;0B640F3B&quot;/&gt;&lt;wsp:rsid wsp:val=&quot;0B653E82&quot;/&gt;&lt;wsp:rsid wsp:val=&quot;0B664CB3&quot;/&gt;&lt;wsp:rsid wsp:val=&quot;0B6727D9&quot;/&gt;&lt;wsp:rsid wsp:val=&quot;0B674587&quot;/&gt;&lt;wsp:rsid wsp:val=&quot;0B680A2B&quot;/&gt;&lt;wsp:rsid wsp:val=&quot;0B6C5BA6&quot;/&gt;&lt;wsp:rsid wsp:val=&quot;0B6D61E9&quot;/&gt;&lt;wsp:rsid wsp:val=&quot;0B6E5916&quot;/&gt;&lt;wsp:rsid wsp:val=&quot;0B6E7BBE&quot;/&gt;&lt;wsp:rsid wsp:val=&quot;0B723658&quot;/&gt;&lt;wsp:rsid wsp:val=&quot;0B725F18&quot;/&gt;&lt;wsp:rsid wsp:val=&quot;0B732F2C&quot;/&gt;&lt;wsp:rsid wsp:val=&quot;0B7373D0&quot;/&gt;&lt;wsp:rsid wsp:val=&quot;0B7471EA&quot;/&gt;&lt;wsp:rsid wsp:val=&quot;0B756CA4&quot;/&gt;&lt;wsp:rsid wsp:val=&quot;0B776EC0&quot;/&gt;&lt;wsp:rsid wsp:val=&quot;0B7849E6&quot;/&gt;&lt;wsp:rsid wsp:val=&quot;0B786794&quot;/&gt;&lt;wsp:rsid wsp:val=&quot;0B792C38&quot;/&gt;&lt;wsp:rsid wsp:val=&quot;0B7A1CF4&quot;/&gt;&lt;wsp:rsid wsp:val=&quot;0B7A250D&quot;/&gt;&lt;wsp:rsid wsp:val=&quot;0B7B191B&quot;/&gt;&lt;wsp:rsid wsp:val=&quot;0B7B255E&quot;/&gt;&lt;wsp:rsid wsp:val=&quot;0B7B44EC&quot;/&gt;&lt;wsp:rsid wsp:val=&quot;0B7B708E&quot;/&gt;&lt;wsp:rsid wsp:val=&quot;0B7C0033&quot;/&gt;&lt;wsp:rsid wsp:val=&quot;0B7D3DAB&quot;/&gt;&lt;wsp:rsid wsp:val=&quot;0B7F3C9A&quot;/&gt;&lt;wsp:rsid wsp:val=&quot;0B7F3FC7&quot;/&gt;&lt;wsp:rsid wsp:val=&quot;0B811AED&quot;/&gt;&lt;wsp:rsid wsp:val=&quot;0B81389B&quot;/&gt;&lt;wsp:rsid wsp:val=&quot;0B815649&quot;/&gt;&lt;wsp:rsid wsp:val=&quot;0B8213C1&quot;/&gt;&lt;wsp:rsid wsp:val=&quot;0B8217EE&quot;/&gt;&lt;wsp:rsid wsp:val=&quot;0B837613&quot;/&gt;&lt;wsp:rsid wsp:val=&quot;0B8415DD&quot;/&gt;&lt;wsp:rsid wsp:val=&quot;0B845C08&quot;/&gt;&lt;wsp:rsid wsp:val=&quot;0B855DBF&quot;/&gt;&lt;wsp:rsid wsp:val=&quot;0B8769D7&quot;/&gt;&lt;wsp:rsid wsp:val=&quot;0B883F1F&quot;/&gt;&lt;wsp:rsid wsp:val=&quot;0B884C29&quot;/&gt;&lt;wsp:rsid wsp:val=&quot;0B896BF3&quot;/&gt;&lt;wsp:rsid wsp:val=&quot;0B8C1CD4&quot;/&gt;&lt;wsp:rsid wsp:val=&quot;0B8C5773&quot;/&gt;&lt;wsp:rsid wsp:val=&quot;0B8E5FB8&quot;/&gt;&lt;wsp:rsid wsp:val=&quot;0B931032&quot;/&gt;&lt;wsp:rsid wsp:val=&quot;0B932773&quot;/&gt;&lt;wsp:rsid wsp:val=&quot;0B9412A5&quot;/&gt;&lt;wsp:rsid wsp:val=&quot;0B941820&quot;/&gt;&lt;wsp:rsid wsp:val=&quot;0B955598&quot;/&gt;&lt;wsp:rsid wsp:val=&quot;0B995695&quot;/&gt;&lt;wsp:rsid wsp:val=&quot;0B996E37&quot;/&gt;&lt;wsp:rsid wsp:val=&quot;0B9A2BAF&quot;/&gt;&lt;wsp:rsid wsp:val=&quot;0B9B34E3&quot;/&gt;&lt;wsp:rsid wsp:val=&quot;0B9C2483&quot;/&gt;&lt;wsp:rsid wsp:val=&quot;0B9D61FB&quot;/&gt;&lt;wsp:rsid wsp:val=&quot;0BA17A99&quot;/&gt;&lt;wsp:rsid wsp:val=&quot;0BA37CB5&quot;/&gt;&lt;wsp:rsid wsp:val=&quot;0BA40E03&quot;/&gt;&lt;wsp:rsid wsp:val=&quot;0BA457DB&quot;/&gt;&lt;wsp:rsid wsp:val=&quot;0BA47589&quot;/&gt;&lt;wsp:rsid wsp:val=&quot;0BA80E28&quot;/&gt;&lt;wsp:rsid wsp:val=&quot;0BA83509&quot;/&gt;&lt;wsp:rsid wsp:val=&quot;0BA852CC&quot;/&gt;&lt;wsp:rsid wsp:val=&quot;0BA92DA1&quot;/&gt;&lt;wsp:rsid wsp:val=&quot;0BA93258&quot;/&gt;&lt;wsp:rsid wsp:val=&quot;0BA95DFE&quot;/&gt;&lt;wsp:rsid wsp:val=&quot;0BAA5E29&quot;/&gt;&lt;wsp:rsid wsp:val=&quot;0BAC0749&quot;/&gt;&lt;wsp:rsid wsp:val=&quot;0BAD643E&quot;/&gt;&lt;wsp:rsid wsp:val=&quot;0BAE0408&quot;/&gt;&lt;wsp:rsid wsp:val=&quot;0BB05F2E&quot;/&gt;&lt;wsp:rsid wsp:val=&quot;0BB21CA6&quot;/&gt;&lt;wsp:rsid wsp:val=&quot;0BB2509F&quot;/&gt;&lt;wsp:rsid wsp:val=&quot;0BB53545&quot;/&gt;&lt;wsp:rsid wsp:val=&quot;0BB7042D&quot;/&gt;&lt;wsp:rsid wsp:val=&quot;0BB772BD&quot;/&gt;&lt;wsp:rsid wsp:val=&quot;0BB84DE3&quot;/&gt;&lt;wsp:rsid wsp:val=&quot;0BB92D4D&quot;/&gt;&lt;wsp:rsid wsp:val=&quot;0BBA2E99&quot;/&gt;&lt;wsp:rsid wsp:val=&quot;0BBC023E&quot;/&gt;&lt;wsp:rsid wsp:val=&quot;0BBF2615&quot;/&gt;&lt;wsp:rsid wsp:val=&quot;0BBF7D67&quot;/&gt;&lt;wsp:rsid wsp:val=&quot;0BC15EF9&quot;/&gt;&lt;wsp:rsid wsp:val=&quot;0BC30917&quot;/&gt;&lt;wsp:rsid wsp:val=&quot;0BC32105&quot;/&gt;&lt;wsp:rsid wsp:val=&quot;0BC55E7E&quot;/&gt;&lt;wsp:rsid wsp:val=&quot;0BC63786&quot;/&gt;&lt;wsp:rsid wsp:val=&quot;0BC639A4&quot;/&gt;&lt;wsp:rsid wsp:val=&quot;0BC65752&quot;/&gt;&lt;wsp:rsid wsp:val=&quot;0BC7676E&quot;/&gt;&lt;wsp:rsid wsp:val=&quot;0BC814CA&quot;/&gt;&lt;wsp:rsid wsp:val=&quot;0BC83278&quot;/&gt;&lt;wsp:rsid wsp:val=&quot;0BC83EB9&quot;/&gt;&lt;wsp:rsid wsp:val=&quot;0BCD6AE0&quot;/&gt;&lt;wsp:rsid wsp:val=&quot;0BD065D0&quot;/&gt;&lt;wsp:rsid wsp:val=&quot;0BD25EA5&quot;/&gt;&lt;wsp:rsid wsp:val=&quot;0BD27BF6&quot;/&gt;&lt;wsp:rsid wsp:val=&quot;0BD31C1D&quot;/&gt;&lt;wsp:rsid wsp:val=&quot;0BD75BB1&quot;/&gt;&lt;wsp:rsid wsp:val=&quot;0BD87233&quot;/&gt;&lt;wsp:rsid wsp:val=&quot;0BDB744F&quot;/&gt;&lt;wsp:rsid wsp:val=&quot;0BDC4F75&quot;/&gt;&lt;wsp:rsid wsp:val=&quot;0BDC6D23&quot;/&gt;&lt;wsp:rsid wsp:val=&quot;0BDE2A9B&quot;/&gt;&lt;wsp:rsid wsp:val=&quot;0BDE6F3F&quot;/&gt;&lt;wsp:rsid wsp:val=&quot;0BDF05C2&quot;/&gt;&lt;wsp:rsid wsp:val=&quot;0BE107DE&quot;/&gt;&lt;wsp:rsid wsp:val=&quot;0BE2000F&quot;/&gt;&lt;wsp:rsid wsp:val=&quot;0BE300B2&quot;/&gt;&lt;wsp:rsid wsp:val=&quot;0BE34556&quot;/&gt;&lt;wsp:rsid wsp:val=&quot;0BE370B5&quot;/&gt;&lt;wsp:rsid wsp:val=&quot;0BE43E2A&quot;/&gt;&lt;wsp:rsid wsp:val=&quot;0BE45BD8&quot;/&gt;&lt;wsp:rsid wsp:val=&quot;0BE5207C&quot;/&gt;&lt;wsp:rsid wsp:val=&quot;0BE65DF4&quot;/&gt;&lt;wsp:rsid wsp:val=&quot;0BE91440&quot;/&gt;&lt;wsp:rsid wsp:val=&quot;0BEA58E4&quot;/&gt;&lt;wsp:rsid wsp:val=&quot;0BEA7692&quot;/&gt;&lt;wsp:rsid wsp:val=&quot;0BEB340A&quot;/&gt;&lt;wsp:rsid wsp:val=&quot;0BEB474C&quot;/&gt;&lt;wsp:rsid wsp:val=&quot;0BEB51B8&quot;/&gt;&lt;wsp:rsid wsp:val=&quot;0BED2CDE&quot;/&gt;&lt;wsp:rsid wsp:val=&quot;0BED7182&quot;/&gt;&lt;wsp:rsid wsp:val=&quot;0BEE469A&quot;/&gt;&lt;wsp:rsid wsp:val=&quot;0BEF4CA9&quot;/&gt;&lt;wsp:rsid wsp:val=&quot;0BF00A21&quot;/&gt;&lt;wsp:rsid wsp:val=&quot;0BF0712E&quot;/&gt;&lt;wsp:rsid wsp:val=&quot;0BF4406D&quot;/&gt;&lt;wsp:rsid wsp:val=&quot;0BF73321&quot;/&gt;&lt;wsp:rsid wsp:val=&quot;0BF7590B&quot;/&gt;&lt;wsp:rsid wsp:val=&quot;0BF91921&quot;/&gt;&lt;wsp:rsid wsp:val=&quot;0BF978D5&quot;/&gt;&lt;wsp:rsid wsp:val=&quot;0BFA5A3B&quot;/&gt;&lt;wsp:rsid wsp:val=&quot;0BFC1173&quot;/&gt;&lt;wsp:rsid wsp:val=&quot;0BFC73C5&quot;/&gt;&lt;wsp:rsid wsp:val=&quot;0BFE4EEC&quot;/&gt;&lt;wsp:rsid wsp:val=&quot;0BFE54F1&quot;/&gt;&lt;wsp:rsid wsp:val=&quot;0BFF2A12&quot;/&gt;&lt;wsp:rsid wsp:val=&quot;0C006C23&quot;/&gt;&lt;wsp:rsid wsp:val=&quot;0C006EB6&quot;/&gt;&lt;wsp:rsid wsp:val=&quot;0C01678A&quot;/&gt;&lt;wsp:rsid wsp:val=&quot;0C030754&quot;/&gt;&lt;wsp:rsid wsp:val=&quot;0C032502&quot;/&gt;&lt;wsp:rsid wsp:val=&quot;0C0471A1&quot;/&gt;&lt;wsp:rsid wsp:val=&quot;0C060244&quot;/&gt;&lt;wsp:rsid wsp:val=&quot;0C0727E4&quot;/&gt;&lt;wsp:rsid wsp:val=&quot;0C0859DB&quot;/&gt;&lt;wsp:rsid wsp:val=&quot;0C0B585A&quot;/&gt;&lt;wsp:rsid wsp:val=&quot;0C0B7609&quot;/&gt;&lt;wsp:rsid wsp:val=&quot;0C0D3381&quot;/&gt;&lt;wsp:rsid wsp:val=&quot;0C0D3BE5&quot;/&gt;&lt;wsp:rsid wsp:val=&quot;0C0E1D54&quot;/&gt;&lt;wsp:rsid wsp:val=&quot;0C0E2D11&quot;/&gt;&lt;wsp:rsid wsp:val=&quot;0C0F70F9&quot;/&gt;&lt;wsp:rsid wsp:val=&quot;0C104FD7&quot;/&gt;&lt;wsp:rsid wsp:val=&quot;0C107BA8&quot;/&gt;&lt;wsp:rsid wsp:val=&quot;0C112E71&quot;/&gt;&lt;wsp:rsid wsp:val=&quot;0C116467&quot;/&gt;&lt;wsp:rsid wsp:val=&quot;0C1174B2&quot;/&gt;&lt;wsp:rsid wsp:val=&quot;0C120997&quot;/&gt;&lt;wsp:rsid wsp:val=&quot;0C1464BD&quot;/&gt;&lt;wsp:rsid wsp:val=&quot;0C152235&quot;/&gt;&lt;wsp:rsid wsp:val=&quot;0C160487&quot;/&gt;&lt;wsp:rsid wsp:val=&quot;0C175FAD&quot;/&gt;&lt;wsp:rsid wsp:val=&quot;0C177D5B&quot;/&gt;&lt;wsp:rsid wsp:val=&quot;0C191D25&quot;/&gt;&lt;wsp:rsid wsp:val=&quot;0C1B46F8&quot;/&gt;&lt;wsp:rsid wsp:val=&quot;0C1C7A68&quot;/&gt;&lt;wsp:rsid wsp:val=&quot;0C215F5C&quot;/&gt;&lt;wsp:rsid wsp:val=&quot;0C230DF6&quot;/&gt;&lt;wsp:rsid wsp:val=&quot;0C234952&quot;/&gt;&lt;wsp:rsid wsp:val=&quot;0C2514B7&quot;/&gt;&lt;wsp:rsid wsp:val=&quot;0C254BBB&quot;/&gt;&lt;wsp:rsid wsp:val=&quot;0C25691C&quot;/&gt;&lt;wsp:rsid wsp:val=&quot;0C2801BA&quot;/&gt;&lt;wsp:rsid wsp:val=&quot;0C2846EE&quot;/&gt;&lt;wsp:rsid wsp:val=&quot;0C2A3F33&quot;/&gt;&lt;wsp:rsid wsp:val=&quot;0C2B1A59&quot;/&gt;&lt;wsp:rsid wsp:val=&quot;0C2B3807&quot;/&gt;&lt;wsp:rsid wsp:val=&quot;0C2C7CAB&quot;/&gt;&lt;wsp:rsid wsp:val=&quot;0C322DE7&quot;/&gt;&lt;wsp:rsid wsp:val=&quot;0C324B95&quot;/&gt;&lt;wsp:rsid wsp:val=&quot;0C3374A6&quot;/&gt;&lt;wsp:rsid wsp:val=&quot;0C346B5F&quot;/&gt;&lt;wsp:rsid wsp:val=&quot;0C364685&quot;/&gt;&lt;wsp:rsid wsp:val=&quot;0C3703FE&quot;/&gt;&lt;wsp:rsid wsp:val=&quot;0C394176&quot;/&gt;&lt;wsp:rsid wsp:val=&quot;0C395F3C&quot;/&gt;&lt;wsp:rsid wsp:val=&quot;0C3A0244&quot;/&gt;&lt;wsp:rsid wsp:val=&quot;0C3B1C9C&quot;/&gt;&lt;wsp:rsid wsp:val=&quot;0C3B3C7D&quot;/&gt;&lt;wsp:rsid wsp:val=&quot;0C3B6140&quot;/&gt;&lt;wsp:rsid wsp:val=&quot;0C3B7EEE&quot;/&gt;&lt;wsp:rsid wsp:val=&quot;0C3C77C2&quot;/&gt;&lt;wsp:rsid wsp:val=&quot;0C3D1EB8&quot;/&gt;&lt;wsp:rsid wsp:val=&quot;0C3D3FF4&quot;/&gt;&lt;wsp:rsid wsp:val=&quot;0C3D45A5&quot;/&gt;&lt;wsp:rsid wsp:val=&quot;0C3E178C&quot;/&gt;&lt;wsp:rsid wsp:val=&quot;0C3E4981&quot;/&gt;&lt;wsp:rsid wsp:val=&quot;0C3E5484&quot;/&gt;&lt;wsp:rsid wsp:val=&quot;0C3F14E5&quot;/&gt;&lt;wsp:rsid wsp:val=&quot;0C403756&quot;/&gt;&lt;wsp:rsid wsp:val=&quot;0C41127C&quot;/&gt;&lt;wsp:rsid wsp:val=&quot;0C41302A&quot;/&gt;&lt;wsp:rsid wsp:val=&quot;0C4148FE&quot;/&gt;&lt;wsp:rsid wsp:val=&quot;0C430B50&quot;/&gt;&lt;wsp:rsid wsp:val=&quot;0C436DA2&quot;/&gt;&lt;wsp:rsid wsp:val=&quot;0C45205D&quot;/&gt;&lt;wsp:rsid wsp:val=&quot;0C452C96&quot;/&gt;&lt;wsp:rsid wsp:val=&quot;0C460641&quot;/&gt;&lt;wsp:rsid wsp:val=&quot;0C47614F&quot;/&gt;&lt;wsp:rsid wsp:val=&quot;0C476893&quot;/&gt;&lt;wsp:rsid wsp:val=&quot;0C48085D&quot;/&gt;&lt;wsp:rsid wsp:val=&quot;0C482675&quot;/&gt;&lt;wsp:rsid wsp:val=&quot;0C492597&quot;/&gt;&lt;wsp:rsid wsp:val=&quot;0C4A3397&quot;/&gt;&lt;wsp:rsid wsp:val=&quot;0C4B11C9&quot;/&gt;&lt;wsp:rsid wsp:val=&quot;0C4D19CF&quot;/&gt;&lt;wsp:rsid wsp:val=&quot;0C4D7C21&quot;/&gt;&lt;wsp:rsid wsp:val=&quot;0C4E201F&quot;/&gt;&lt;wsp:rsid wsp:val=&quot;0C4E75A8&quot;/&gt;&lt;wsp:rsid wsp:val=&quot;0C4F5747&quot;/&gt;&lt;wsp:rsid wsp:val=&quot;0C510BAA&quot;/&gt;&lt;wsp:rsid wsp:val=&quot;0C517711&quot;/&gt;&lt;wsp:rsid wsp:val=&quot;0C550358&quot;/&gt;&lt;wsp:rsid wsp:val=&quot;0C5614BF&quot;/&gt;&lt;wsp:rsid wsp:val=&quot;0C564D28&quot;/&gt;&lt;wsp:rsid wsp:val=&quot;0C5745FC&quot;/&gt;&lt;wsp:rsid wsp:val=&quot;0C5C1C12&quot;/&gt;&lt;wsp:rsid wsp:val=&quot;0C5E3BDC&quot;/&gt;&lt;wsp:rsid wsp:val=&quot;0C62191E&quot;/&gt;&lt;wsp:rsid wsp:val=&quot;0C623BFC&quot;/&gt;&lt;wsp:rsid wsp:val=&quot;0C6250DD&quot;/&gt;&lt;wsp:rsid wsp:val=&quot;0C654F6B&quot;/&gt;&lt;wsp:rsid wsp:val=&quot;0C68140E&quot;/&gt;&lt;wsp:rsid wsp:val=&quot;0C686809&quot;/&gt;&lt;wsp:rsid wsp:val=&quot;0C690D99&quot;/&gt;&lt;wsp:rsid wsp:val=&quot;0C692CAD&quot;/&gt;&lt;wsp:rsid wsp:val=&quot;0C6A4098&quot;/&gt;&lt;wsp:rsid wsp:val=&quot;0C6D2071&quot;/&gt;&lt;wsp:rsid wsp:val=&quot;0C711B61&quot;/&gt;&lt;wsp:rsid wsp:val=&quot;0C71390F&quot;/&gt;&lt;wsp:rsid wsp:val=&quot;0C71711F&quot;/&gt;&lt;wsp:rsid wsp:val=&quot;0C730031&quot;/&gt;&lt;wsp:rsid wsp:val=&quot;0C735804&quot;/&gt;&lt;wsp:rsid wsp:val=&quot;0C7358DA&quot;/&gt;&lt;wsp:rsid wsp:val=&quot;0C741652&quot;/&gt;&lt;wsp:rsid wsp:val=&quot;0C762CD4&quot;/&gt;&lt;wsp:rsid wsp:val=&quot;0C774C9E&quot;/&gt;&lt;wsp:rsid wsp:val=&quot;0C782EF0&quot;/&gt;&lt;wsp:rsid wsp:val=&quot;0C792EAC&quot;/&gt;&lt;wsp:rsid wsp:val=&quot;0C7B29E0&quot;/&gt;&lt;wsp:rsid wsp:val=&quot;0C7D22B4&quot;/&gt;&lt;wsp:rsid wsp:val=&quot;0C7E7DDA&quot;/&gt;&lt;wsp:rsid wsp:val=&quot;0C825B1D&quot;/&gt;&lt;wsp:rsid wsp:val=&quot;0C831895&quot;/&gt;&lt;wsp:rsid wsp:val=&quot;0C833643&quot;/&gt;&lt;wsp:rsid wsp:val=&quot;0C84135A&quot;/&gt;&lt;wsp:rsid wsp:val=&quot;0C8437E4&quot;/&gt;&lt;wsp:rsid wsp:val=&quot;0C873133&quot;/&gt;&lt;wsp:rsid wsp:val=&quot;0C874EE1&quot;/&gt;&lt;wsp:rsid wsp:val=&quot;0C877CDB&quot;/&gt;&lt;wsp:rsid wsp:val=&quot;0C882A07&quot;/&gt;&lt;wsp:rsid wsp:val=&quot;0C8A2C23&quot;/&gt;&lt;wsp:rsid wsp:val=&quot;0C8B64E7&quot;/&gt;&lt;wsp:rsid wsp:val=&quot;0C8C5158&quot;/&gt;&lt;wsp:rsid wsp:val=&quot;0C8D626F&quot;/&gt;&lt;wsp:rsid wsp:val=&quot;0C8E44C1&quot;/&gt;&lt;wsp:rsid wsp:val=&quot;0C8F023A&quot;/&gt;&lt;wsp:rsid wsp:val=&quot;0C8F1FE8&quot;/&gt;&lt;wsp:rsid wsp:val=&quot;0C8F3D96&quot;/&gt;&lt;wsp:rsid wsp:val=&quot;0C913FB2&quot;/&gt;&lt;wsp:rsid wsp:val=&quot;0C923886&quot;/&gt;&lt;wsp:rsid wsp:val=&quot;0C937D2A&quot;/&gt;&lt;wsp:rsid wsp:val=&quot;0C970E9C&quot;/&gt;&lt;wsp:rsid wsp:val=&quot;0C975D4D&quot;/&gt;&lt;wsp:rsid wsp:val=&quot;0C9801C7&quot;/&gt;&lt;wsp:rsid wsp:val=&quot;0C985AEC&quot;/&gt;&lt;wsp:rsid wsp:val=&quot;0C9870EE&quot;/&gt;&lt;wsp:rsid wsp:val=&quot;0C9910B8&quot;/&gt;&lt;wsp:rsid wsp:val=&quot;0C9B098C&quot;/&gt;&lt;wsp:rsid wsp:val=&quot;0C9B273A&quot;/&gt;&lt;wsp:rsid wsp:val=&quot;0C9B4A10&quot;/&gt;&lt;wsp:rsid wsp:val=&quot;0C9B6BDE&quot;/&gt;&lt;wsp:rsid wsp:val=&quot;0CA02408&quot;/&gt;&lt;wsp:rsid wsp:val=&quot;0CA02447&quot;/&gt;&lt;wsp:rsid wsp:val=&quot;0CA04363&quot;/&gt;&lt;wsp:rsid wsp:val=&quot;0CA5180B&quot;/&gt;&lt;wsp:rsid wsp:val=&quot;0CA6111A&quot;/&gt;&lt;wsp:rsid wsp:val=&quot;0CA737D5&quot;/&gt;&lt;wsp:rsid wsp:val=&quot;0CA75583&quot;/&gt;&lt;wsp:rsid wsp:val=&quot;0CA830A9&quot;/&gt;&lt;wsp:rsid wsp:val=&quot;0CA92DE9&quot;/&gt;&lt;wsp:rsid wsp:val=&quot;0CAB2DC4&quot;/&gt;&lt;wsp:rsid wsp:val=&quot;0CAB2EAE&quot;/&gt;&lt;wsp:rsid wsp:val=&quot;0CAC5995&quot;/&gt;&lt;wsp:rsid wsp:val=&quot;0CAE02B5&quot;/&gt;&lt;wsp:rsid wsp:val=&quot;0CAF4438&quot;/&gt;&lt;wsp:rsid wsp:val=&quot;0CAF61E6&quot;/&gt;&lt;wsp:rsid wsp:val=&quot;0CB16C35&quot;/&gt;&lt;wsp:rsid wsp:val=&quot;0CB3217A&quot;/&gt;&lt;wsp:rsid wsp:val=&quot;0CB34126&quot;/&gt;&lt;wsp:rsid wsp:val=&quot;0CB437FC&quot;/&gt;&lt;wsp:rsid wsp:val=&quot;0CB47CA0&quot;/&gt;&lt;wsp:rsid wsp:val=&quot;0CB87790&quot;/&gt;&lt;wsp:rsid wsp:val=&quot;0CBB2DDD&quot;/&gt;&lt;wsp:rsid wsp:val=&quot;0CBE467B&quot;/&gt;&lt;wsp:rsid wsp:val=&quot;0CC04897&quot;/&gt;&lt;wsp:rsid wsp:val=&quot;0CC1672A&quot;/&gt;&lt;wsp:rsid wsp:val=&quot;0CC228C9&quot;/&gt;&lt;wsp:rsid wsp:val=&quot;0CC2416B&quot;/&gt;&lt;wsp:rsid wsp:val=&quot;0CC42114&quot;/&gt;&lt;wsp:rsid wsp:val=&quot;0CC77D57&quot;/&gt;&lt;wsp:rsid wsp:val=&quot;0CC954FA&quot;/&gt;&lt;wsp:rsid wsp:val=&quot;0CCB0E5F&quot;/&gt;&lt;wsp:rsid wsp:val=&quot;0CCC4FEA&quot;/&gt;&lt;wsp:rsid wsp:val=&quot;0CCD3CE8&quot;/&gt;&lt;wsp:rsid wsp:val=&quot;0CCE2B10&quot;/&gt;&lt;wsp:rsid wsp:val=&quot;0CCF0636&quot;/&gt;&lt;wsp:rsid wsp:val=&quot;0CCF4ADA&quot;/&gt;&lt;wsp:rsid wsp:val=&quot;0CCF6888&quot;/&gt;&lt;wsp:rsid wsp:val=&quot;0CD12600&quot;/&gt;&lt;wsp:rsid wsp:val=&quot;0CD143AE&quot;/&gt;&lt;wsp:rsid wsp:val=&quot;0CD345CA&quot;/&gt;&lt;wsp:rsid wsp:val=&quot;0CD44BA0&quot;/&gt;&lt;wsp:rsid wsp:val=&quot;0CD50CAA&quot;/&gt;&lt;wsp:rsid wsp:val=&quot;0CD67C16&quot;/&gt;&lt;wsp:rsid wsp:val=&quot;0CDB2CD5&quot;/&gt;&lt;wsp:rsid wsp:val=&quot;0CDB7241&quot;/&gt;&lt;wsp:rsid wsp:val=&quot;0CDD2D53&quot;/&gt;&lt;wsp:rsid wsp:val=&quot;0CDE6ACB&quot;/&gt;&lt;wsp:rsid wsp:val=&quot;0CE045F1&quot;/&gt;&lt;wsp:rsid wsp:val=&quot;0CE340E1&quot;/&gt;&lt;wsp:rsid wsp:val=&quot;0CE42990&quot;/&gt;&lt;wsp:rsid wsp:val=&quot;0CE52F54&quot;/&gt;&lt;wsp:rsid wsp:val=&quot;0CE57E5A&quot;/&gt;&lt;wsp:rsid wsp:val=&quot;0CE71E24&quot;/&gt;&lt;wsp:rsid wsp:val=&quot;0CE73BD2&quot;/&gt;&lt;wsp:rsid wsp:val=&quot;0CE95B9C&quot;/&gt;&lt;wsp:rsid wsp:val=&quot;0CE9794A&quot;/&gt;&lt;wsp:rsid wsp:val=&quot;0CEA2936&quot;/&gt;&lt;wsp:rsid wsp:val=&quot;0CEB7EF6&quot;/&gt;&lt;wsp:rsid wsp:val=&quot;0CED040D&quot;/&gt;&lt;wsp:rsid wsp:val=&quot;0CEE4F60&quot;/&gt;&lt;wsp:rsid wsp:val=&quot;0CF06F2A&quot;/&gt;&lt;wsp:rsid wsp:val=&quot;0CF123C7&quot;/&gt;&lt;wsp:rsid wsp:val=&quot;0CF12CA2&quot;/&gt;&lt;wsp:rsid wsp:val=&quot;0CF307C8&quot;/&gt;&lt;wsp:rsid wsp:val=&quot;0CF415B9&quot;/&gt;&lt;wsp:rsid wsp:val=&quot;0CF42A49&quot;/&gt;&lt;wsp:rsid wsp:val=&quot;0CF462EF&quot;/&gt;&lt;wsp:rsid wsp:val=&quot;0CF61493&quot;/&gt;&lt;wsp:rsid wsp:val=&quot;0CF63E15&quot;/&gt;&lt;wsp:rsid wsp:val=&quot;0CF743E2&quot;/&gt;&lt;wsp:rsid wsp:val=&quot;0CF84031&quot;/&gt;&lt;wsp:rsid wsp:val=&quot;0CF85DDF&quot;/&gt;&lt;wsp:rsid wsp:val=&quot;0CFC11DB&quot;/&gt;&lt;wsp:rsid wsp:val=&quot;0CFD3DAC&quot;/&gt;&lt;wsp:rsid wsp:val=&quot;0CFE2CC9&quot;/&gt;&lt;wsp:rsid wsp:val=&quot;0CFE6607&quot;/&gt;&lt;wsp:rsid wsp:val=&quot;0CFF53BF&quot;/&gt;&lt;wsp:rsid wsp:val=&quot;0CFF716D&quot;/&gt;&lt;wsp:rsid wsp:val=&quot;0D002EE5&quot;/&gt;&lt;wsp:rsid wsp:val=&quot;0D004C93&quot;/&gt;&lt;wsp:rsid wsp:val=&quot;0D024B6A&quot;/&gt;&lt;wsp:rsid wsp:val=&quot;0D026C5D&quot;/&gt;&lt;wsp:rsid wsp:val=&quot;0D0463C4&quot;/&gt;&lt;wsp:rsid wsp:val=&quot;0D0546D5&quot;/&gt;&lt;wsp:rsid wsp:val=&quot;0D0728C9&quot;/&gt;&lt;wsp:rsid wsp:val=&quot;0D074274&quot;/&gt;&lt;wsp:rsid wsp:val=&quot;0D091D9A&quot;/&gt;&lt;wsp:rsid wsp:val=&quot;0D096AD2&quot;/&gt;&lt;wsp:rsid wsp:val=&quot;0D0A37DF&quot;/&gt;&lt;wsp:rsid wsp:val=&quot;0D0C3638&quot;/&gt;&lt;wsp:rsid wsp:val=&quot;0D0E73B0&quot;/&gt;&lt;wsp:rsid wsp:val=&quot;0D0F5086&quot;/&gt;&lt;wsp:rsid wsp:val=&quot;0D10137A&quot;/&gt;&lt;wsp:rsid wsp:val=&quot;0D103128&quot;/&gt;&lt;wsp:rsid wsp:val=&quot;0D116EA1&quot;/&gt;&lt;wsp:rsid wsp:val=&quot;0D136775&quot;/&gt;&lt;wsp:rsid wsp:val=&quot;0D15073F&quot;/&gt;&lt;wsp:rsid wsp:val=&quot;0D16463E&quot;/&gt;&lt;wsp:rsid wsp:val=&quot;0D181FDD&quot;/&gt;&lt;wsp:rsid wsp:val=&quot;0D186481&quot;/&gt;&lt;wsp:rsid wsp:val=&quot;0D187EE2&quot;/&gt;&lt;wsp:rsid wsp:val=&quot;0D1A5D55&quot;/&gt;&lt;wsp:rsid wsp:val=&quot;0D2070E4&quot;/&gt;&lt;wsp:rsid wsp:val=&quot;0D230698&quot;/&gt;&lt;wsp:rsid wsp:val=&quot;0D240982&quot;/&gt;&lt;wsp:rsid wsp:val=&quot;0D241E6A&quot;/&gt;&lt;wsp:rsid wsp:val=&quot;0D244E26&quot;/&gt;&lt;wsp:rsid wsp:val=&quot;0D29243C&quot;/&gt;&lt;wsp:rsid wsp:val=&quot;0D2A3ABE&quot;/&gt;&lt;wsp:rsid wsp:val=&quot;0D2C7836&quot;/&gt;&lt;wsp:rsid wsp:val=&quot;0D2E1801&quot;/&gt;&lt;wsp:rsid wsp:val=&quot;0D2E35AF&quot;/&gt;&lt;wsp:rsid wsp:val=&quot;0D307327&quot;/&gt;&lt;wsp:rsid wsp:val=&quot;0D3112F1&quot;/&gt;&lt;wsp:rsid wsp:val=&quot;0D31309F&quot;/&gt;&lt;wsp:rsid wsp:val=&quot;0D3155AA&quot;/&gt;&lt;wsp:rsid wsp:val=&quot;0D324C7F&quot;/&gt;&lt;wsp:rsid wsp:val=&quot;0D325B40&quot;/&gt;&lt;wsp:rsid wsp:val=&quot;0D335069&quot;/&gt;&lt;wsp:rsid wsp:val=&quot;0D34161D&quot;/&gt;&lt;wsp:rsid wsp:val=&quot;0D352AAD&quot;/&gt;&lt;wsp:rsid wsp:val=&quot;0D352B8F&quot;/&gt;&lt;wsp:rsid wsp:val=&quot;0D366907&quot;/&gt;&lt;wsp:rsid wsp:val=&quot;0D3861DB&quot;/&gt;&lt;wsp:rsid wsp:val=&quot;0D3A3D4E&quot;/&gt;&lt;wsp:rsid wsp:val=&quot;0D3A63F7&quot;/&gt;&lt;wsp:rsid wsp:val=&quot;0D3B3F1D&quot;/&gt;&lt;wsp:rsid wsp:val=&quot;0D3C1D73&quot;/&gt;&lt;wsp:rsid wsp:val=&quot;0D3C216F&quot;/&gt;&lt;wsp:rsid wsp:val=&quot;0D3D37F2&quot;/&gt;&lt;wsp:rsid wsp:val=&quot;0D3D5EE8&quot;/&gt;&lt;wsp:rsid wsp:val=&quot;0D3D7C96&quot;/&gt;&lt;wsp:rsid wsp:val=&quot;0D3F756A&quot;/&gt;&lt;wsp:rsid wsp:val=&quot;0D4032E2&quot;/&gt;&lt;wsp:rsid wsp:val=&quot;0D42705A&quot;/&gt;&lt;wsp:rsid wsp:val=&quot;0D433970&quot;/&gt;&lt;wsp:rsid wsp:val=&quot;0D436541&quot;/&gt;&lt;wsp:rsid wsp:val=&quot;0D441024&quot;/&gt;&lt;wsp:rsid wsp:val=&quot;0D447276&quot;/&gt;&lt;wsp:rsid wsp:val=&quot;0D4728C2&quot;/&gt;&lt;wsp:rsid wsp:val=&quot;0D4B4161&quot;/&gt;&lt;wsp:rsid wsp:val=&quot;0D4C7ED9&quot;/&gt;&lt;wsp:rsid wsp:val=&quot;0D4E59FF&quot;/&gt;&lt;wsp:rsid wsp:val=&quot;0D503504&quot;/&gt;&lt;wsp:rsid wsp:val=&quot;0D5154EF&quot;/&gt;&lt;wsp:rsid wsp:val=&quot;0D523741&quot;/&gt;&lt;wsp:rsid wsp:val=&quot;0D527254&quot;/&gt;&lt;wsp:rsid wsp:val=&quot;0D536036&quot;/&gt;&lt;wsp:rsid wsp:val=&quot;0D553231&quot;/&gt;&lt;wsp:rsid wsp:val=&quot;0D561DE6&quot;/&gt;&lt;wsp:rsid wsp:val=&quot;0D5648B3&quot;/&gt;&lt;wsp:rsid wsp:val=&quot;0D58422A&quot;/&gt;&lt;wsp:rsid wsp:val=&quot;0D586D8E&quot;/&gt;&lt;wsp:rsid wsp:val=&quot;0D591BDD&quot;/&gt;&lt;wsp:rsid wsp:val=&quot;0D5A09D3&quot;/&gt;&lt;wsp:rsid wsp:val=&quot;0D5B7EAB&quot;/&gt;&lt;wsp:rsid wsp:val=&quot;0D5D3E94&quot;/&gt;&lt;wsp:rsid wsp:val=&quot;0D5D5C42&quot;/&gt;&lt;wsp:rsid wsp:val=&quot;0D5F19BA&quot;/&gt;&lt;wsp:rsid wsp:val=&quot;0D5F5E5E&quot;/&gt;&lt;wsp:rsid wsp:val=&quot;0D605561&quot;/&gt;&lt;wsp:rsid wsp:val=&quot;0D6214AA&quot;/&gt;&lt;wsp:rsid wsp:val=&quot;0D621C7D&quot;/&gt;&lt;wsp:rsid wsp:val=&quot;0D65587A&quot;/&gt;&lt;wsp:rsid wsp:val=&quot;0D660F9A&quot;/&gt;&lt;wsp:rsid wsp:val=&quot;0D662D48&quot;/&gt;&lt;wsp:rsid wsp:val=&quot;0D682F64&quot;/&gt;&lt;wsp:rsid wsp:val=&quot;0D687F36&quot;/&gt;&lt;wsp:rsid wsp:val=&quot;0D69025C&quot;/&gt;&lt;wsp:rsid wsp:val=&quot;0D696CDD&quot;/&gt;&lt;wsp:rsid wsp:val=&quot;0D6C2329&quot;/&gt;&lt;wsp:rsid wsp:val=&quot;0D6C3183&quot;/&gt;&lt;wsp:rsid wsp:val=&quot;0D6F14FD&quot;/&gt;&lt;wsp:rsid wsp:val=&quot;0D6F35B4&quot;/&gt;&lt;wsp:rsid wsp:val=&quot;0D706E21&quot;/&gt;&lt;wsp:rsid wsp:val=&quot;0D7116ED&quot;/&gt;&lt;wsp:rsid wsp:val=&quot;0D71793F&quot;/&gt;&lt;wsp:rsid wsp:val=&quot;0D727E7E&quot;/&gt;&lt;wsp:rsid wsp:val=&quot;0D7511DD&quot;/&gt;&lt;wsp:rsid wsp:val=&quot;0D755681&quot;/&gt;&lt;wsp:rsid wsp:val=&quot;0D75742F&quot;/&gt;&lt;wsp:rsid wsp:val=&quot;0D77129A&quot;/&gt;&lt;wsp:rsid wsp:val=&quot;0D774F56&quot;/&gt;&lt;wsp:rsid wsp:val=&quot;0D780CCE&quot;/&gt;&lt;wsp:rsid wsp:val=&quot;0D7A2C98&quot;/&gt;&lt;wsp:rsid wsp:val=&quot;0D7B1AFD&quot;/&gt;&lt;wsp:rsid wsp:val=&quot;0D7C6A10&quot;/&gt;&lt;wsp:rsid wsp:val=&quot;0D814026&quot;/&gt;&lt;wsp:rsid wsp:val=&quot;0D815DD4&quot;/&gt;&lt;wsp:rsid wsp:val=&quot;0D817B82&quot;/&gt;&lt;wsp:rsid wsp:val=&quot;0D8256A8&quot;/&gt;&lt;wsp:rsid wsp:val=&quot;0D841515&quot;/&gt;&lt;wsp:rsid wsp:val=&quot;0D8566F9&quot;/&gt;&lt;wsp:rsid wsp:val=&quot;0D8853B5&quot;/&gt;&lt;wsp:rsid wsp:val=&quot;0D886A29&quot;/&gt;&lt;wsp:rsid wsp:val=&quot;0D8A622C&quot;/&gt;&lt;wsp:rsid wsp:val=&quot;0D8B6C53&quot;/&gt;&lt;wsp:rsid wsp:val=&quot;0D8C6527&quot;/&gt;&lt;wsp:rsid wsp:val=&quot;0D8D4779&quot;/&gt;&lt;wsp:rsid wsp:val=&quot;0D8E229F&quot;/&gt;&lt;wsp:rsid wsp:val=&quot;0D8E6743&quot;/&gt;&lt;wsp:rsid wsp:val=&quot;0D907DC5&quot;/&gt;&lt;wsp:rsid wsp:val=&quot;0D92024A&quot;/&gt;&lt;wsp:rsid wsp:val=&quot;0D927FE1&quot;/&gt;&lt;wsp:rsid wsp:val=&quot;0D935B07&quot;/&gt;&lt;wsp:rsid wsp:val=&quot;0D957AD2&quot;/&gt;&lt;wsp:rsid wsp:val=&quot;0D9755F8&quot;/&gt;&lt;wsp:rsid wsp:val=&quot;0D98311E&quot;/&gt;&lt;wsp:rsid wsp:val=&quot;0D984ECC&quot;/&gt;&lt;wsp:rsid wsp:val=&quot;0D991370&quot;/&gt;&lt;wsp:rsid wsp:val=&quot;0D9D24E2&quot;/&gt;&lt;wsp:rsid wsp:val=&quot;0D9F26FE&quot;/&gt;&lt;wsp:rsid wsp:val=&quot;0D9F31AB&quot;/&gt;&lt;wsp:rsid wsp:val=&quot;0D9F44AC&quot;/&gt;&lt;wsp:rsid wsp:val=&quot;0D9F625A&quot;/&gt;&lt;wsp:rsid wsp:val=&quot;0DA10592&quot;/&gt;&lt;wsp:rsid wsp:val=&quot;0DA26F5D&quot;/&gt;&lt;wsp:rsid wsp:val=&quot;0DA41D58&quot;/&gt;&lt;wsp:rsid wsp:val=&quot;0DA43871&quot;/&gt;&lt;wsp:rsid wsp:val=&quot;0DA4444E&quot;/&gt;&lt;wsp:rsid wsp:val=&quot;0DA970D9&quot;/&gt;&lt;wsp:rsid wsp:val=&quot;0DAB10A3&quot;/&gt;&lt;wsp:rsid wsp:val=&quot;0DAB4BFF&quot;/&gt;&lt;wsp:rsid wsp:val=&quot;0DAD6BC9&quot;/&gt;&lt;wsp:rsid wsp:val=&quot;0DAE46EF&quot;/&gt;&lt;wsp:rsid wsp:val=&quot;0DB00467&quot;/&gt;&lt;wsp:rsid wsp:val=&quot;0DB164B2&quot;/&gt;&lt;wsp:rsid wsp:val=&quot;0DB22432&quot;/&gt;&lt;wsp:rsid wsp:val=&quot;0DB241E0&quot;/&gt;&lt;wsp:rsid wsp:val=&quot;0DB31D06&quot;/&gt;&lt;wsp:rsid wsp:val=&quot;0DB735A4&quot;/&gt;&lt;wsp:rsid wsp:val=&quot;0DB77A48&quot;/&gt;&lt;wsp:rsid wsp:val=&quot;0DB8556E&quot;/&gt;&lt;wsp:rsid wsp:val=&quot;0DB93BD7&quot;/&gt;&lt;wsp:rsid wsp:val=&quot;0DBA7538&quot;/&gt;&lt;wsp:rsid wsp:val=&quot;0DBC0BBA&quot;/&gt;&lt;wsp:rsid wsp:val=&quot;0DBC505E&quot;/&gt;&lt;wsp:rsid wsp:val=&quot;0DBE0DD6&quot;/&gt;&lt;wsp:rsid wsp:val=&quot;0DBE2B84&quot;/&gt;&lt;wsp:rsid wsp:val=&quot;0DBF06AB&quot;/&gt;&lt;wsp:rsid wsp:val=&quot;0DBF4B4E&quot;/&gt;&lt;wsp:rsid wsp:val=&quot;0DBF7D8B&quot;/&gt;&lt;wsp:rsid wsp:val=&quot;0DC01E84&quot;/&gt;&lt;wsp:rsid wsp:val=&quot;0DC108C7&quot;/&gt;&lt;wsp:rsid wsp:val=&quot;0DC3019B&quot;/&gt;&lt;wsp:rsid wsp:val=&quot;0DC53787&quot;/&gt;&lt;wsp:rsid wsp:val=&quot;0DC61A39&quot;/&gt;&lt;wsp:rsid wsp:val=&quot;0DC65EDD&quot;/&gt;&lt;wsp:rsid wsp:val=&quot;0DC9777B&quot;/&gt;&lt;wsp:rsid wsp:val=&quot;0DCB704F&quot;/&gt;&lt;wsp:rsid wsp:val=&quot;0DCD726B&quot;/&gt;&lt;wsp:rsid wsp:val=&quot;0DCE6B40&quot;/&gt;&lt;wsp:rsid wsp:val=&quot;0DCF6B28&quot;/&gt;&lt;wsp:rsid wsp:val=&quot;0DD04666&quot;/&gt;&lt;wsp:rsid wsp:val=&quot;0DD56120&quot;/&gt;&lt;wsp:rsid wsp:val=&quot;0DD57ECE&quot;/&gt;&lt;wsp:rsid wsp:val=&quot;0DD66B39&quot;/&gt;&lt;wsp:rsid wsp:val=&quot;0DD7645F&quot;/&gt;&lt;wsp:rsid wsp:val=&quot;0DD979BE&quot;/&gt;&lt;wsp:rsid wsp:val=&quot;0DDA3736&quot;/&gt;&lt;wsp:rsid wsp:val=&quot;0DDC74AE&quot;/&gt;&lt;wsp:rsid wsp:val=&quot;0DDE4FD5&quot;/&gt;&lt;wsp:rsid wsp:val=&quot;0DE0109D&quot;/&gt;&lt;wsp:rsid wsp:val=&quot;0DE16873&quot;/&gt;&lt;wsp:rsid wsp:val=&quot;0DE27E25&quot;/&gt;&lt;wsp:rsid wsp:val=&quot;0DE40111&quot;/&gt;&lt;wsp:rsid wsp:val=&quot;0DE46363&quot;/&gt;&lt;wsp:rsid wsp:val=&quot;0DE63E89&quot;/&gt;&lt;wsp:rsid wsp:val=&quot;0DE85E53&quot;/&gt;&lt;wsp:rsid wsp:val=&quot;0DE86B21&quot;/&gt;&lt;wsp:rsid wsp:val=&quot;0DE87C01&quot;/&gt;&lt;wsp:rsid wsp:val=&quot;0DE93979&quot;/&gt;&lt;wsp:rsid wsp:val=&quot;0DEB14A0&quot;/&gt;&lt;wsp:rsid wsp:val=&quot;0DEB670A&quot;/&gt;&lt;wsp:rsid wsp:val=&quot;0DEB74D9&quot;/&gt;&lt;wsp:rsid wsp:val=&quot;0DED15C6&quot;/&gt;&lt;wsp:rsid wsp:val=&quot;0DED16BC&quot;/&gt;&lt;wsp:rsid wsp:val=&quot;0DED346A&quot;/&gt;&lt;wsp:rsid wsp:val=&quot;0DED5218&quot;/&gt;&lt;wsp:rsid wsp:val=&quot;0DF2282E&quot;/&gt;&lt;wsp:rsid wsp:val=&quot;0DF26CD2&quot;/&gt;&lt;wsp:rsid wsp:val=&quot;0DF46805&quot;/&gt;&lt;wsp:rsid wsp:val=&quot;0DF63C10&quot;/&gt;&lt;wsp:rsid wsp:val=&quot;0DF65076&quot;/&gt;&lt;wsp:rsid wsp:val=&quot;0DF6524C&quot;/&gt;&lt;wsp:rsid wsp:val=&quot;0DF75186&quot;/&gt;&lt;wsp:rsid wsp:val=&quot;0DF76096&quot;/&gt;&lt;wsp:rsid wsp:val=&quot;0DF90060&quot;/&gt;&lt;wsp:rsid wsp:val=&quot;0DF92677&quot;/&gt;&lt;wsp:rsid wsp:val=&quot;0DF93BBD&quot;/&gt;&lt;wsp:rsid wsp:val=&quot;0DFC1FFF&quot;/&gt;&lt;wsp:rsid wsp:val=&quot;0DFC36AD&quot;/&gt;&lt;wsp:rsid wsp:val=&quot;0DFE11D3&quot;/&gt;&lt;wsp:rsid wsp:val=&quot;0DFE5392&quot;/&gt;&lt;wsp:rsid wsp:val=&quot;0DFE5677&quot;/&gt;&lt;wsp:rsid wsp:val=&quot;0DFE7425&quot;/&gt;&lt;wsp:rsid wsp:val=&quot;0E001D83&quot;/&gt;&lt;wsp:rsid wsp:val=&quot;0E010CC3&quot;/&gt;&lt;wsp:rsid wsp:val=&quot;0E056D34&quot;/&gt;&lt;wsp:rsid wsp:val=&quot;0E06277D&quot;/&gt;&lt;wsp:rsid wsp:val=&quot;0E07353A&quot;/&gt;&lt;wsp:rsid wsp:val=&quot;0E083E00&quot;/&gt;&lt;wsp:rsid wsp:val=&quot;0E0A336E&quot;/&gt;&lt;wsp:rsid wsp:val=&quot;0E0A401C&quot;/&gt;&lt;wsp:rsid wsp:val=&quot;0E0B7916&quot;/&gt;&lt;wsp:rsid wsp:val=&quot;0E0B7D94&quot;/&gt;&lt;wsp:rsid wsp:val=&quot;0E0E518E&quot;/&gt;&lt;wsp:rsid wsp:val=&quot;0E1171BD&quot;/&gt;&lt;wsp:rsid wsp:val=&quot;0E146C48&quot;/&gt;&lt;wsp:rsid wsp:val=&quot;0E1529C0&quot;/&gt;&lt;wsp:rsid wsp:val=&quot;0E15476E&quot;/&gt;&lt;wsp:rsid wsp:val=&quot;0E172295&quot;/&gt;&lt;wsp:rsid wsp:val=&quot;0E17302F&quot;/&gt;&lt;wsp:rsid wsp:val=&quot;0E176739&quot;/&gt;&lt;wsp:rsid wsp:val=&quot;0E1A3B33&quot;/&gt;&lt;wsp:rsid wsp:val=&quot;0E1B7FD7&quot;/&gt;&lt;wsp:rsid wsp:val=&quot;0E1C3D4F&quot;/&gt;&lt;wsp:rsid wsp:val=&quot;0E1C78AB&quot;/&gt;&lt;wsp:rsid wsp:val=&quot;0E1E33F4&quot;/&gt;&lt;wsp:rsid wsp:val=&quot;0E1F1149&quot;/&gt;&lt;wsp:rsid wsp:val=&quot;0E205822&quot;/&gt;&lt;wsp:rsid wsp:val=&quot;0E214EC1&quot;/&gt;&lt;wsp:rsid wsp:val=&quot;0E2350DD&quot;/&gt;&lt;wsp:rsid wsp:val=&quot;0E2449B2&quot;/&gt;&lt;wsp:rsid wsp:val=&quot;0E247D60&quot;/&gt;&lt;wsp:rsid wsp:val=&quot;0E252C04&quot;/&gt;&lt;wsp:rsid wsp:val=&quot;0E255A34&quot;/&gt;&lt;wsp:rsid wsp:val=&quot;0E256D9A&quot;/&gt;&lt;wsp:rsid wsp:val=&quot;0E2624D8&quot;/&gt;&lt;wsp:rsid wsp:val=&quot;0E2826F4&quot;/&gt;&lt;wsp:rsid wsp:val=&quot;0E283FB3&quot;/&gt;&lt;wsp:rsid wsp:val=&quot;0E2A646C&quot;/&gt;&lt;wsp:rsid wsp:val=&quot;0E2B5D40&quot;/&gt;&lt;wsp:rsid wsp:val=&quot;0E2C21E4&quot;/&gt;&lt;wsp:rsid wsp:val=&quot;0E2D1AB8&quot;/&gt;&lt;wsp:rsid wsp:val=&quot;0E2D3866&quot;/&gt;&lt;wsp:rsid wsp:val=&quot;0E2F12B5&quot;/&gt;&lt;wsp:rsid wsp:val=&quot;0E2F3A82&quot;/&gt;&lt;wsp:rsid wsp:val=&quot;0E2F75DE&quot;/&gt;&lt;wsp:rsid wsp:val=&quot;0E323572&quot;/&gt;&lt;wsp:rsid wsp:val=&quot;0E342E47&quot;/&gt;&lt;wsp:rsid wsp:val=&quot;0E35096D&quot;/&gt;&lt;wsp:rsid wsp:val=&quot;0E355127&quot;/&gt;&lt;wsp:rsid wsp:val=&quot;0E356BBF&quot;/&gt;&lt;wsp:rsid wsp:val=&quot;0E36265D&quot;/&gt;&lt;wsp:rsid wsp:val=&quot;0E370C1E&quot;/&gt;&lt;wsp:rsid wsp:val=&quot;0E3746E5&quot;/&gt;&lt;wsp:rsid wsp:val=&quot;0E39220B&quot;/&gt;&lt;wsp:rsid wsp:val=&quot;0E3A5F83&quot;/&gt;&lt;wsp:rsid wsp:val=&quot;0E3B3F9E&quot;/&gt;&lt;wsp:rsid wsp:val=&quot;0E3E3CC5&quot;/&gt;&lt;wsp:rsid wsp:val=&quot;0E400A29&quot;/&gt;&lt;wsp:rsid wsp:val=&quot;0E407A3D&quot;/&gt;&lt;wsp:rsid wsp:val=&quot;0E4137B5&quot;/&gt;&lt;wsp:rsid wsp:val=&quot;0E455054&quot;/&gt;&lt;wsp:rsid wsp:val=&quot;0E456E02&quot;/&gt;&lt;wsp:rsid wsp:val=&quot;0E460DCC&quot;/&gt;&lt;wsp:rsid wsp:val=&quot;0E464928&quot;/&gt;&lt;wsp:rsid wsp:val=&quot;0E4709CC&quot;/&gt;&lt;wsp:rsid wsp:val=&quot;0E4868F2&quot;/&gt;&lt;wsp:rsid wsp:val=&quot;0E4A4418&quot;/&gt;&lt;wsp:rsid wsp:val=&quot;0E4A7F2A&quot;/&gt;&lt;wsp:rsid wsp:val=&quot;0E4B0190&quot;/&gt;&lt;wsp:rsid wsp:val=&quot;0E4B1F3E&quot;/&gt;&lt;wsp:rsid wsp:val=&quot;0E4D3F08&quot;/&gt;&lt;wsp:rsid wsp:val=&quot;0E4D48AC&quot;/&gt;&lt;wsp:rsid wsp:val=&quot;0E4F7062&quot;/&gt;&lt;wsp:rsid wsp:val=&quot;0E5232CD&quot;/&gt;&lt;wsp:rsid wsp:val=&quot;0E527771&quot;/&gt;&lt;wsp:rsid wsp:val=&quot;0E5434E9&quot;/&gt;&lt;wsp:rsid wsp:val=&quot;0E545297&quot;/&gt;&lt;wsp:rsid wsp:val=&quot;0E547045&quot;/&gt;&lt;wsp:rsid wsp:val=&quot;0E5758F0&quot;/&gt;&lt;wsp:rsid wsp:val=&quot;0E5B4877&quot;/&gt;&lt;wsp:rsid wsp:val=&quot;0E5D24C7&quot;/&gt;&lt;wsp:rsid wsp:val=&quot;0E5D6F32&quot;/&gt;&lt;wsp:rsid wsp:val=&quot;0E5E6115&quot;/&gt;&lt;wsp:rsid wsp:val=&quot;0E5E7EC3&quot;/&gt;&lt;wsp:rsid wsp:val=&quot;0E5F3F5A&quot;/&gt;&lt;wsp:rsid wsp:val=&quot;0E5F4EF3&quot;/&gt;&lt;wsp:rsid wsp:val=&quot;0E6258BE&quot;/&gt;&lt;wsp:rsid wsp:val=&quot;0E63197E&quot;/&gt;&lt;wsp:rsid wsp:val=&quot;0E651091&quot;/&gt;&lt;wsp:rsid wsp:val=&quot;0E653000&quot;/&gt;&lt;wsp:rsid wsp:val=&quot;0E67321C&quot;/&gt;&lt;wsp:rsid wsp:val=&quot;0E686F94&quot;/&gt;&lt;wsp:rsid wsp:val=&quot;0E6A4ABA&quot;/&gt;&lt;wsp:rsid wsp:val=&quot;0E6B438E&quot;/&gt;&lt;wsp:rsid wsp:val=&quot;0E6C0832&quot;/&gt;&lt;wsp:rsid wsp:val=&quot;0E6C4698&quot;/&gt;&lt;wsp:rsid wsp:val=&quot;0E6D45AA&quot;/&gt;&lt;wsp:rsid wsp:val=&quot;0E6F0323&quot;/&gt;&lt;wsp:rsid wsp:val=&quot;0E6F3E7F&quot;/&gt;&lt;wsp:rsid wsp:val=&quot;0E7019A5&quot;/&gt;&lt;wsp:rsid wsp:val=&quot;0E707BF7&quot;/&gt;&lt;wsp:rsid wsp:val=&quot;0E711068&quot;/&gt;&lt;wsp:rsid wsp:val=&quot;0E7143CA&quot;/&gt;&lt;wsp:rsid wsp:val=&quot;0E715E49&quot;/&gt;&lt;wsp:rsid wsp:val=&quot;0E72571D&quot;/&gt;&lt;wsp:rsid wsp:val=&quot;0E73034D&quot;/&gt;&lt;wsp:rsid wsp:val=&quot;0E741495&quot;/&gt;&lt;wsp:rsid wsp:val=&quot;0E7476E7&quot;/&gt;&lt;wsp:rsid wsp:val=&quot;0E750E79&quot;/&gt;&lt;wsp:rsid wsp:val=&quot;0E7525BA&quot;/&gt;&lt;wsp:rsid wsp:val=&quot;0E7616B1&quot;/&gt;&lt;wsp:rsid wsp:val=&quot;0E7771D7&quot;/&gt;&lt;wsp:rsid wsp:val=&quot;0E782394&quot;/&gt;&lt;wsp:rsid wsp:val=&quot;0E7B6233&quot;/&gt;&lt;wsp:rsid wsp:val=&quot;0E7C0454&quot;/&gt;&lt;wsp:rsid wsp:val=&quot;0E7D51EB&quot;/&gt;&lt;wsp:rsid wsp:val=&quot;0E8042DE&quot;/&gt;&lt;wsp:rsid wsp:val=&quot;0E80615A&quot;/&gt;&lt;wsp:rsid wsp:val=&quot;0E8106B8&quot;/&gt;&lt;wsp:rsid wsp:val=&quot;0E813BB2&quot;/&gt;&lt;wsp:rsid wsp:val=&quot;0E820056&quot;/&gt;&lt;wsp:rsid wsp:val=&quot;0E83792A&quot;/&gt;&lt;wsp:rsid wsp:val=&quot;0E855450&quot;/&gt;&lt;wsp:rsid wsp:val=&quot;0E8611C8&quot;/&gt;&lt;wsp:rsid wsp:val=&quot;0E861DFE&quot;/&gt;&lt;wsp:rsid wsp:val=&quot;0E87566C&quot;/&gt;&lt;wsp:rsid wsp:val=&quot;0E880A30&quot;/&gt;&lt;wsp:rsid wsp:val=&quot;0E894879&quot;/&gt;&lt;wsp:rsid wsp:val=&quot;0E8A0CB9&quot;/&gt;&lt;wsp:rsid wsp:val=&quot;0E8C4A31&quot;/&gt;&lt;wsp:rsid wsp:val=&quot;0E8D07A9&quot;/&gt;&lt;wsp:rsid wsp:val=&quot;0E8D69FB&quot;/&gt;&lt;wsp:rsid wsp:val=&quot;0E903DF5&quot;/&gt;&lt;wsp:rsid wsp:val=&quot;0E925DBF&quot;/&gt;&lt;wsp:rsid wsp:val=&quot;0E941B37&quot;/&gt;&lt;wsp:rsid wsp:val=&quot;0E9438E5&quot;/&gt;&lt;wsp:rsid wsp:val=&quot;0E96765D&quot;/&gt;&lt;wsp:rsid wsp:val=&quot;0E9733D5&quot;/&gt;&lt;wsp:rsid wsp:val=&quot;0E975183&quot;/&gt;&lt;wsp:rsid wsp:val=&quot;0E9919B5&quot;/&gt;&lt;wsp:rsid wsp:val=&quot;0E9C09EC&quot;/&gt;&lt;wsp:rsid wsp:val=&quot;0E9C279A&quot;/&gt;&lt;wsp:rsid wsp:val=&quot;0E9D4E90&quot;/&gt;&lt;wsp:rsid wsp:val=&quot;0EA0228A&quot;/&gt;&lt;wsp:rsid wsp:val=&quot;0EA10147&quot;/&gt;&lt;wsp:rsid wsp:val=&quot;0EA24254&quot;/&gt;&lt;wsp:rsid wsp:val=&quot;0EA31D7A&quot;/&gt;&lt;wsp:rsid wsp:val=&quot;0EA93835&quot;/&gt;&lt;wsp:rsid wsp:val=&quot;0EAA3109&quot;/&gt;&lt;wsp:rsid wsp:val=&quot;0EAC446D&quot;/&gt;&lt;wsp:rsid wsp:val=&quot;0EAD12BB&quot;/&gt;&lt;wsp:rsid wsp:val=&quot;0EAD49A7&quot;/&gt;&lt;wsp:rsid wsp:val=&quot;0EAE1581&quot;/&gt;&lt;wsp:rsid wsp:val=&quot;0EAF4BC3&quot;/&gt;&lt;wsp:rsid wsp:val=&quot;0EAF6971&quot;/&gt;&lt;wsp:rsid wsp:val=&quot;0EB030EA&quot;/&gt;&lt;wsp:rsid wsp:val=&quot;0EB16245&quot;/&gt;&lt;wsp:rsid wsp:val=&quot;0EB178EC&quot;/&gt;&lt;wsp:rsid wsp:val=&quot;0EB2020F&quot;/&gt;&lt;wsp:rsid wsp:val=&quot;0EB26482&quot;/&gt;&lt;wsp:rsid wsp:val=&quot;0EB43F87&quot;/&gt;&lt;wsp:rsid wsp:val=&quot;0EB67D00&quot;/&gt;&lt;wsp:rsid wsp:val=&quot;0EB7236D&quot;/&gt;&lt;wsp:rsid wsp:val=&quot;0EB75826&quot;/&gt;&lt;wsp:rsid wsp:val=&quot;0EB9334C&quot;/&gt;&lt;wsp:rsid wsp:val=&quot;0EBB5316&quot;/&gt;&lt;wsp:rsid wsp:val=&quot;0EBC360E&quot;/&gt;&lt;wsp:rsid wsp:val=&quot;0EBD108E&quot;/&gt;&lt;wsp:rsid wsp:val=&quot;0EBE2240&quot;/&gt;&lt;wsp:rsid wsp:val=&quot;0EBE4E06&quot;/&gt;&lt;wsp:rsid wsp:val=&quot;0EC00B7E&quot;/&gt;&lt;wsp:rsid wsp:val=&quot;0EC248F6&quot;/&gt;&lt;wsp:rsid wsp:val=&quot;0EC51CF1&quot;/&gt;&lt;wsp:rsid wsp:val=&quot;0EC87A33&quot;/&gt;&lt;wsp:rsid wsp:val=&quot;0EC95C85&quot;/&gt;&lt;wsp:rsid wsp:val=&quot;0ECA37AB&quot;/&gt;&lt;wsp:rsid wsp:val=&quot;0ECD0E2A&quot;/&gt;&lt;wsp:rsid wsp:val=&quot;0ECD6DF7&quot;/&gt;&lt;wsp:rsid wsp:val=&quot;0ECE5049&quot;/&gt;&lt;wsp:rsid wsp:val=&quot;0ECF491D&quot;/&gt;&lt;wsp:rsid wsp:val=&quot;0ED308B1&quot;/&gt;&lt;wsp:rsid wsp:val=&quot;0ED463D8&quot;/&gt;&lt;wsp:rsid wsp:val=&quot;0ED62150&quot;/&gt;&lt;wsp:rsid wsp:val=&quot;0ED74921&quot;/&gt;&lt;wsp:rsid wsp:val=&quot;0ED86425&quot;/&gt;&lt;wsp:rsid wsp:val=&quot;0ED87C76&quot;/&gt;&lt;wsp:rsid wsp:val=&quot;0ED9579C&quot;/&gt;&lt;wsp:rsid wsp:val=&quot;0EDB2AB0&quot;/&gt;&lt;wsp:rsid wsp:val=&quot;0EDB32C2&quot;/&gt;&lt;wsp:rsid wsp:val=&quot;0EDE1958&quot;/&gt;&lt;wsp:rsid wsp:val=&quot;0EE02FCE&quot;/&gt;&lt;wsp:rsid wsp:val=&quot;0EE04D7C&quot;/&gt;&lt;wsp:rsid wsp:val=&quot;0EE228A3&quot;/&gt;&lt;wsp:rsid wsp:val=&quot;0EE26069&quot;/&gt;&lt;wsp:rsid wsp:val=&quot;0EE303C9&quot;/&gt;&lt;wsp:rsid wsp:val=&quot;0EE37B25&quot;/&gt;&lt;wsp:rsid wsp:val=&quot;0EE4486D&quot;/&gt;&lt;wsp:rsid wsp:val=&quot;0EE7435D&quot;/&gt;&lt;wsp:rsid wsp:val=&quot;0EE859DF&quot;/&gt;&lt;wsp:rsid wsp:val=&quot;0EEA5BFB&quot;/&gt;&lt;wsp:rsid wsp:val=&quot;0EEC183C&quot;/&gt;&lt;wsp:rsid wsp:val=&quot;0EEC54CF&quot;/&gt;&lt;wsp:rsid wsp:val=&quot;0EEE56EB&quot;/&gt;&lt;wsp:rsid wsp:val=&quot;0EEF4FBF&quot;/&gt;&lt;wsp:rsid wsp:val=&quot;0EEF6D6E&quot;/&gt;&lt;wsp:rsid wsp:val=&quot;0EF024FE&quot;/&gt;&lt;wsp:rsid wsp:val=&quot;0EF02BFC&quot;/&gt;&lt;wsp:rsid wsp:val=&quot;0EF12AE6&quot;/&gt;&lt;wsp:rsid wsp:val=&quot;0EF32D02&quot;/&gt;&lt;wsp:rsid wsp:val=&quot;0EF425D6&quot;/&gt;&lt;wsp:rsid wsp:val=&quot;0EF600FC&quot;/&gt;&lt;wsp:rsid wsp:val=&quot;0EF6634E&quot;/&gt;&lt;wsp:rsid wsp:val=&quot;0EF820C6&quot;/&gt;&lt;wsp:rsid wsp:val=&quot;0EF92D65&quot;/&gt;&lt;wsp:rsid wsp:val=&quot;0EFB3964&quot;/&gt;&lt;wsp:rsid wsp:val=&quot;0EFB7611&quot;/&gt;&lt;wsp:rsid wsp:val=&quot;0EFC21E2&quot;/&gt;&lt;wsp:rsid wsp:val=&quot;0EFD592E&quot;/&gt;&lt;wsp:rsid wsp:val=&quot;0EFE195A&quot;/&gt;&lt;wsp:rsid wsp:val=&quot;0F00541F&quot;/&gt;&lt;wsp:rsid wsp:val=&quot;0F024CF3&quot;/&gt;&lt;wsp:rsid wsp:val=&quot;0F026AA1&quot;/&gt;&lt;wsp:rsid wsp:val=&quot;0F0274E4&quot;/&gt;&lt;wsp:rsid wsp:val=&quot;0F042CED&quot;/&gt;&lt;wsp:rsid wsp:val=&quot;0F046CBD&quot;/&gt;&lt;wsp:rsid wsp:val=&quot;0F052A35&quot;/&gt;&lt;wsp:rsid wsp:val=&quot;0F072309&quot;/&gt;&lt;wsp:rsid wsp:val=&quot;0F0767AD&quot;/&gt;&lt;wsp:rsid wsp:val=&quot;0F087E2F&quot;/&gt;&lt;wsp:rsid wsp:val=&quot;0F0A1DF9&quot;/&gt;&lt;wsp:rsid wsp:val=&quot;0F0B75D6&quot;/&gt;&lt;wsp:rsid wsp:val=&quot;0F0C2B61&quot;/&gt;&lt;wsp:rsid wsp:val=&quot;0F0E4B55&quot;/&gt;&lt;wsp:rsid wsp:val=&quot;0F0E7B3C&quot;/&gt;&lt;wsp:rsid wsp:val=&quot;0F0F11BE&quot;/&gt;&lt;wsp:rsid wsp:val=&quot;0F113188&quot;/&gt;&lt;wsp:rsid wsp:val=&quot;0F135152&quot;/&gt;&lt;wsp:rsid wsp:val=&quot;0F13775A&quot;/&gt;&lt;wsp:rsid wsp:val=&quot;0F144A26&quot;/&gt;&lt;wsp:rsid wsp:val=&quot;0F1455F1&quot;/&gt;&lt;wsp:rsid wsp:val=&quot;0F16254C&quot;/&gt;&lt;wsp:rsid wsp:val=&quot;0F163D3F&quot;/&gt;&lt;wsp:rsid wsp:val=&quot;0F1669F0&quot;/&gt;&lt;wsp:rsid wsp:val=&quot;0F1961E8&quot;/&gt;&lt;wsp:rsid wsp:val=&quot;0F1A64E0&quot;/&gt;&lt;wsp:rsid wsp:val=&quot;0F1B7B63&quot;/&gt;&lt;wsp:rsid wsp:val=&quot;0F1D1B2D&quot;/&gt;&lt;wsp:rsid wsp:val=&quot;0F1F3E3B&quot;/&gt;&lt;wsp:rsid wsp:val=&quot;0F2033CB&quot;/&gt;&lt;wsp:rsid wsp:val=&quot;0F205179&quot;/&gt;&lt;wsp:rsid wsp:val=&quot;0F210A79&quot;/&gt;&lt;wsp:rsid wsp:val=&quot;0F24110D&quot;/&gt;&lt;wsp:rsid wsp:val=&quot;0F256C33&quot;/&gt;&lt;wsp:rsid wsp:val=&quot;0F2729AB&quot;/&gt;&lt;wsp:rsid wsp:val=&quot;0F274759&quot;/&gt;&lt;wsp:rsid wsp:val=&quot;0F2761EA&quot;/&gt;&lt;wsp:rsid wsp:val=&quot;0F276507&quot;/&gt;&lt;wsp:rsid wsp:val=&quot;0F2904D1&quot;/&gt;&lt;wsp:rsid wsp:val=&quot;0F2C6214&quot;/&gt;&lt;wsp:rsid wsp:val=&quot;0F2D7925&quot;/&gt;&lt;wsp:rsid wsp:val=&quot;0F2E5AE8&quot;/&gt;&lt;wsp:rsid wsp:val=&quot;0F2F33AB&quot;/&gt;&lt;wsp:rsid wsp:val=&quot;0F3109A6&quot;/&gt;&lt;wsp:rsid wsp:val=&quot;0F343320&quot;/&gt;&lt;wsp:rsid wsp:val=&quot;0F360E40&quot;/&gt;&lt;wsp:rsid wsp:val=&quot;0F3744EB&quot;/&gt;&lt;wsp:rsid wsp:val=&quot;0F384BB8&quot;/&gt;&lt;wsp:rsid wsp:val=&quot;0F3A0931&quot;/&gt;&lt;wsp:rsid wsp:val=&quot;0F3B1FB3&quot;/&gt;&lt;wsp:rsid wsp:val=&quot;0F3B2FEA&quot;/&gt;&lt;wsp:rsid wsp:val=&quot;0F3F1AA3&quot;/&gt;&lt;wsp:rsid wsp:val=&quot;0F3F5F47&quot;/&gt;&lt;wsp:rsid wsp:val=&quot;0F3F7CF5&quot;/&gt;&lt;wsp:rsid wsp:val=&quot;0F4052B3&quot;/&gt;&lt;wsp:rsid wsp:val=&quot;0F410916&quot;/&gt;&lt;wsp:rsid wsp:val=&quot;0F421593&quot;/&gt;&lt;wsp:rsid wsp:val=&quot;0F423341&quot;/&gt;&lt;wsp:rsid wsp:val=&quot;0F4278E9&quot;/&gt;&lt;wsp:rsid wsp:val=&quot;0F450727&quot;/&gt;&lt;wsp:rsid wsp:val=&quot;0F451083&quot;/&gt;&lt;wsp:rsid wsp:val=&quot;0F4672D5&quot;/&gt;&lt;wsp:rsid wsp:val=&quot;0F476BAA&quot;/&gt;&lt;wsp:rsid wsp:val=&quot;0F4800B8&quot;/&gt;&lt;wsp:rsid wsp:val=&quot;0F490B74&quot;/&gt;&lt;wsp:rsid wsp:val=&quot;0F4948EC&quot;/&gt;&lt;wsp:rsid wsp:val=&quot;0F4A19C8&quot;/&gt;&lt;wsp:rsid wsp:val=&quot;0F4C0664&quot;/&gt;&lt;wsp:rsid wsp:val=&quot;0F4C2412&quot;/&gt;&lt;wsp:rsid wsp:val=&quot;0F4C41C0&quot;/&gt;&lt;wsp:rsid wsp:val=&quot;0F4E618A&quot;/&gt;&lt;wsp:rsid wsp:val=&quot;0F4E7F38&quot;/&gt;&lt;wsp:rsid wsp:val=&quot;0F503CB0&quot;/&gt;&lt;wsp:rsid wsp:val=&quot;0F515C7A&quot;/&gt;&lt;wsp:rsid wsp:val=&quot;0F53554E&quot;/&gt;&lt;wsp:rsid wsp:val=&quot;0F5512C6&quot;/&gt;&lt;wsp:rsid wsp:val=&quot;0F56503F&quot;/&gt;&lt;wsp:rsid wsp:val=&quot;0F582B65&quot;/&gt;&lt;wsp:rsid wsp:val=&quot;0F5C08A7&quot;/&gt;&lt;wsp:rsid wsp:val=&quot;0F5C3DDD&quot;/&gt;&lt;wsp:rsid wsp:val=&quot;0F5C6A3C&quot;/&gt;&lt;wsp:rsid wsp:val=&quot;0F5D69AE&quot;/&gt;&lt;wsp:rsid wsp:val=&quot;0F5E2A0F&quot;/&gt;&lt;wsp:rsid wsp:val=&quot;0F5F45FE&quot;/&gt;&lt;wsp:rsid wsp:val=&quot;0F601A19&quot;/&gt;&lt;wsp:rsid wsp:val=&quot;0F607DCE&quot;/&gt;&lt;wsp:rsid wsp:val=&quot;0F632BEB&quot;/&gt;&lt;wsp:rsid wsp:val=&quot;0F6459AD&quot;/&gt;&lt;wsp:rsid wsp:val=&quot;0F661726&quot;/&gt;&lt;wsp:rsid wsp:val=&quot;0F67724C&quot;/&gt;&lt;wsp:rsid wsp:val=&quot;0F694F51&quot;/&gt;&lt;wsp:rsid wsp:val=&quot;0F6A2898&quot;/&gt;&lt;wsp:rsid wsp:val=&quot;0F6C1977&quot;/&gt;&lt;wsp:rsid wsp:val=&quot;0F722315&quot;/&gt;&lt;wsp:rsid wsp:val=&quot;0F73174D&quot;/&gt;&lt;wsp:rsid wsp:val=&quot;0F745423&quot;/&gt;&lt;wsp:rsid wsp:val=&quot;0F7554C5&quot;/&gt;&lt;wsp:rsid wsp:val=&quot;0F76748F&quot;/&gt;&lt;wsp:rsid wsp:val=&quot;0F777E12&quot;/&gt;&lt;wsp:rsid wsp:val=&quot;0F7A0AA7&quot;/&gt;&lt;wsp:rsid wsp:val=&quot;0F7A0D2D&quot;/&gt;&lt;wsp:rsid wsp:val=&quot;0F7B0B9F&quot;/&gt;&lt;wsp:rsid wsp:val=&quot;0F7B4AA5&quot;/&gt;&lt;wsp:rsid wsp:val=&quot;0F7C1A16&quot;/&gt;&lt;wsp:rsid wsp:val=&quot;0F7C24AA&quot;/&gt;&lt;wsp:rsid wsp:val=&quot;0F7D25CB&quot;/&gt;&lt;wsp:rsid wsp:val=&quot;0F7D718B&quot;/&gt;&lt;wsp:rsid wsp:val=&quot;0F804919&quot;/&gt;&lt;wsp:rsid wsp:val=&quot;0F840147&quot;/&gt;&lt;wsp:rsid wsp:val=&quot;0F84395A&quot;/&gt;&lt;wsp:rsid wsp:val=&quot;0F844F29&quot;/&gt;&lt;wsp:rsid wsp:val=&quot;0F847DFE&quot;/&gt;&lt;wsp:rsid wsp:val=&quot;0F865924&quot;/&gt;&lt;wsp:rsid wsp:val=&quot;0F8676D2&quot;/&gt;&lt;wsp:rsid wsp:val=&quot;0F87169C&quot;/&gt;&lt;wsp:rsid wsp:val=&quot;0F880B6C&quot;/&gt;&lt;wsp:rsid wsp:val=&quot;0F8875D5&quot;/&gt;&lt;wsp:rsid wsp:val=&quot;0F895414&quot;/&gt;&lt;wsp:rsid wsp:val=&quot;0F8B1A2C&quot;/&gt;&lt;wsp:rsid wsp:val=&quot;0F8B4CE8&quot;/&gt;&lt;wsp:rsid wsp:val=&quot;0F8E2BD1&quot;/&gt;&lt;wsp:rsid wsp:val=&quot;0F8E47D8&quot;/&gt;&lt;wsp:rsid wsp:val=&quot;0F8E6586&quot;/&gt;&lt;wsp:rsid wsp:val=&quot;0F9022FF&quot;/&gt;&lt;wsp:rsid wsp:val=&quot;0F931DEF&quot;/&gt;&lt;wsp:rsid wsp:val=&quot;0F957915&quot;/&gt;&lt;wsp:rsid wsp:val=&quot;0F9718DF&quot;/&gt;&lt;wsp:rsid wsp:val=&quot;0F977FCF&quot;/&gt;&lt;wsp:rsid wsp:val=&quot;0F9954A7&quot;/&gt;&lt;wsp:rsid wsp:val=&quot;0F9A112B&quot;/&gt;&lt;wsp:rsid wsp:val=&quot;0F9A13CF&quot;/&gt;&lt;wsp:rsid wsp:val=&quot;0F9A6950&quot;/&gt;&lt;wsp:rsid wsp:val=&quot;0F9B386C&quot;/&gt;&lt;wsp:rsid wsp:val=&quot;0F9C1DFF&quot;/&gt;&lt;wsp:rsid wsp:val=&quot;0F9D2C6D&quot;/&gt;&lt;wsp:rsid wsp:val=&quot;0F9F0794&quot;/&gt;&lt;wsp:rsid wsp:val=&quot;0FA1275E&quot;/&gt;&lt;wsp:rsid wsp:val=&quot;0FA1450C&quot;/&gt;&lt;wsp:rsid wsp:val=&quot;0FA22032&quot;/&gt;&lt;wsp:rsid wsp:val=&quot;0FA364D6&quot;/&gt;&lt;wsp:rsid wsp:val=&quot;0FA43FFC&quot;/&gt;&lt;wsp:rsid wsp:val=&quot;0FA45DAA&quot;/&gt;&lt;wsp:rsid wsp:val=&quot;0FA638D0&quot;/&gt;&lt;wsp:rsid wsp:val=&quot;0FA80F53&quot;/&gt;&lt;wsp:rsid wsp:val=&quot;0FA91612&quot;/&gt;&lt;wsp:rsid wsp:val=&quot;0FA94FB4&quot;/&gt;&lt;wsp:rsid wsp:val=&quot;0FAB538A&quot;/&gt;&lt;wsp:rsid wsp:val=&quot;0FAC48E1&quot;/&gt;&lt;wsp:rsid wsp:val=&quot;0FAD1008&quot;/&gt;&lt;wsp:rsid wsp:val=&quot;0FAD21F4&quot;/&gt;&lt;wsp:rsid wsp:val=&quot;0FAE09D7&quot;/&gt;&lt;wsp:rsid wsp:val=&quot;0FAE6C29&quot;/&gt;&lt;wsp:rsid wsp:val=&quot;0FB00BF3&quot;/&gt;&lt;wsp:rsid wsp:val=&quot;0FB277A7&quot;/&gt;&lt;wsp:rsid wsp:val=&quot;0FB3423F&quot;/&gt;&lt;wsp:rsid wsp:val=&quot;0FB51D65&quot;/&gt;&lt;wsp:rsid wsp:val=&quot;0FB56209&quot;/&gt;&lt;wsp:rsid wsp:val=&quot;0FB57FB7&quot;/&gt;&lt;wsp:rsid wsp:val=&quot;0FB6788B&quot;/&gt;&lt;wsp:rsid wsp:val=&quot;0FB73D2F&quot;/&gt;&lt;wsp:rsid wsp:val=&quot;0FB775B8&quot;/&gt;&lt;wsp:rsid wsp:val=&quot;0FB8131F&quot;/&gt;&lt;wsp:rsid wsp:val=&quot;0FB83603&quot;/&gt;&lt;wsp:rsid wsp:val=&quot;0FBF2BE4&quot;/&gt;&lt;wsp:rsid wsp:val=&quot;0FC121A0&quot;/&gt;&lt;wsp:rsid wsp:val=&quot;0FC14BAE&quot;/&gt;&lt;wsp:rsid wsp:val=&quot;0FC319D1&quot;/&gt;&lt;wsp:rsid wsp:val=&quot;0FC36648&quot;/&gt;&lt;wsp:rsid wsp:val=&quot;0FC41FA8&quot;/&gt;&lt;wsp:rsid wsp:val=&quot;0FC50362&quot;/&gt;&lt;wsp:rsid wsp:val=&quot;0FC5047B&quot;/&gt;&lt;wsp:rsid wsp:val=&quot;0FC63F72&quot;/&gt;&lt;wsp:rsid wsp:val=&quot;0FC919CD&quot;/&gt;&lt;wsp:rsid wsp:val=&quot;0FC91CB4&quot;/&gt;&lt;wsp:rsid wsp:val=&quot;0FC9305D&quot;/&gt;&lt;wsp:rsid wsp:val=&quot;0FCB1589&quot;/&gt;&lt;wsp:rsid wsp:val=&quot;0FCD3553&quot;/&gt;&lt;wsp:rsid wsp:val=&quot;0FCE2E27&quot;/&gt;&lt;wsp:rsid wsp:val=&quot;0FD0094D&quot;/&gt;&lt;wsp:rsid wsp:val=&quot;0FD03043&quot;/&gt;&lt;wsp:rsid wsp:val=&quot;0FD0395D&quot;/&gt;&lt;wsp:rsid wsp:val=&quot;0FD04DF1&quot;/&gt;&lt;wsp:rsid wsp:val=&quot;0FD06E18&quot;/&gt;&lt;wsp:rsid wsp:val=&quot;0FD2073E&quot;/&gt;&lt;wsp:rsid wsp:val=&quot;0FD20B69&quot;/&gt;&lt;wsp:rsid wsp:val=&quot;0FD3043D&quot;/&gt;&lt;wsp:rsid wsp:val=&quot;0FD416B1&quot;/&gt;&lt;wsp:rsid wsp:val=&quot;0FD50659&quot;/&gt;&lt;wsp:rsid wsp:val=&quot;0FD61CDB&quot;/&gt;&lt;wsp:rsid wsp:val=&quot;0FD7617F&quot;/&gt;&lt;wsp:rsid wsp:val=&quot;0FD77F2D&quot;/&gt;&lt;wsp:rsid wsp:val=&quot;0FD83CA6&quot;/&gt;&lt;wsp:rsid wsp:val=&quot;0FD903EC&quot;/&gt;&lt;wsp:rsid wsp:val=&quot;0FDA3DE2&quot;/&gt;&lt;wsp:rsid wsp:val=&quot;0FDA42E8&quot;/&gt;&lt;wsp:rsid wsp:val=&quot;0FDB5272&quot;/&gt;&lt;wsp:rsid wsp:val=&quot;0FDD306A&quot;/&gt;&lt;wsp:rsid wsp:val=&quot;0FDE5334&quot;/&gt;&lt;wsp:rsid wsp:val=&quot;0FE32D76&quot;/&gt;&lt;wsp:rsid wsp:val=&quot;0FE37166&quot;/&gt;&lt;wsp:rsid wsp:val=&quot;0FE45294&quot;/&gt;&lt;wsp:rsid wsp:val=&quot;0FE47A65&quot;/&gt;&lt;wsp:rsid wsp:val=&quot;0FE52636&quot;/&gt;&lt;wsp:rsid wsp:val=&quot;0FE60171&quot;/&gt;&lt;wsp:rsid wsp:val=&quot;0FE640E9&quot;/&gt;&lt;wsp:rsid wsp:val=&quot;0FEB1C2B&quot;/&gt;&lt;wsp:rsid wsp:val=&quot;0FEB4D67&quot;/&gt;&lt;wsp:rsid wsp:val=&quot;0FEE34C9&quot;/&gt;&lt;wsp:rsid wsp:val=&quot;0FEE463C&quot;/&gt;&lt;wsp:rsid wsp:val=&quot;0FF22FB9&quot;/&gt;&lt;wsp:rsid wsp:val=&quot;0FF3288D&quot;/&gt;&lt;wsp:rsid wsp:val=&quot;0FF56606&quot;/&gt;&lt;wsp:rsid wsp:val=&quot;0FF7412C&quot;/&gt;&lt;wsp:rsid wsp:val=&quot;0FF74A4B&quot;/&gt;&lt;wsp:rsid wsp:val=&quot;0FF8033B&quot;/&gt;&lt;wsp:rsid wsp:val=&quot;0FF860F6&quot;/&gt;&lt;wsp:rsid wsp:val=&quot;0FFA00C0&quot;/&gt;&lt;wsp:rsid wsp:val=&quot;0FFA1E6E&quot;/&gt;&lt;wsp:rsid wsp:val=&quot;0FFB02D4&quot;/&gt;&lt;wsp:rsid wsp:val=&quot;0FFB2582&quot;/&gt;&lt;wsp:rsid wsp:val=&quot;0FFC1742&quot;/&gt;&lt;wsp:rsid wsp:val=&quot;0FFC5BE6&quot;/&gt;&lt;wsp:rsid wsp:val=&quot;0FFD0285&quot;/&gt;&lt;wsp:rsid wsp:val=&quot;0FFD3F89&quot;/&gt;&lt;wsp:rsid wsp:val=&quot;0FFF1232&quot;/&gt;&lt;wsp:rsid wsp:val=&quot;0FFF7484&quot;/&gt;&lt;wsp:rsid wsp:val=&quot;1001144E&quot;/&gt;&lt;wsp:rsid wsp:val=&quot;10024BF4&quot;/&gt;&lt;wsp:rsid wsp:val=&quot;10037AF5&quot;/&gt;&lt;wsp:rsid wsp:val=&quot;10066A65&quot;/&gt;&lt;wsp:rsid wsp:val=&quot;10086339&quot;/&gt;&lt;wsp:rsid wsp:val=&quot;100D0EE2&quot;/&gt;&lt;wsp:rsid wsp:val=&quot;100E0101&quot;/&gt;&lt;wsp:rsid wsp:val=&quot;100E1475&quot;/&gt;&lt;wsp:rsid wsp:val=&quot;10101691&quot;/&gt;&lt;wsp:rsid wsp:val=&quot;1010343F&quot;/&gt;&lt;wsp:rsid wsp:val=&quot;101051ED&quot;/&gt;&lt;wsp:rsid wsp:val=&quot;10120F66&quot;/&gt;&lt;wsp:rsid wsp:val=&quot;101364B1&quot;/&gt;&lt;wsp:rsid wsp:val=&quot;10140982&quot;/&gt;&lt;wsp:rsid wsp:val=&quot;10141182&quot;/&gt;&lt;wsp:rsid wsp:val=&quot;10153BF2&quot;/&gt;&lt;wsp:rsid wsp:val=&quot;10156CA8&quot;/&gt;&lt;wsp:rsid wsp:val=&quot;10167D23&quot;/&gt;&lt;wsp:rsid wsp:val=&quot;101728F4&quot;/&gt;&lt;wsp:rsid wsp:val=&quot;101822F4&quot;/&gt;&lt;wsp:rsid wsp:val=&quot;10196798&quot;/&gt;&lt;wsp:rsid wsp:val=&quot;101A4127&quot;/&gt;&lt;wsp:rsid wsp:val=&quot;101C044F&quot;/&gt;&lt;wsp:rsid wsp:val=&quot;101C1DE4&quot;/&gt;&lt;wsp:rsid wsp:val=&quot;1021389E&quot;/&gt;&lt;wsp:rsid wsp:val=&quot;10216577&quot;/&gt;&lt;wsp:rsid wsp:val=&quot;10226507&quot;/&gt;&lt;wsp:rsid wsp:val=&quot;10233173&quot;/&gt;&lt;wsp:rsid wsp:val=&quot;10234F21&quot;/&gt;&lt;wsp:rsid wsp:val=&quot;10246EEB&quot;/&gt;&lt;wsp:rsid wsp:val=&quot;10261B26&quot;/&gt;&lt;wsp:rsid wsp:val=&quot;1026326B&quot;/&gt;&lt;wsp:rsid wsp:val=&quot;10264A11&quot;/&gt;&lt;wsp:rsid wsp:val=&quot;10282537&quot;/&gt;&lt;wsp:rsid wsp:val=&quot;10294597&quot;/&gt;&lt;wsp:rsid wsp:val=&quot;102962AF&quot;/&gt;&lt;wsp:rsid wsp:val=&quot;102D1D5B&quot;/&gt;&lt;wsp:rsid wsp:val=&quot;102D3FF1&quot;/&gt;&lt;wsp:rsid wsp:val=&quot;102D5D9F&quot;/&gt;&lt;wsp:rsid wsp:val=&quot;102D7545&quot;/&gt;&lt;wsp:rsid wsp:val=&quot;102E38C6&quot;/&gt;&lt;wsp:rsid wsp:val=&quot;1030763E&quot;/&gt;&lt;wsp:rsid wsp:val=&quot;1031060E&quot;/&gt;&lt;wsp:rsid wsp:val=&quot;10321608&quot;/&gt;&lt;wsp:rsid wsp:val=&quot;103233B6&quot;/&gt;&lt;wsp:rsid wsp:val=&quot;10352EA6&quot;/&gt;&lt;wsp:rsid wsp:val=&quot;10376C1E&quot;/&gt;&lt;wsp:rsid wsp:val=&quot;10394744&quot;/&gt;&lt;wsp:rsid wsp:val=&quot;103A226A&quot;/&gt;&lt;wsp:rsid wsp:val=&quot;103C2486&quot;/&gt;&lt;wsp:rsid wsp:val=&quot;103E7FAD&quot;/&gt;&lt;wsp:rsid wsp:val=&quot;103F3D25&quot;/&gt;&lt;wsp:rsid wsp:val=&quot;10417A9D&quot;/&gt;&lt;wsp:rsid wsp:val=&quot;10433815&quot;/&gt;&lt;wsp:rsid wsp:val=&quot;104650B3&quot;/&gt;&lt;wsp:rsid wsp:val=&quot;1047263F&quot;/&gt;&lt;wsp:rsid wsp:val=&quot;10484987&quot;/&gt;&lt;wsp:rsid wsp:val=&quot;104906FF&quot;/&gt;&lt;wsp:rsid wsp:val=&quot;1049191B&quot;/&gt;&lt;wsp:rsid wsp:val=&quot;104A15C9&quot;/&gt;&lt;wsp:rsid wsp:val=&quot;104A4BA3&quot;/&gt;&lt;wsp:rsid wsp:val=&quot;104C22DA&quot;/&gt;&lt;wsp:rsid wsp:val=&quot;104C2C74&quot;/&gt;&lt;wsp:rsid wsp:val=&quot;10501E40&quot;/&gt;&lt;wsp:rsid wsp:val=&quot;10505F32&quot;/&gt;&lt;wsp:rsid wsp:val=&quot;10507CE0&quot;/&gt;&lt;wsp:rsid wsp:val=&quot;1053332C&quot;/&gt;&lt;wsp:rsid wsp:val=&quot;10537B58&quot;/&gt;&lt;wsp:rsid wsp:val=&quot;10537F76&quot;/&gt;&lt;wsp:rsid wsp:val=&quot;1054157E&quot;/&gt;&lt;wsp:rsid wsp:val=&quot;10552336&quot;/&gt;&lt;wsp:rsid wsp:val=&quot;10563548&quot;/&gt;&lt;wsp:rsid wsp:val=&quot;105843AF&quot;/&gt;&lt;wsp:rsid wsp:val=&quot;10593038&quot;/&gt;&lt;wsp:rsid wsp:val=&quot;105A0963&quot;/&gt;&lt;wsp:rsid wsp:val=&quot;105B4B5F&quot;/&gt;&lt;wsp:rsid wsp:val=&quot;105D79F9&quot;/&gt;&lt;wsp:rsid wsp:val=&quot;106043C7&quot;/&gt;&lt;wsp:rsid wsp:val=&quot;10606175&quot;/&gt;&lt;wsp:rsid wsp:val=&quot;10641201&quot;/&gt;&lt;wsp:rsid wsp:val=&quot;106477BA&quot;/&gt;&lt;wsp:rsid wsp:val=&quot;106519DD&quot;/&gt;&lt;wsp:rsid wsp:val=&quot;106612B1&quot;/&gt;&lt;wsp:rsid wsp:val=&quot;1068077F&quot;/&gt;&lt;wsp:rsid wsp:val=&quot;10686DD7&quot;/&gt;&lt;wsp:rsid wsp:val=&quot;106A0DA2&quot;/&gt;&lt;wsp:rsid wsp:val=&quot;106C5F4C&quot;/&gt;&lt;wsp:rsid wsp:val=&quot;106D0892&quot;/&gt;&lt;wsp:rsid wsp:val=&quot;106D2640&quot;/&gt;&lt;wsp:rsid wsp:val=&quot;106D2F64&quot;/&gt;&lt;wsp:rsid wsp:val=&quot;106E343D&quot;/&gt;&lt;wsp:rsid wsp:val=&quot;106F63B8&quot;/&gt;&lt;wsp:rsid wsp:val=&quot;10760072&quot;/&gt;&lt;wsp:rsid wsp:val=&quot;10797237&quot;/&gt;&lt;wsp:rsid wsp:val=&quot;107A6B0B&quot;/&gt;&lt;wsp:rsid wsp:val=&quot;107F6D0B&quot;/&gt;&lt;wsp:rsid wsp:val=&quot;108005C5&quot;/&gt;&lt;wsp:rsid wsp:val=&quot;10805852&quot;/&gt;&lt;wsp:rsid wsp:val=&quot;108160EB&quot;/&gt;&lt;wsp:rsid wsp:val=&quot;10833C11&quot;/&gt;&lt;wsp:rsid wsp:val=&quot;108445BC&quot;/&gt;&lt;wsp:rsid wsp:val=&quot;10861954&quot;/&gt;&lt;wsp:rsid wsp:val=&quot;108654B0&quot;/&gt;&lt;wsp:rsid wsp:val=&quot;1088747A&quot;/&gt;&lt;wsp:rsid wsp:val=&quot;108A0980&quot;/&gt;&lt;wsp:rsid wsp:val=&quot;108A1444&quot;/&gt;&lt;wsp:rsid wsp:val=&quot;108A2C16&quot;/&gt;&lt;wsp:rsid wsp:val=&quot;108C51BC&quot;/&gt;&lt;wsp:rsid wsp:val=&quot;108F6A5A&quot;/&gt;&lt;wsp:rsid wsp:val=&quot;10904FB2&quot;/&gt;&lt;wsp:rsid wsp:val=&quot;1090632E&quot;/&gt;&lt;wsp:rsid wsp:val=&quot;10914580&quot;/&gt;&lt;wsp:rsid wsp:val=&quot;109220A6&quot;/&gt;&lt;wsp:rsid wsp:val=&quot;1092654A&quot;/&gt;&lt;wsp:rsid wsp:val=&quot;109479C2&quot;/&gt;&lt;wsp:rsid wsp:val=&quot;10953945&quot;/&gt;&lt;wsp:rsid wsp:val=&quot;10967DE9&quot;/&gt;&lt;wsp:rsid wsp:val=&quot;10972E54&quot;/&gt;&lt;wsp:rsid wsp:val=&quot;10973B61&quot;/&gt;&lt;wsp:rsid wsp:val=&quot;109776BD&quot;/&gt;&lt;wsp:rsid wsp:val=&quot;109B53FF&quot;/&gt;&lt;wsp:rsid wsp:val=&quot;109C64BB&quot;/&gt;&lt;wsp:rsid wsp:val=&quot;109C6FBD&quot;/&gt;&lt;wsp:rsid wsp:val=&quot;10A02A15&quot;/&gt;&lt;wsp:rsid wsp:val=&quot;10A1053B&quot;/&gt;&lt;wsp:rsid wsp:val=&quot;10A36062&quot;/&gt;&lt;wsp:rsid wsp:val=&quot;10A50CAE&quot;/&gt;&lt;wsp:rsid wsp:val=&quot;10A51DDA&quot;/&gt;&lt;wsp:rsid wsp:val=&quot;10A5627E&quot;/&gt;&lt;wsp:rsid wsp:val=&quot;10A64101&quot;/&gt;&lt;wsp:rsid wsp:val=&quot;10A65B52&quot;/&gt;&lt;wsp:rsid wsp:val=&quot;10A73DA4&quot;/&gt;&lt;wsp:rsid wsp:val=&quot;10A87B1C&quot;/&gt;&lt;wsp:rsid wsp:val=&quot;10AA3894&quot;/&gt;&lt;wsp:rsid wsp:val=&quot;10AB3168&quot;/&gt;&lt;wsp:rsid wsp:val=&quot;10AD0C8E&quot;/&gt;&lt;wsp:rsid wsp:val=&quot;10AD6EE0&quot;/&gt;&lt;wsp:rsid wsp:val=&quot;10AE42B7&quot;/&gt;&lt;wsp:rsid wsp:val=&quot;10AF4A06&quot;/&gt;&lt;wsp:rsid wsp:val=&quot;10B1077E&quot;/&gt;&lt;wsp:rsid wsp:val=&quot;10B4201D&quot;/&gt;&lt;wsp:rsid wsp:val=&quot;10B62239&quot;/&gt;&lt;wsp:rsid wsp:val=&quot;10B63710&quot;/&gt;&lt;wsp:rsid wsp:val=&quot;10B95885&quot;/&gt;&lt;wsp:rsid wsp:val=&quot;10BB33AB&quot;/&gt;&lt;wsp:rsid wsp:val=&quot;10BC5375&quot;/&gt;&lt;wsp:rsid wsp:val=&quot;10BE733F&quot;/&gt;&lt;wsp:rsid wsp:val=&quot;10C009C2&quot;/&gt;&lt;wsp:rsid wsp:val=&quot;10C06C14&quot;/&gt;&lt;wsp:rsid wsp:val=&quot;10C1473A&quot;/&gt;&lt;wsp:rsid wsp:val=&quot;10C5422A&quot;/&gt;&lt;wsp:rsid wsp:val=&quot;10C55FD8&quot;/&gt;&lt;wsp:rsid wsp:val=&quot;10C77FA2&quot;/&gt;&lt;wsp:rsid wsp:val=&quot;10CA0C07&quot;/&gt;&lt;wsp:rsid wsp:val=&quot;10CA1840&quot;/&gt;&lt;wsp:rsid wsp:val=&quot;10CA7A92&quot;/&gt;&lt;wsp:rsid wsp:val=&quot;10CD4DEF&quot;/&gt;&lt;wsp:rsid wsp:val=&quot;10CE7EBA&quot;/&gt;&lt;wsp:rsid wsp:val=&quot;10CF50A9&quot;/&gt;&lt;wsp:rsid wsp:val=&quot;10D0497D&quot;/&gt;&lt;wsp:rsid wsp:val=&quot;10D27CCB&quot;/&gt;&lt;wsp:rsid wsp:val=&quot;10D601E5&quot;/&gt;&lt;wsp:rsid wsp:val=&quot;10D60472&quot;/&gt;&lt;wsp:rsid wsp:val=&quot;10D64689&quot;/&gt;&lt;wsp:rsid wsp:val=&quot;10D75D0B&quot;/&gt;&lt;wsp:rsid wsp:val=&quot;10D80401&quot;/&gt;&lt;wsp:rsid wsp:val=&quot;10D8660A&quot;/&gt;&lt;wsp:rsid wsp:val=&quot;10D97CD5&quot;/&gt;&lt;wsp:rsid wsp:val=&quot;10DA0EB1&quot;/&gt;&lt;wsp:rsid wsp:val=&quot;10DA645D&quot;/&gt;&lt;wsp:rsid wsp:val=&quot;10DB24BE&quot;/&gt;&lt;wsp:rsid wsp:val=&quot;10DC1574&quot;/&gt;&lt;wsp:rsid wsp:val=&quot;10DC2325&quot;/&gt;&lt;wsp:rsid wsp:val=&quot;10E01064&quot;/&gt;&lt;wsp:rsid wsp:val=&quot;10E2669D&quot;/&gt;&lt;wsp:rsid wsp:val=&quot;10E32902&quot;/&gt;&lt;wsp:rsid wsp:val=&quot;10E36DA6&quot;/&gt;&lt;wsp:rsid wsp:val=&quot;10E675D1&quot;/&gt;&lt;wsp:rsid wsp:val=&quot;10E723F2&quot;/&gt;&lt;wsp:rsid wsp:val=&quot;10E741A0&quot;/&gt;&lt;wsp:rsid wsp:val=&quot;10E8616A&quot;/&gt;&lt;wsp:rsid wsp:val=&quot;10EA6658&quot;/&gt;&lt;wsp:rsid wsp:val=&quot;10EB4340&quot;/&gt;&lt;wsp:rsid wsp:val=&quot;10EC7A09&quot;/&gt;&lt;wsp:rsid wsp:val=&quot;10ED552F&quot;/&gt;&lt;wsp:rsid wsp:val=&quot;10EF74F9&quot;/&gt;&lt;wsp:rsid wsp:val=&quot;10F10820&quot;/&gt;&lt;wsp:rsid wsp:val=&quot;10F16DCD&quot;/&gt;&lt;wsp:rsid wsp:val=&quot;10F20D97&quot;/&gt;&lt;wsp:rsid wsp:val=&quot;10F22B45&quot;/&gt;&lt;wsp:rsid wsp:val=&quot;10F26517&quot;/&gt;&lt;wsp:rsid wsp:val=&quot;10F42D61&quot;/&gt;&lt;wsp:rsid wsp:val=&quot;10F468BD&quot;/&gt;&lt;wsp:rsid wsp:val=&quot;10F84004&quot;/&gt;&lt;wsp:rsid wsp:val=&quot;10F945B7&quot;/&gt;&lt;wsp:rsid wsp:val=&quot;10FB40F0&quot;/&gt;&lt;wsp:rsid wsp:val=&quot;10FD1C16&quot;/&gt;&lt;wsp:rsid wsp:val=&quot;10FD2C30&quot;/&gt;&lt;wsp:rsid wsp:val=&quot;10FD39C4&quot;/&gt;&lt;wsp:rsid wsp:val=&quot;10FE14EA&quot;/&gt;&lt;wsp:rsid wsp:val=&quot;110151D4&quot;/&gt;&lt;wsp:rsid wsp:val=&quot;110223B7&quot;/&gt;&lt;wsp:rsid wsp:val=&quot;11024D92&quot;/&gt;&lt;wsp:rsid wsp:val=&quot;11025669&quot;/&gt;&lt;wsp:rsid wsp:val=&quot;1102722C&quot;/&gt;&lt;wsp:rsid wsp:val=&quot;11032FA4&quot;/&gt;&lt;wsp:rsid wsp:val=&quot;11052878&quot;/&gt;&lt;wsp:rsid wsp:val=&quot;11070191&quot;/&gt;&lt;wsp:rsid wsp:val=&quot;11070D24&quot;/&gt;&lt;wsp:rsid wsp:val=&quot;110805BA&quot;/&gt;&lt;wsp:rsid wsp:val=&quot;110D797F&quot;/&gt;&lt;wsp:rsid wsp:val=&quot;110E3E23&quot;/&gt;&lt;wsp:rsid wsp:val=&quot;110E5BD1&quot;/&gt;&lt;wsp:rsid wsp:val=&quot;1111746F&quot;/&gt;&lt;wsp:rsid wsp:val=&quot;111331E7&quot;/&gt;&lt;wsp:rsid wsp:val=&quot;11146F5F&quot;/&gt;&lt;wsp:rsid wsp:val=&quot;11186A50&quot;/&gt;&lt;wsp:rsid wsp:val=&quot;111910C7&quot;/&gt;&lt;wsp:rsid wsp:val=&quot;11191962&quot;/&gt;&lt;wsp:rsid wsp:val=&quot;111927C8&quot;/&gt;&lt;wsp:rsid wsp:val=&quot;11194576&quot;/&gt;&lt;wsp:rsid wsp:val=&quot;11196324&quot;/&gt;&lt;wsp:rsid wsp:val=&quot;111A4481&quot;/&gt;&lt;wsp:rsid wsp:val=&quot;111B6540&quot;/&gt;&lt;wsp:rsid wsp:val=&quot;111C2F7A&quot;/&gt;&lt;wsp:rsid wsp:val=&quot;111D4066&quot;/&gt;&lt;wsp:rsid wsp:val=&quot;111D5E14&quot;/&gt;&lt;wsp:rsid wsp:val=&quot;111D7BC2&quot;/&gt;&lt;wsp:rsid wsp:val=&quot;111E1B8C&quot;/&gt;&lt;wsp:rsid wsp:val=&quot;111E393A&quot;/&gt;&lt;wsp:rsid wsp:val=&quot;111F4B90&quot;/&gt;&lt;wsp:rsid wsp:val=&quot;11227E23&quot;/&gt;&lt;wsp:rsid wsp:val=&quot;1123010F&quot;/&gt;&lt;wsp:rsid wsp:val=&quot;1125116C&quot;/&gt;&lt;wsp:rsid wsp:val=&quot;11252F1A&quot;/&gt;&lt;wsp:rsid wsp:val=&quot;11270A41&quot;/&gt;&lt;wsp:rsid wsp:val=&quot;11274EE5&quot;/&gt;&lt;wsp:rsid wsp:val=&quot;11290C5D&quot;/&gt;&lt;wsp:rsid wsp:val=&quot;112A0531&quot;/&gt;&lt;wsp:rsid wsp:val=&quot;112B0A57&quot;/&gt;&lt;wsp:rsid wsp:val=&quot;112E0021&quot;/&gt;&lt;wsp:rsid wsp:val=&quot;112F78F5&quot;/&gt;&lt;wsp:rsid wsp:val=&quot;11311021&quot;/&gt;&lt;wsp:rsid wsp:val=&quot;113118BF&quot;/&gt;&lt;wsp:rsid wsp:val=&quot;11311EBB&quot;/&gt;&lt;wsp:rsid wsp:val=&quot;11333889&quot;/&gt;&lt;wsp:rsid wsp:val=&quot;113373E5&quot;/&gt;&lt;wsp:rsid wsp:val=&quot;11380EA0&quot;/&gt;&lt;wsp:rsid wsp:val=&quot;113849FC&quot;/&gt;&lt;wsp:rsid wsp:val=&quot;11386E78&quot;/&gt;&lt;wsp:rsid wsp:val=&quot;11391A49&quot;/&gt;&lt;wsp:rsid wsp:val=&quot;113A1798&quot;/&gt;&lt;wsp:rsid wsp:val=&quot;113B0990&quot;/&gt;&lt;wsp:rsid wsp:val=&quot;113C03CA&quot;/&gt;&lt;wsp:rsid wsp:val=&quot;113E3FDC&quot;/&gt;&lt;wsp:rsid wsp:val=&quot;113F37C6&quot;/&gt;&lt;wsp:rsid wsp:val=&quot;11401B02&quot;/&gt;&lt;wsp:rsid wsp:val=&quot;11417AEF&quot;/&gt;&lt;wsp:rsid wsp:val=&quot;114415F3&quot;/&gt;&lt;wsp:rsid wsp:val=&quot;11447845&quot;/&gt;&lt;wsp:rsid wsp:val=&quot;11447B82&quot;/&gt;&lt;wsp:rsid wsp:val=&quot;114710E3&quot;/&gt;&lt;wsp:rsid wsp:val=&quot;11472E91&quot;/&gt;&lt;wsp:rsid wsp:val=&quot;114754DD&quot;/&gt;&lt;wsp:rsid wsp:val=&quot;114809B7&quot;/&gt;&lt;wsp:rsid wsp:val=&quot;11494E5B&quot;/&gt;&lt;wsp:rsid wsp:val=&quot;11497DFD&quot;/&gt;&lt;wsp:rsid wsp:val=&quot;114A2981&quot;/&gt;&lt;wsp:rsid wsp:val=&quot;114A29CE&quot;/&gt;&lt;wsp:rsid wsp:val=&quot;114B3E5E&quot;/&gt;&lt;wsp:rsid wsp:val=&quot;114C04A7&quot;/&gt;&lt;wsp:rsid wsp:val=&quot;114C494B&quot;/&gt;&lt;wsp:rsid wsp:val=&quot;114C66F9&quot;/&gt;&lt;wsp:rsid wsp:val=&quot;114E421F&quot;/&gt;&lt;wsp:rsid wsp:val=&quot;114F61E9&quot;/&gt;&lt;wsp:rsid wsp:val=&quot;11511F61&quot;/&gt;&lt;wsp:rsid wsp:val=&quot;11513D10&quot;/&gt;&lt;wsp:rsid wsp:val=&quot;1151658F&quot;/&gt;&lt;wsp:rsid wsp:val=&quot;115215AF&quot;/&gt;&lt;wsp:rsid wsp:val=&quot;11535CDA&quot;/&gt;&lt;wsp:rsid wsp:val=&quot;115832F0&quot;/&gt;&lt;wsp:rsid wsp:val=&quot;1158509E&quot;/&gt;&lt;wsp:rsid wsp:val=&quot;11586E4C&quot;/&gt;&lt;wsp:rsid wsp:val=&quot;115A17CB&quot;/&gt;&lt;wsp:rsid wsp:val=&quot;115B2212&quot;/&gt;&lt;wsp:rsid wsp:val=&quot;115B4DE3&quot;/&gt;&lt;wsp:rsid wsp:val=&quot;115D4462&quot;/&gt;&lt;wsp:rsid wsp:val=&quot;115E3460&quot;/&gt;&lt;wsp:rsid wsp:val=&quot;115F467E&quot;/&gt;&lt;wsp:rsid wsp:val=&quot;115F59AD&quot;/&gt;&lt;wsp:rsid wsp:val=&quot;11641C95&quot;/&gt;&lt;wsp:rsid wsp:val=&quot;11643A43&quot;/&gt;&lt;wsp:rsid wsp:val=&quot;11665A0D&quot;/&gt;&lt;wsp:rsid wsp:val=&quot;11665CA1&quot;/&gt;&lt;wsp:rsid wsp:val=&quot;116752E1&quot;/&gt;&lt;wsp:rsid wsp:val=&quot;11691059&quot;/&gt;&lt;wsp:rsid wsp:val=&quot;116A6B7F&quot;/&gt;&lt;wsp:rsid wsp:val=&quot;116B3023&quot;/&gt;&lt;wsp:rsid wsp:val=&quot;116C0B49&quot;/&gt;&lt;wsp:rsid wsp:val=&quot;116D6053&quot;/&gt;&lt;wsp:rsid wsp:val=&quot;116E041E&quot;/&gt;&lt;wsp:rsid wsp:val=&quot;116E2B13&quot;/&gt;&lt;wsp:rsid wsp:val=&quot;116E48C1&quot;/&gt;&lt;wsp:rsid wsp:val=&quot;116F561C&quot;/&gt;&lt;wsp:rsid wsp:val=&quot;11715B79&quot;/&gt;&lt;wsp:rsid wsp:val=&quot;1173012A&quot;/&gt;&lt;wsp:rsid wsp:val=&quot;11740952&quot;/&gt;&lt;wsp:rsid wsp:val=&quot;117417AC&quot;/&gt;&lt;wsp:rsid wsp:val=&quot;11772E7B&quot;/&gt;&lt;wsp:rsid wsp:val=&quot;11782153&quot;/&gt;&lt;wsp:rsid wsp:val=&quot;11783499&quot;/&gt;&lt;wsp:rsid wsp:val=&quot;117C31CF&quot;/&gt;&lt;wsp:rsid wsp:val=&quot;117D68B3&quot;/&gt;&lt;wsp:rsid wsp:val=&quot;117F7D58&quot;/&gt;&lt;wsp:rsid wsp:val=&quot;11800151&quot;/&gt;&lt;wsp:rsid wsp:val=&quot;118045F5&quot;/&gt;&lt;wsp:rsid wsp:val=&quot;1182036D&quot;/&gt;&lt;wsp:rsid wsp:val=&quot;11823EC9&quot;/&gt;&lt;wsp:rsid wsp:val=&quot;11851C0B&quot;/&gt;&lt;wsp:rsid wsp:val=&quot;118539B9&quot;/&gt;&lt;wsp:rsid wsp:val=&quot;118714DF&quot;/&gt;&lt;wsp:rsid wsp:val=&quot;11877731&quot;/&gt;&lt;wsp:rsid wsp:val=&quot;1188040D&quot;/&gt;&lt;wsp:rsid wsp:val=&quot;118A4C64&quot;/&gt;&lt;wsp:rsid wsp:val=&quot;118B5F3C&quot;/&gt;&lt;wsp:rsid wsp:val=&quot;118C11EC&quot;/&gt;&lt;wsp:rsid wsp:val=&quot;118E2406&quot;/&gt;&lt;wsp:rsid wsp:val=&quot;118F65E6&quot;/&gt;&lt;wsp:rsid wsp:val=&quot;11902592&quot;/&gt;&lt;wsp:rsid wsp:val=&quot;1191013B&quot;/&gt;&lt;wsp:rsid wsp:val=&quot;1191235E&quot;/&gt;&lt;wsp:rsid wsp:val=&quot;11965906&quot;/&gt;&lt;wsp:rsid wsp:val=&quot;11965BC6&quot;/&gt;&lt;wsp:rsid wsp:val=&quot;11967974&quot;/&gt;&lt;wsp:rsid wsp:val=&quot;119753C5&quot;/&gt;&lt;wsp:rsid wsp:val=&quot;11991213&quot;/&gt;&lt;wsp:rsid wsp:val=&quot;119B31DD&quot;/&gt;&lt;wsp:rsid wsp:val=&quot;119C142F&quot;/&gt;&lt;wsp:rsid wsp:val=&quot;119D0D03&quot;/&gt;&lt;wsp:rsid wsp:val=&quot;119F2CCD&quot;/&gt;&lt;wsp:rsid wsp:val=&quot;119F4A7B&quot;/&gt;&lt;wsp:rsid wsp:val=&quot;11A227BD&quot;/&gt;&lt;wsp:rsid wsp:val=&quot;11A53328&quot;/&gt;&lt;wsp:rsid wsp:val=&quot;11A55700&quot;/&gt;&lt;wsp:rsid wsp:val=&quot;11A55E09&quot;/&gt;&lt;wsp:rsid wsp:val=&quot;11A56F50&quot;/&gt;&lt;wsp:rsid wsp:val=&quot;11A622AD&quot;/&gt;&lt;wsp:rsid wsp:val=&quot;11A7392F&quot;/&gt;&lt;wsp:rsid wsp:val=&quot;11AB1672&quot;/&gt;&lt;wsp:rsid wsp:val=&quot;11AB78C4&quot;/&gt;&lt;wsp:rsid wsp:val=&quot;11AC0F46&quot;/&gt;&lt;wsp:rsid wsp:val=&quot;11AC53EA&quot;/&gt;&lt;wsp:rsid wsp:val=&quot;11AC7198&quot;/&gt;&lt;wsp:rsid wsp:val=&quot;11AE2F10&quot;/&gt;&lt;wsp:rsid wsp:val=&quot;11B04EDA&quot;/&gt;&lt;wsp:rsid wsp:val=&quot;11B147AE&quot;/&gt;&lt;wsp:rsid wsp:val=&quot;11B36043&quot;/&gt;&lt;wsp:rsid wsp:val=&quot;11B5429E&quot;/&gt;&lt;wsp:rsid wsp:val=&quot;11B5604C&quot;/&gt;&lt;wsp:rsid wsp:val=&quot;11B81FE1&quot;/&gt;&lt;wsp:rsid wsp:val=&quot;11B83D8F&quot;/&gt;&lt;wsp:rsid wsp:val=&quot;11BA3663&quot;/&gt;&lt;wsp:rsid wsp:val=&quot;11BA7B07&quot;/&gt;&lt;wsp:rsid wsp:val=&quot;11BB554E&quot;/&gt;&lt;wsp:rsid wsp:val=&quot;11BC11C1&quot;/&gt;&lt;wsp:rsid wsp:val=&quot;11BC6E1B&quot;/&gt;&lt;wsp:rsid wsp:val=&quot;11BF336F&quot;/&gt;&lt;wsp:rsid wsp:val=&quot;11BF6ECB&quot;/&gt;&lt;wsp:rsid wsp:val=&quot;11C004B0&quot;/&gt;&lt;wsp:rsid wsp:val=&quot;11C07F30&quot;/&gt;&lt;wsp:rsid wsp:val=&quot;11C24C0D&quot;/&gt;&lt;wsp:rsid wsp:val=&quot;11C42733&quot;/&gt;&lt;wsp:rsid wsp:val=&quot;11C75232&quot;/&gt;&lt;wsp:rsid wsp:val=&quot;11C81293&quot;/&gt;&lt;wsp:rsid wsp:val=&quot;11C91AF8&quot;/&gt;&lt;wsp:rsid wsp:val=&quot;11CB5870&quot;/&gt;&lt;wsp:rsid wsp:val=&quot;11CB6784&quot;/&gt;&lt;wsp:rsid wsp:val=&quot;11CD40A6&quot;/&gt;&lt;wsp:rsid wsp:val=&quot;11CE35B2&quot;/&gt;&lt;wsp:rsid wsp:val=&quot;11CE5360&quot;/&gt;&lt;wsp:rsid wsp:val=&quot;11D0732A&quot;/&gt;&lt;wsp:rsid wsp:val=&quot;11D24F16&quot;/&gt;&lt;wsp:rsid wsp:val=&quot;11D30BC8&quot;/&gt;&lt;wsp:rsid wsp:val=&quot;11D324F2&quot;/&gt;&lt;wsp:rsid wsp:val=&quot;11D443BB&quot;/&gt;&lt;wsp:rsid wsp:val=&quot;11D54941&quot;/&gt;&lt;wsp:rsid wsp:val=&quot;11D81D3B&quot;/&gt;&lt;wsp:rsid wsp:val=&quot;11D861DF&quot;/&gt;&lt;wsp:rsid wsp:val=&quot;11DA1F57&quot;/&gt;&lt;wsp:rsid wsp:val=&quot;11DA3D05&quot;/&gt;&lt;wsp:rsid wsp:val=&quot;11DC365B&quot;/&gt;&lt;wsp:rsid wsp:val=&quot;11DC7709&quot;/&gt;&lt;wsp:rsid wsp:val=&quot;11DF131B&quot;/&gt;&lt;wsp:rsid wsp:val=&quot;11E15093&quot;/&gt;&lt;wsp:rsid wsp:val=&quot;11E42DD6&quot;/&gt;&lt;wsp:rsid wsp:val=&quot;11E44B84&quot;/&gt;&lt;wsp:rsid wsp:val=&quot;11E46932&quot;/&gt;&lt;wsp:rsid wsp:val=&quot;11E46AD9&quot;/&gt;&lt;wsp:rsid wsp:val=&quot;11E608FC&quot;/&gt;&lt;wsp:rsid wsp:val=&quot;11E61C4B&quot;/&gt;&lt;wsp:rsid wsp:val=&quot;11E626AA&quot;/&gt;&lt;wsp:rsid wsp:val=&quot;11E76422&quot;/&gt;&lt;wsp:rsid wsp:val=&quot;11E865D6&quot;/&gt;&lt;wsp:rsid wsp:val=&quot;11E86AC6&quot;/&gt;&lt;wsp:rsid wsp:val=&quot;11E9219A&quot;/&gt;&lt;wsp:rsid wsp:val=&quot;11E92AE7&quot;/&gt;&lt;wsp:rsid wsp:val=&quot;11E93F48&quot;/&gt;&lt;wsp:rsid wsp:val=&quot;11EE5A02&quot;/&gt;&lt;wsp:rsid wsp:val=&quot;11F052D6&quot;/&gt;&lt;wsp:rsid wsp:val=&quot;11F36B75&quot;/&gt;&lt;wsp:rsid wsp:val=&quot;11F50B3F&quot;/&gt;&lt;wsp:rsid wsp:val=&quot;11F63B39&quot;/&gt;&lt;wsp:rsid wsp:val=&quot;11F6684A&quot;/&gt;&lt;wsp:rsid wsp:val=&quot;11F748B7&quot;/&gt;&lt;wsp:rsid wsp:val=&quot;11F757A1&quot;/&gt;&lt;wsp:rsid wsp:val=&quot;11F8062F&quot;/&gt;&lt;wsp:rsid wsp:val=&quot;11FA7F03&quot;/&gt;&lt;wsp:rsid wsp:val=&quot;11FC1ECD&quot;/&gt;&lt;wsp:rsid wsp:val=&quot;11FC3C7B&quot;/&gt;&lt;wsp:rsid wsp:val=&quot;11FD6A42&quot;/&gt;&lt;wsp:rsid wsp:val=&quot;1202325C&quot;/&gt;&lt;wsp:rsid wsp:val=&quot;1202500A&quot;/&gt;&lt;wsp:rsid wsp:val=&quot;12042B30&quot;/&gt;&lt;wsp:rsid wsp:val=&quot;12050509&quot;/&gt;&lt;wsp:rsid wsp:val=&quot;12056664&quot;/&gt;&lt;wsp:rsid wsp:val=&quot;12062D4C&quot;/&gt;&lt;wsp:rsid wsp:val=&quot;12086AC4&quot;/&gt;&lt;wsp:rsid wsp:val=&quot;120B0362&quot;/&gt;&lt;wsp:rsid wsp:val=&quot;120B4C2C&quot;/&gt;&lt;wsp:rsid wsp:val=&quot;120D40DA&quot;/&gt;&lt;wsp:rsid wsp:val=&quot;120D4DF6&quot;/&gt;&lt;wsp:rsid wsp:val=&quot;120D5E88&quot;/&gt;&lt;wsp:rsid wsp:val=&quot;120E39AF&quot;/&gt;&lt;wsp:rsid wsp:val=&quot;12102604&quot;/&gt;&lt;wsp:rsid wsp:val=&quot;12104757&quot;/&gt;&lt;wsp:rsid wsp:val=&quot;12104CF4&quot;/&gt;&lt;wsp:rsid wsp:val=&quot;121060CD&quot;/&gt;&lt;wsp:rsid wsp:val=&quot;1212349F&quot;/&gt;&lt;wsp:rsid wsp:val=&quot;12135469&quot;/&gt;&lt;wsp:rsid wsp:val=&quot;12144FC0&quot;/&gt;&lt;wsp:rsid wsp:val=&quot;12154D3D&quot;/&gt;&lt;wsp:rsid wsp:val=&quot;12176D07&quot;/&gt;&lt;wsp:rsid wsp:val=&quot;121A73FA&quot;/&gt;&lt;wsp:rsid wsp:val=&quot;121C431D&quot;/&gt;&lt;wsp:rsid wsp:val=&quot;121C60CC&quot;/&gt;&lt;wsp:rsid wsp:val=&quot;121E0096&quot;/&gt;&lt;wsp:rsid wsp:val=&quot;121E2BB0&quot;/&gt;&lt;wsp:rsid wsp:val=&quot;121E5D7B&quot;/&gt;&lt;wsp:rsid wsp:val=&quot;121E62E8&quot;/&gt;&lt;wsp:rsid wsp:val=&quot;121F5BBC&quot;/&gt;&lt;wsp:rsid wsp:val=&quot;121F796A&quot;/&gt;&lt;wsp:rsid wsp:val=&quot;1222054A&quot;/&gt;&lt;wsp:rsid wsp:val=&quot;12221368&quot;/&gt;&lt;wsp:rsid wsp:val=&quot;1223075D&quot;/&gt;&lt;wsp:rsid wsp:val=&quot;12241424&quot;/&gt;&lt;wsp:rsid wsp:val=&quot;12260CF8&quot;/&gt;&lt;wsp:rsid wsp:val=&quot;12282CC2&quot;/&gt;&lt;wsp:rsid wsp:val=&quot;122B27B2&quot;/&gt;&lt;wsp:rsid wsp:val=&quot;122B4561&quot;/&gt;&lt;wsp:rsid wsp:val=&quot;122C2897&quot;/&gt;&lt;wsp:rsid wsp:val=&quot;122D652B&quot;/&gt;&lt;wsp:rsid wsp:val=&quot;12301B77&quot;/&gt;&lt;wsp:rsid wsp:val=&quot;12302D61&quot;/&gt;&lt;wsp:rsid wsp:val=&quot;12303925&quot;/&gt;&lt;wsp:rsid wsp:val=&quot;1230601B&quot;/&gt;&lt;wsp:rsid wsp:val=&quot;12307DC9&quot;/&gt;&lt;wsp:rsid wsp:val=&quot;12325900&quot;/&gt;&lt;wsp:rsid wsp:val=&quot;123553DF&quot;/&gt;&lt;wsp:rsid wsp:val=&quot;12371157&quot;/&gt;&lt;wsp:rsid wsp:val=&quot;123A0C48&quot;/&gt;&lt;wsp:rsid wsp:val=&quot;123C0392&quot;/&gt;&lt;wsp:rsid wsp:val=&quot;123C051C&quot;/&gt;&lt;wsp:rsid wsp:val=&quot;123D5564&quot;/&gt;&lt;wsp:rsid wsp:val=&quot;123E24E6&quot;/&gt;&lt;wsp:rsid wsp:val=&quot;123E4294&quot;/&gt;&lt;wsp:rsid wsp:val=&quot;123F1DBA&quot;/&gt;&lt;wsp:rsid wsp:val=&quot;12407C85&quot;/&gt;&lt;wsp:rsid wsp:val=&quot;12415B32&quot;/&gt;&lt;wsp:rsid wsp:val=&quot;124473D0&quot;/&gt;&lt;wsp:rsid wsp:val=&quot;12463148&quot;/&gt;&lt;wsp:rsid wsp:val=&quot;12474DCB&quot;/&gt;&lt;wsp:rsid wsp:val=&quot;12492478&quot;/&gt;&lt;wsp:rsid wsp:val=&quot;124A70DD&quot;/&gt;&lt;wsp:rsid wsp:val=&quot;124B4C03&quot;/&gt;&lt;wsp:rsid wsp:val=&quot;124B5F39&quot;/&gt;&lt;wsp:rsid wsp:val=&quot;124B69B1&quot;/&gt;&lt;wsp:rsid wsp:val=&quot;124D097B&quot;/&gt;&lt;wsp:rsid wsp:val=&quot;124E024F&quot;/&gt;&lt;wsp:rsid wsp:val=&quot;124E4E5A&quot;/&gt;&lt;wsp:rsid wsp:val=&quot;124F64A1&quot;/&gt;&lt;wsp:rsid wsp:val=&quot;12503FC7&quot;/&gt;&lt;wsp:rsid wsp:val=&quot;12505D75&quot;/&gt;&lt;wsp:rsid wsp:val=&quot;12541D09&quot;/&gt;&lt;wsp:rsid wsp:val=&quot;125515DD&quot;/&gt;&lt;wsp:rsid wsp:val=&quot;12575356&quot;/&gt;&lt;wsp:rsid wsp:val=&quot;12582E7C&quot;/&gt;&lt;wsp:rsid wsp:val=&quot;125910CE&quot;/&gt;&lt;wsp:rsid wsp:val=&quot;125A4496&quot;/&gt;&lt;wsp:rsid wsp:val=&quot;125A4E46&quot;/&gt;&lt;wsp:rsid wsp:val=&quot;125A6BF4&quot;/&gt;&lt;wsp:rsid wsp:val=&quot;125C0BBE&quot;/&gt;&lt;wsp:rsid wsp:val=&quot;125C296C&quot;/&gt;&lt;wsp:rsid wsp:val=&quot;125C471A&quot;/&gt;&lt;wsp:rsid wsp:val=&quot;125C7CA3&quot;/&gt;&lt;wsp:rsid wsp:val=&quot;125F420A&quot;/&gt;&lt;wsp:rsid wsp:val=&quot;12614426&quot;/&gt;&lt;wsp:rsid wsp:val=&quot;12617F82&quot;/&gt;&lt;wsp:rsid wsp:val=&quot;12631AF2&quot;/&gt;&lt;wsp:rsid wsp:val=&quot;12633CFA&quot;/&gt;&lt;wsp:rsid wsp:val=&quot;12635BF0&quot;/&gt;&lt;wsp:rsid wsp:val=&quot;12647A72&quot;/&gt;&lt;wsp:rsid wsp:val=&quot;126530E1&quot;/&gt;&lt;wsp:rsid wsp:val=&quot;12655CC4&quot;/&gt;&lt;wsp:rsid wsp:val=&quot;126621FC&quot;/&gt;&lt;wsp:rsid wsp:val=&quot;12662D98&quot;/&gt;&lt;wsp:rsid wsp:val=&quot;126637EB&quot;/&gt;&lt;wsp:rsid wsp:val=&quot;12665599&quot;/&gt;&lt;wsp:rsid wsp:val=&quot;12681311&quot;/&gt;&lt;wsp:rsid wsp:val=&quot;12695089&quot;/&gt;&lt;wsp:rsid wsp:val=&quot;12696E37&quot;/&gt;&lt;wsp:rsid wsp:val=&quot;126B0E01&quot;/&gt;&lt;wsp:rsid wsp:val=&quot;126C4404&quot;/&gt;&lt;wsp:rsid wsp:val=&quot;126D6927&quot;/&gt;&lt;wsp:rsid wsp:val=&quot;127001C5&quot;/&gt;&lt;wsp:rsid wsp:val=&quot;127001F4&quot;/&gt;&lt;wsp:rsid wsp:val=&quot;12712867&quot;/&gt;&lt;wsp:rsid wsp:val=&quot;12722B14&quot;/&gt;&lt;wsp:rsid wsp:val=&quot;12732A65&quot;/&gt;&lt;wsp:rsid wsp:val=&quot;12740CB0&quot;/&gt;&lt;wsp:rsid wsp:val=&quot;12744159&quot;/&gt;&lt;wsp:rsid wsp:val=&quot;12746B75&quot;/&gt;&lt;wsp:rsid wsp:val=&quot;12753A2E&quot;/&gt;&lt;wsp:rsid wsp:val=&quot;127557DC&quot;/&gt;&lt;wsp:rsid wsp:val=&quot;12764066&quot;/&gt;&lt;wsp:rsid wsp:val=&quot;12771554&quot;/&gt;&lt;wsp:rsid wsp:val=&quot;127A1044&quot;/&gt;&lt;wsp:rsid wsp:val=&quot;127B54E8&quot;/&gt;&lt;wsp:rsid wsp:val=&quot;127E6D86&quot;/&gt;&lt;wsp:rsid wsp:val=&quot;127F3C88&quot;/&gt;&lt;wsp:rsid wsp:val=&quot;127F48AC&quot;/&gt;&lt;wsp:rsid wsp:val=&quot;12810624&quot;/&gt;&lt;wsp:rsid wsp:val=&quot;12823D4A&quot;/&gt;&lt;wsp:rsid wsp:val=&quot;12832108&quot;/&gt;&lt;wsp:rsid wsp:val=&quot;12840CBF&quot;/&gt;&lt;wsp:rsid wsp:val=&quot;12850115&quot;/&gt;&lt;wsp:rsid wsp:val=&quot;12863E8D&quot;/&gt;&lt;wsp:rsid wsp:val=&quot;128819B3&quot;/&gt;&lt;wsp:rsid wsp:val=&quot;128A74D9&quot;/&gt;&lt;wsp:rsid wsp:val=&quot;128B14A3&quot;/&gt;&lt;wsp:rsid wsp:val=&quot;128D0D77&quot;/&gt;&lt;wsp:rsid wsp:val=&quot;128D521B&quot;/&gt;&lt;wsp:rsid wsp:val=&quot;128D6FC9&quot;/&gt;&lt;wsp:rsid wsp:val=&quot;128E4CD4&quot;/&gt;&lt;wsp:rsid wsp:val=&quot;128E689D&quot;/&gt;&lt;wsp:rsid wsp:val=&quot;12902616&quot;/&gt;&lt;wsp:rsid wsp:val=&quot;12906AB9&quot;/&gt;&lt;wsp:rsid wsp:val=&quot;1293358D&quot;/&gt;&lt;wsp:rsid wsp:val=&quot;12934CCE&quot;/&gt;&lt;wsp:rsid wsp:val=&quot;12971BF6&quot;/&gt;&lt;wsp:rsid wsp:val=&quot;12976FDC&quot;/&gt;&lt;wsp:rsid wsp:val=&quot;129A3460&quot;/&gt;&lt;wsp:rsid wsp:val=&quot;129D7963&quot;/&gt;&lt;wsp:rsid wsp:val=&quot;12A06CFD&quot;/&gt;&lt;wsp:rsid wsp:val=&quot;12A14823&quot;/&gt;&lt;wsp:rsid wsp:val=&quot;12A367ED&quot;/&gt;&lt;wsp:rsid wsp:val=&quot;12A52565&quot;/&gt;&lt;wsp:rsid wsp:val=&quot;12A61E39&quot;/&gt;&lt;wsp:rsid wsp:val=&quot;12A71528&quot;/&gt;&lt;wsp:rsid wsp:val=&quot;12A83E03&quot;/&gt;&lt;wsp:rsid wsp:val=&quot;12A85BB1&quot;/&gt;&lt;wsp:rsid wsp:val=&quot;12AA1929&quot;/&gt;&lt;wsp:rsid wsp:val=&quot;12AA7B7B&quot;/&gt;&lt;wsp:rsid wsp:val=&quot;12AB1C90&quot;/&gt;&lt;wsp:rsid wsp:val=&quot;12AB744F&quot;/&gt;&lt;wsp:rsid wsp:val=&quot;12AC38F3&quot;/&gt;&lt;wsp:rsid wsp:val=&quot;12AD31C8&quot;/&gt;&lt;wsp:rsid wsp:val=&quot;12AD766B&quot;/&gt;&lt;wsp:rsid wsp:val=&quot;12AF0CEE&quot;/&gt;&lt;wsp:rsid wsp:val=&quot;12AF345C&quot;/&gt;&lt;wsp:rsid wsp:val=&quot;12B02CB8&quot;/&gt;&lt;wsp:rsid wsp:val=&quot;12B10F0A&quot;/&gt;&lt;wsp:rsid wsp:val=&quot;12B21DF5&quot;/&gt;&lt;wsp:rsid wsp:val=&quot;12B44070&quot;/&gt;&lt;wsp:rsid wsp:val=&quot;12B502CE&quot;/&gt;&lt;wsp:rsid wsp:val=&quot;12B5207C&quot;/&gt;&lt;wsp:rsid wsp:val=&quot;12B97DBE&quot;/&gt;&lt;wsp:rsid wsp:val=&quot;12BB52B9&quot;/&gt;&lt;wsp:rsid wsp:val=&quot;12BB58E4&quot;/&gt;&lt;wsp:rsid wsp:val=&quot;12BC78AF&quot;/&gt;&lt;wsp:rsid wsp:val=&quot;12BE53D5&quot;/&gt;&lt;wsp:rsid wsp:val=&quot;12BE7183&quot;/&gt;&lt;wsp:rsid wsp:val=&quot;12C02EFB&quot;/&gt;&lt;wsp:rsid wsp:val=&quot;12C102BD&quot;/&gt;&lt;wsp:rsid wsp:val=&quot;12C329EB&quot;/&gt;&lt;wsp:rsid wsp:val=&quot;12C34799&quot;/&gt;&lt;wsp:rsid wsp:val=&quot;12C4776A&quot;/&gt;&lt;wsp:rsid wsp:val=&quot;12C50CAE&quot;/&gt;&lt;wsp:rsid wsp:val=&quot;12C624DB&quot;/&gt;&lt;wsp:rsid wsp:val=&quot;12C66037&quot;/&gt;&lt;wsp:rsid wsp:val=&quot;12C86253&quot;/&gt;&lt;wsp:rsid wsp:val=&quot;12C86D36&quot;/&gt;&lt;wsp:rsid wsp:val=&quot;12C94D9D&quot;/&gt;&lt;wsp:rsid wsp:val=&quot;12CA3D79&quot;/&gt;&lt;wsp:rsid wsp:val=&quot;12CB18A0&quot;/&gt;&lt;wsp:rsid wsp:val=&quot;12CC5D44&quot;/&gt;&lt;wsp:rsid wsp:val=&quot;12CC7AF2&quot;/&gt;&lt;wsp:rsid wsp:val=&quot;12CD4BAE&quot;/&gt;&lt;wsp:rsid wsp:val=&quot;12CD62EF&quot;/&gt;&lt;wsp:rsid wsp:val=&quot;12CF507A&quot;/&gt;&lt;wsp:rsid wsp:val=&quot;12D20E80&quot;/&gt;&lt;wsp:rsid wsp:val=&quot;12D270D2&quot;/&gt;&lt;wsp:rsid wsp:val=&quot;12D27590&quot;/&gt;&lt;wsp:rsid wsp:val=&quot;12D3308B&quot;/&gt;&lt;wsp:rsid wsp:val=&quot;12D53340&quot;/&gt;&lt;wsp:rsid wsp:val=&quot;12D544CC&quot;/&gt;&lt;wsp:rsid wsp:val=&quot;12D553E2&quot;/&gt;&lt;wsp:rsid wsp:val=&quot;12D60970&quot;/&gt;&lt;wsp:rsid wsp:val=&quot;12D746E8&quot;/&gt;&lt;wsp:rsid wsp:val=&quot;12D93FBD&quot;/&gt;&lt;wsp:rsid wsp:val=&quot;12DA1AE3&quot;/&gt;&lt;wsp:rsid wsp:val=&quot;12DB5F87&quot;/&gt;&lt;wsp:rsid wsp:val=&quot;12DB7D35&quot;/&gt;&lt;wsp:rsid wsp:val=&quot;12DD7CF9&quot;/&gt;&lt;wsp:rsid wsp:val=&quot;12E110C3&quot;/&gt;&lt;wsp:rsid wsp:val=&quot;12E12E71&quot;/&gt;&lt;wsp:rsid wsp:val=&quot;12E15BF5&quot;/&gt;&lt;wsp:rsid wsp:val=&quot;12E21A9C&quot;/&gt;&lt;wsp:rsid wsp:val=&quot;12E2361D&quot;/&gt;&lt;wsp:rsid wsp:val=&quot;12E27315&quot;/&gt;&lt;wsp:rsid wsp:val=&quot;12E3308D&quot;/&gt;&lt;wsp:rsid wsp:val=&quot;12E41216&quot;/&gt;&lt;wsp:rsid wsp:val=&quot;12E52961&quot;/&gt;&lt;wsp:rsid wsp:val=&quot;12E60488&quot;/&gt;&lt;wsp:rsid wsp:val=&quot;12E666D9&quot;/&gt;&lt;wsp:rsid wsp:val=&quot;12E67D42&quot;/&gt;&lt;wsp:rsid wsp:val=&quot;12E806A4&quot;/&gt;&lt;wsp:rsid wsp:val=&quot;12E82452&quot;/&gt;&lt;wsp:rsid wsp:val=&quot;12E84200&quot;/&gt;&lt;wsp:rsid wsp:val=&quot;12EA1D66&quot;/&gt;&lt;wsp:rsid wsp:val=&quot;12EA61CA&quot;/&gt;&lt;wsp:rsid wsp:val=&quot;12EC0194&quot;/&gt;&lt;wsp:rsid wsp:val=&quot;12EC15C7&quot;/&gt;&lt;wsp:rsid wsp:val=&quot;12EC1F42&quot;/&gt;&lt;wsp:rsid wsp:val=&quot;12ED7A68&quot;/&gt;&lt;wsp:rsid wsp:val=&quot;12EF1A32&quot;/&gt;&lt;wsp:rsid wsp:val=&quot;12EF37E0&quot;/&gt;&lt;wsp:rsid wsp:val=&quot;12EF558E&quot;/&gt;&lt;wsp:rsid wsp:val=&quot;12F42BA4&quot;/&gt;&lt;wsp:rsid wsp:val=&quot;12F86B39&quot;/&gt;&lt;wsp:rsid wsp:val=&quot;12F901BB&quot;/&gt;&lt;wsp:rsid wsp:val=&quot;12F9241F&quot;/&gt;&lt;wsp:rsid wsp:val=&quot;12F928B1&quot;/&gt;&lt;wsp:rsid wsp:val=&quot;12FE1C75&quot;/&gt;&lt;wsp:rsid wsp:val=&quot;12FE3FC7&quot;/&gt;&lt;wsp:rsid wsp:val=&quot;130059ED&quot;/&gt;&lt;wsp:rsid wsp:val=&quot;130152C1&quot;/&gt;&lt;wsp:rsid wsp:val=&quot;13023513&quot;/&gt;&lt;wsp:rsid wsp:val=&quot;13035B40&quot;/&gt;&lt;wsp:rsid wsp:val=&quot;1303728B&quot;/&gt;&lt;wsp:rsid wsp:val=&quot;13042B2E&quot;/&gt;&lt;wsp:rsid wsp:val=&quot;13054DB2&quot;/&gt;&lt;wsp:rsid wsp:val=&quot;13076D7C&quot;/&gt;&lt;wsp:rsid wsp:val=&quot;130829CB&quot;/&gt;&lt;wsp:rsid wsp:val=&quot;13082AF4&quot;/&gt;&lt;wsp:rsid wsp:val=&quot;130848A2&quot;/&gt;&lt;wsp:rsid wsp:val=&quot;130A36C0&quot;/&gt;&lt;wsp:rsid wsp:val=&quot;130A686C&quot;/&gt;&lt;wsp:rsid wsp:val=&quot;130C25E4&quot;/&gt;&lt;wsp:rsid wsp:val=&quot;130D1EB8&quot;/&gt;&lt;wsp:rsid wsp:val=&quot;130E5F3B&quot;/&gt;&lt;wsp:rsid wsp:val=&quot;130F60A2&quot;/&gt;&lt;wsp:rsid wsp:val=&quot;1311095B&quot;/&gt;&lt;wsp:rsid wsp:val=&quot;131119A8&quot;/&gt;&lt;wsp:rsid wsp:val=&quot;13111E52&quot;/&gt;&lt;wsp:rsid wsp:val=&quot;1312127D&quot;/&gt;&lt;wsp:rsid wsp:val=&quot;13141499&quot;/&gt;&lt;wsp:rsid wsp:val=&quot;13144FF5&quot;/&gt;&lt;wsp:rsid wsp:val=&quot;13164834&quot;/&gt;&lt;wsp:rsid wsp:val=&quot;13166FBF&quot;/&gt;&lt;wsp:rsid wsp:val=&quot;1319260B&quot;/&gt;&lt;wsp:rsid wsp:val=&quot;131B7848&quot;/&gt;&lt;wsp:rsid wsp:val=&quot;131C6F65&quot;/&gt;&lt;wsp:rsid wsp:val=&quot;131D2DE9&quot;/&gt;&lt;wsp:rsid wsp:val=&quot;131D659F&quot;/&gt;&lt;wsp:rsid wsp:val=&quot;131E2317&quot;/&gt;&lt;wsp:rsid wsp:val=&quot;131E4A44&quot;/&gt;&lt;wsp:rsid wsp:val=&quot;131F6CD8&quot;/&gt;&lt;wsp:rsid wsp:val=&quot;13201BEB&quot;/&gt;&lt;wsp:rsid wsp:val=&quot;13203999&quot;/&gt;&lt;wsp:rsid wsp:val=&quot;13207E3D&quot;/&gt;&lt;wsp:rsid wsp:val=&quot;13217712&quot;/&gt;&lt;wsp:rsid wsp:val=&quot;13225964&quot;/&gt;&lt;wsp:rsid wsp:val=&quot;1324792E&quot;/&gt;&lt;wsp:rsid wsp:val=&quot;13250FB0&quot;/&gt;&lt;wsp:rsid wsp:val=&quot;132536A6&quot;/&gt;&lt;wsp:rsid wsp:val=&quot;13255454&quot;/&gt;&lt;wsp:rsid wsp:val=&quot;132720B5&quot;/&gt;&lt;wsp:rsid wsp:val=&quot;13274D28&quot;/&gt;&lt;wsp:rsid wsp:val=&quot;13280AA0&quot;/&gt;&lt;wsp:rsid wsp:val=&quot;132A4818&quot;/&gt;&lt;wsp:rsid wsp:val=&quot;132B413A&quot;/&gt;&lt;wsp:rsid wsp:val=&quot;132F1E2E&quot;/&gt;&lt;wsp:rsid wsp:val=&quot;132F3F4B&quot;/&gt;&lt;wsp:rsid wsp:val=&quot;13312722&quot;/&gt;&lt;wsp:rsid wsp:val=&quot;13324823&quot;/&gt;&lt;wsp:rsid wsp:val=&quot;13333D5C&quot;/&gt;&lt;wsp:rsid wsp:val=&quot;13390EFF&quot;/&gt;&lt;wsp:rsid wsp:val=&quot;13394A5B&quot;/&gt;&lt;wsp:rsid wsp:val=&quot;133B07D3&quot;/&gt;&lt;wsp:rsid wsp:val=&quot;133B3026&quot;/&gt;&lt;wsp:rsid wsp:val=&quot;133B6A25&quot;/&gt;&lt;wsp:rsid wsp:val=&quot;133D454B&quot;/&gt;&lt;wsp:rsid wsp:val=&quot;133F1504&quot;/&gt;&lt;wsp:rsid wsp:val=&quot;133F3C5E&quot;/&gt;&lt;wsp:rsid wsp:val=&quot;133F73E1&quot;/&gt;&lt;wsp:rsid wsp:val=&quot;13421B62&quot;/&gt;&lt;wsp:rsid wsp:val=&quot;134277F0&quot;/&gt;&lt;wsp:rsid wsp:val=&quot;13427DB4&quot;/&gt;&lt;wsp:rsid wsp:val=&quot;13433B00&quot;/&gt;&lt;wsp:rsid wsp:val=&quot;13441D7E&quot;/&gt;&lt;wsp:rsid wsp:val=&quot;13453164&quot;/&gt;&lt;wsp:rsid wsp:val=&quot;13455F77&quot;/&gt;&lt;wsp:rsid wsp:val=&quot;134578A4&quot;/&gt;&lt;wsp:rsid wsp:val=&quot;13482EF0&quot;/&gt;&lt;wsp:rsid wsp:val=&quot;1349372A&quot;/&gt;&lt;wsp:rsid wsp:val=&quot;13494F1B&quot;/&gt;&lt;wsp:rsid wsp:val=&quot;134A7D3F&quot;/&gt;&lt;wsp:rsid wsp:val=&quot;134C478E&quot;/&gt;&lt;wsp:rsid wsp:val=&quot;134E49AB&quot;/&gt;&lt;wsp:rsid wsp:val=&quot;134E6759&quot;/&gt;&lt;wsp:rsid wsp:val=&quot;134F0723&quot;/&gt;&lt;wsp:rsid wsp:val=&quot;134F58A4&quot;/&gt;&lt;wsp:rsid wsp:val=&quot;13510A26&quot;/&gt;&lt;wsp:rsid wsp:val=&quot;13515E55&quot;/&gt;&lt;wsp:rsid wsp:val=&quot;13525B1D&quot;/&gt;&lt;wsp:rsid wsp:val=&quot;13531FC1&quot;/&gt;&lt;wsp:rsid wsp:val=&quot;13541402&quot;/&gt;&lt;wsp:rsid wsp:val=&quot;13541895&quot;/&gt;&lt;wsp:rsid wsp:val=&quot;13542DC7&quot;/&gt;&lt;wsp:rsid wsp:val=&quot;13545D39&quot;/&gt;&lt;wsp:rsid wsp:val=&quot;135573A7&quot;/&gt;&lt;wsp:rsid wsp:val=&quot;13573133&quot;/&gt;&lt;wsp:rsid wsp:val=&quot;13581385&quot;/&gt;&lt;wsp:rsid wsp:val=&quot;13593FE0&quot;/&gt;&lt;wsp:rsid wsp:val=&quot;135D4BEE&quot;/&gt;&lt;wsp:rsid wsp:val=&quot;135E44C2&quot;/&gt;&lt;wsp:rsid wsp:val=&quot;13617BEA&quot;/&gt;&lt;wsp:rsid wsp:val=&quot;13620456&quot;/&gt;&lt;wsp:rsid wsp:val=&quot;13622204&quot;/&gt;&lt;wsp:rsid wsp:val=&quot;136441CE&quot;/&gt;&lt;wsp:rsid wsp:val=&quot;136617BC&quot;/&gt;&lt;wsp:rsid wsp:val=&quot;1366491A&quot;/&gt;&lt;wsp:rsid wsp:val=&quot;136733E5&quot;/&gt;&lt;wsp:rsid wsp:val=&quot;136917E4&quot;/&gt;&lt;wsp:rsid wsp:val=&quot;136A10B9&quot;/&gt;&lt;wsp:rsid wsp:val=&quot;136C6BDF&quot;/&gt;&lt;wsp:rsid wsp:val=&quot;136E19CD&quot;/&gt;&lt;wsp:rsid wsp:val=&quot;13702B73&quot;/&gt;&lt;wsp:rsid wsp:val=&quot;13712D00&quot;/&gt;&lt;wsp:rsid wsp:val=&quot;137361BF&quot;/&gt;&lt;wsp:rsid wsp:val=&quot;13782889&quot;/&gt;&lt;wsp:rsid wsp:val=&quot;137B190B&quot;/&gt;&lt;wsp:rsid wsp:val=&quot;137D0DEC&quot;/&gt;&lt;wsp:rsid wsp:val=&quot;137D4216&quot;/&gt;&lt;wsp:rsid wsp:val=&quot;137E28CC&quot;/&gt;&lt;wsp:rsid wsp:val=&quot;137F2DB6&quot;/&gt;&lt;wsp:rsid wsp:val=&quot;137F4B64&quot;/&gt;&lt;wsp:rsid wsp:val=&quot;137F5677&quot;/&gt;&lt;wsp:rsid wsp:val=&quot;137F64CE&quot;/&gt;&lt;wsp:rsid wsp:val=&quot;138008DC&quot;/&gt;&lt;wsp:rsid wsp:val=&quot;13804F34&quot;/&gt;&lt;wsp:rsid wsp:val=&quot;138137F3&quot;/&gt;&lt;wsp:rsid wsp:val=&quot;138228A6&quot;/&gt;&lt;wsp:rsid wsp:val=&quot;13826402&quot;/&gt;&lt;wsp:rsid wsp:val=&quot;138275B2&quot;/&gt;&lt;wsp:rsid wsp:val=&quot;13855EF2&quot;/&gt;&lt;wsp:rsid wsp:val=&quot;13871D70&quot;/&gt;&lt;wsp:rsid wsp:val=&quot;13897791&quot;/&gt;&lt;wsp:rsid wsp:val=&quot;138A3509&quot;/&gt;&lt;wsp:rsid wsp:val=&quot;138B2047&quot;/&gt;&lt;wsp:rsid wsp:val=&quot;138E124B&quot;/&gt;&lt;wsp:rsid wsp:val=&quot;138F28CD&quot;/&gt;&lt;wsp:rsid wsp:val=&quot;13904FC3&quot;/&gt;&lt;wsp:rsid wsp:val=&quot;13912AE9&quot;/&gt;&lt;wsp:rsid wsp:val=&quot;13914897&quot;/&gt;&lt;wsp:rsid wsp:val=&quot;13951726&quot;/&gt;&lt;wsp:rsid wsp:val=&quot;139530F9&quot;/&gt;&lt;wsp:rsid wsp:val=&quot;1395483A&quot;/&gt;&lt;wsp:rsid wsp:val=&quot;13985C26&quot;/&gt;&lt;wsp:rsid wsp:val=&quot;139A0200&quot;/&gt;&lt;wsp:rsid wsp:val=&quot;139E0753&quot;/&gt;&lt;wsp:rsid wsp:val=&quot;139F5206&quot;/&gt;&lt;wsp:rsid wsp:val=&quot;139F6FB4&quot;/&gt;&lt;wsp:rsid wsp:val=&quot;13A20852&quot;/&gt;&lt;wsp:rsid wsp:val=&quot;13A4281C&quot;/&gt;&lt;wsp:rsid wsp:val=&quot;13A46379&quot;/&gt;&lt;wsp:rsid wsp:val=&quot;13A50343&quot;/&gt;&lt;wsp:rsid wsp:val=&quot;13A66595&quot;/&gt;&lt;wsp:rsid wsp:val=&quot;13A77A4F&quot;/&gt;&lt;wsp:rsid wsp:val=&quot;13A8699E&quot;/&gt;&lt;wsp:rsid wsp:val=&quot;13AA5959&quot;/&gt;&lt;wsp:rsid wsp:val=&quot;13AB3BAB&quot;/&gt;&lt;wsp:rsid wsp:val=&quot;13AB5044&quot;/&gt;&lt;wsp:rsid wsp:val=&quot;13AC347F&quot;/&gt;&lt;wsp:rsid wsp:val=&quot;13AC7923&quot;/&gt;&lt;wsp:rsid wsp:val=&quot;13AE5449&quot;/&gt;&lt;wsp:rsid wsp:val=&quot;13AE71F7&quot;/&gt;&lt;wsp:rsid wsp:val=&quot;13AF2F6F&quot;/&gt;&lt;wsp:rsid wsp:val=&quot;13B011C1&quot;/&gt;&lt;wsp:rsid wsp:val=&quot;13B04D27&quot;/&gt;&lt;wsp:rsid wsp:val=&quot;13B16CE7&quot;/&gt;&lt;wsp:rsid wsp:val=&quot;13B23A34&quot;/&gt;&lt;wsp:rsid wsp:val=&quot;13B32A60&quot;/&gt;&lt;wsp:rsid wsp:val=&quot;13B50FA2&quot;/&gt;&lt;wsp:rsid wsp:val=&quot;13B62550&quot;/&gt;&lt;wsp:rsid wsp:val=&quot;13B660AC&quot;/&gt;&lt;wsp:rsid wsp:val=&quot;13B81064&quot;/&gt;&lt;wsp:rsid wsp:val=&quot;13B81E24&quot;/&gt;&lt;wsp:rsid wsp:val=&quot;13BA3984&quot;/&gt;&lt;wsp:rsid wsp:val=&quot;13BA5B9C&quot;/&gt;&lt;wsp:rsid wsp:val=&quot;13BB36C2&quot;/&gt;&lt;wsp:rsid wsp:val=&quot;13BB4E14&quot;/&gt;&lt;wsp:rsid wsp:val=&quot;13BD5EC7&quot;/&gt;&lt;wsp:rsid wsp:val=&quot;13BF1404&quot;/&gt;&lt;wsp:rsid wsp:val=&quot;13BF31B2&quot;/&gt;&lt;wsp:rsid wsp:val=&quot;13C0517C&quot;/&gt;&lt;wsp:rsid wsp:val=&quot;13C20EF5&quot;/&gt;&lt;wsp:rsid wsp:val=&quot;13C44C6D&quot;/&gt;&lt;wsp:rsid wsp:val=&quot;13C46A1B&quot;/&gt;&lt;wsp:rsid wsp:val=&quot;13C50729&quot;/&gt;&lt;wsp:rsid wsp:val=&quot;13C62745&quot;/&gt;&lt;wsp:rsid wsp:val=&quot;13C702B9&quot;/&gt;&lt;wsp:rsid wsp:val=&quot;13C73778&quot;/&gt;&lt;wsp:rsid wsp:val=&quot;13C7650B&quot;/&gt;&lt;wsp:rsid wsp:val=&quot;13C92283&quot;/&gt;&lt;wsp:rsid wsp:val=&quot;13C94031&quot;/&gt;&lt;wsp:rsid wsp:val=&quot;13C95DDF&quot;/&gt;&lt;wsp:rsid wsp:val=&quot;13CA1B57&quot;/&gt;&lt;wsp:rsid wsp:val=&quot;13CB5BCC&quot;/&gt;&lt;wsp:rsid wsp:val=&quot;13CB74DA&quot;/&gt;&lt;wsp:rsid wsp:val=&quot;13CC3B21&quot;/&gt;&lt;wsp:rsid wsp:val=&quot;13CE522D&quot;/&gt;&lt;wsp:rsid wsp:val=&quot;13CE5AEB&quot;/&gt;&lt;wsp:rsid wsp:val=&quot;13D053C0&quot;/&gt;&lt;wsp:rsid wsp:val=&quot;13D21051&quot;/&gt;&lt;wsp:rsid wsp:val=&quot;13D50C28&quot;/&gt;&lt;wsp:rsid wsp:val=&quot;13D6674E&quot;/&gt;&lt;wsp:rsid wsp:val=&quot;13D67852&quot;/&gt;&lt;wsp:rsid wsp:val=&quot;13D80718&quot;/&gt;&lt;wsp:rsid wsp:val=&quot;13D824C6&quot;/&gt;&lt;wsp:rsid wsp:val=&quot;13D84274&quot;/&gt;&lt;wsp:rsid wsp:val=&quot;13D97F0D&quot;/&gt;&lt;wsp:rsid wsp:val=&quot;13DA2F6E&quot;/&gt;&lt;wsp:rsid wsp:val=&quot;13DA7FEC&quot;/&gt;&lt;wsp:rsid wsp:val=&quot;13DB3D64&quot;/&gt;&lt;wsp:rsid wsp:val=&quot;13DB48C9&quot;/&gt;&lt;wsp:rsid wsp:val=&quot;13DB5B12&quot;/&gt;&lt;wsp:rsid wsp:val=&quot;13DD188A&quot;/&gt;&lt;wsp:rsid wsp:val=&quot;13DD4AE0&quot;/&gt;&lt;wsp:rsid wsp:val=&quot;13DD7ADC&quot;/&gt;&lt;wsp:rsid wsp:val=&quot;13E40E6B&quot;/&gt;&lt;wsp:rsid wsp:val=&quot;13E54139&quot;/&gt;&lt;wsp:rsid wsp:val=&quot;13E70C89&quot;/&gt;&lt;wsp:rsid wsp:val=&quot;13E7436A&quot;/&gt;&lt;wsp:rsid wsp:val=&quot;13E75572&quot;/&gt;&lt;wsp:rsid wsp:val=&quot;13E908A4&quot;/&gt;&lt;wsp:rsid wsp:val=&quot;13EB044B&quot;/&gt;&lt;wsp:rsid wsp:val=&quot;13EB21F9&quot;/&gt;&lt;wsp:rsid wsp:val=&quot;13EB331F&quot;/&gt;&lt;wsp:rsid wsp:val=&quot;13EC47F1&quot;/&gt;&lt;wsp:rsid wsp:val=&quot;13EE3A98&quot;/&gt;&lt;wsp:rsid wsp:val=&quot;13EE5846&quot;/&gt;&lt;wsp:rsid wsp:val=&quot;13F05A62&quot;/&gt;&lt;wsp:rsid wsp:val=&quot;13F13588&quot;/&gt;&lt;wsp:rsid wsp:val=&quot;13F217DA&quot;/&gt;&lt;wsp:rsid wsp:val=&quot;13F310AE&quot;/&gt;&lt;wsp:rsid wsp:val=&quot;13F56BD4&quot;/&gt;&lt;wsp:rsid wsp:val=&quot;13F56CD2&quot;/&gt;&lt;wsp:rsid wsp:val=&quot;13FA68E0&quot;/&gt;&lt;wsp:rsid wsp:val=&quot;13FB22A7&quot;/&gt;&lt;wsp:rsid wsp:val=&quot;13FC4AB2&quot;/&gt;&lt;wsp:rsid wsp:val=&quot;13FD017F&quot;/&gt;&lt;wsp:rsid wsp:val=&quot;13FF3EF7&quot;/&gt;&lt;wsp:rsid wsp:val=&quot;13FF7A53&quot;/&gt;&lt;wsp:rsid wsp:val=&quot;1400284C&quot;/&gt;&lt;wsp:rsid wsp:val=&quot;14005579&quot;/&gt;&lt;wsp:rsid wsp:val=&quot;14011A1D&quot;/&gt;&lt;wsp:rsid wsp:val=&quot;140137CB&quot;/&gt;&lt;wsp:rsid wsp:val=&quot;14027543&quot;/&gt;&lt;wsp:rsid wsp:val=&quot;140275A9&quot;/&gt;&lt;wsp:rsid wsp:val=&quot;140654BE&quot;/&gt;&lt;wsp:rsid wsp:val=&quot;140673BA&quot;/&gt;&lt;wsp:rsid wsp:val=&quot;140809BA&quot;/&gt;&lt;wsp:rsid wsp:val=&quot;140908D1&quot;/&gt;&lt;wsp:rsid wsp:val=&quot;14092680&quot;/&gt;&lt;wsp:rsid wsp:val=&quot;140B289C&quot;/&gt;&lt;wsp:rsid wsp:val=&quot;140C03C2&quot;/&gt;&lt;wsp:rsid wsp:val=&quot;140E413A&quot;/&gt;&lt;wsp:rsid wsp:val=&quot;140F7135&quot;/&gt;&lt;wsp:rsid wsp:val=&quot;14103A0E&quot;/&gt;&lt;wsp:rsid wsp:val=&quot;141330FE&quot;/&gt;&lt;wsp:rsid wsp:val=&quot;14157276&quot;/&gt;&lt;wsp:rsid wsp:val=&quot;141573DC&quot;/&gt;&lt;wsp:rsid wsp:val=&quot;141605EF&quot;/&gt;&lt;wsp:rsid wsp:val=&quot;141A6CBF&quot;/&gt;&lt;wsp:rsid wsp:val=&quot;141B23B3&quot;/&gt;&lt;wsp:rsid wsp:val=&quot;141B4416&quot;/&gt;&lt;wsp:rsid wsp:val=&quot;141F00F5&quot;/&gt;&lt;wsp:rsid wsp:val=&quot;141F1EA3&quot;/&gt;&lt;wsp:rsid wsp:val=&quot;1421125A&quot;/&gt;&lt;wsp:rsid wsp:val=&quot;142179C9&quot;/&gt;&lt;wsp:rsid wsp:val=&quot;14236796&quot;/&gt;&lt;wsp:rsid wsp:val=&quot;14237BE5&quot;/&gt;&lt;wsp:rsid wsp:val=&quot;142474B9&quot;/&gt;&lt;wsp:rsid wsp:val=&quot;14263231&quot;/&gt;&lt;wsp:rsid wsp:val=&quot;14264FE0&quot;/&gt;&lt;wsp:rsid wsp:val=&quot;142676D5&quot;/&gt;&lt;wsp:rsid wsp:val=&quot;14290F74&quot;/&gt;&lt;wsp:rsid wsp:val=&quot;142B0848&quot;/&gt;&lt;wsp:rsid wsp:val=&quot;142B6A9A&quot;/&gt;&lt;wsp:rsid wsp:val=&quot;142E20E6&quot;/&gt;&lt;wsp:rsid wsp:val=&quot;14302626&quot;/&gt;&lt;wsp:rsid wsp:val=&quot;143040B0&quot;/&gt;&lt;wsp:rsid wsp:val=&quot;14305E5E&quot;/&gt;&lt;wsp:rsid wsp:val=&quot;14321BD6&quot;/&gt;&lt;wsp:rsid wsp:val=&quot;14325A97&quot;/&gt;&lt;wsp:rsid wsp:val=&quot;1432607A&quot;/&gt;&lt;wsp:rsid wsp:val=&quot;14327E28&quot;/&gt;&lt;wsp:rsid wsp:val=&quot;14353475&quot;/&gt;&lt;wsp:rsid wsp:val=&quot;143538C7&quot;/&gt;&lt;wsp:rsid wsp:val=&quot;14356BA6&quot;/&gt;&lt;wsp:rsid wsp:val=&quot;14373691&quot;/&gt;&lt;wsp:rsid wsp:val=&quot;14376734&quot;/&gt;&lt;wsp:rsid wsp:val=&quot;14396509&quot;/&gt;&lt;wsp:rsid wsp:val=&quot;143A0A8B&quot;/&gt;&lt;wsp:rsid wsp:val=&quot;143A4F2F&quot;/&gt;&lt;wsp:rsid wsp:val=&quot;143A6CDD&quot;/&gt;&lt;wsp:rsid wsp:val=&quot;143D057B&quot;/&gt;&lt;wsp:rsid wsp:val=&quot;14411E19&quot;/&gt;&lt;wsp:rsid wsp:val=&quot;14412BB5&quot;/&gt;&lt;wsp:rsid wsp:val=&quot;144162BD&quot;/&gt;&lt;wsp:rsid wsp:val=&quot;14430A9C&quot;/&gt;&lt;wsp:rsid wsp:val=&quot;1444190A&quot;/&gt;&lt;wsp:rsid wsp:val=&quot;14445DAD&quot;/&gt;&lt;wsp:rsid wsp:val=&quot;144638D4&quot;/&gt;&lt;wsp:rsid wsp:val=&quot;144731A8&quot;/&gt;&lt;wsp:rsid wsp:val=&quot;14483410&quot;/&gt;&lt;wsp:rsid wsp:val=&quot;1448764C&quot;/&gt;&lt;wsp:rsid wsp:val=&quot;14495172&quot;/&gt;&lt;wsp:rsid wsp:val=&quot;144B0EEA&quot;/&gt;&lt;wsp:rsid wsp:val=&quot;144C4685&quot;/&gt;&lt;wsp:rsid wsp:val=&quot;144D6A10&quot;/&gt;&lt;wsp:rsid wsp:val=&quot;144E2788&quot;/&gt;&lt;wsp:rsid wsp:val=&quot;14504752&quot;/&gt;&lt;wsp:rsid wsp:val=&quot;14506500&quot;/&gt;&lt;wsp:rsid wsp:val=&quot;14515DD5&quot;/&gt;&lt;wsp:rsid wsp:val=&quot;14517689&quot;/&gt;&lt;wsp:rsid wsp:val=&quot;14531B4D&quot;/&gt;&lt;wsp:rsid wsp:val=&quot;145417A7&quot;/&gt;&lt;wsp:rsid wsp:val=&quot;145558C5&quot;/&gt;&lt;wsp:rsid wsp:val=&quot;14555D8E&quot;/&gt;&lt;wsp:rsid wsp:val=&quot;145675CB&quot;/&gt;&lt;wsp:rsid wsp:val=&quot;1457163D&quot;/&gt;&lt;wsp:rsid wsp:val=&quot;14586859&quot;/&gt;&lt;wsp:rsid wsp:val=&quot;14593607&quot;/&gt;&lt;wsp:rsid wsp:val=&quot;145B6D23&quot;/&gt;&lt;wsp:rsid wsp:val=&quot;145C30F7&quot;/&gt;&lt;wsp:rsid wsp:val=&quot;145F4995&quot;/&gt;&lt;wsp:rsid wsp:val=&quot;145F6743&quot;/&gt;&lt;wsp:rsid wsp:val=&quot;145F6B34&quot;/&gt;&lt;wsp:rsid wsp:val=&quot;14634486&quot;/&gt;&lt;wsp:rsid wsp:val=&quot;14681A9C&quot;/&gt;&lt;wsp:rsid wsp:val=&quot;1468384A&quot;/&gt;&lt;wsp:rsid wsp:val=&quot;14691370&quot;/&gt;&lt;wsp:rsid wsp:val=&quot;146975C2&quot;/&gt;&lt;wsp:rsid wsp:val=&quot;146B6E96&quot;/&gt;&lt;wsp:rsid wsp:val=&quot;146D3A96&quot;/&gt;&lt;wsp:rsid wsp:val=&quot;146D70B2&quot;/&gt;&lt;wsp:rsid wsp:val=&quot;146E3A58&quot;/&gt;&lt;wsp:rsid wsp:val=&quot;14706BA3&quot;/&gt;&lt;wsp:rsid wsp:val=&quot;14733869&quot;/&gt;&lt;wsp:rsid wsp:val=&quot;14733F9D&quot;/&gt;&lt;wsp:rsid wsp:val=&quot;14777F31&quot;/&gt;&lt;wsp:rsid wsp:val=&quot;14784EEC&quot;/&gt;&lt;wsp:rsid wsp:val=&quot;1478581C&quot;/&gt;&lt;wsp:rsid wsp:val=&quot;147C5547&quot;/&gt;&lt;wsp:rsid wsp:val=&quot;147C72F5&quot;/&gt;&lt;wsp:rsid wsp:val=&quot;147D20BD&quot;/&gt;&lt;wsp:rsid wsp:val=&quot;147E12BF&quot;/&gt;&lt;wsp:rsid wsp:val=&quot;147E4E1C&quot;/&gt;&lt;wsp:rsid wsp:val=&quot;147F2942&quot;/&gt;&lt;wsp:rsid wsp:val=&quot;148271F9&quot;/&gt;&lt;wsp:rsid wsp:val=&quot;148368D6&quot;/&gt;&lt;wsp:rsid wsp:val=&quot;14843EA4&quot;/&gt;&lt;wsp:rsid wsp:val=&quot;148461AA&quot;/&gt;&lt;wsp:rsid wsp:val=&quot;1485084F&quot;/&gt;&lt;wsp:rsid wsp:val=&quot;148615D9&quot;/&gt;&lt;wsp:rsid wsp:val=&quot;14885C9A&quot;/&gt;&lt;wsp:rsid wsp:val=&quot;14890660&quot;/&gt;&lt;wsp:rsid wsp:val=&quot;14891574&quot;/&gt;&lt;wsp:rsid wsp:val=&quot;148937C0&quot;/&gt;&lt;wsp:rsid wsp:val=&quot;148B62DC&quot;/&gt;&lt;wsp:rsid wsp:val=&quot;148C5044&quot;/&gt;&lt;wsp:rsid wsp:val=&quot;148D505F&quot;/&gt;&lt;wsp:rsid wsp:val=&quot;148E0DD7&quot;/&gt;&lt;wsp:rsid wsp:val=&quot;148F7029&quot;/&gt;&lt;wsp:rsid wsp:val=&quot;14904B4F&quot;/&gt;&lt;wsp:rsid wsp:val=&quot;149208C7&quot;/&gt;&lt;wsp:rsid wsp:val=&quot;14926B19&quot;/&gt;&lt;wsp:rsid wsp:val=&quot;14942B30&quot;/&gt;&lt;wsp:rsid wsp:val=&quot;149438EE&quot;/&gt;&lt;wsp:rsid wsp:val=&quot;14990155&quot;/&gt;&lt;wsp:rsid wsp:val=&quot;14991C55&quot;/&gt;&lt;wsp:rsid wsp:val=&quot;149A2D26&quot;/&gt;&lt;wsp:rsid wsp:val=&quot;149C34F4&quot;/&gt;&lt;wsp:rsid wsp:val=&quot;149D101A&quot;/&gt;&lt;wsp:rsid wsp:val=&quot;149D7EE0&quot;/&gt;&lt;wsp:rsid wsp:val=&quot;149E3A0A&quot;/&gt;&lt;wsp:rsid wsp:val=&quot;149F22DB&quot;/&gt;&lt;wsp:rsid wsp:val=&quot;149F4D92&quot;/&gt;&lt;wsp:rsid wsp:val=&quot;14A04FCC&quot;/&gt;&lt;wsp:rsid wsp:val=&quot;14A16D5C&quot;/&gt;&lt;wsp:rsid wsp:val=&quot;14A27D77&quot;/&gt;&lt;wsp:rsid wsp:val=&quot;14A405FA&quot;/&gt;&lt;wsp:rsid wsp:val=&quot;14A46636&quot;/&gt;&lt;wsp:rsid wsp:val=&quot;14A800EA&quot;/&gt;&lt;wsp:rsid wsp:val=&quot;14A95C11&quot;/&gt;&lt;wsp:rsid wsp:val=&quot;14AA20B4&quot;/&gt;&lt;wsp:rsid wsp:val=&quot;14AA6509&quot;/&gt;&lt;wsp:rsid wsp:val=&quot;14AB1989&quot;/&gt;&lt;wsp:rsid wsp:val=&quot;14AD5701&quot;/&gt;&lt;wsp:rsid wsp:val=&quot;14AE3227&quot;/&gt;&lt;wsp:rsid wsp:val=&quot;14B00D4D&quot;/&gt;&lt;wsp:rsid wsp:val=&quot;14B0461A&quot;/&gt;&lt;wsp:rsid wsp:val=&quot;14B051F1&quot;/&gt;&lt;wsp:rsid wsp:val=&quot;14B233E2&quot;/&gt;&lt;wsp:rsid wsp:val=&quot;14B36F50&quot;/&gt;&lt;wsp:rsid wsp:val=&quot;14B545B5&quot;/&gt;&lt;wsp:rsid wsp:val=&quot;14B720DC&quot;/&gt;&lt;wsp:rsid wsp:val=&quot;14B95E54&quot;/&gt;&lt;wsp:rsid wsp:val=&quot;14BC1DE8&quot;/&gt;&lt;wsp:rsid wsp:val=&quot;14BC3B96&quot;/&gt;&lt;wsp:rsid wsp:val=&quot;14BC5944&quot;/&gt;&lt;wsp:rsid wsp:val=&quot;14BE16BC&quot;/&gt;&lt;wsp:rsid wsp:val=&quot;14C12F5A&quot;/&gt;&lt;wsp:rsid wsp:val=&quot;14C30A80&quot;/&gt;&lt;wsp:rsid wsp:val=&quot;14C34F24&quot;/&gt;&lt;wsp:rsid wsp:val=&quot;14C36CD2&quot;/&gt;&lt;wsp:rsid wsp:val=&quot;14C468A8&quot;/&gt;&lt;wsp:rsid wsp:val=&quot;14C52A4A&quot;/&gt;&lt;wsp:rsid wsp:val=&quot;14C60571&quot;/&gt;&lt;wsp:rsid wsp:val=&quot;14C835C4&quot;/&gt;&lt;wsp:rsid wsp:val=&quot;14CA3957&quot;/&gt;&lt;wsp:rsid wsp:val=&quot;14CA62B3&quot;/&gt;&lt;wsp:rsid wsp:val=&quot;14CC1098&quot;/&gt;&lt;wsp:rsid wsp:val=&quot;14CC26C2&quot;/&gt;&lt;wsp:rsid wsp:val=&quot;14CD5DA3&quot;/&gt;&lt;wsp:rsid wsp:val=&quot;14CF6D94&quot;/&gt;&lt;wsp:rsid wsp:val=&quot;14D01061&quot;/&gt;&lt;wsp:rsid wsp:val=&quot;14D07641&quot;/&gt;&lt;wsp:rsid wsp:val=&quot;14D507B4&quot;/&gt;&lt;wsp:rsid wsp:val=&quot;14D54096&quot;/&gt;&lt;wsp:rsid wsp:val=&quot;14D709D0&quot;/&gt;&lt;wsp:rsid wsp:val=&quot;14D7277E&quot;/&gt;&lt;wsp:rsid wsp:val=&quot;14D829B4&quot;/&gt;&lt;wsp:rsid wsp:val=&quot;14D902A4&quot;/&gt;&lt;wsp:rsid wsp:val=&quot;14DC5FE6&quot;/&gt;&lt;wsp:rsid wsp:val=&quot;14DD2C3C&quot;/&gt;&lt;wsp:rsid wsp:val=&quot;14DE58BA&quot;/&gt;&lt;wsp:rsid wsp:val=&quot;14DF145A&quot;/&gt;&lt;wsp:rsid wsp:val=&quot;14DF1632&quot;/&gt;&lt;wsp:rsid wsp:val=&quot;14DF6889&quot;/&gt;&lt;wsp:rsid wsp:val=&quot;14E05AD6&quot;/&gt;&lt;wsp:rsid wsp:val=&quot;14E135FC&quot;/&gt;&lt;wsp:rsid wsp:val=&quot;14E224D0&quot;/&gt;&lt;wsp:rsid wsp:val=&quot;14E2520A&quot;/&gt;&lt;wsp:rsid wsp:val=&quot;14E31122&quot;/&gt;&lt;wsp:rsid wsp:val=&quot;14E32ED1&quot;/&gt;&lt;wsp:rsid wsp:val=&quot;14E37374&quot;/&gt;&lt;wsp:rsid wsp:val=&quot;14E629C1&quot;/&gt;&lt;wsp:rsid wsp:val=&quot;14E66169&quot;/&gt;&lt;wsp:rsid wsp:val=&quot;14E82BDD&quot;/&gt;&lt;wsp:rsid wsp:val=&quot;14E86739&quot;/&gt;&lt;wsp:rsid wsp:val=&quot;14E95FDD&quot;/&gt;&lt;wsp:rsid wsp:val=&quot;14EA0703&quot;/&gt;&lt;wsp:rsid wsp:val=&quot;14EA24B1&quot;/&gt;&lt;wsp:rsid wsp:val=&quot;14EC447B&quot;/&gt;&lt;wsp:rsid wsp:val=&quot;14EF3F6B&quot;/&gt;&lt;wsp:rsid wsp:val=&quot;14EF5D19&quot;/&gt;&lt;wsp:rsid wsp:val=&quot;14EF7AC7&quot;/&gt;&lt;wsp:rsid wsp:val=&quot;14F11A91&quot;/&gt;&lt;wsp:rsid wsp:val=&quot;14F21366&quot;/&gt;&lt;wsp:rsid wsp:val=&quot;14F237D5&quot;/&gt;&lt;wsp:rsid wsp:val=&quot;14F275B8&quot;/&gt;&lt;wsp:rsid wsp:val=&quot;14F450DE&quot;/&gt;&lt;wsp:rsid wsp:val=&quot;14F74BCE&quot;/&gt;&lt;wsp:rsid wsp:val=&quot;14F852D9&quot;/&gt;&lt;wsp:rsid wsp:val=&quot;14F90946&quot;/&gt;&lt;wsp:rsid wsp:val=&quot;14F926F4&quot;/&gt;&lt;wsp:rsid wsp:val=&quot;14FB46BE&quot;/&gt;&lt;wsp:rsid wsp:val=&quot;14FB646C&quot;/&gt;&lt;wsp:rsid wsp:val=&quot;14FC21E4&quot;/&gt;&lt;wsp:rsid wsp:val=&quot;15007F26&quot;/&gt;&lt;wsp:rsid wsp:val=&quot;15030855&quot;/&gt;&lt;wsp:rsid wsp:val=&quot;15051099&quot;/&gt;&lt;wsp:rsid wsp:val=&quot;15067B9F&quot;/&gt;&lt;wsp:rsid wsp:val=&quot;1508123C&quot;/&gt;&lt;wsp:rsid wsp:val=&quot;15082937&quot;/&gt;&lt;wsp:rsid wsp:val=&quot;15091831&quot;/&gt;&lt;wsp:rsid wsp:val=&quot;150920A6&quot;/&gt;&lt;wsp:rsid wsp:val=&quot;150B2427&quot;/&gt;&lt;wsp:rsid wsp:val=&quot;150C0679&quot;/&gt;&lt;wsp:rsid wsp:val=&quot;150C68CB&quot;/&gt;&lt;wsp:rsid wsp:val=&quot;15112E59&quot;/&gt;&lt;wsp:rsid wsp:val=&quot;151414FB&quot;/&gt;&lt;wsp:rsid wsp:val=&quot;15155054&quot;/&gt;&lt;wsp:rsid wsp:val=&quot;151658B5&quot;/&gt;&lt;wsp:rsid wsp:val=&quot;1517558A&quot;/&gt;&lt;wsp:rsid wsp:val=&quot;15184133&quot;/&gt;&lt;wsp:rsid wsp:val=&quot;15186A1A&quot;/&gt;&lt;wsp:rsid wsp:val=&quot;15193270&quot;/&gt;&lt;wsp:rsid wsp:val=&quot;15194B44&quot;/&gt;&lt;wsp:rsid wsp:val=&quot;151C4634&quot;/&gt;&lt;wsp:rsid wsp:val=&quot;151C63E2&quot;/&gt;&lt;wsp:rsid wsp:val=&quot;151D2886&quot;/&gt;&lt;wsp:rsid wsp:val=&quot;151E03AD&quot;/&gt;&lt;wsp:rsid wsp:val=&quot;151E65FF&quot;/&gt;&lt;wsp:rsid wsp:val=&quot;151F213F&quot;/&gt;&lt;wsp:rsid wsp:val=&quot;151F49C4&quot;/&gt;&lt;wsp:rsid wsp:val=&quot;152139F9&quot;/&gt;&lt;wsp:rsid wsp:val=&quot;1522269D&quot;/&gt;&lt;wsp:rsid wsp:val=&quot;15233C15&quot;/&gt;&lt;wsp:rsid wsp:val=&quot;15237771&quot;/&gt;&lt;wsp:rsid wsp:val=&quot;152534E9&quot;/&gt;&lt;wsp:rsid wsp:val=&quot;1525798D&quot;/&gt;&lt;wsp:rsid wsp:val=&quot;1526699F&quot;/&gt;&lt;wsp:rsid wsp:val=&quot;15273705&quot;/&gt;&lt;wsp:rsid wsp:val=&quot;152A6D51&quot;/&gt;&lt;wsp:rsid wsp:val=&quot;152B2882&quot;/&gt;&lt;wsp:rsid wsp:val=&quot;152D7CF3&quot;/&gt;&lt;wsp:rsid wsp:val=&quot;152E2381&quot;/&gt;&lt;wsp:rsid wsp:val=&quot;152E4A94&quot;/&gt;&lt;wsp:rsid wsp:val=&quot;152F25BA&quot;/&gt;&lt;wsp:rsid wsp:val=&quot;152F3F76&quot;/&gt;&lt;wsp:rsid wsp:val=&quot;152F6116&quot;/&gt;&lt;wsp:rsid wsp:val=&quot;15325EAF&quot;/&gt;&lt;wsp:rsid wsp:val=&quot;1534372C&quot;/&gt;&lt;wsp:rsid wsp:val=&quot;153656F6&quot;/&gt;&lt;wsp:rsid wsp:val=&quot;1537321C&quot;/&gt;&lt;wsp:rsid wsp:val=&quot;15386004&quot;/&gt;&lt;wsp:rsid wsp:val=&quot;153876C0&quot;/&gt;&lt;wsp:rsid wsp:val=&quot;15393438&quot;/&gt;&lt;wsp:rsid wsp:val=&quot;15396F94&quot;/&gt;&lt;wsp:rsid wsp:val=&quot;153B5B31&quot;/&gt;&lt;wsp:rsid wsp:val=&quot;153C0833&quot;/&gt;&lt;wsp:rsid wsp:val=&quot;153C5E15&quot;/&gt;&lt;wsp:rsid wsp:val=&quot;154126C8&quot;/&gt;&lt;wsp:rsid wsp:val=&quot;15431BC1&quot;/&gt;&lt;wsp:rsid wsp:val=&quot;15450CF1&quot;/&gt;&lt;wsp:rsid wsp:val=&quot;15453B8B&quot;/&gt;&lt;wsp:rsid wsp:val=&quot;1548367B&quot;/&gt;&lt;wsp:rsid wsp:val=&quot;15485429&quot;/&gt;&lt;wsp:rsid wsp:val=&quot;154C41C9&quot;/&gt;&lt;wsp:rsid wsp:val=&quot;154D0B52&quot;/&gt;&lt;wsp:rsid wsp:val=&quot;154D2A40&quot;/&gt;&lt;wsp:rsid wsp:val=&quot;154D47EE&quot;/&gt;&lt;wsp:rsid wsp:val=&quot;154F0566&quot;/&gt;&lt;wsp:rsid wsp:val=&quot;154F67B8&quot;/&gt;&lt;wsp:rsid wsp:val=&quot;15500501&quot;/&gt;&lt;wsp:rsid wsp:val=&quot;155142DE&quot;/&gt;&lt;wsp:rsid wsp:val=&quot;15520056&quot;/&gt;&lt;wsp:rsid wsp:val=&quot;15521099&quot;/&gt;&lt;wsp:rsid wsp:val=&quot;155314CB&quot;/&gt;&lt;wsp:rsid wsp:val=&quot;15543DCE&quot;/&gt;&lt;wsp:rsid wsp:val=&quot;15553547&quot;/&gt;&lt;wsp:rsid wsp:val=&quot;155618F4&quot;/&gt;&lt;wsp:rsid wsp:val=&quot;15565D98&quot;/&gt;&lt;wsp:rsid wsp:val=&quot;155838BF&quot;/&gt;&lt;wsp:rsid wsp:val=&quot;155913E5&quot;/&gt;&lt;wsp:rsid wsp:val=&quot;155B2BCB&quot;/&gt;&lt;wsp:rsid wsp:val=&quot;155B6EEB&quot;/&gt;&lt;wsp:rsid wsp:val=&quot;155C30D0&quot;/&gt;&lt;wsp:rsid wsp:val=&quot;155D0ED5&quot;/&gt;&lt;wsp:rsid wsp:val=&quot;155E69FB&quot;/&gt;&lt;wsp:rsid wsp:val=&quot;15604521&quot;/&gt;&lt;wsp:rsid wsp:val=&quot;15610299&quot;/&gt;&lt;wsp:rsid wsp:val=&quot;1565422D&quot;/&gt;&lt;wsp:rsid wsp:val=&quot;15655FDB&quot;/&gt;&lt;wsp:rsid wsp:val=&quot;15660793&quot;/&gt;&lt;wsp:rsid wsp:val=&quot;15670DD1&quot;/&gt;&lt;wsp:rsid wsp:val=&quot;15671D54&quot;/&gt;&lt;wsp:rsid wsp:val=&quot;156A1844&quot;/&gt;&lt;wsp:rsid wsp:val=&quot;156A1C40&quot;/&gt;&lt;wsp:rsid wsp:val=&quot;156A53A0&quot;/&gt;&lt;wsp:rsid wsp:val=&quot;156B18BA&quot;/&gt;&lt;wsp:rsid wsp:val=&quot;156D6C3E&quot;/&gt;&lt;wsp:rsid wsp:val=&quot;156F09AD&quot;/&gt;&lt;wsp:rsid wsp:val=&quot;157224A6&quot;/&gt;&lt;wsp:rsid wsp:val=&quot;157306F8&quot;/&gt;&lt;wsp:rsid wsp:val=&quot;15732BFE&quot;/&gt;&lt;wsp:rsid wsp:val=&quot;1573694A&quot;/&gt;&lt;wsp:rsid wsp:val=&quot;15741C3B&quot;/&gt;&lt;wsp:rsid wsp:val=&quot;15751F61&quot;/&gt;&lt;wsp:rsid wsp:val=&quot;15752EC5&quot;/&gt;&lt;wsp:rsid wsp:val=&quot;157601E9&quot;/&gt;&lt;wsp:rsid wsp:val=&quot;1576751D&quot;/&gt;&lt;wsp:rsid wsp:val=&quot;15783497&quot;/&gt;&lt;wsp:rsid wsp:val=&quot;15785D0F&quot;/&gt;&lt;wsp:rsid wsp:val=&quot;15793835&quot;/&gt;&lt;wsp:rsid wsp:val=&quot;157B135B&quot;/&gt;&lt;wsp:rsid wsp:val=&quot;157B423F&quot;/&gt;&lt;wsp:rsid wsp:val=&quot;157D1577&quot;/&gt;&lt;wsp:rsid wsp:val=&quot;157D3116&quot;/&gt;&lt;wsp:rsid wsp:val=&quot;157E709D&quot;/&gt;&lt;wsp:rsid wsp:val=&quot;157F7058&quot;/&gt;&lt;wsp:rsid wsp:val=&quot;15826B8D&quot;/&gt;&lt;wsp:rsid wsp:val=&quot;158337AE&quot;/&gt;&lt;wsp:rsid wsp:val=&quot;15842905&quot;/&gt;&lt;wsp:rsid wsp:val=&quot;1585042C&quot;/&gt;&lt;wsp:rsid wsp:val=&quot;15853F88&quot;/&gt;&lt;wsp:rsid wsp:val=&quot;15875F52&quot;/&gt;&lt;wsp:rsid wsp:val=&quot;15891CCA&quot;/&gt;&lt;wsp:rsid wsp:val=&quot;158973A5&quot;/&gt;&lt;wsp:rsid wsp:val=&quot;158A3C94&quot;/&gt;&lt;wsp:rsid wsp:val=&quot;158A5A42&quot;/&gt;&lt;wsp:rsid wsp:val=&quot;158C5316&quot;/&gt;&lt;wsp:rsid wsp:val=&quot;158E5532&quot;/&gt;&lt;wsp:rsid wsp:val=&quot;158E72E0&quot;/&gt;&lt;wsp:rsid wsp:val=&quot;158F12AA&quot;/&gt;&lt;wsp:rsid wsp:val=&quot;158F3058&quot;/&gt;&lt;wsp:rsid wsp:val=&quot;15910B7E&quot;/&gt;&lt;wsp:rsid wsp:val=&quot;15916DD0&quot;/&gt;&lt;wsp:rsid wsp:val=&quot;159170B4&quot;/&gt;&lt;wsp:rsid wsp:val=&quot;159266A5&quot;/&gt;&lt;wsp:rsid wsp:val=&quot;15932B49&quot;/&gt;&lt;wsp:rsid wsp:val=&quot;1594066F&quot;/&gt;&lt;wsp:rsid wsp:val=&quot;15966195&quot;/&gt;&lt;wsp:rsid wsp:val=&quot;15977EAF&quot;/&gt;&lt;wsp:rsid wsp:val=&quot;15995BBE&quot;/&gt;&lt;wsp:rsid wsp:val=&quot;15995C85&quot;/&gt;&lt;wsp:rsid wsp:val=&quot;15997A33&quot;/&gt;&lt;wsp:rsid wsp:val=&quot;159C44A3&quot;/&gt;&lt;wsp:rsid wsp:val=&quot;159D7523&quot;/&gt;&lt;wsp:rsid wsp:val=&quot;159E5049&quot;/&gt;&lt;wsp:rsid wsp:val=&quot;159F5DA8&quot;/&gt;&lt;wsp:rsid wsp:val=&quot;15A00DC2&quot;/&gt;&lt;wsp:rsid wsp:val=&quot;15A20FDE&quot;/&gt;&lt;wsp:rsid wsp:val=&quot;15A24B3A&quot;/&gt;&lt;wsp:rsid wsp:val=&quot;15A449C5&quot;/&gt;&lt;wsp:rsid wsp:val=&quot;15A44D56&quot;/&gt;&lt;wsp:rsid wsp:val=&quot;15A478E2&quot;/&gt;&lt;wsp:rsid wsp:val=&quot;15A537A7&quot;/&gt;&lt;wsp:rsid wsp:val=&quot;15A64DD3&quot;/&gt;&lt;wsp:rsid wsp:val=&quot;15A8096A&quot;/&gt;&lt;wsp:rsid wsp:val=&quot;15A85EC8&quot;/&gt;&lt;wsp:rsid wsp:val=&quot;15AA7E92&quot;/&gt;&lt;wsp:rsid wsp:val=&quot;15AC1DEC&quot;/&gt;&lt;wsp:rsid wsp:val=&quot;15AC3C0A&quot;/&gt;&lt;wsp:rsid wsp:val=&quot;15AE1730&quot;/&gt;&lt;wsp:rsid wsp:val=&quot;15B14D7D&quot;/&gt;&lt;wsp:rsid wsp:val=&quot;15B17473&quot;/&gt;&lt;wsp:rsid wsp:val=&quot;15B30AF5&quot;/&gt;&lt;wsp:rsid wsp:val=&quot;15B41FA8&quot;/&gt;&lt;wsp:rsid wsp:val=&quot;15B42ABF&quot;/&gt;&lt;wsp:rsid wsp:val=&quot;15B63148&quot;/&gt;&lt;wsp:rsid wsp:val=&quot;15B825AF&quot;/&gt;&lt;wsp:rsid wsp:val=&quot;15B8610B&quot;/&gt;&lt;wsp:rsid wsp:val=&quot;15B91E83&quot;/&gt;&lt;wsp:rsid wsp:val=&quot;15BA6327&quot;/&gt;&lt;wsp:rsid wsp:val=&quot;15BA714B&quot;/&gt;&lt;wsp:rsid wsp:val=&quot;15BB3E4D&quot;/&gt;&lt;wsp:rsid wsp:val=&quot;15BB5BFB&quot;/&gt;&lt;wsp:rsid wsp:val=&quot;15BE479B&quot;/&gt;&lt;wsp:rsid wsp:val=&quot;15BE6E7A&quot;/&gt;&lt;wsp:rsid wsp:val=&quot;15BE749A&quot;/&gt;&lt;wsp:rsid wsp:val=&quot;15BF56EC&quot;/&gt;&lt;wsp:rsid wsp:val=&quot;15C03212&quot;/&gt;&lt;wsp:rsid wsp:val=&quot;15C471A6&quot;/&gt;&lt;wsp:rsid wsp:val=&quot;15C73FDB&quot;/&gt;&lt;wsp:rsid wsp:val=&quot;15C90318&quot;/&gt;&lt;wsp:rsid wsp:val=&quot;15CC1BB7&quot;/&gt;&lt;wsp:rsid wsp:val=&quot;15CF1144&quot;/&gt;&lt;wsp:rsid wsp:val=&quot;15CF16A7&quot;/&gt;&lt;wsp:rsid wsp:val=&quot;15D13671&quot;/&gt;&lt;wsp:rsid wsp:val=&quot;15D45280&quot;/&gt;&lt;wsp:rsid wsp:val=&quot;15D477DE&quot;/&gt;&lt;wsp:rsid wsp:val=&quot;15D57B4A&quot;/&gt;&lt;wsp:rsid wsp:val=&quot;15D62A35&quot;/&gt;&lt;wsp:rsid wsp:val=&quot;15D70496&quot;/&gt;&lt;wsp:rsid wsp:val=&quot;15DA0777&quot;/&gt;&lt;wsp:rsid wsp:val=&quot;15DA407A&quot;/&gt;&lt;wsp:rsid wsp:val=&quot;15DB004C&quot;/&gt;&lt;wsp:rsid wsp:val=&quot;15DB54D6&quot;/&gt;&lt;wsp:rsid wsp:val=&quot;15DD5B72&quot;/&gt;&lt;wsp:rsid wsp:val=&quot;15DF5D8E&quot;/&gt;&lt;wsp:rsid wsp:val=&quot;15DF7B3C&quot;/&gt;&lt;wsp:rsid wsp:val=&quot;15E163F4&quot;/&gt;&lt;wsp:rsid wsp:val=&quot;15E2762C&quot;/&gt;&lt;wsp:rsid wsp:val=&quot;15E300E0&quot;/&gt;&lt;wsp:rsid wsp:val=&quot;15E43AB8&quot;/&gt;&lt;wsp:rsid wsp:val=&quot;15E45152&quot;/&gt;&lt;wsp:rsid wsp:val=&quot;15E50ECA&quot;/&gt;&lt;wsp:rsid wsp:val=&quot;15E52C78&quot;/&gt;&lt;wsp:rsid wsp:val=&quot;15E6711C&quot;/&gt;&lt;wsp:rsid wsp:val=&quot;15E76CEE&quot;/&gt;&lt;wsp:rsid wsp:val=&quot;15E92769&quot;/&gt;&lt;wsp:rsid wsp:val=&quot;15EA64E1&quot;/&gt;&lt;wsp:rsid wsp:val=&quot;15EF3AF7&quot;/&gt;&lt;wsp:rsid wsp:val=&quot;15F01D49&quot;/&gt;&lt;wsp:rsid wsp:val=&quot;15F24C8A&quot;/&gt;&lt;wsp:rsid wsp:val=&quot;15F30929&quot;/&gt;&lt;wsp:rsid wsp:val=&quot;15F31FF9&quot;/&gt;&lt;wsp:rsid wsp:val=&quot;15F35395&quot;/&gt;&lt;wsp:rsid wsp:val=&quot;15F468C1&quot;/&gt;&lt;wsp:rsid wsp:val=&quot;15F506F5&quot;/&gt;&lt;wsp:rsid wsp:val=&quot;15F51747&quot;/&gt;&lt;wsp:rsid wsp:val=&quot;15F630D7&quot;/&gt;&lt;wsp:rsid wsp:val=&quot;15F64E85&quot;/&gt;&lt;wsp:rsid wsp:val=&quot;15F66C34&quot;/&gt;&lt;wsp:rsid wsp:val=&quot;15F9724C&quot;/&gt;&lt;wsp:rsid wsp:val=&quot;15FA6724&quot;/&gt;&lt;wsp:rsid wsp:val=&quot;15FB06EE&quot;/&gt;&lt;wsp:rsid wsp:val=&quot;15FD6214&quot;/&gt;&lt;wsp:rsid wsp:val=&quot;15FF197D&quot;/&gt;&lt;wsp:rsid wsp:val=&quot;15FF3D3A&quot;/&gt;&lt;wsp:rsid wsp:val=&quot;16017613&quot;/&gt;&lt;wsp:rsid wsp:val=&quot;16020D50&quot;/&gt;&lt;wsp:rsid wsp:val=&quot;160475A2&quot;/&gt;&lt;wsp:rsid wsp:val=&quot;1606156C&quot;/&gt;&lt;wsp:rsid wsp:val=&quot;16061850&quot;/&gt;&lt;wsp:rsid wsp:val=&quot;16084693&quot;/&gt;&lt;wsp:rsid wsp:val=&quot;160862F7&quot;/&gt;&lt;wsp:rsid wsp:val=&quot;16087E1D&quot;/&gt;&lt;wsp:rsid wsp:val=&quot;16095600&quot;/&gt;&lt;wsp:rsid wsp:val=&quot;16096967&quot;/&gt;&lt;wsp:rsid wsp:val=&quot;160B0931&quot;/&gt;&lt;wsp:rsid wsp:val=&quot;160C46A9&quot;/&gt;&lt;wsp:rsid wsp:val=&quot;16105F47&quot;/&gt;&lt;wsp:rsid wsp:val=&quot;161128D2&quot;/&gt;&lt;wsp:rsid wsp:val=&quot;16133C89&quot;/&gt;&lt;wsp:rsid wsp:val=&quot;161517B0&quot;/&gt;&lt;wsp:rsid wsp:val=&quot;1615355E&quot;/&gt;&lt;wsp:rsid wsp:val=&quot;16163BFD&quot;/&gt;&lt;wsp:rsid wsp:val=&quot;161672D6&quot;/&gt;&lt;wsp:rsid wsp:val=&quot;16176607&quot;/&gt;&lt;wsp:rsid wsp:val=&quot;1618304E&quot;/&gt;&lt;wsp:rsid wsp:val=&quot;161B1156&quot;/&gt;&lt;wsp:rsid wsp:val=&quot;161B48EC&quot;/&gt;&lt;wsp:rsid wsp:val=&quot;161B69E3&quot;/&gt;&lt;wsp:rsid wsp:val=&quot;161D2412&quot;/&gt;&lt;wsp:rsid wsp:val=&quot;161D40F7&quot;/&gt;&lt;wsp:rsid wsp:val=&quot;16221DCB&quot;/&gt;&lt;wsp:rsid wsp:val=&quot;16223ECC&quot;/&gt;&lt;wsp:rsid wsp:val=&quot;16225C7A&quot;/&gt;&lt;wsp:rsid wsp:val=&quot;162615CB&quot;/&gt;&lt;wsp:rsid wsp:val=&quot;162639BD&quot;/&gt;&lt;wsp:rsid wsp:val=&quot;16272E7D&quot;/&gt;&lt;wsp:rsid wsp:val=&quot;16290DB7&quot;/&gt;&lt;wsp:rsid wsp:val=&quot;1629525B&quot;/&gt;&lt;wsp:rsid wsp:val=&quot;162A68EF&quot;/&gt;&lt;wsp:rsid wsp:val=&quot;162B0FD3&quot;/&gt;&lt;wsp:rsid wsp:val=&quot;162D5332&quot;/&gt;&lt;wsp:rsid wsp:val=&quot;162E461F&quot;/&gt;&lt;wsp:rsid wsp:val=&quot;16300397&quot;/&gt;&lt;wsp:rsid wsp:val=&quot;163065E9&quot;/&gt;&lt;wsp:rsid wsp:val=&quot;16314110&quot;/&gt;&lt;wsp:rsid wsp:val=&quot;16316C71&quot;/&gt;&lt;wsp:rsid wsp:val=&quot;16322361&quot;/&gt;&lt;wsp:rsid wsp:val=&quot;163360DA&quot;/&gt;&lt;wsp:rsid wsp:val=&quot;16337E88&quot;/&gt;&lt;wsp:rsid wsp:val=&quot;16375AAD&quot;/&gt;&lt;wsp:rsid wsp:val=&quot;16377978&quot;/&gt;&lt;wsp:rsid wsp:val=&quot;163A1216&quot;/&gt;&lt;wsp:rsid wsp:val=&quot;163D4862&quot;/&gt;&lt;wsp:rsid wsp:val=&quot;163D633F&quot;/&gt;&lt;wsp:rsid wsp:val=&quot;163F682C&quot;/&gt;&lt;wsp:rsid wsp:val=&quot;16405589&quot;/&gt;&lt;wsp:rsid wsp:val=&quot;164125A5&quot;/&gt;&lt;wsp:rsid wsp:val=&quot;16455955&quot;/&gt;&lt;wsp:rsid wsp:val=&quot;16467BBB&quot;/&gt;&lt;wsp:rsid wsp:val=&quot;16481B85&quot;/&gt;&lt;wsp:rsid wsp:val=&quot;164B51D1&quot;/&gt;&lt;wsp:rsid wsp:val=&quot;164E081E&quot;/&gt;&lt;wsp:rsid wsp:val=&quot;1651410A&quot;/&gt;&lt;wsp:rsid wsp:val=&quot;165247B2&quot;/&gt;&lt;wsp:rsid wsp:val=&quot;16551036&quot;/&gt;&lt;wsp:rsid wsp:val=&quot;165637A0&quot;/&gt;&lt;wsp:rsid wsp:val=&quot;16565924&quot;/&gt;&lt;wsp:rsid wsp:val=&quot;1656750B&quot;/&gt;&lt;wsp:rsid wsp:val=&quot;16573B76&quot;/&gt;&lt;wsp:rsid wsp:val=&quot;1658169C&quot;/&gt;&lt;wsp:rsid wsp:val=&quot;165C6338&quot;/&gt;&lt;wsp:rsid wsp:val=&quot;165D4F05&quot;/&gt;&lt;wsp:rsid wsp:val=&quot;165E3157&quot;/&gt;&lt;wsp:rsid wsp:val=&quot;165F003B&quot;/&gt;&lt;wsp:rsid wsp:val=&quot;165F2A2B&quot;/&gt;&lt;wsp:rsid wsp:val=&quot;16610551&quot;/&gt;&lt;wsp:rsid wsp:val=&quot;16612C47&quot;/&gt;&lt;wsp:rsid wsp:val=&quot;1662251B&quot;/&gt;&lt;wsp:rsid wsp:val=&quot;1663620B&quot;/&gt;&lt;wsp:rsid wsp:val=&quot;16640041&quot;/&gt;&lt;wsp:rsid wsp:val=&quot;1664555F&quot;/&gt;&lt;wsp:rsid wsp:val=&quot;1664769B&quot;/&gt;&lt;wsp:rsid wsp:val=&quot;1665226C&quot;/&gt;&lt;wsp:rsid wsp:val=&quot;16695657&quot;/&gt;&lt;wsp:rsid wsp:val=&quot;166C5148&quot;/&gt;&lt;wsp:rsid wsp:val=&quot;166D7266&quot;/&gt;&lt;wsp:rsid wsp:val=&quot;166E2C6E&quot;/&gt;&lt;wsp:rsid wsp:val=&quot;167069E6&quot;/&gt;&lt;wsp:rsid wsp:val=&quot;167209B0&quot;/&gt;&lt;wsp:rsid wsp:val=&quot;167320FE&quot;/&gt;&lt;wsp:rsid wsp:val=&quot;16740910&quot;/&gt;&lt;wsp:rsid wsp:val=&quot;16753FFC&quot;/&gt;&lt;wsp:rsid wsp:val=&quot;16754698&quot;/&gt;&lt;wsp:rsid wsp:val=&quot;16770114&quot;/&gt;&lt;wsp:rsid wsp:val=&quot;16775FC6&quot;/&gt;&lt;wsp:rsid wsp:val=&quot;16781D3E&quot;/&gt;&lt;wsp:rsid wsp:val=&quot;167A1613&quot;/&gt;&lt;wsp:rsid wsp:val=&quot;167A5AB7&quot;/&gt;&lt;wsp:rsid wsp:val=&quot;167A7865&quot;/&gt;&lt;wsp:rsid wsp:val=&quot;167C182F&quot;/&gt;&lt;wsp:rsid wsp:val=&quot;167D1103&quot;/&gt;&lt;wsp:rsid wsp:val=&quot;167F131F&quot;/&gt;&lt;wsp:rsid wsp:val=&quot;16805733&quot;/&gt;&lt;wsp:rsid wsp:val=&quot;16810BF3&quot;/&gt;&lt;wsp:rsid wsp:val=&quot;16816227&quot;/&gt;&lt;wsp:rsid wsp:val=&quot;16816E45&quot;/&gt;&lt;wsp:rsid wsp:val=&quot;168310E2&quot;/&gt;&lt;wsp:rsid wsp:val=&quot;16831C06&quot;/&gt;&lt;wsp:rsid wsp:val=&quot;168357F5&quot;/&gt;&lt;wsp:rsid wsp:val=&quot;16851FA8&quot;/&gt;&lt;wsp:rsid wsp:val=&quot;16856CC7&quot;/&gt;&lt;wsp:rsid wsp:val=&quot;168615A5&quot;/&gt;&lt;wsp:rsid wsp:val=&quot;168626AD&quot;/&gt;&lt;wsp:rsid wsp:val=&quot;16866209&quot;/&gt;&lt;wsp:rsid wsp:val=&quot;16867DD4&quot;/&gt;&lt;wsp:rsid wsp:val=&quot;16870C40&quot;/&gt;&lt;wsp:rsid wsp:val=&quot;16873D30&quot;/&gt;&lt;wsp:rsid wsp:val=&quot;168767C3&quot;/&gt;&lt;wsp:rsid wsp:val=&quot;168B1A72&quot;/&gt;&lt;wsp:rsid wsp:val=&quot;168C5417&quot;/&gt;&lt;wsp:rsid wsp:val=&quot;168D57EA&quot;/&gt;&lt;wsp:rsid wsp:val=&quot;168E1562&quot;/&gt;&lt;wsp:rsid wsp:val=&quot;168E50BE&quot;/&gt;&lt;wsp:rsid wsp:val=&quot;16900E36&quot;/&gt;&lt;wsp:rsid wsp:val=&quot;16907088&quot;/&gt;&lt;wsp:rsid wsp:val=&quot;16937BEA&quot;/&gt;&lt;wsp:rsid wsp:val=&quot;169528F0&quot;/&gt;&lt;wsp:rsid wsp:val=&quot;1695469E&quot;/&gt;&lt;wsp:rsid wsp:val=&quot;169721C5&quot;/&gt;&lt;wsp:rsid wsp:val=&quot;169831BA&quot;/&gt;&lt;wsp:rsid wsp:val=&quot;169923E1&quot;/&gt;&lt;wsp:rsid wsp:val=&quot;169A3A63&quot;/&gt;&lt;wsp:rsid wsp:val=&quot;169B33E5&quot;/&gt;&lt;wsp:rsid wsp:val=&quot;169C2C8F&quot;/&gt;&lt;wsp:rsid wsp:val=&quot;169C3C7F&quot;/&gt;&lt;wsp:rsid wsp:val=&quot;169C5A2D&quot;/&gt;&lt;wsp:rsid wsp:val=&quot;169C6A84&quot;/&gt;&lt;wsp:rsid wsp:val=&quot;169C77DB&quot;/&gt;&lt;wsp:rsid wsp:val=&quot;169D3553&quot;/&gt;&lt;wsp:rsid wsp:val=&quot;169E0CBC&quot;/&gt;&lt;wsp:rsid wsp:val=&quot;169E79F7&quot;/&gt;&lt;wsp:rsid wsp:val=&quot;169F376F&quot;/&gt;&lt;wsp:rsid wsp:val=&quot;169F551D&quot;/&gt;&lt;wsp:rsid wsp:val=&quot;16A10D7E&quot;/&gt;&lt;wsp:rsid wsp:val=&quot;16A13043&quot;/&gt;&lt;wsp:rsid wsp:val=&quot;16A23360&quot;/&gt;&lt;wsp:rsid wsp:val=&quot;16A6065A&quot;/&gt;&lt;wsp:rsid wsp:val=&quot;16A843D2&quot;/&gt;&lt;wsp:rsid wsp:val=&quot;16AA5E76&quot;/&gt;&lt;wsp:rsid wsp:val=&quot;16AA639C&quot;/&gt;&lt;wsp:rsid wsp:val=&quot;16AD19E8&quot;/&gt;&lt;wsp:rsid wsp:val=&quot;16AD2D27&quot;/&gt;&lt;wsp:rsid wsp:val=&quot;16AD7C3A&quot;/&gt;&lt;wsp:rsid wsp:val=&quot;16B234A2&quot;/&gt;&lt;wsp:rsid wsp:val=&quot;16B26FFE&quot;/&gt;&lt;wsp:rsid wsp:val=&quot;16B5089D&quot;/&gt;&lt;wsp:rsid wsp:val=&quot;16B55461&quot;/&gt;&lt;wsp:rsid wsp:val=&quot;16B56AEF&quot;/&gt;&lt;wsp:rsid wsp:val=&quot;16B72867&quot;/&gt;&lt;wsp:rsid wsp:val=&quot;16B75DCA&quot;/&gt;&lt;wsp:rsid wsp:val=&quot;16B8213B&quot;/&gt;&lt;wsp:rsid wsp:val=&quot;16B965DF&quot;/&gt;&lt;wsp:rsid wsp:val=&quot;16BA2357&quot;/&gt;&lt;wsp:rsid wsp:val=&quot;16BA5EB3&quot;/&gt;&lt;wsp:rsid wsp:val=&quot;16BC1C2B&quot;/&gt;&lt;wsp:rsid wsp:val=&quot;16BC7E7D&quot;/&gt;&lt;wsp:rsid wsp:val=&quot;16BE1E47&quot;/&gt;&lt;wsp:rsid wsp:val=&quot;16BF171B&quot;/&gt;&lt;wsp:rsid wsp:val=&quot;16BF2289&quot;/&gt;&lt;wsp:rsid wsp:val=&quot;16C02A68&quot;/&gt;&lt;wsp:rsid wsp:val=&quot;16C16AEE&quot;/&gt;&lt;wsp:rsid wsp:val=&quot;16C17241&quot;/&gt;&lt;wsp:rsid wsp:val=&quot;16C3120C&quot;/&gt;&lt;wsp:rsid wsp:val=&quot;16C32FBA&quot;/&gt;&lt;wsp:rsid wsp:val=&quot;16CA07EC&quot;/&gt;&lt;wsp:rsid wsp:val=&quot;16CB00C0&quot;/&gt;&lt;wsp:rsid wsp:val=&quot;16CB66C2&quot;/&gt;&lt;wsp:rsid wsp:val=&quot;16CF5E02&quot;/&gt;&lt;wsp:rsid wsp:val=&quot;16D03928&quot;/&gt;&lt;wsp:rsid wsp:val=&quot;16D0459E&quot;/&gt;&lt;wsp:rsid wsp:val=&quot;16D231FD&quot;/&gt;&lt;wsp:rsid wsp:val=&quot;16D3646B&quot;/&gt;&lt;wsp:rsid wsp:val=&quot;16D36F75&quot;/&gt;&lt;wsp:rsid wsp:val=&quot;16D43419&quot;/&gt;&lt;wsp:rsid wsp:val=&quot;16D52CED&quot;/&gt;&lt;wsp:rsid wsp:val=&quot;16D55464&quot;/&gt;&lt;wsp:rsid wsp:val=&quot;16D72F09&quot;/&gt;&lt;wsp:rsid wsp:val=&quot;16D84CC1&quot;/&gt;&lt;wsp:rsid wsp:val=&quot;16D927DD&quot;/&gt;&lt;wsp:rsid wsp:val=&quot;16DA0303&quot;/&gt;&lt;wsp:rsid wsp:val=&quot;16DB47A7&quot;/&gt;&lt;wsp:rsid wsp:val=&quot;16DC407B&quot;/&gt;&lt;wsp:rsid wsp:val=&quot;16DE1BA1&quot;/&gt;&lt;wsp:rsid wsp:val=&quot;16E15D3E&quot;/&gt;&lt;wsp:rsid wsp:val=&quot;16E3365C&quot;/&gt;&lt;wsp:rsid wsp:val=&quot;16E3540A&quot;/&gt;&lt;wsp:rsid wsp:val=&quot;16E41FC1&quot;/&gt;&lt;wsp:rsid wsp:val=&quot;16E42F30&quot;/&gt;&lt;wsp:rsid wsp:val=&quot;16E66CA8&quot;/&gt;&lt;wsp:rsid wsp:val=&quot;16E86EC4&quot;/&gt;&lt;wsp:rsid wsp:val=&quot;16ED44DA&quot;/&gt;&lt;wsp:rsid wsp:val=&quot;16EE0D4D&quot;/&gt;&lt;wsp:rsid wsp:val=&quot;16EF2001&quot;/&gt;&lt;wsp:rsid wsp:val=&quot;16EF70D4&quot;/&gt;&lt;wsp:rsid wsp:val=&quot;16F13FCB&quot;/&gt;&lt;wsp:rsid wsp:val=&quot;16F21AF1&quot;/&gt;&lt;wsp:rsid wsp:val=&quot;16F2389F&quot;/&gt;&lt;wsp:rsid wsp:val=&quot;16F2564D&quot;/&gt;&lt;wsp:rsid wsp:val=&quot;16F413C5&quot;/&gt;&lt;wsp:rsid wsp:val=&quot;16F615E1&quot;/&gt;&lt;wsp:rsid wsp:val=&quot;16FC296F&quot;/&gt;&lt;wsp:rsid wsp:val=&quot;16FC64CC&quot;/&gt;&lt;wsp:rsid wsp:val=&quot;16FC7806&quot;/&gt;&lt;wsp:rsid wsp:val=&quot;16FE2B67&quot;/&gt;&lt;wsp:rsid wsp:val=&quot;17016FE1&quot;/&gt;&lt;wsp:rsid wsp:val=&quot;17017F86&quot;/&gt;&lt;wsp:rsid wsp:val=&quot;1702620D&quot;/&gt;&lt;wsp:rsid wsp:val=&quot;17033CFE&quot;/&gt;&lt;wsp:rsid wsp:val=&quot;170610F8&quot;/&gt;&lt;wsp:rsid wsp:val=&quot;17061A54&quot;/&gt;&lt;wsp:rsid wsp:val=&quot;1706734A&quot;/&gt;&lt;wsp:rsid wsp:val=&quot;170717A3&quot;/&gt;&lt;wsp:rsid wsp:val=&quot;17081314&quot;/&gt;&lt;wsp:rsid wsp:val=&quot;170A4011&quot;/&gt;&lt;wsp:rsid wsp:val=&quot;170A6E3A&quot;/&gt;&lt;wsp:rsid wsp:val=&quot;170B03AB&quot;/&gt;&lt;wsp:rsid wsp:val=&quot;170F26A3&quot;/&gt;&lt;wsp:rsid wsp:val=&quot;171001C9&quot;/&gt;&lt;wsp:rsid wsp:val=&quot;1712246D&quot;/&gt;&lt;wsp:rsid wsp:val=&quot;17122B75&quot;/&gt;&lt;wsp:rsid wsp:val=&quot;17127A9D&quot;/&gt;&lt;wsp:rsid wsp:val=&quot;17134774&quot;/&gt;&lt;wsp:rsid wsp:val=&quot;17141A67&quot;/&gt;&lt;wsp:rsid wsp:val=&quot;17147CB9&quot;/&gt;&lt;wsp:rsid wsp:val=&quot;17163A31&quot;/&gt;&lt;wsp:rsid wsp:val=&quot;171750B3&quot;/&gt;&lt;wsp:rsid wsp:val=&quot;17190E2C&quot;/&gt;&lt;wsp:rsid wsp:val=&quot;171B1048&quot;/&gt;&lt;wsp:rsid wsp:val=&quot;171B30EB&quot;/&gt;&lt;wsp:rsid wsp:val=&quot;171C091C&quot;/&gt;&lt;wsp:rsid wsp:val=&quot;171D4444&quot;/&gt;&lt;wsp:rsid wsp:val=&quot;17204276&quot;/&gt;&lt;wsp:rsid wsp:val=&quot;17205F01&quot;/&gt;&lt;wsp:rsid wsp:val=&quot;172123D6&quot;/&gt;&lt;wsp:rsid wsp:val=&quot;17215F32&quot;/&gt;&lt;wsp:rsid wsp:val=&quot;17231CAA&quot;/&gt;&lt;wsp:rsid wsp:val=&quot;17234384&quot;/&gt;&lt;wsp:rsid wsp:val=&quot;1723614E&quot;/&gt;&lt;wsp:rsid wsp:val=&quot;17245FBE&quot;/&gt;&lt;wsp:rsid wsp:val=&quot;17253C74&quot;/&gt;&lt;wsp:rsid wsp:val=&quot;172577D0&quot;/&gt;&lt;wsp:rsid wsp:val=&quot;172634B4&quot;/&gt;&lt;wsp:rsid wsp:val=&quot;17263548&quot;/&gt;&lt;wsp:rsid wsp:val=&quot;17283764&quot;/&gt;&lt;wsp:rsid wsp:val=&quot;172872C1&quot;/&gt;&lt;wsp:rsid wsp:val=&quot;17292EA9&quot;/&gt;&lt;wsp:rsid wsp:val=&quot;17297BD5&quot;/&gt;&lt;wsp:rsid wsp:val=&quot;172A4DE7&quot;/&gt;&lt;wsp:rsid wsp:val=&quot;172B0B5F&quot;/&gt;&lt;wsp:rsid wsp:val=&quot;172B6DB1&quot;/&gt;&lt;wsp:rsid wsp:val=&quot;172C5003&quot;/&gt;&lt;wsp:rsid wsp:val=&quot;172C5BE5&quot;/&gt;&lt;wsp:rsid wsp:val=&quot;17312619&quot;/&gt;&lt;wsp:rsid wsp:val=&quot;17316E86&quot;/&gt;&lt;wsp:rsid wsp:val=&quot;17340790&quot;/&gt;&lt;wsp:rsid wsp:val=&quot;17343EB7&quot;/&gt;&lt;wsp:rsid wsp:val=&quot;17345C65&quot;/&gt;&lt;wsp:rsid wsp:val=&quot;173619DD&quot;/&gt;&lt;wsp:rsid wsp:val=&quot;17367C2F&quot;/&gt;&lt;wsp:rsid wsp:val=&quot;173739A8&quot;/&gt;&lt;wsp:rsid wsp:val=&quot;173B3498&quot;/&gt;&lt;wsp:rsid wsp:val=&quot;173C0FBE&quot;/&gt;&lt;wsp:rsid wsp:val=&quot;173C2D6C&quot;/&gt;&lt;wsp:rsid wsp:val=&quot;173E4D36&quot;/&gt;&lt;wsp:rsid wsp:val=&quot;17400AAE&quot;/&gt;&lt;wsp:rsid wsp:val=&quot;1740460A&quot;/&gt;&lt;wsp:rsid wsp:val=&quot;17424826&quot;/&gt;&lt;wsp:rsid wsp:val=&quot;1743234C&quot;/&gt;&lt;wsp:rsid wsp:val=&quot;17446A3D&quot;/&gt;&lt;wsp:rsid wsp:val=&quot;174546C0&quot;/&gt;&lt;wsp:rsid wsp:val=&quot;1746135D&quot;/&gt;&lt;wsp:rsid wsp:val=&quot;17463BEB&quot;/&gt;&lt;wsp:rsid wsp:val=&quot;17487963&quot;/&gt;&lt;wsp:rsid wsp:val=&quot;174C1201&quot;/&gt;&lt;wsp:rsid wsp:val=&quot;174C4868&quot;/&gt;&lt;wsp:rsid wsp:val=&quot;174D4F79&quot;/&gt;&lt;wsp:rsid wsp:val=&quot;174D6D27&quot;/&gt;&lt;wsp:rsid wsp:val=&quot;174F14AB&quot;/&gt;&lt;wsp:rsid wsp:val=&quot;174F484D&quot;/&gt;&lt;wsp:rsid wsp:val=&quot;175005C5&quot;/&gt;&lt;wsp:rsid wsp:val=&quot;17516817&quot;/&gt;&lt;wsp:rsid wsp:val=&quot;175252F4&quot;/&gt;&lt;wsp:rsid wsp:val=&quot;17544559&quot;/&gt;&lt;wsp:rsid wsp:val=&quot;17546308&quot;/&gt;&lt;wsp:rsid wsp:val=&quot;17577BA6&quot;/&gt;&lt;wsp:rsid wsp:val=&quot;17583772&quot;/&gt;&lt;wsp:rsid wsp:val=&quot;175956CC&quot;/&gt;&lt;wsp:rsid wsp:val=&quot;175C51BC&quot;/&gt;&lt;wsp:rsid wsp:val=&quot;175D2B53&quot;/&gt;&lt;wsp:rsid wsp:val=&quot;175F1F04&quot;/&gt;&lt;wsp:rsid wsp:val=&quot;176302F9&quot;/&gt;&lt;wsp:rsid wsp:val=&quot;1763654B&quot;/&gt;&lt;wsp:rsid wsp:val=&quot;17654071&quot;/&gt;&lt;wsp:rsid wsp:val=&quot;17675B53&quot;/&gt;&lt;wsp:rsid wsp:val=&quot;1767603B&quot;/&gt;&lt;wsp:rsid wsp:val=&quot;17680005&quot;/&gt;&lt;wsp:rsid wsp:val=&quot;17681DB3&quot;/&gt;&lt;wsp:rsid wsp:val=&quot;17683B61&quot;/&gt;&lt;wsp:rsid wsp:val=&quot;17694647&quot;/&gt;&lt;wsp:rsid wsp:val=&quot;176C18A3&quot;/&gt;&lt;wsp:rsid wsp:val=&quot;176D1177&quot;/&gt;&lt;wsp:rsid wsp:val=&quot;176D70D9&quot;/&gt;&lt;wsp:rsid wsp:val=&quot;176F4EEF&quot;/&gt;&lt;wsp:rsid wsp:val=&quot;17701D14&quot;/&gt;&lt;wsp:rsid wsp:val=&quot;17712A16&quot;/&gt;&lt;wsp:rsid wsp:val=&quot;177249E0&quot;/&gt;&lt;wsp:rsid wsp:val=&quot;17735226&quot;/&gt;&lt;wsp:rsid wsp:val=&quot;177469AA&quot;/&gt;&lt;wsp:rsid wsp:val=&quot;177644D0&quot;/&gt;&lt;wsp:rsid wsp:val=&quot;1776627E&quot;/&gt;&lt;wsp:rsid wsp:val=&quot;17771FF6&quot;/&gt;&lt;wsp:rsid wsp:val=&quot;17780248&quot;/&gt;&lt;wsp:rsid wsp:val=&quot;17782D5C&quot;/&gt;&lt;wsp:rsid wsp:val=&quot;177B1AE6&quot;/&gt;&lt;wsp:rsid wsp:val=&quot;177C760C&quot;/&gt;&lt;wsp:rsid wsp:val=&quot;177D585E&quot;/&gt;&lt;wsp:rsid wsp:val=&quot;177E15D6&quot;/&gt;&lt;wsp:rsid wsp:val=&quot;177F79E2&quot;/&gt;&lt;wsp:rsid wsp:val=&quot;17800EAB&quot;/&gt;&lt;wsp:rsid wsp:val=&quot;1783099B&quot;/&gt;&lt;wsp:rsid wsp:val=&quot;17832749&quot;/&gt;&lt;wsp:rsid wsp:val=&quot;17834B0C&quot;/&gt;&lt;wsp:rsid wsp:val=&quot;17834F29&quot;/&gt;&lt;wsp:rsid wsp:val=&quot;17836008&quot;/&gt;&lt;wsp:rsid wsp:val=&quot;17852965&quot;/&gt;&lt;wsp:rsid wsp:val=&quot;17854713&quot;/&gt;&lt;wsp:rsid wsp:val=&quot;17872239&quot;/&gt;&lt;wsp:rsid wsp:val=&quot;17886BE6&quot;/&gt;&lt;wsp:rsid wsp:val=&quot;178A3AD7&quot;/&gt;&lt;wsp:rsid wsp:val=&quot;178D1819&quot;/&gt;&lt;wsp:rsid wsp:val=&quot;178D3B28&quot;/&gt;&lt;wsp:rsid wsp:val=&quot;178F5592&quot;/&gt;&lt;wsp:rsid wsp:val=&quot;17935082&quot;/&gt;&lt;wsp:rsid wsp:val=&quot;17937964&quot;/&gt;&lt;wsp:rsid wsp:val=&quot;17942BA8&quot;/&gt;&lt;wsp:rsid wsp:val=&quot;1796247C&quot;/&gt;&lt;wsp:rsid wsp:val=&quot;17964BA4&quot;/&gt;&lt;wsp:rsid wsp:val=&quot;17965B8D&quot;/&gt;&lt;wsp:rsid wsp:val=&quot;17966920&quot;/&gt;&lt;wsp:rsid wsp:val=&quot;17980C05&quot;/&gt;&lt;wsp:rsid wsp:val=&quot;17984446&quot;/&gt;&lt;wsp:rsid wsp:val=&quot;17996410&quot;/&gt;&lt;wsp:rsid wsp:val=&quot;179A7CC5&quot;/&gt;&lt;wsp:rsid wsp:val=&quot;179B3F36&quot;/&gt;&lt;wsp:rsid wsp:val=&quot;179D1A5D&quot;/&gt;&lt;wsp:rsid wsp:val=&quot;179D1EA6&quot;/&gt;&lt;wsp:rsid wsp:val=&quot;179E3A27&quot;/&gt;&lt;wsp:rsid wsp:val=&quot;17A0779F&quot;/&gt;&lt;wsp:rsid wsp:val=&quot;17A34B99&quot;/&gt;&lt;wsp:rsid wsp:val=&quot;17A4103D&quot;/&gt;&lt;wsp:rsid wsp:val=&quot;17A54DB5&quot;/&gt;&lt;wsp:rsid wsp:val=&quot;17A56B63&quot;/&gt;&lt;wsp:rsid wsp:val=&quot;17A64699&quot;/&gt;&lt;wsp:rsid wsp:val=&quot;17AA4179&quot;/&gt;&lt;wsp:rsid wsp:val=&quot;17AC7EF2&quot;/&gt;&lt;wsp:rsid wsp:val=&quot;17AE2306&quot;/&gt;&lt;wsp:rsid wsp:val=&quot;17AF79E2&quot;/&gt;&lt;wsp:rsid wsp:val=&quot;17B15508&quot;/&gt;&lt;wsp:rsid wsp:val=&quot;17B374D2&quot;/&gt;&lt;wsp:rsid wsp:val=&quot;17B40B54&quot;/&gt;&lt;wsp:rsid wsp:val=&quot;17B44FF8&quot;/&gt;&lt;wsp:rsid wsp:val=&quot;17B60D70&quot;/&gt;&lt;wsp:rsid wsp:val=&quot;17B943BD&quot;/&gt;&lt;wsp:rsid wsp:val=&quot;17BB1EE3&quot;/&gt;&lt;wsp:rsid wsp:val=&quot;17BE19D3&quot;/&gt;&lt;wsp:rsid wsp:val=&quot;17BE7C25&quot;/&gt;&lt;wsp:rsid wsp:val=&quot;17C0574B&quot;/&gt;&lt;wsp:rsid wsp:val=&quot;17C36FE9&quot;/&gt;&lt;wsp:rsid wsp:val=&quot;17C92852&quot;/&gt;&lt;wsp:rsid wsp:val=&quot;17C97A33&quot;/&gt;&lt;wsp:rsid wsp:val=&quot;17CA0378&quot;/&gt;&lt;wsp:rsid wsp:val=&quot;17CA65CA&quot;/&gt;&lt;wsp:rsid wsp:val=&quot;17CB070E&quot;/&gt;&lt;wsp:rsid wsp:val=&quot;17CC02B3&quot;/&gt;&lt;wsp:rsid wsp:val=&quot;17CE60BA&quot;/&gt;&lt;wsp:rsid wsp:val=&quot;17CF33BC&quot;/&gt;&lt;wsp:rsid wsp:val=&quot;17CF3BE0&quot;/&gt;&lt;wsp:rsid wsp:val=&quot;17CF598E&quot;/&gt;&lt;wsp:rsid wsp:val=&quot;17D10471&quot;/&gt;&lt;wsp:rsid wsp:val=&quot;17D11706&quot;/&gt;&lt;wsp:rsid wsp:val=&quot;17D17655&quot;/&gt;&lt;wsp:rsid wsp:val=&quot;17D17958&quot;/&gt;&lt;wsp:rsid wsp:val=&quot;17D2722C&quot;/&gt;&lt;wsp:rsid wsp:val=&quot;17D336D0&quot;/&gt;&lt;wsp:rsid wsp:val=&quot;17D47448&quot;/&gt;&lt;wsp:rsid wsp:val=&quot;17D66D1D&quot;/&gt;&lt;wsp:rsid wsp:val=&quot;17D73D39&quot;/&gt;&lt;wsp:rsid wsp:val=&quot;17D75109&quot;/&gt;&lt;wsp:rsid wsp:val=&quot;17DA3CAD&quot;/&gt;&lt;wsp:rsid wsp:val=&quot;17DA4A5F&quot;/&gt;&lt;wsp:rsid wsp:val=&quot;17DA6EDC&quot;/&gt;&lt;wsp:rsid wsp:val=&quot;17DB07D7&quot;/&gt;&lt;wsp:rsid wsp:val=&quot;17DB2585&quot;/&gt;&lt;wsp:rsid wsp:val=&quot;17DB3C50&quot;/&gt;&lt;wsp:rsid wsp:val=&quot;17DD454F&quot;/&gt;&lt;wsp:rsid wsp:val=&quot;17DD62FD&quot;/&gt;&lt;wsp:rsid wsp:val=&quot;17DF02C7&quot;/&gt;&lt;wsp:rsid wsp:val=&quot;17E07B9B&quot;/&gt;&lt;wsp:rsid wsp:val=&quot;17E33010&quot;/&gt;&lt;wsp:rsid wsp:val=&quot;17E67F73&quot;/&gt;&lt;wsp:rsid wsp:val=&quot;17E97897&quot;/&gt;&lt;wsp:rsid wsp:val=&quot;17EA18FC&quot;/&gt;&lt;wsp:rsid wsp:val=&quot;17EC4792&quot;/&gt;&lt;wsp:rsid wsp:val=&quot;17ED6B70&quot;/&gt;&lt;wsp:rsid wsp:val=&quot;17EE4066&quot;/&gt;&lt;wsp:rsid wsp:val=&quot;17EF6030&quot;/&gt;&lt;wsp:rsid wsp:val=&quot;17F04282&quot;/&gt;&lt;wsp:rsid wsp:val=&quot;17F05C36&quot;/&gt;&lt;wsp:rsid wsp:val=&quot;17F11DA8&quot;/&gt;&lt;wsp:rsid wsp:val=&quot;17F42A87&quot;/&gt;&lt;wsp:rsid wsp:val=&quot;17F51340&quot;/&gt;&lt;wsp:rsid wsp:val=&quot;17F76854&quot;/&gt;&lt;wsp:rsid wsp:val=&quot;17F81389&quot;/&gt;&lt;wsp:rsid wsp:val=&quot;17F83137&quot;/&gt;&lt;wsp:rsid wsp:val=&quot;17F90C5D&quot;/&gt;&lt;wsp:rsid wsp:val=&quot;17FC59E3&quot;/&gt;&lt;wsp:rsid wsp:val=&quot;17FC72FC&quot;/&gt;&lt;wsp:rsid wsp:val=&quot;17FD51E2&quot;/&gt;&lt;wsp:rsid wsp:val=&quot;17FE0021&quot;/&gt;&lt;wsp:rsid wsp:val=&quot;17FE4521&quot;/&gt;&lt;wsp:rsid wsp:val=&quot;17FF2717&quot;/&gt;&lt;wsp:rsid wsp:val=&quot;17FF6273&quot;/&gt;&lt;wsp:rsid wsp:val=&quot;17FF6452&quot;/&gt;&lt;wsp:rsid wsp:val=&quot;18003D99&quot;/&gt;&lt;wsp:rsid wsp:val=&quot;1801037E&quot;/&gt;&lt;wsp:rsid wsp:val=&quot;18025D64&quot;/&gt;&lt;wsp:rsid wsp:val=&quot;18027B12&quot;/&gt;&lt;wsp:rsid wsp:val=&quot;18041ADC&quot;/&gt;&lt;wsp:rsid wsp:val=&quot;180513B0&quot;/&gt;&lt;wsp:rsid wsp:val=&quot;180520BE&quot;/&gt;&lt;wsp:rsid wsp:val=&quot;1807337A&quot;/&gt;&lt;wsp:rsid wsp:val=&quot;18090EA0&quot;/&gt;&lt;wsp:rsid wsp:val=&quot;180A0F27&quot;/&gt;&lt;wsp:rsid wsp:val=&quot;180A2E6A&quot;/&gt;&lt;wsp:rsid wsp:val=&quot;180B23B7&quot;/&gt;&lt;wsp:rsid wsp:val=&quot;180C3251&quot;/&gt;&lt;wsp:rsid wsp:val=&quot;180C6BE2&quot;/&gt;&lt;wsp:rsid wsp:val=&quot;180E4708&quot;/&gt;&lt;wsp:rsid wsp:val=&quot;180E6167&quot;/&gt;&lt;wsp:rsid wsp:val=&quot;180F33B4&quot;/&gt;&lt;wsp:rsid wsp:val=&quot;18100480&quot;/&gt;&lt;wsp:rsid wsp:val=&quot;18115FA7&quot;/&gt;&lt;wsp:rsid wsp:val=&quot;18130B49&quot;/&gt;&lt;wsp:rsid wsp:val=&quot;1813138E&quot;/&gt;&lt;wsp:rsid wsp:val=&quot;1816180F&quot;/&gt;&lt;wsp:rsid wsp:val=&quot;18187335&quot;/&gt;&lt;wsp:rsid wsp:val=&quot;18194E5B&quot;/&gt;&lt;wsp:rsid wsp:val=&quot;181A12FF&quot;/&gt;&lt;wsp:rsid wsp:val=&quot;181B0BD3&quot;/&gt;&lt;wsp:rsid wsp:val=&quot;181B1EAC&quot;/&gt;&lt;wsp:rsid wsp:val=&quot;181F06C4&quot;/&gt;&lt;wsp:rsid wsp:val=&quot;181F6915&quot;/&gt;&lt;wsp:rsid wsp:val=&quot;1820443C&quot;/&gt;&lt;wsp:rsid wsp:val=&quot;182201B4&quot;/&gt;&lt;wsp:rsid wsp:val=&quot;1824217E&quot;/&gt;&lt;wsp:rsid wsp:val=&quot;18267CA4&quot;/&gt;&lt;wsp:rsid wsp:val=&quot;18291542&quot;/&gt;&lt;wsp:rsid wsp:val=&quot;18295740&quot;/&gt;&lt;wsp:rsid wsp:val=&quot;18297794&quot;/&gt;&lt;wsp:rsid wsp:val=&quot;182C4B8E&quot;/&gt;&lt;wsp:rsid wsp:val=&quot;182F17B2&quot;/&gt;&lt;wsp:rsid wsp:val=&quot;182F467F&quot;/&gt;&lt;wsp:rsid wsp:val=&quot;18316649&quot;/&gt;&lt;wsp:rsid wsp:val=&quot;18351C95&quot;/&gt;&lt;wsp:rsid wsp:val=&quot;18356139&quot;/&gt;&lt;wsp:rsid wsp:val=&quot;1835636A&quot;/&gt;&lt;wsp:rsid wsp:val=&quot;18360DD0&quot;/&gt;&lt;wsp:rsid wsp:val=&quot;18371EB1&quot;/&gt;&lt;wsp:rsid wsp:val=&quot;1837463A&quot;/&gt;&lt;wsp:rsid wsp:val=&quot;18383533&quot;/&gt;&lt;wsp:rsid wsp:val=&quot;183B1275&quot;/&gt;&lt;wsp:rsid wsp:val=&quot;183C74C7&quot;/&gt;&lt;wsp:rsid wsp:val=&quot;183D0B4A&quot;/&gt;&lt;wsp:rsid wsp:val=&quot;183F2B14&quot;/&gt;&lt;wsp:rsid wsp:val=&quot;18401FD4&quot;/&gt;&lt;wsp:rsid wsp:val=&quot;18414ADE&quot;/&gt;&lt;wsp:rsid wsp:val=&quot;18430E63&quot;/&gt;&lt;wsp:rsid wsp:val=&quot;1844012A&quot;/&gt;&lt;wsp:rsid wsp:val=&quot;18441ED8&quot;/&gt;&lt;wsp:rsid wsp:val=&quot;18452548&quot;/&gt;&lt;wsp:rsid wsp:val=&quot;18463EA2&quot;/&gt;&lt;wsp:rsid wsp:val=&quot;18464E68&quot;/&gt;&lt;wsp:rsid wsp:val=&quot;18475E6C&quot;/&gt;&lt;wsp:rsid wsp:val=&quot;18477C1A&quot;/&gt;&lt;wsp:rsid wsp:val=&quot;18493992&quot;/&gt;&lt;wsp:rsid wsp:val=&quot;184B14B9&quot;/&gt;&lt;wsp:rsid wsp:val=&quot;184B4C79&quot;/&gt;&lt;wsp:rsid wsp:val=&quot;184B770B&quot;/&gt;&lt;wsp:rsid wsp:val=&quot;184C6FDF&quot;/&gt;&lt;wsp:rsid wsp:val=&quot;18506ACF&quot;/&gt;&lt;wsp:rsid wsp:val=&quot;185145F5&quot;/&gt;&lt;wsp:rsid wsp:val=&quot;185442B7&quot;/&gt;&lt;wsp:rsid wsp:val=&quot;185540E5&quot;/&gt;&lt;wsp:rsid wsp:val=&quot;18561C0B&quot;/&gt;&lt;wsp:rsid wsp:val=&quot;18562723&quot;/&gt;&lt;wsp:rsid wsp:val=&quot;1856495D&quot;/&gt;&lt;wsp:rsid wsp:val=&quot;18567E5D&quot;/&gt;&lt;wsp:rsid wsp:val=&quot;185760AF&quot;/&gt;&lt;wsp:rsid wsp:val=&quot;18597E8B&quot;/&gt;&lt;wsp:rsid wsp:val=&quot;185A794E&quot;/&gt;&lt;wsp:rsid wsp:val=&quot;185B326A&quot;/&gt;&lt;wsp:rsid wsp:val=&quot;185B5474&quot;/&gt;&lt;wsp:rsid wsp:val=&quot;185C0256&quot;/&gt;&lt;wsp:rsid wsp:val=&quot;185D11EC&quot;/&gt;&lt;wsp:rsid wsp:val=&quot;185D2F9A&quot;/&gt;&lt;wsp:rsid wsp:val=&quot;185F31B6&quot;/&gt;&lt;wsp:rsid wsp:val=&quot;185F4F64&quot;/&gt;&lt;wsp:rsid wsp:val=&quot;185F56CA&quot;/&gt;&lt;wsp:rsid wsp:val=&quot;185F6D12&quot;/&gt;&lt;wsp:rsid wsp:val=&quot;185F713E&quot;/&gt;&lt;wsp:rsid wsp:val=&quot;18602A8A&quot;/&gt;&lt;wsp:rsid wsp:val=&quot;18611A70&quot;/&gt;&lt;wsp:rsid wsp:val=&quot;18626802&quot;/&gt;&lt;wsp:rsid wsp:val=&quot;18635AD1&quot;/&gt;&lt;wsp:rsid wsp:val=&quot;1864257A&quot;/&gt;&lt;wsp:rsid wsp:val=&quot;18646F61&quot;/&gt;&lt;wsp:rsid wsp:val=&quot;18694035&quot;/&gt;&lt;wsp:rsid wsp:val=&quot;18696DB0&quot;/&gt;&lt;wsp:rsid wsp:val=&quot;186D58D3&quot;/&gt;&lt;wsp:rsid wsp:val=&quot;186E164B&quot;/&gt;&lt;wsp:rsid wsp:val=&quot;186E33F9&quot;/&gt;&lt;wsp:rsid wsp:val=&quot;18700F1F&quot;/&gt;&lt;wsp:rsid wsp:val=&quot;18714C97&quot;/&gt;&lt;wsp:rsid wsp:val=&quot;18714EF8&quot;/&gt;&lt;wsp:rsid wsp:val=&quot;18722EE9&quot;/&gt;&lt;wsp:rsid wsp:val=&quot;187327BD&quot;/&gt;&lt;wsp:rsid wsp:val=&quot;187529D9&quot;/&gt;&lt;wsp:rsid wsp:val=&quot;18754787&quot;/&gt;&lt;wsp:rsid wsp:val=&quot;1876448A&quot;/&gt;&lt;wsp:rsid wsp:val=&quot;18770500&quot;/&gt;&lt;wsp:rsid wsp:val=&quot;1877409C&quot;/&gt;&lt;wsp:rsid wsp:val=&quot;18784278&quot;/&gt;&lt;wsp:rsid wsp:val=&quot;18786026&quot;/&gt;&lt;wsp:rsid wsp:val=&quot;18787DD4&quot;/&gt;&lt;wsp:rsid wsp:val=&quot;18797CF6&quot;/&gt;&lt;wsp:rsid wsp:val=&quot;187B27C4&quot;/&gt;&lt;wsp:rsid wsp:val=&quot;187D1931&quot;/&gt;&lt;wsp:rsid wsp:val=&quot;1881137E&quot;/&gt;&lt;wsp:rsid wsp:val=&quot;1881312C&quot;/&gt;&lt;wsp:rsid wsp:val=&quot;18826EA4&quot;/&gt;&lt;wsp:rsid wsp:val=&quot;18842891&quot;/&gt;&lt;wsp:rsid wsp:val=&quot;18846779&quot;/&gt;&lt;wsp:rsid wsp:val=&quot;18860743&quot;/&gt;&lt;wsp:rsid wsp:val=&quot;18876269&quot;/&gt;&lt;wsp:rsid wsp:val=&quot;18890233&quot;/&gt;&lt;wsp:rsid wsp:val=&quot;188B720A&quot;/&gt;&lt;wsp:rsid wsp:val=&quot;188C7801&quot;/&gt;&lt;wsp:rsid wsp:val=&quot;188D4859&quot;/&gt;&lt;wsp:rsid wsp:val=&quot;188D7D23&quot;/&gt;&lt;wsp:rsid wsp:val=&quot;18904044&quot;/&gt;&lt;wsp:rsid wsp:val=&quot;1893346E&quot;/&gt;&lt;wsp:rsid wsp:val=&quot;18934C0E&quot;/&gt;&lt;wsp:rsid wsp:val=&quot;18955D8E&quot;/&gt;&lt;wsp:rsid wsp:val=&quot;189577B1&quot;/&gt;&lt;wsp:rsid wsp:val=&quot;189664AC&quot;/&gt;&lt;wsp:rsid wsp:val=&quot;18972950&quot;/&gt;&lt;wsp:rsid wsp:val=&quot;189B3AC2&quot;/&gt;&lt;wsp:rsid wsp:val=&quot;189D21E0&quot;/&gt;&lt;wsp:rsid wsp:val=&quot;189D7862&quot;/&gt;&lt;wsp:rsid wsp:val=&quot;189F1804&quot;/&gt;&lt;wsp:rsid wsp:val=&quot;189F624C&quot;/&gt;&lt;wsp:rsid wsp:val=&quot;189F7A56&quot;/&gt;&lt;wsp:rsid wsp:val=&quot;18A1038B&quot;/&gt;&lt;wsp:rsid wsp:val=&quot;18A137CE&quot;/&gt;&lt;wsp:rsid wsp:val=&quot;18A1732B&quot;/&gt;&lt;wsp:rsid wsp:val=&quot;18A230A3&quot;/&gt;&lt;wsp:rsid wsp:val=&quot;18A43556&quot;/&gt;&lt;wsp:rsid wsp:val=&quot;18A46E1B&quot;/&gt;&lt;wsp:rsid wsp:val=&quot;18A72D74&quot;/&gt;&lt;wsp:rsid wsp:val=&quot;18A8690B&quot;/&gt;&lt;wsp:rsid wsp:val=&quot;18A961DF&quot;/&gt;&lt;wsp:rsid wsp:val=&quot;18AA0AF5&quot;/&gt;&lt;wsp:rsid wsp:val=&quot;18AB01A9&quot;/&gt;&lt;wsp:rsid wsp:val=&quot;18AE37F5&quot;/&gt;&lt;wsp:rsid wsp:val=&quot;18AE7C99&quot;/&gt;&lt;wsp:rsid wsp:val=&quot;18AF5EEB&quot;/&gt;&lt;wsp:rsid wsp:val=&quot;18B040D7&quot;/&gt;&lt;wsp:rsid wsp:val=&quot;18B11625&quot;/&gt;&lt;wsp:rsid wsp:val=&quot;18B21538&quot;/&gt;&lt;wsp:rsid wsp:val=&quot;18B232E6&quot;/&gt;&lt;wsp:rsid wsp:val=&quot;18B2778A&quot;/&gt;&lt;wsp:rsid wsp:val=&quot;18B27E87&quot;/&gt;&lt;wsp:rsid wsp:val=&quot;18B32A92&quot;/&gt;&lt;wsp:rsid wsp:val=&quot;18B3705E&quot;/&gt;&lt;wsp:rsid wsp:val=&quot;18B43502&quot;/&gt;&lt;wsp:rsid wsp:val=&quot;18B55378&quot;/&gt;&lt;wsp:rsid wsp:val=&quot;18B56FCC&quot;/&gt;&lt;wsp:rsid wsp:val=&quot;18B72869&quot;/&gt;&lt;wsp:rsid wsp:val=&quot;18B77C98&quot;/&gt;&lt;wsp:rsid wsp:val=&quot;18B83CF9&quot;/&gt;&lt;wsp:rsid wsp:val=&quot;18B90B18&quot;/&gt;&lt;wsp:rsid wsp:val=&quot;18BA03EC&quot;/&gt;&lt;wsp:rsid wsp:val=&quot;18BA663E&quot;/&gt;&lt;wsp:rsid wsp:val=&quot;18BB3521&quot;/&gt;&lt;wsp:rsid wsp:val=&quot;18BB7D97&quot;/&gt;&lt;wsp:rsid wsp:val=&quot;18BC23B6&quot;/&gt;&lt;wsp:rsid wsp:val=&quot;18BC4164&quot;/&gt;&lt;wsp:rsid wsp:val=&quot;18BF3C55&quot;/&gt;&lt;wsp:rsid wsp:val=&quot;18BF5A03&quot;/&gt;&lt;wsp:rsid wsp:val=&quot;18C179CD&quot;/&gt;&lt;wsp:rsid wsp:val=&quot;18C2336D&quot;/&gt;&lt;wsp:rsid wsp:val=&quot;18C354F3&quot;/&gt;&lt;wsp:rsid wsp:val=&quot;18C40550&quot;/&gt;&lt;wsp:rsid wsp:val=&quot;18C4126B&quot;/&gt;&lt;wsp:rsid wsp:val=&quot;18C64FE3&quot;/&gt;&lt;wsp:rsid wsp:val=&quot;18C80D5B&quot;/&gt;&lt;wsp:rsid wsp:val=&quot;18C9062F&quot;/&gt;&lt;wsp:rsid wsp:val=&quot;18CA044B&quot;/&gt;&lt;wsp:rsid wsp:val=&quot;18CA610E&quot;/&gt;&lt;wsp:rsid wsp:val=&quot;18CB216F&quot;/&gt;&lt;wsp:rsid wsp:val=&quot;18CB25F9&quot;/&gt;&lt;wsp:rsid wsp:val=&quot;18CD0120&quot;/&gt;&lt;wsp:rsid wsp:val=&quot;18CE3E98&quot;/&gt;&lt;wsp:rsid wsp:val=&quot;18CE5C46&quot;/&gt;&lt;wsp:rsid wsp:val=&quot;18D23988&quot;/&gt;&lt;wsp:rsid wsp:val=&quot;18D3112F&quot;/&gt;&lt;wsp:rsid wsp:val=&quot;18D37686&quot;/&gt;&lt;wsp:rsid wsp:val=&quot;18D45952&quot;/&gt;&lt;wsp:rsid wsp:val=&quot;18D522F3&quot;/&gt;&lt;wsp:rsid wsp:val=&quot;18D53221&quot;/&gt;&lt;wsp:rsid wsp:val=&quot;18D53478&quot;/&gt;&lt;wsp:rsid wsp:val=&quot;18D61623&quot;/&gt;&lt;wsp:rsid wsp:val=&quot;18D86AC4&quot;/&gt;&lt;wsp:rsid wsp:val=&quot;18DA0A8E&quot;/&gt;&lt;wsp:rsid wsp:val=&quot;18DC4807&quot;/&gt;&lt;wsp:rsid wsp:val=&quot;18DD2A01&quot;/&gt;&lt;wsp:rsid wsp:val=&quot;18DE232D&quot;/&gt;&lt;wsp:rsid wsp:val=&quot;18DE48B4&quot;/&gt;&lt;wsp:rsid wsp:val=&quot;18DF42F7&quot;/&gt;&lt;wsp:rsid wsp:val=&quot;18DF7E53&quot;/&gt;&lt;wsp:rsid wsp:val=&quot;18E04FBB&quot;/&gt;&lt;wsp:rsid wsp:val=&quot;18E16C1B&quot;/&gt;&lt;wsp:rsid wsp:val=&quot;18E5190D&quot;/&gt;&lt;wsp:rsid wsp:val=&quot;18E65685&quot;/&gt;&lt;wsp:rsid wsp:val=&quot;18E663F3&quot;/&gt;&lt;wsp:rsid wsp:val=&quot;18E75636&quot;/&gt;&lt;wsp:rsid wsp:val=&quot;18E779FE&quot;/&gt;&lt;wsp:rsid wsp:val=&quot;18E80207&quot;/&gt;&lt;wsp:rsid wsp:val=&quot;18EA1985&quot;/&gt;&lt;wsp:rsid wsp:val=&quot;18EA6F23&quot;/&gt;&lt;wsp:rsid wsp:val=&quot;18EB5994&quot;/&gt;&lt;wsp:rsid wsp:val=&quot;18ED07C2&quot;/&gt;&lt;wsp:rsid wsp:val=&quot;18EE5509&quot;/&gt;&lt;wsp:rsid wsp:val=&quot;18F002B2&quot;/&gt;&lt;wsp:rsid wsp:val=&quot;18F07ABB&quot;/&gt;&lt;wsp:rsid wsp:val=&quot;18F27B86&quot;/&gt;&lt;wsp:rsid wsp:val=&quot;18F356AC&quot;/&gt;&lt;wsp:rsid wsp:val=&quot;18F45B2D&quot;/&gt;&lt;wsp:rsid wsp:val=&quot;18F510CA&quot;/&gt;&lt;wsp:rsid wsp:val=&quot;18F71640&quot;/&gt;&lt;wsp:rsid wsp:val=&quot;18F72176&quot;/&gt;&lt;wsp:rsid wsp:val=&quot;18F733EE&quot;/&gt;&lt;wsp:rsid wsp:val=&quot;18F7519C&quot;/&gt;&lt;wsp:rsid wsp:val=&quot;18F90F15&quot;/&gt;&lt;wsp:rsid wsp:val=&quot;18F953B8&quot;/&gt;&lt;wsp:rsid wsp:val=&quot;18FB4F3C&quot;/&gt;&lt;wsp:rsid wsp:val=&quot;18FF4051&quot;/&gt;&lt;wsp:rsid wsp:val=&quot;19002E2E&quot;/&gt;&lt;wsp:rsid wsp:val=&quot;1901601B&quot;/&gt;&lt;wsp:rsid wsp:val=&quot;19033B41&quot;/&gt;&lt;wsp:rsid wsp:val=&quot;19063631&quot;/&gt;&lt;wsp:rsid wsp:val=&quot;19067AD5&quot;/&gt;&lt;wsp:rsid wsp:val=&quot;19085523&quot;/&gt;&lt;wsp:rsid wsp:val=&quot;190855FC&quot;/&gt;&lt;wsp:rsid wsp:val=&quot;190873AA&quot;/&gt;&lt;wsp:rsid wsp:val=&quot;190B0C48&quot;/&gt;&lt;wsp:rsid wsp:val=&quot;190B50EC&quot;/&gt;&lt;wsp:rsid wsp:val=&quot;190B53C1&quot;/&gt;&lt;wsp:rsid wsp:val=&quot;190D49C0&quot;/&gt;&lt;wsp:rsid wsp:val=&quot;190D7B12&quot;/&gt;&lt;wsp:rsid wsp:val=&quot;190F004F&quot;/&gt;&lt;wsp:rsid wsp:val=&quot;1910625E&quot;/&gt;&lt;wsp:rsid wsp:val=&quot;19124904&quot;/&gt;&lt;wsp:rsid wsp:val=&quot;1912647A&quot;/&gt;&lt;wsp:rsid wsp:val=&quot;19137AFC&quot;/&gt;&lt;wsp:rsid wsp:val=&quot;191436B8&quot;/&gt;&lt;wsp:rsid wsp:val=&quot;19157D18&quot;/&gt;&lt;wsp:rsid wsp:val=&quot;191656D8&quot;/&gt;&lt;wsp:rsid wsp:val=&quot;19172FD4&quot;/&gt;&lt;wsp:rsid wsp:val=&quot;191775ED&quot;/&gt;&lt;wsp:rsid wsp:val=&quot;19184F94&quot;/&gt;&lt;wsp:rsid wsp:val=&quot;19191C06&quot;/&gt;&lt;wsp:rsid wsp:val=&quot;191B532F&quot;/&gt;&lt;wsp:rsid wsp:val=&quot;191C4C03&quot;/&gt;&lt;wsp:rsid wsp:val=&quot;191D6340&quot;/&gt;&lt;wsp:rsid wsp:val=&quot;191E097B&quot;/&gt;&lt;wsp:rsid wsp:val=&quot;191E6BCD&quot;/&gt;&lt;wsp:rsid wsp:val=&quot;191F46F3&quot;/&gt;&lt;wsp:rsid wsp:val=&quot;191F64A1&quot;/&gt;&lt;wsp:rsid wsp:val=&quot;19202945&quot;/&gt;&lt;wsp:rsid wsp:val=&quot;19235F91&quot;/&gt;&lt;wsp:rsid wsp:val=&quot;1926685E&quot;/&gt;&lt;wsp:rsid wsp:val=&quot;19267830&quot;/&gt;&lt;wsp:rsid wsp:val=&quot;192817FA&quot;/&gt;&lt;wsp:rsid wsp:val=&quot;192868B6&quot;/&gt;&lt;wsp:rsid wsp:val=&quot;192936DC&quot;/&gt;&lt;wsp:rsid wsp:val=&quot;192A5572&quot;/&gt;&lt;wsp:rsid wsp:val=&quot;192C753C&quot;/&gt;&lt;wsp:rsid wsp:val=&quot;192C7B6B&quot;/&gt;&lt;wsp:rsid wsp:val=&quot;192D6E10&quot;/&gt;&lt;wsp:rsid wsp:val=&quot;192E7DCB&quot;/&gt;&lt;wsp:rsid wsp:val=&quot;192F2B88&quot;/&gt;&lt;wsp:rsid wsp:val=&quot;193059E0&quot;/&gt;&lt;wsp:rsid wsp:val=&quot;19306900&quot;/&gt;&lt;wsp:rsid wsp:val=&quot;19324FE3&quot;/&gt;&lt;wsp:rsid wsp:val=&quot;19341F4D&quot;/&gt;&lt;wsp:rsid wsp:val=&quot;193472F5&quot;/&gt;&lt;wsp:rsid wsp:val=&quot;19393A07&quot;/&gt;&lt;wsp:rsid wsp:val=&quot;193957B5&quot;/&gt;&lt;wsp:rsid wsp:val=&quot;19397563&quot;/&gt;&lt;wsp:rsid wsp:val=&quot;193A32DB&quot;/&gt;&lt;wsp:rsid wsp:val=&quot;193B3B10&quot;/&gt;&lt;wsp:rsid wsp:val=&quot;193B4AC7&quot;/&gt;&lt;wsp:rsid wsp:val=&quot;193C385F&quot;/&gt;&lt;wsp:rsid wsp:val=&quot;193C52A5&quot;/&gt;&lt;wsp:rsid wsp:val=&quot;193D3D09&quot;/&gt;&lt;wsp:rsid wsp:val=&quot;193E101D&quot;/&gt;&lt;wsp:rsid wsp:val=&quot;193E726F&quot;/&gt;&lt;wsp:rsid wsp:val=&quot;193F21E0&quot;/&gt;&lt;wsp:rsid wsp:val=&quot;194128BC&quot;/&gt;&lt;wsp:rsid wsp:val=&quot;19416F3B&quot;/&gt;&lt;wsp:rsid wsp:val=&quot;1945415A&quot;/&gt;&lt;wsp:rsid wsp:val=&quot;19495E63&quot;/&gt;&lt;wsp:rsid wsp:val=&quot;194A5C14&quot;/&gt;&lt;wsp:rsid wsp:val=&quot;194C3363&quot;/&gt;&lt;wsp:rsid wsp:val=&quot;194E7066&quot;/&gt;&lt;wsp:rsid wsp:val=&quot;194F27F2&quot;/&gt;&lt;wsp:rsid wsp:val=&quot;19510C02&quot;/&gt;&lt;wsp:rsid wsp:val=&quot;19517EAB&quot;/&gt;&lt;wsp:rsid wsp:val=&quot;19520625&quot;/&gt;&lt;wsp:rsid wsp:val=&quot;19550115&quot;/&gt;&lt;wsp:rsid wsp:val=&quot;19575C3B&quot;/&gt;&lt;wsp:rsid wsp:val=&quot;195959D3&quot;/&gt;&lt;wsp:rsid wsp:val=&quot;195B1BCF&quot;/&gt;&lt;wsp:rsid wsp:val=&quot;19616ABA&quot;/&gt;&lt;wsp:rsid wsp:val=&quot;19632832&quot;/&gt;&lt;wsp:rsid wsp:val=&quot;196565AA&quot;/&gt;&lt;wsp:rsid wsp:val=&quot;19662322&quot;/&gt;&lt;wsp:rsid wsp:val=&quot;196662D8&quot;/&gt;&lt;wsp:rsid wsp:val=&quot;1968609A&quot;/&gt;&lt;wsp:rsid wsp:val=&quot;19687456&quot;/&gt;&lt;wsp:rsid wsp:val=&quot;196A3BC0&quot;/&gt;&lt;wsp:rsid wsp:val=&quot;196B7D6D&quot;/&gt;&lt;wsp:rsid wsp:val=&quot;196D40F1&quot;/&gt;&lt;wsp:rsid wsp:val=&quot;196D545F&quot;/&gt;&lt;wsp:rsid wsp:val=&quot;196F567B&quot;/&gt;&lt;wsp:rsid wsp:val=&quot;1970274F&quot;/&gt;&lt;wsp:rsid wsp:val=&quot;19706CFD&quot;/&gt;&lt;wsp:rsid wsp:val=&quot;19715320&quot;/&gt;&lt;wsp:rsid wsp:val=&quot;19727C40&quot;/&gt;&lt;wsp:rsid wsp:val=&quot;19731ACA&quot;/&gt;&lt;wsp:rsid wsp:val=&quot;19744A3F&quot;/&gt;&lt;wsp:rsid wsp:val=&quot;19770022&quot;/&gt;&lt;wsp:rsid wsp:val=&quot;19783D45&quot;/&gt;&lt;wsp:rsid wsp:val=&quot;19785DEC&quot;/&gt;&lt;wsp:rsid wsp:val=&quot;197902A7&quot;/&gt;&lt;wsp:rsid wsp:val=&quot;19793E03&quot;/&gt;&lt;wsp:rsid wsp:val=&quot;197C38F4&quot;/&gt;&lt;wsp:rsid wsp:val=&quot;197D2182&quot;/&gt;&lt;wsp:rsid wsp:val=&quot;197D7D98&quot;/&gt;&lt;wsp:rsid wsp:val=&quot;197E141A&quot;/&gt;&lt;wsp:rsid wsp:val=&quot;198033E4&quot;/&gt;&lt;wsp:rsid wsp:val=&quot;19805192&quot;/&gt;&lt;wsp:rsid wsp:val=&quot;19813C3F&quot;/&gt;&lt;wsp:rsid wsp:val=&quot;19817847&quot;/&gt;&lt;wsp:rsid wsp:val=&quot;198253AE&quot;/&gt;&lt;wsp:rsid wsp:val=&quot;19831126&quot;/&gt;&lt;wsp:rsid wsp:val=&quot;19836A30&quot;/&gt;&lt;wsp:rsid wsp:val=&quot;19851C18&quot;/&gt;&lt;wsp:rsid wsp:val=&quot;198729C4&quot;/&gt;&lt;wsp:rsid wsp:val=&quot;19874772&quot;/&gt;&lt;wsp:rsid wsp:val=&quot;198804EA&quot;/&gt;&lt;wsp:rsid wsp:val=&quot;19883697&quot;/&gt;&lt;wsp:rsid wsp:val=&quot;198C7FDB&quot;/&gt;&lt;wsp:rsid wsp:val=&quot;1990114D&quot;/&gt;&lt;wsp:rsid wsp:val=&quot;19912269&quot;/&gt;&lt;wsp:rsid wsp:val=&quot;1991739F&quot;/&gt;&lt;wsp:rsid wsp:val=&quot;19921369&quot;/&gt;&lt;wsp:rsid wsp:val=&quot;199221EE&quot;/&gt;&lt;wsp:rsid wsp:val=&quot;19924EC5&quot;/&gt;&lt;wsp:rsid wsp:val=&quot;19940C3D&quot;/&gt;&lt;wsp:rsid wsp:val=&quot;19946E8F&quot;/&gt;&lt;wsp:rsid wsp:val=&quot;199470D8&quot;/&gt;&lt;wsp:rsid wsp:val=&quot;19960E59&quot;/&gt;&lt;wsp:rsid wsp:val=&quot;19977B91&quot;/&gt;&lt;wsp:rsid wsp:val=&quot;19984B48&quot;/&gt;&lt;wsp:rsid wsp:val=&quot;19996254&quot;/&gt;&lt;wsp:rsid wsp:val=&quot;199B042E&quot;/&gt;&lt;wsp:rsid wsp:val=&quot;199B1FCC&quot;/&gt;&lt;wsp:rsid wsp:val=&quot;199E386A&quot;/&gt;&lt;wsp:rsid wsp:val=&quot;199E7D0E&quot;/&gt;&lt;wsp:rsid wsp:val=&quot;19A075E2&quot;/&gt;&lt;wsp:rsid wsp:val=&quot;19A370D2&quot;/&gt;&lt;wsp:rsid wsp:val=&quot;19A40DEF&quot;/&gt;&lt;wsp:rsid wsp:val=&quot;19A5109C&quot;/&gt;&lt;wsp:rsid wsp:val=&quot;19A76BC3&quot;/&gt;&lt;wsp:rsid wsp:val=&quot;19A81450&quot;/&gt;&lt;wsp:rsid wsp:val=&quot;19AA006B&quot;/&gt;&lt;wsp:rsid wsp:val=&quot;19AA220F&quot;/&gt;&lt;wsp:rsid wsp:val=&quot;19AC5F87&quot;/&gt;&lt;wsp:rsid wsp:val=&quot;19AF1F1B&quot;/&gt;&lt;wsp:rsid wsp:val=&quot;19AF3CC9&quot;/&gt;&lt;wsp:rsid wsp:val=&quot;19AF5A77&quot;/&gt;&lt;wsp:rsid wsp:val=&quot;19AF7825&quot;/&gt;&lt;wsp:rsid wsp:val=&quot;19B047FA&quot;/&gt;&lt;wsp:rsid wsp:val=&quot;19B1359D&quot;/&gt;&lt;wsp:rsid wsp:val=&quot;19B250D3&quot;/&gt;&lt;wsp:rsid wsp:val=&quot;19B27315&quot;/&gt;&lt;wsp:rsid wsp:val=&quot;19B412DF&quot;/&gt;&lt;wsp:rsid wsp:val=&quot;19B50E83&quot;/&gt;&lt;wsp:rsid wsp:val=&quot;19B60BB4&quot;/&gt;&lt;wsp:rsid wsp:val=&quot;19BB08C0&quot;/&gt;&lt;wsp:rsid wsp:val=&quot;19BB2369&quot;/&gt;&lt;wsp:rsid wsp:val=&quot;19BB266E&quot;/&gt;&lt;wsp:rsid wsp:val=&quot;19BC1F42&quot;/&gt;&lt;wsp:rsid wsp:val=&quot;19BD0194&quot;/&gt;&lt;wsp:rsid wsp:val=&quot;19BD5AF3&quot;/&gt;&lt;wsp:rsid wsp:val=&quot;19BE3676&quot;/&gt;&lt;wsp:rsid wsp:val=&quot;19BE3F0C&quot;/&gt;&lt;wsp:rsid wsp:val=&quot;19C257AA&quot;/&gt;&lt;wsp:rsid wsp:val=&quot;19C57A9E&quot;/&gt;&lt;wsp:rsid wsp:val=&quot;19C71013&quot;/&gt;&lt;wsp:rsid wsp:val=&quot;19CA28B1&quot;/&gt;&lt;wsp:rsid wsp:val=&quot;19CB6F5A&quot;/&gt;&lt;wsp:rsid wsp:val=&quot;19CC6629&quot;/&gt;&lt;wsp:rsid wsp:val=&quot;19CF1C75&quot;/&gt;&lt;wsp:rsid wsp:val=&quot;19CF6119&quot;/&gt;&lt;wsp:rsid wsp:val=&quot;19CF7EC7&quot;/&gt;&lt;wsp:rsid wsp:val=&quot;19D13C3F&quot;/&gt;&lt;wsp:rsid wsp:val=&quot;19D41982&quot;/&gt;&lt;wsp:rsid wsp:val=&quot;19D56800&quot;/&gt;&lt;wsp:rsid wsp:val=&quot;19D63004&quot;/&gt;&lt;wsp:rsid wsp:val=&quot;19D674A8&quot;/&gt;&lt;wsp:rsid wsp:val=&quot;19D871A5&quot;/&gt;&lt;wsp:rsid wsp:val=&quot;19D90D46&quot;/&gt;&lt;wsp:rsid wsp:val=&quot;19D92AF4&quot;/&gt;&lt;wsp:rsid wsp:val=&quot;19D96F98&quot;/&gt;&lt;wsp:rsid wsp:val=&quot;19DB686C&quot;/&gt;&lt;wsp:rsid wsp:val=&quot;19DC39FE&quot;/&gt;&lt;wsp:rsid wsp:val=&quot;19DD0836&quot;/&gt;&lt;wsp:rsid wsp:val=&quot;19DE635C&quot;/&gt;&lt;wsp:rsid wsp:val=&quot;19DF45AE&quot;/&gt;&lt;wsp:rsid wsp:val=&quot;19E13325&quot;/&gt;&lt;wsp:rsid wsp:val=&quot;19E25344&quot;/&gt;&lt;wsp:rsid wsp:val=&quot;19E25E4D&quot;/&gt;&lt;wsp:rsid wsp:val=&quot;19E27BFB&quot;/&gt;&lt;wsp:rsid wsp:val=&quot;19E32A71&quot;/&gt;&lt;wsp:rsid wsp:val=&quot;19E41021&quot;/&gt;&lt;wsp:rsid wsp:val=&quot;19E41BC5&quot;/&gt;&lt;wsp:rsid wsp:val=&quot;19E44DBE&quot;/&gt;&lt;wsp:rsid wsp:val=&quot;19E46AD2&quot;/&gt;&lt;wsp:rsid wsp:val=&quot;19E716B5&quot;/&gt;&lt;wsp:rsid wsp:val=&quot;19E82D37&quot;/&gt;&lt;wsp:rsid wsp:val=&quot;19E86730&quot;/&gt;&lt;wsp:rsid wsp:val=&quot;19EC0A79&quot;/&gt;&lt;wsp:rsid wsp:val=&quot;19EC2827&quot;/&gt;&lt;wsp:rsid wsp:val=&quot;19ED66F3&quot;/&gt;&lt;wsp:rsid wsp:val=&quot;19F16090&quot;/&gt;&lt;wsp:rsid wsp:val=&quot;19F27994&quot;/&gt;&lt;wsp:rsid wsp:val=&quot;19F33BB6&quot;/&gt;&lt;wsp:rsid wsp:val=&quot;19F45B80&quot;/&gt;&lt;wsp:rsid wsp:val=&quot;19F4792E&quot;/&gt;&lt;wsp:rsid wsp:val=&quot;19F636A6&quot;/&gt;&lt;wsp:rsid wsp:val=&quot;19F960D3&quot;/&gt;&lt;wsp:rsid wsp:val=&quot;19FB2A6A&quot;/&gt;&lt;wsp:rsid wsp:val=&quot;19FC1ACA&quot;/&gt;&lt;wsp:rsid wsp:val=&quot;19FE07AD&quot;/&gt;&lt;wsp:rsid wsp:val=&quot;19FE255B&quot;/&gt;&lt;wsp:rsid wsp:val=&quot;19FF69FF&quot;/&gt;&lt;wsp:rsid wsp:val=&quot;1A02029D&quot;/&gt;&lt;wsp:rsid wsp:val=&quot;1A037B71&quot;/&gt;&lt;wsp:rsid wsp:val=&quot;1A051B3B&quot;/&gt;&lt;wsp:rsid wsp:val=&quot;1A073B05&quot;/&gt;&lt;wsp:rsid wsp:val=&quot;1A085187&quot;/&gt;&lt;wsp:rsid wsp:val=&quot;1A085C57&quot;/&gt;&lt;wsp:rsid wsp:val=&quot;1A09162B&quot;/&gt;&lt;wsp:rsid wsp:val=&quot;1A0A0EFF&quot;/&gt;&lt;wsp:rsid wsp:val=&quot;1A0C2EC9&quot;/&gt;&lt;wsp:rsid wsp:val=&quot;1A0D1571&quot;/&gt;&lt;wsp:rsid wsp:val=&quot;1A0E09F0&quot;/&gt;&lt;wsp:rsid wsp:val=&quot;1A125838&quot;/&gt;&lt;wsp:rsid wsp:val=&quot;1A165AF6&quot;/&gt;&lt;wsp:rsid wsp:val=&quot;1A17021F&quot;/&gt;&lt;wsp:rsid wsp:val=&quot;1A18186E&quot;/&gt;&lt;wsp:rsid wsp:val=&quot;1A1B135F&quot;/&gt;&lt;wsp:rsid wsp:val=&quot;1A1B1771&quot;/&gt;&lt;wsp:rsid wsp:val=&quot;1A1C516C&quot;/&gt;&lt;wsp:rsid wsp:val=&quot;1A1C66C0&quot;/&gt;&lt;wsp:rsid wsp:val=&quot;1A1E6914&quot;/&gt;&lt;wsp:rsid wsp:val=&quot;1A1F2BFD&quot;/&gt;&lt;wsp:rsid wsp:val=&quot;1A202A12&quot;/&gt;&lt;wsp:rsid wsp:val=&quot;1A217544&quot;/&gt;&lt;wsp:rsid wsp:val=&quot;1A246465&quot;/&gt;&lt;wsp:rsid wsp:val=&quot;1A266DE2&quot;/&gt;&lt;wsp:rsid wsp:val=&quot;1A271AB1&quot;/&gt;&lt;wsp:rsid wsp:val=&quot;1A293A7B&quot;/&gt;&lt;wsp:rsid wsp:val=&quot;1A295205&quot;/&gt;&lt;wsp:rsid wsp:val=&quot;1A2975D8&quot;/&gt;&lt;wsp:rsid wsp:val=&quot;1A2A3350&quot;/&gt;&lt;wsp:rsid wsp:val=&quot;1A2A6695&quot;/&gt;&lt;wsp:rsid wsp:val=&quot;1A2E2E40&quot;/&gt;&lt;wsp:rsid wsp:val=&quot;1A304E0A&quot;/&gt;&lt;wsp:rsid wsp:val=&quot;1A32422F&quot;/&gt;&lt;wsp:rsid wsp:val=&quot;1A3466FB&quot;/&gt;&lt;wsp:rsid wsp:val=&quot;1A362486&quot;/&gt;&lt;wsp:rsid wsp:val=&quot;1A380C99&quot;/&gt;&lt;wsp:rsid wsp:val=&quot;1A38596D&quot;/&gt;&lt;wsp:rsid wsp:val=&quot;1A3A17E5&quot;/&gt;&lt;wsp:rsid wsp:val=&quot;1A3A7A37&quot;/&gt;&lt;wsp:rsid wsp:val=&quot;1A3B37AF&quot;/&gt;&lt;wsp:rsid wsp:val=&quot;1A3D12D5&quot;/&gt;&lt;wsp:rsid wsp:val=&quot;1A3F329F&quot;/&gt;&lt;wsp:rsid wsp:val=&quot;1A401FFC&quot;/&gt;&lt;wsp:rsid wsp:val=&quot;1A41004A&quot;/&gt;&lt;wsp:rsid wsp:val=&quot;1A42393B&quot;/&gt;&lt;wsp:rsid wsp:val=&quot;1A424B3D&quot;/&gt;&lt;wsp:rsid wsp:val=&quot;1A444411&quot;/&gt;&lt;wsp:rsid wsp:val=&quot;1A481CA9&quot;/&gt;&lt;wsp:rsid wsp:val=&quot;1A4A57A0&quot;/&gt;&lt;wsp:rsid wsp:val=&quot;1A4C776A&quot;/&gt;&lt;wsp:rsid wsp:val=&quot;1A4D3FBF&quot;/&gt;&lt;wsp:rsid wsp:val=&quot;1A4E703E&quot;/&gt;&lt;wsp:rsid wsp:val=&quot;1A4F6E35&quot;/&gt;&lt;wsp:rsid wsp:val=&quot;1A501008&quot;/&gt;&lt;wsp:rsid wsp:val=&quot;1A501B1F&quot;/&gt;&lt;wsp:rsid wsp:val=&quot;1A50725A&quot;/&gt;&lt;wsp:rsid wsp:val=&quot;1A512F81&quot;/&gt;&lt;wsp:rsid wsp:val=&quot;1A516454&quot;/&gt;&lt;wsp:rsid wsp:val=&quot;1A516B2E&quot;/&gt;&lt;wsp:rsid wsp:val=&quot;1A5403CD&quot;/&gt;&lt;wsp:rsid wsp:val=&quot;1A553D7A&quot;/&gt;&lt;wsp:rsid wsp:val=&quot;1A554870&quot;/&gt;&lt;wsp:rsid wsp:val=&quot;1A55661F&quot;/&gt;&lt;wsp:rsid wsp:val=&quot;1A58610F&quot;/&gt;&lt;wsp:rsid wsp:val=&quot;1A5959E3&quot;/&gt;&lt;wsp:rsid wsp:val=&quot;1A5A3C35&quot;/&gt;&lt;wsp:rsid wsp:val=&quot;1A5B12B0&quot;/&gt;&lt;wsp:rsid wsp:val=&quot;1A5B79AD&quot;/&gt;&lt;wsp:rsid wsp:val=&quot;1A5E7759&quot;/&gt;&lt;wsp:rsid wsp:val=&quot;1A5F749D&quot;/&gt;&lt;wsp:rsid wsp:val=&quot;1A613215&quot;/&gt;&lt;wsp:rsid wsp:val=&quot;1A6152AE&quot;/&gt;&lt;wsp:rsid wsp:val=&quot;1A623519&quot;/&gt;&lt;wsp:rsid wsp:val=&quot;1A624B15&quot;/&gt;&lt;wsp:rsid wsp:val=&quot;1A626F8D&quot;/&gt;&lt;wsp:rsid wsp:val=&quot;1A642D06&quot;/&gt;&lt;wsp:rsid wsp:val=&quot;1A646862&quot;/&gt;&lt;wsp:rsid wsp:val=&quot;1A6525DA&quot;/&gt;&lt;wsp:rsid wsp:val=&quot;1A657CB6&quot;/&gt;&lt;wsp:rsid wsp:val=&quot;1A660A35&quot;/&gt;&lt;wsp:rsid wsp:val=&quot;1A664C6F&quot;/&gt;&lt;wsp:rsid wsp:val=&quot;1A670100&quot;/&gt;&lt;wsp:rsid wsp:val=&quot;1A697AC7&quot;/&gt;&lt;wsp:rsid wsp:val=&quot;1A6A7630&quot;/&gt;&lt;wsp:rsid wsp:val=&quot;1A6B4094&quot;/&gt;&lt;wsp:rsid wsp:val=&quot;1A6B5E42&quot;/&gt;&lt;wsp:rsid wsp:val=&quot;1A6C1BBA&quot;/&gt;&lt;wsp:rsid wsp:val=&quot;1A6C3968&quot;/&gt;&lt;wsp:rsid wsp:val=&quot;1A6E76E0&quot;/&gt;&lt;wsp:rsid wsp:val=&quot;1A705206&quot;/&gt;&lt;wsp:rsid wsp:val=&quot;1A7171D0&quot;/&gt;&lt;wsp:rsid wsp:val=&quot;1A732F49&quot;/&gt;&lt;wsp:rsid wsp:val=&quot;1A736AA5&quot;/&gt;&lt;wsp:rsid wsp:val=&quot;1A745FB8&quot;/&gt;&lt;wsp:rsid wsp:val=&quot;1A75281D&quot;/&gt;&lt;wsp:rsid wsp:val=&quot;1A771E18&quot;/&gt;&lt;wsp:rsid wsp:val=&quot;1A7840BB&quot;/&gt;&lt;wsp:rsid wsp:val=&quot;1A79701D&quot;/&gt;&lt;wsp:rsid wsp:val=&quot;1A7A42D7&quot;/&gt;&lt;wsp:rsid wsp:val=&quot;1A7A7E33&quot;/&gt;&lt;wsp:rsid wsp:val=&quot;1A7D4740&quot;/&gt;&lt;wsp:rsid wsp:val=&quot;1A7F0899&quot;/&gt;&lt;wsp:rsid wsp:val=&quot;1A7F18ED&quot;/&gt;&lt;wsp:rsid wsp:val=&quot;1A7F48BE&quot;/&gt;&lt;wsp:rsid wsp:val=&quot;1A7F5449&quot;/&gt;&lt;wsp:rsid wsp:val=&quot;1A7F7F26&quot;/&gt;&lt;wsp:rsid wsp:val=&quot;1A80748F&quot;/&gt;&lt;wsp:rsid wsp:val=&quot;1A8251FE&quot;/&gt;&lt;wsp:rsid wsp:val=&quot;1A831A43&quot;/&gt;&lt;wsp:rsid wsp:val=&quot;1A845156&quot;/&gt;&lt;wsp:rsid wsp:val=&quot;1A846F04&quot;/&gt;&lt;wsp:rsid wsp:val=&quot;1A8567D8&quot;/&gt;&lt;wsp:rsid wsp:val=&quot;1A862C7C&quot;/&gt;&lt;wsp:rsid wsp:val=&quot;1A872550&quot;/&gt;&lt;wsp:rsid wsp:val=&quot;1A8769F4&quot;/&gt;&lt;wsp:rsid wsp:val=&quot;1A89276C&quot;/&gt;&lt;wsp:rsid wsp:val=&quot;1A8962C8&quot;/&gt;&lt;wsp:rsid wsp:val=&quot;1A8B0838&quot;/&gt;&lt;wsp:rsid wsp:val=&quot;1A8C7B66&quot;/&gt;&lt;wsp:rsid wsp:val=&quot;1A8E7425&quot;/&gt;&lt;wsp:rsid wsp:val=&quot;1A8F5595&quot;/&gt;&lt;wsp:rsid wsp:val=&quot;1A9133CF&quot;/&gt;&lt;wsp:rsid wsp:val=&quot;1A927991&quot;/&gt;&lt;wsp:rsid wsp:val=&quot;1A930EF5&quot;/&gt;&lt;wsp:rsid wsp:val=&quot;1A937147&quot;/&gt;&lt;wsp:rsid wsp:val=&quot;1A945E79&quot;/&gt;&lt;wsp:rsid wsp:val=&quot;1A955654&quot;/&gt;&lt;wsp:rsid wsp:val=&quot;1A9616B5&quot;/&gt;&lt;wsp:rsid wsp:val=&quot;1A974E89&quot;/&gt;&lt;wsp:rsid wsp:val=&quot;1A976C37&quot;/&gt;&lt;wsp:rsid wsp:val=&quot;1A9829AF&quot;/&gt;&lt;wsp:rsid wsp:val=&quot;1A98650B&quot;/&gt;&lt;wsp:rsid wsp:val=&quot;1A99596C&quot;/&gt;&lt;wsp:rsid wsp:val=&quot;1A996BA6&quot;/&gt;&lt;wsp:rsid wsp:val=&quot;1A9A04D5&quot;/&gt;&lt;wsp:rsid wsp:val=&quot;1A9A2283&quot;/&gt;&lt;wsp:rsid wsp:val=&quot;1A9B5DC1&quot;/&gt;&lt;wsp:rsid wsp:val=&quot;1A9B5FFB&quot;/&gt;&lt;wsp:rsid wsp:val=&quot;1A9C424D&quot;/&gt;&lt;wsp:rsid wsp:val=&quot;1A9D6217&quot;/&gt;&lt;wsp:rsid wsp:val=&quot;1A9D7FC6&quot;/&gt;&lt;wsp:rsid wsp:val=&quot;1A9F3D91&quot;/&gt;&lt;wsp:rsid wsp:val=&quot;1AA44EB0&quot;/&gt;&lt;wsp:rsid wsp:val=&quot;1AA650CC&quot;/&gt;&lt;wsp:rsid wsp:val=&quot;1AA83ACA&quot;/&gt;&lt;wsp:rsid wsp:val=&quot;1AA85116&quot;/&gt;&lt;wsp:rsid wsp:val=&quot;1AA904B4&quot;/&gt;&lt;wsp:rsid wsp:val=&quot;1AA94F5A&quot;/&gt;&lt;wsp:rsid wsp:val=&quot;1AAD45DE&quot;/&gt;&lt;wsp:rsid wsp:val=&quot;1AB23A71&quot;/&gt;&lt;wsp:rsid wsp:val=&quot;1AB31597&quot;/&gt;&lt;wsp:rsid wsp:val=&quot;1AB377E9&quot;/&gt;&lt;wsp:rsid wsp:val=&quot;1AB50B4C&quot;/&gt;&lt;wsp:rsid wsp:val=&quot;1AB53561&quot;/&gt;&lt;wsp:rsid wsp:val=&quot;1AB5530F&quot;/&gt;&lt;wsp:rsid wsp:val=&quot;1AB62E35&quot;/&gt;&lt;wsp:rsid wsp:val=&quot;1AB64BE3&quot;/&gt;&lt;wsp:rsid wsp:val=&quot;1AB772D9&quot;/&gt;&lt;wsp:rsid wsp:val=&quot;1AB8095B&quot;/&gt;&lt;wsp:rsid wsp:val=&quot;1AB86BAD&quot;/&gt;&lt;wsp:rsid wsp:val=&quot;1ABA0AB0&quot;/&gt;&lt;wsp:rsid wsp:val=&quot;1ABA2925&quot;/&gt;&lt;wsp:rsid wsp:val=&quot;1ABA46D4&quot;/&gt;&lt;wsp:rsid wsp:val=&quot;1ABB36ED&quot;/&gt;&lt;wsp:rsid wsp:val=&quot;1ABC044C&quot;/&gt;&lt;wsp:rsid wsp:val=&quot;1ABC3300&quot;/&gt;&lt;wsp:rsid wsp:val=&quot;1ABC669E&quot;/&gt;&lt;wsp:rsid wsp:val=&quot;1ABE2B6C&quot;/&gt;&lt;wsp:rsid wsp:val=&quot;1ABF1CEA&quot;/&gt;&lt;wsp:rsid wsp:val=&quot;1ABF618E&quot;/&gt;&lt;wsp:rsid wsp:val=&quot;1AC1548A&quot;/&gt;&lt;wsp:rsid wsp:val=&quot;1AC15DB2&quot;/&gt;&lt;wsp:rsid wsp:val=&quot;1AC25D02&quot;/&gt;&lt;wsp:rsid wsp:val=&quot;1AC44733&quot;/&gt;&lt;wsp:rsid wsp:val=&quot;1ACB0E78&quot;/&gt;&lt;wsp:rsid wsp:val=&quot;1ACB68E1&quot;/&gt;&lt;wsp:rsid wsp:val=&quot;1ACD08AB&quot;/&gt;&lt;wsp:rsid wsp:val=&quot;1ACE63D1&quot;/&gt;&lt;wsp:rsid wsp:val=&quot;1ACF0052&quot;/&gt;&lt;wsp:rsid wsp:val=&quot;1ACF28C7&quot;/&gt;&lt;wsp:rsid wsp:val=&quot;1AD0039B&quot;/&gt;&lt;wsp:rsid wsp:val=&quot;1AD25EC1&quot;/&gt;&lt;wsp:rsid wsp:val=&quot;1AD27C6F&quot;/&gt;&lt;wsp:rsid wsp:val=&quot;1AD5775F&quot;/&gt;&lt;wsp:rsid wsp:val=&quot;1AD82DAC&quot;/&gt;&lt;wsp:rsid wsp:val=&quot;1AD82DBB&quot;/&gt;&lt;wsp:rsid wsp:val=&quot;1AD87250&quot;/&gt;&lt;wsp:rsid wsp:val=&quot;1ADA0851&quot;/&gt;&lt;wsp:rsid wsp:val=&quot;1ADB7DE9&quot;/&gt;&lt;wsp:rsid wsp:val=&quot;1ADD03C2&quot;/&gt;&lt;wsp:rsid wsp:val=&quot;1ADD6614&quot;/&gt;&lt;wsp:rsid wsp:val=&quot;1ADF0DA0&quot;/&gt;&lt;wsp:rsid wsp:val=&quot;1AE027CB&quot;/&gt;&lt;wsp:rsid wsp:val=&quot;1AE134A6&quot;/&gt;&lt;wsp:rsid wsp:val=&quot;1AE41750&quot;/&gt;&lt;wsp:rsid wsp:val=&quot;1AE42047&quot;/&gt;&lt;wsp:rsid wsp:val=&quot;1AE668CA&quot;/&gt;&lt;wsp:rsid wsp:val=&quot;1AE8445E&quot;/&gt;&lt;wsp:rsid wsp:val=&quot;1AEA223A&quot;/&gt;&lt;wsp:rsid wsp:val=&quot;1AED4AA9&quot;/&gt;&lt;wsp:rsid wsp:val=&quot;1AF000F5&quot;/&gt;&lt;wsp:rsid wsp:val=&quot;1AF04599&quot;/&gt;&lt;wsp:rsid wsp:val=&quot;1AF13E3A&quot;/&gt;&lt;wsp:rsid wsp:val=&quot;1AF220BF&quot;/&gt;&lt;wsp:rsid wsp:val=&quot;1AF23E6D&quot;/&gt;&lt;wsp:rsid wsp:val=&quot;1AF249A6&quot;/&gt;&lt;wsp:rsid wsp:val=&quot;1AF44089&quot;/&gt;&lt;wsp:rsid wsp:val=&quot;1AF53561&quot;/&gt;&lt;wsp:rsid wsp:val=&quot;1AF5395E&quot;/&gt;&lt;wsp:rsid wsp:val=&quot;1AF5570C&quot;/&gt;&lt;wsp:rsid wsp:val=&quot;1AF71484&quot;/&gt;&lt;wsp:rsid wsp:val=&quot;1AF80A52&quot;/&gt;&lt;wsp:rsid wsp:val=&quot;1AF93B85&quot;/&gt;&lt;wsp:rsid wsp:val=&quot;1AF948E2&quot;/&gt;&lt;wsp:rsid wsp:val=&quot;1AFA6E09&quot;/&gt;&lt;wsp:rsid wsp:val=&quot;1AFB691B&quot;/&gt;&lt;wsp:rsid wsp:val=&quot;1AFC1190&quot;/&gt;&lt;wsp:rsid wsp:val=&quot;1AFC4CEC&quot;/&gt;&lt;wsp:rsid wsp:val=&quot;1AFC77B4&quot;/&gt;&lt;wsp:rsid wsp:val=&quot;1AFD0A64&quot;/&gt;&lt;wsp:rsid wsp:val=&quot;1AFD2812&quot;/&gt;&lt;wsp:rsid wsp:val=&quot;1AFD7122&quot;/&gt;&lt;wsp:rsid wsp:val=&quot;1B0167A6&quot;/&gt;&lt;wsp:rsid wsp:val=&quot;1B046F80&quot;/&gt;&lt;wsp:rsid wsp:val=&quot;1B062C5C&quot;/&gt;&lt;wsp:rsid wsp:val=&quot;1B065B6B&quot;/&gt;&lt;wsp:rsid wsp:val=&quot;1B0818E3&quot;/&gt;&lt;wsp:rsid wsp:val=&quot;1B083691&quot;/&gt;&lt;wsp:rsid wsp:val=&quot;1B09565B&quot;/&gt;&lt;wsp:rsid wsp:val=&quot;1B097409&quot;/&gt;&lt;wsp:rsid wsp:val=&quot;1B0D0CA7&quot;/&gt;&lt;wsp:rsid wsp:val=&quot;1B0D6EF9&quot;/&gt;&lt;wsp:rsid wsp:val=&quot;1B0E67CD&quot;/&gt;&lt;wsp:rsid wsp:val=&quot;1B100797&quot;/&gt;&lt;wsp:rsid wsp:val=&quot;1B102545&quot;/&gt;&lt;wsp:rsid wsp:val=&quot;1B122762&quot;/&gt;&lt;wsp:rsid wsp:val=&quot;1B124510&quot;/&gt;&lt;wsp:rsid wsp:val=&quot;1B132036&quot;/&gt;&lt;wsp:rsid wsp:val=&quot;1B13463A&quot;/&gt;&lt;wsp:rsid wsp:val=&quot;1B140288&quot;/&gt;&lt;wsp:rsid wsp:val=&quot;1B1464DA&quot;/&gt;&lt;wsp:rsid wsp:val=&quot;1B164CDF&quot;/&gt;&lt;wsp:rsid wsp:val=&quot;1B171B26&quot;/&gt;&lt;wsp:rsid wsp:val=&quot;1B1738D4&quot;/&gt;&lt;wsp:rsid wsp:val=&quot;1B183A21&quot;/&gt;&lt;wsp:rsid wsp:val=&quot;1B1868FB&quot;/&gt;&lt;wsp:rsid wsp:val=&quot;1B1878E3&quot;/&gt;&lt;wsp:rsid wsp:val=&quot;1B193AF0&quot;/&gt;&lt;wsp:rsid wsp:val=&quot;1B19589E&quot;/&gt;&lt;wsp:rsid wsp:val=&quot;1B1C0EEA&quot;/&gt;&lt;wsp:rsid wsp:val=&quot;1B1C713C&quot;/&gt;&lt;wsp:rsid wsp:val=&quot;1B1D4C62&quot;/&gt;&lt;wsp:rsid wsp:val=&quot;1B1F09DB&quot;/&gt;&lt;wsp:rsid wsp:val=&quot;1B210BF7&quot;/&gt;&lt;wsp:rsid wsp:val=&quot;1B2279AD&quot;/&gt;&lt;wsp:rsid wsp:val=&quot;1B231886&quot;/&gt;&lt;wsp:rsid wsp:val=&quot;1B23671D&quot;/&gt;&lt;wsp:rsid wsp:val=&quot;1B245FF1&quot;/&gt;&lt;wsp:rsid wsp:val=&quot;1B261D69&quot;/&gt;&lt;wsp:rsid wsp:val=&quot;1B283D33&quot;/&gt;&lt;wsp:rsid wsp:val=&quot;1B291859&quot;/&gt;&lt;wsp:rsid wsp:val=&quot;1B2B55D1&quot;/&gt;&lt;wsp:rsid wsp:val=&quot;1B2B737F&quot;/&gt;&lt;wsp:rsid wsp:val=&quot;1B2D1349&quot;/&gt;&lt;wsp:rsid wsp:val=&quot;1B2E0C1E&quot;/&gt;&lt;wsp:rsid wsp:val=&quot;1B2E6E70&quot;/&gt;&lt;wsp:rsid wsp:val=&quot;1B304B82&quot;/&gt;&lt;wsp:rsid wsp:val=&quot;1B3267B5&quot;/&gt;&lt;wsp:rsid wsp:val=&quot;1B3274A2&quot;/&gt;&lt;wsp:rsid wsp:val=&quot;1B34092A&quot;/&gt;&lt;wsp:rsid wsp:val=&quot;1B3426D8&quot;/&gt;&lt;wsp:rsid wsp:val=&quot;1B356450&quot;/&gt;&lt;wsp:rsid wsp:val=&quot;1B3721C8&quot;/&gt;&lt;wsp:rsid wsp:val=&quot;1B3A6618&quot;/&gt;&lt;wsp:rsid wsp:val=&quot;1B3A75C2&quot;/&gt;&lt;wsp:rsid wsp:val=&quot;1B3B1CB8&quot;/&gt;&lt;wsp:rsid wsp:val=&quot;1B3C333B&quot;/&gt;&lt;wsp:rsid wsp:val=&quot;1B3F2E2B&quot;/&gt;&lt;wsp:rsid wsp:val=&quot;1B40161D&quot;/&gt;&lt;wsp:rsid wsp:val=&quot;1B4072CF&quot;/&gt;&lt;wsp:rsid wsp:val=&quot;1B416BA3&quot;/&gt;&lt;wsp:rsid wsp:val=&quot;1B420B0D&quot;/&gt;&lt;wsp:rsid wsp:val=&quot;1B425808&quot;/&gt;&lt;wsp:rsid wsp:val=&quot;1B441859&quot;/&gt;&lt;wsp:rsid wsp:val=&quot;1B446693&quot;/&gt;&lt;wsp:rsid wsp:val=&quot;1B4548E5&quot;/&gt;&lt;wsp:rsid wsp:val=&quot;1B46065D&quot;/&gt;&lt;wsp:rsid wsp:val=&quot;1B460869&quot;/&gt;&lt;wsp:rsid wsp:val=&quot;1B4641B9&quot;/&gt;&lt;wsp:rsid wsp:val=&quot;1B47113D&quot;/&gt;&lt;wsp:rsid wsp:val=&quot;1B486183&quot;/&gt;&lt;wsp:rsid wsp:val=&quot;1B487F31&quot;/&gt;&lt;wsp:rsid wsp:val=&quot;1B4D553A&quot;/&gt;&lt;wsp:rsid wsp:val=&quot;1B4E6A14&quot;/&gt;&lt;wsp:rsid wsp:val=&quot;1B4F12C0&quot;/&gt;&lt;wsp:rsid wsp:val=&quot;1B50328A&quot;/&gt;&lt;wsp:rsid wsp:val=&quot;1B5055FC&quot;/&gt;&lt;wsp:rsid wsp:val=&quot;1B513B85&quot;/&gt;&lt;wsp:rsid wsp:val=&quot;1B5205F1&quot;/&gt;&lt;wsp:rsid wsp:val=&quot;1B527002&quot;/&gt;&lt;wsp:rsid wsp:val=&quot;1B536E34&quot;/&gt;&lt;wsp:rsid wsp:val=&quot;1B54283C&quot;/&gt;&lt;wsp:rsid wsp:val=&quot;1B5508A0&quot;/&gt;&lt;wsp:rsid wsp:val=&quot;1B5763C6&quot;/&gt;&lt;wsp:rsid wsp:val=&quot;1B590390&quot;/&gt;&lt;wsp:rsid wsp:val=&quot;1B5A3299&quot;/&gt;&lt;wsp:rsid wsp:val=&quot;1B5A7C65&quot;/&gt;&lt;wsp:rsid wsp:val=&quot;1B5C270F&quot;/&gt;&lt;wsp:rsid wsp:val=&quot;1B5C578B&quot;/&gt;&lt;wsp:rsid wsp:val=&quot;1B5E7755&quot;/&gt;&lt;wsp:rsid wsp:val=&quot;1B6034CD&quot;/&gt;&lt;wsp:rsid wsp:val=&quot;1B617245&quot;/&gt;&lt;wsp:rsid wsp:val=&quot;1B632FBD&quot;/&gt;&lt;wsp:rsid wsp:val=&quot;1B634D6B&quot;/&gt;&lt;wsp:rsid wsp:val=&quot;1B642891&quot;/&gt;&lt;wsp:rsid wsp:val=&quot;1B656D35&quot;/&gt;&lt;wsp:rsid wsp:val=&quot;1B6606B1&quot;/&gt;&lt;wsp:rsid wsp:val=&quot;1B662AAD&quot;/&gt;&lt;wsp:rsid wsp:val=&quot;1B6B2203&quot;/&gt;&lt;wsp:rsid wsp:val=&quot;1B6B3C20&quot;/&gt;&lt;wsp:rsid wsp:val=&quot;1B6C00C4&quot;/&gt;&lt;wsp:rsid wsp:val=&quot;1B6D06BB&quot;/&gt;&lt;wsp:rsid wsp:val=&quot;1B6D1746&quot;/&gt;&lt;wsp:rsid wsp:val=&quot;1B6D5BEA&quot;/&gt;&lt;wsp:rsid wsp:val=&quot;1B6E63C8&quot;/&gt;&lt;wsp:rsid wsp:val=&quot;1B7150E0&quot;/&gt;&lt;wsp:rsid wsp:val=&quot;1B740D26&quot;/&gt;&lt;wsp:rsid wsp:val=&quot;1B745043&quot;/&gt;&lt;wsp:rsid wsp:val=&quot;1B75684C&quot;/&gt;&lt;wsp:rsid wsp:val=&quot;1B7A20B5&quot;/&gt;&lt;wsp:rsid wsp:val=&quot;1B7B0307&quot;/&gt;&lt;wsp:rsid wsp:val=&quot;1B7E3953&quot;/&gt;&lt;wsp:rsid wsp:val=&quot;1B7E7DF7&quot;/&gt;&lt;wsp:rsid wsp:val=&quot;1B803B6F&quot;/&gt;&lt;wsp:rsid wsp:val=&quot;1B80591D&quot;/&gt;&lt;wsp:rsid wsp:val=&quot;1B811695&quot;/&gt;&lt;wsp:rsid wsp:val=&quot;1B821746&quot;/&gt;&lt;wsp:rsid wsp:val=&quot;1B830F69&quot;/&gt;&lt;wsp:rsid wsp:val=&quot;1B8314EE&quot;/&gt;&lt;wsp:rsid wsp:val=&quot;1B83540D&quot;/&gt;&lt;wsp:rsid wsp:val=&quot;1B851185&quot;/&gt;&lt;wsp:rsid wsp:val=&quot;1B886580&quot;/&gt;&lt;wsp:rsid wsp:val=&quot;1B8A679C&quot;/&gt;&lt;wsp:rsid wsp:val=&quot;1B8B6070&quot;/&gt;&lt;wsp:rsid wsp:val=&quot;1B8D003A&quot;/&gt;&lt;wsp:rsid wsp:val=&quot;1B8D1DE8&quot;/&gt;&lt;wsp:rsid wsp:val=&quot;1B903686&quot;/&gt;&lt;wsp:rsid wsp:val=&quot;1B9211AC&quot;/&gt;&lt;wsp:rsid wsp:val=&quot;1B93683E&quot;/&gt;&lt;wsp:rsid wsp:val=&quot;1B940383&quot;/&gt;&lt;wsp:rsid wsp:val=&quot;1B9413C8&quot;/&gt;&lt;wsp:rsid wsp:val=&quot;1B943177&quot;/&gt;&lt;wsp:rsid wsp:val=&quot;1B966EEF&quot;/&gt;&lt;wsp:rsid wsp:val=&quot;1B971F0C&quot;/&gt;&lt;wsp:rsid wsp:val=&quot;1B972C67&quot;/&gt;&lt;wsp:rsid wsp:val=&quot;1B974235&quot;/&gt;&lt;wsp:rsid wsp:val=&quot;1B974A15&quot;/&gt;&lt;wsp:rsid wsp:val=&quot;1B99253B&quot;/&gt;&lt;wsp:rsid wsp:val=&quot;1B9969DF&quot;/&gt;&lt;wsp:rsid wsp:val=&quot;1B997ADF&quot;/&gt;&lt;wsp:rsid wsp:val=&quot;1B9A62B3&quot;/&gt;&lt;wsp:rsid wsp:val=&quot;1B9B2757&quot;/&gt;&lt;wsp:rsid wsp:val=&quot;1B9B4FD0&quot;/&gt;&lt;wsp:rsid wsp:val=&quot;1B9C202B&quot;/&gt;&lt;wsp:rsid wsp:val=&quot;1B9C64CF&quot;/&gt;&lt;wsp:rsid wsp:val=&quot;1B9E2247&quot;/&gt;&lt;wsp:rsid wsp:val=&quot;1B9E5DA3&quot;/&gt;&lt;wsp:rsid wsp:val=&quot;1B9F4DE1&quot;/&gt;&lt;wsp:rsid wsp:val=&quot;1BA07D6D&quot;/&gt;&lt;wsp:rsid wsp:val=&quot;1BA15893&quot;/&gt;&lt;wsp:rsid wsp:val=&quot;1BA16335&quot;/&gt;&lt;wsp:rsid wsp:val=&quot;1BA333BA&quot;/&gt;&lt;wsp:rsid wsp:val=&quot;1BA336A4&quot;/&gt;&lt;wsp:rsid wsp:val=&quot;1BA3785E&quot;/&gt;&lt;wsp:rsid wsp:val=&quot;1BA52394&quot;/&gt;&lt;wsp:rsid wsp:val=&quot;1BA54BF7&quot;/&gt;&lt;wsp:rsid wsp:val=&quot;1BA8306E&quot;/&gt;&lt;wsp:rsid wsp:val=&quot;1BA84E74&quot;/&gt;&lt;wsp:rsid wsp:val=&quot;1BAA4748&quot;/&gt;&lt;wsp:rsid wsp:val=&quot;1BAA7012&quot;/&gt;&lt;wsp:rsid wsp:val=&quot;1BAF7FB0&quot;/&gt;&lt;wsp:rsid wsp:val=&quot;1BB00743&quot;/&gt;&lt;wsp:rsid wsp:val=&quot;1BB05AD7&quot;/&gt;&lt;wsp:rsid wsp:val=&quot;1BB235FD&quot;/&gt;&lt;wsp:rsid wsp:val=&quot;1BB33257&quot;/&gt;&lt;wsp:rsid wsp:val=&quot;1BB43819&quot;/&gt;&lt;wsp:rsid wsp:val=&quot;1BB446E7&quot;/&gt;&lt;wsp:rsid wsp:val=&quot;1BB455C7&quot;/&gt;&lt;wsp:rsid wsp:val=&quot;1BB47375&quot;/&gt;&lt;wsp:rsid wsp:val=&quot;1BB6133F&quot;/&gt;&lt;wsp:rsid wsp:val=&quot;1BB630ED&quot;/&gt;&lt;wsp:rsid wsp:val=&quot;1BB83309&quot;/&gt;&lt;wsp:rsid wsp:val=&quot;1BB83D63&quot;/&gt;&lt;wsp:rsid wsp:val=&quot;1BB9498B&quot;/&gt;&lt;wsp:rsid wsp:val=&quot;1BBB0703&quot;/&gt;&lt;wsp:rsid wsp:val=&quot;1BBC26CD&quot;/&gt;&lt;wsp:rsid wsp:val=&quot;1BC00C8C&quot;/&gt;&lt;wsp:rsid wsp:val=&quot;1BC22CF3&quot;/&gt;&lt;wsp:rsid wsp:val=&quot;1BC33A5C&quot;/&gt;&lt;wsp:rsid wsp:val=&quot;1BC54939&quot;/&gt;&lt;wsp:rsid wsp:val=&quot;1BC6429E&quot;/&gt;&lt;wsp:rsid wsp:val=&quot;1BC7354C&quot;/&gt;&lt;wsp:rsid wsp:val=&quot;1BC81072&quot;/&gt;&lt;wsp:rsid wsp:val=&quot;1BCA4DEA&quot;/&gt;&lt;wsp:rsid wsp:val=&quot;1BCD6688&quot;/&gt;&lt;wsp:rsid wsp:val=&quot;1BCF2401&quot;/&gt;&lt;wsp:rsid wsp:val=&quot;1BCF616F&quot;/&gt;&lt;wsp:rsid wsp:val=&quot;1BD113B1&quot;/&gt;&lt;wsp:rsid wsp:val=&quot;1BD143CB&quot;/&gt;&lt;wsp:rsid wsp:val=&quot;1BD16179&quot;/&gt;&lt;wsp:rsid wsp:val=&quot;1BD51108&quot;/&gt;&lt;wsp:rsid wsp:val=&quot;1BD6378F&quot;/&gt;&lt;wsp:rsid wsp:val=&quot;1BD6553D&quot;/&gt;&lt;wsp:rsid wsp:val=&quot;1BD712B5&quot;/&gt;&lt;wsp:rsid wsp:val=&quot;1BD73063&quot;/&gt;&lt;wsp:rsid wsp:val=&quot;1BD83AE2&quot;/&gt;&lt;wsp:rsid wsp:val=&quot;1BD87507&quot;/&gt;&lt;wsp:rsid wsp:val=&quot;1BDB0DA5&quot;/&gt;&lt;wsp:rsid wsp:val=&quot;1BDB6FF7&quot;/&gt;&lt;wsp:rsid wsp:val=&quot;1BDD2D6F&quot;/&gt;&lt;wsp:rsid wsp:val=&quot;1BDD4B1E&quot;/&gt;&lt;wsp:rsid wsp:val=&quot;1BDE0896&quot;/&gt;&lt;wsp:rsid wsp:val=&quot;1BE0016A&quot;/&gt;&lt;wsp:rsid wsp:val=&quot;1BE0460E&quot;/&gt;&lt;wsp:rsid wsp:val=&quot;1BE063BC&quot;/&gt;&lt;wsp:rsid wsp:val=&quot;1BE27765&quot;/&gt;&lt;wsp:rsid wsp:val=&quot;1BE337C6&quot;/&gt;&lt;wsp:rsid wsp:val=&quot;1BE340FE&quot;/&gt;&lt;wsp:rsid wsp:val=&quot;1BE37C5A&quot;/&gt;&lt;wsp:rsid wsp:val=&quot;1BE50852&quot;/&gt;&lt;wsp:rsid wsp:val=&quot;1BE51C24&quot;/&gt;&lt;wsp:rsid wsp:val=&quot;1BE72645&quot;/&gt;&lt;wsp:rsid wsp:val=&quot;1BE834C2&quot;/&gt;&lt;wsp:rsid wsp:val=&quot;1BEA2D97&quot;/&gt;&lt;wsp:rsid wsp:val=&quot;1BEC4D61&quot;/&gt;&lt;wsp:rsid wsp:val=&quot;1BED0AD9&quot;/&gt;&lt;wsp:rsid wsp:val=&quot;1BED1C9A&quot;/&gt;&lt;wsp:rsid wsp:val=&quot;1BEE6D2B&quot;/&gt;&lt;wsp:rsid wsp:val=&quot;1BEF1D69&quot;/&gt;&lt;wsp:rsid wsp:val=&quot;1BEF65FF&quot;/&gt;&lt;wsp:rsid wsp:val=&quot;1BF12377&quot;/&gt;&lt;wsp:rsid wsp:val=&quot;1BF14125&quot;/&gt;&lt;wsp:rsid wsp:val=&quot;1BF15DCA&quot;/&gt;&lt;wsp:rsid wsp:val=&quot;1BF52663&quot;/&gt;&lt;wsp:rsid wsp:val=&quot;1BF53B0B&quot;/&gt;&lt;wsp:rsid wsp:val=&quot;1BF9122C&quot;/&gt;&lt;wsp:rsid wsp:val=&quot;1BF956CF&quot;/&gt;&lt;wsp:rsid wsp:val=&quot;1BFC644E&quot;/&gt;&lt;wsp:rsid wsp:val=&quot;1BFD51C0&quot;/&gt;&lt;wsp:rsid wsp:val=&quot;1C00442F&quot;/&gt;&lt;wsp:rsid wsp:val=&quot;1C006A5E&quot;/&gt;&lt;wsp:rsid wsp:val=&quot;1C060C5F&quot;/&gt;&lt;wsp:rsid wsp:val=&quot;1C07212D&quot;/&gt;&lt;wsp:rsid wsp:val=&quot;1C07681D&quot;/&gt;&lt;wsp:rsid wsp:val=&quot;1C094526&quot;/&gt;&lt;wsp:rsid wsp:val=&quot;1C0C5403&quot;/&gt;&lt;wsp:rsid wsp:val=&quot;1C0D44A1&quot;/&gt;&lt;wsp:rsid wsp:val=&quot;1C0D4CD7&quot;/&gt;&lt;wsp:rsid wsp:val=&quot;1C0E2F29&quot;/&gt;&lt;wsp:rsid wsp:val=&quot;1C0E52F2&quot;/&gt;&lt;wsp:rsid wsp:val=&quot;1C0F4EF3&quot;/&gt;&lt;wsp:rsid wsp:val=&quot;1C0F6623&quot;/&gt;&lt;wsp:rsid wsp:val=&quot;1C0F7C12&quot;/&gt;&lt;wsp:rsid wsp:val=&quot;1C11391D&quot;/&gt;&lt;wsp:rsid wsp:val=&quot;1C136593&quot;/&gt;&lt;wsp:rsid wsp:val=&quot;1C137840&quot;/&gt;&lt;wsp:rsid wsp:val=&quot;1C142509&quot;/&gt;&lt;wsp:rsid wsp:val=&quot;1C146065&quot;/&gt;&lt;wsp:rsid wsp:val=&quot;1C161DDD&quot;/&gt;&lt;wsp:rsid wsp:val=&quot;1C166281&quot;/&gt;&lt;wsp:rsid wsp:val=&quot;1C1918CE&quot;/&gt;&lt;wsp:rsid wsp:val=&quot;1C19367C&quot;/&gt;&lt;wsp:rsid wsp:val=&quot;1C1979F2&quot;/&gt;&lt;wsp:rsid wsp:val=&quot;1C197B20&quot;/&gt;&lt;wsp:rsid wsp:val=&quot;1C1A5BB7&quot;/&gt;&lt;wsp:rsid wsp:val=&quot;1C1B73F4&quot;/&gt;&lt;wsp:rsid wsp:val=&quot;1C1C4F1A&quot;/&gt;&lt;wsp:rsid wsp:val=&quot;1C1E6EE4&quot;/&gt;&lt;wsp:rsid wsp:val=&quot;1C204A0A&quot;/&gt;&lt;wsp:rsid wsp:val=&quot;1C220782&quot;/&gt;&lt;wsp:rsid wsp:val=&quot;1C255EC7&quot;/&gt;&lt;wsp:rsid wsp:val=&quot;1C27113C&quot;/&gt;&lt;wsp:rsid wsp:val=&quot;1C27223D&quot;/&gt;&lt;wsp:rsid wsp:val=&quot;1C273FEB&quot;/&gt;&lt;wsp:rsid wsp:val=&quot;1C275D99&quot;/&gt;&lt;wsp:rsid wsp:val=&quot;1C275E99&quot;/&gt;&lt;wsp:rsid wsp:val=&quot;1C283220&quot;/&gt;&lt;wsp:rsid wsp:val=&quot;1C2A2BB9&quot;/&gt;&lt;wsp:rsid wsp:val=&quot;1C2B39D2&quot;/&gt;&lt;wsp:rsid wsp:val=&quot;1C2C1F7B&quot;/&gt;&lt;wsp:rsid wsp:val=&quot;1C2D7127&quot;/&gt;&lt;wsp:rsid wsp:val=&quot;1C2F10F1&quot;/&gt;&lt;wsp:rsid wsp:val=&quot;1C2F4C4D&quot;/&gt;&lt;wsp:rsid wsp:val=&quot;1C3109C5&quot;/&gt;&lt;wsp:rsid wsp:val=&quot;1C316C17&quot;/&gt;&lt;wsp:rsid wsp:val=&quot;1C323C9A&quot;/&gt;&lt;wsp:rsid wsp:val=&quot;1C33298F&quot;/&gt;&lt;wsp:rsid wsp:val=&quot;1C3644FE&quot;/&gt;&lt;wsp:rsid wsp:val=&quot;1C365FDC&quot;/&gt;&lt;wsp:rsid wsp:val=&quot;1C381D54&quot;/&gt;&lt;wsp:rsid wsp:val=&quot;1C384DEE&quot;/&gt;&lt;wsp:rsid wsp:val=&quot;1C386E1E&quot;/&gt;&lt;wsp:rsid wsp:val=&quot;1C3B1844&quot;/&gt;&lt;wsp:rsid wsp:val=&quot;1C3B5CE8&quot;/&gt;&lt;wsp:rsid wsp:val=&quot;1C3B7A96&quot;/&gt;&lt;wsp:rsid wsp:val=&quot;1C3E1334&quot;/&gt;&lt;wsp:rsid wsp:val=&quot;1C3F7586&quot;/&gt;&lt;wsp:rsid wsp:val=&quot;1C427076&quot;/&gt;&lt;wsp:rsid wsp:val=&quot;1C44694B&quot;/&gt;&lt;wsp:rsid wsp:val=&quot;1C450915&quot;/&gt;&lt;wsp:rsid wsp:val=&quot;1C452B63&quot;/&gt;&lt;wsp:rsid wsp:val=&quot;1C454471&quot;/&gt;&lt;wsp:rsid wsp:val=&quot;1C493F61&quot;/&gt;&lt;wsp:rsid wsp:val=&quot;1C4A7CD9&quot;/&gt;&lt;wsp:rsid wsp:val=&quot;1C4E1577&quot;/&gt;&lt;wsp:rsid wsp:val=&quot;1C4E77C9&quot;/&gt;&lt;wsp:rsid wsp:val=&quot;1C4F3541&quot;/&gt;&lt;wsp:rsid wsp:val=&quot;1C4F709D&quot;/&gt;&lt;wsp:rsid wsp:val=&quot;1C534DE0&quot;/&gt;&lt;wsp:rsid wsp:val=&quot;1C5365F7&quot;/&gt;&lt;wsp:rsid wsp:val=&quot;1C542906&quot;/&gt;&lt;wsp:rsid wsp:val=&quot;1C550B58&quot;/&gt;&lt;wsp:rsid wsp:val=&quot;1C556925&quot;/&gt;&lt;wsp:rsid wsp:val=&quot;1C5648D0&quot;/&gt;&lt;wsp:rsid wsp:val=&quot;1C56667E&quot;/&gt;&lt;wsp:rsid wsp:val=&quot;1C5841A4&quot;/&gt;&lt;wsp:rsid wsp:val=&quot;1C597898&quot;/&gt;&lt;wsp:rsid wsp:val=&quot;1C597F1C&quot;/&gt;&lt;wsp:rsid wsp:val=&quot;1C5A43C0&quot;/&gt;&lt;wsp:rsid wsp:val=&quot;1C5A616E&quot;/&gt;&lt;wsp:rsid wsp:val=&quot;1C5B1EE6&quot;/&gt;&lt;wsp:rsid wsp:val=&quot;1C5B1F44&quot;/&gt;&lt;wsp:rsid wsp:val=&quot;1C5D5C5E&quot;/&gt;&lt;wsp:rsid wsp:val=&quot;1C5D76A9&quot;/&gt;&lt;wsp:rsid wsp:val=&quot;1C5E7925&quot;/&gt;&lt;wsp:rsid wsp:val=&quot;1C5F3784&quot;/&gt;&lt;wsp:rsid wsp:val=&quot;1C6012AB&quot;/&gt;&lt;wsp:rsid wsp:val=&quot;1C6074FD&quot;/&gt;&lt;wsp:rsid wsp:val=&quot;1C647269&quot;/&gt;&lt;wsp:rsid wsp:val=&quot;1C670E28&quot;/&gt;&lt;wsp:rsid wsp:val=&quot;1C676ADD&quot;/&gt;&lt;wsp:rsid wsp:val=&quot;1C6A081D&quot;/&gt;&lt;wsp:rsid wsp:val=&quot;1C6B037B&quot;/&gt;&lt;wsp:rsid wsp:val=&quot;1C6C40F3&quot;/&gt;&lt;wsp:rsid wsp:val=&quot;1C6C5D0E&quot;/&gt;&lt;wsp:rsid wsp:val=&quot;1C6C5EA1&quot;/&gt;&lt;wsp:rsid wsp:val=&quot;1C6D0A22&quot;/&gt;&lt;wsp:rsid wsp:val=&quot;1C6D36AD&quot;/&gt;&lt;wsp:rsid wsp:val=&quot;1C6D4832&quot;/&gt;&lt;wsp:rsid wsp:val=&quot;1C6E39C8&quot;/&gt;&lt;wsp:rsid wsp:val=&quot;1C71170A&quot;/&gt;&lt;wsp:rsid wsp:val=&quot;1C730FDE&quot;/&gt;&lt;wsp:rsid wsp:val=&quot;1C752FA8&quot;/&gt;&lt;wsp:rsid wsp:val=&quot;1C774686&quot;/&gt;&lt;wsp:rsid wsp:val=&quot;1C7A05BE&quot;/&gt;&lt;wsp:rsid wsp:val=&quot;1C7A37FF&quot;/&gt;&lt;wsp:rsid wsp:val=&quot;1C7B7E93&quot;/&gt;&lt;wsp:rsid wsp:val=&quot;1C7C3B8D&quot;/&gt;&lt;wsp:rsid wsp:val=&quot;1C7D00AF&quot;/&gt;&lt;wsp:rsid wsp:val=&quot;1C7D72F4&quot;/&gt;&lt;wsp:rsid wsp:val=&quot;1C7F3E27&quot;/&gt;&lt;wsp:rsid wsp:val=&quot;1C7F7983&quot;/&gt;&lt;wsp:rsid wsp:val=&quot;1C80194D&quot;/&gt;&lt;wsp:rsid wsp:val=&quot;1C8054A9&quot;/&gt;&lt;wsp:rsid wsp:val=&quot;1C816AA4&quot;/&gt;&lt;wsp:rsid wsp:val=&quot;1C821221&quot;/&gt;&lt;wsp:rsid wsp:val=&quot;1C827473&quot;/&gt;&lt;wsp:rsid wsp:val=&quot;1C844F99&quot;/&gt;&lt;wsp:rsid wsp:val=&quot;1C850D11&quot;/&gt;&lt;wsp:rsid wsp:val=&quot;1C857FF6&quot;/&gt;&lt;wsp:rsid wsp:val=&quot;1C8618D9&quot;/&gt;&lt;wsp:rsid wsp:val=&quot;1C872CDB&quot;/&gt;&lt;wsp:rsid wsp:val=&quot;1C874A89&quot;/&gt;&lt;wsp:rsid wsp:val=&quot;1C876837&quot;/&gt;&lt;wsp:rsid wsp:val=&quot;1C8C3E47&quot;/&gt;&lt;wsp:rsid wsp:val=&quot;1C8E097B&quot;/&gt;&lt;wsp:rsid wsp:val=&quot;1C8E7BC6&quot;/&gt;&lt;wsp:rsid wsp:val=&quot;1C8F060E&quot;/&gt;&lt;wsp:rsid wsp:val=&quot;1C9176B6&quot;/&gt;&lt;wsp:rsid wsp:val=&quot;1C93342E&quot;/&gt;&lt;wsp:rsid wsp:val=&quot;1C9378D2&quot;/&gt;&lt;wsp:rsid wsp:val=&quot;1C9571A6&quot;/&gt;&lt;wsp:rsid wsp:val=&quot;1C964CCC&quot;/&gt;&lt;wsp:rsid wsp:val=&quot;1C980A44&quot;/&gt;&lt;wsp:rsid wsp:val=&quot;1C984EE8&quot;/&gt;&lt;wsp:rsid wsp:val=&quot;1C994D2B&quot;/&gt;&lt;wsp:rsid wsp:val=&quot;1C9A0C60&quot;/&gt;&lt;wsp:rsid wsp:val=&quot;1C9A2A0F&quot;/&gt;&lt;wsp:rsid wsp:val=&quot;1C9A47BD&quot;/&gt;&lt;wsp:rsid wsp:val=&quot;1C9B22E3&quot;/&gt;&lt;wsp:rsid wsp:val=&quot;1C9D24FF&quot;/&gt;&lt;wsp:rsid wsp:val=&quot;1C9D427E&quot;/&gt;&lt;wsp:rsid wsp:val=&quot;1C9F6277&quot;/&gt;&lt;wsp:rsid wsp:val=&quot;1CA078F9&quot;/&gt;&lt;wsp:rsid wsp:val=&quot;1CA1517C&quot;/&gt;&lt;wsp:rsid wsp:val=&quot;1CA27B15&quot;/&gt;&lt;wsp:rsid wsp:val=&quot;1CA4563B&quot;/&gt;&lt;wsp:rsid wsp:val=&quot;1CA53161&quot;/&gt;&lt;wsp:rsid wsp:val=&quot;1CA53783&quot;/&gt;&lt;wsp:rsid wsp:val=&quot;1CA76EDA&quot;/&gt;&lt;wsp:rsid wsp:val=&quot;1CA81C4F&quot;/&gt;&lt;wsp:rsid wsp:val=&quot;1CA90EA4&quot;/&gt;&lt;wsp:rsid wsp:val=&quot;1CAB69CA&quot;/&gt;&lt;wsp:rsid wsp:val=&quot;1CAC44F0&quot;/&gt;&lt;wsp:rsid wsp:val=&quot;1CAD4631&quot;/&gt;&lt;wsp:rsid wsp:val=&quot;1CB02232&quot;/&gt;&lt;wsp:rsid wsp:val=&quot;1CB03FE0&quot;/&gt;&lt;wsp:rsid wsp:val=&quot;1CB05D8E&quot;/&gt;&lt;wsp:rsid wsp:val=&quot;1CB1183E&quot;/&gt;&lt;wsp:rsid wsp:val=&quot;1CB11B06&quot;/&gt;&lt;wsp:rsid wsp:val=&quot;1CB2453F&quot;/&gt;&lt;wsp:rsid wsp:val=&quot;1CB2523B&quot;/&gt;&lt;wsp:rsid wsp:val=&quot;1CB33AD0&quot;/&gt;&lt;wsp:rsid wsp:val=&quot;1CB515F6&quot;/&gt;&lt;wsp:rsid wsp:val=&quot;1CB51673&quot;/&gt;&lt;wsp:rsid wsp:val=&quot;1CB57848&quot;/&gt;&lt;wsp:rsid wsp:val=&quot;1CB80FCF&quot;/&gt;&lt;wsp:rsid wsp:val=&quot;1CB957A5&quot;/&gt;&lt;wsp:rsid wsp:val=&quot;1CBA4413&quot;/&gt;&lt;wsp:rsid wsp:val=&quot;1CBF2475&quot;/&gt;&lt;wsp:rsid wsp:val=&quot;1CBF4223&quot;/&gt;&lt;wsp:rsid wsp:val=&quot;1CC07ED6&quot;/&gt;&lt;wsp:rsid wsp:val=&quot;1CC17F9B&quot;/&gt;&lt;wsp:rsid wsp:val=&quot;1CC253C7&quot;/&gt;&lt;wsp:rsid wsp:val=&quot;1CC41428&quot;/&gt;&lt;wsp:rsid wsp:val=&quot;1CC41839&quot;/&gt;&lt;wsp:rsid wsp:val=&quot;1CC61A56&quot;/&gt;&lt;wsp:rsid wsp:val=&quot;1CC654CE&quot;/&gt;&lt;wsp:rsid wsp:val=&quot;1CC83E0A&quot;/&gt;&lt;wsp:rsid wsp:val=&quot;1CC950A2&quot;/&gt;&lt;wsp:rsid wsp:val=&quot;1CC96E50&quot;/&gt;&lt;wsp:rsid wsp:val=&quot;1CCC1DF1&quot;/&gt;&lt;wsp:rsid wsp:val=&quot;1CCD2C0F&quot;/&gt;&lt;wsp:rsid wsp:val=&quot;1CCE090A&quot;/&gt;&lt;wsp:rsid wsp:val=&quot;1CCE26B8&quot;/&gt;&lt;wsp:rsid wsp:val=&quot;1CCE4466&quot;/&gt;&lt;wsp:rsid wsp:val=&quot;1CD001DE&quot;/&gt;&lt;wsp:rsid wsp:val=&quot;1CD04682&quot;/&gt;&lt;wsp:rsid wsp:val=&quot;1CD16D69&quot;/&gt;&lt;wsp:rsid wsp:val=&quot;1CD221A8&quot;/&gt;&lt;wsp:rsid wsp:val=&quot;1CD35F20&quot;/&gt;&lt;wsp:rsid wsp:val=&quot;1CD37A8D&quot;/&gt;&lt;wsp:rsid wsp:val=&quot;1CD37CCF&quot;/&gt;&lt;wsp:rsid wsp:val=&quot;1CD51C99&quot;/&gt;&lt;wsp:rsid wsp:val=&quot;1CD557F5&quot;/&gt;&lt;wsp:rsid wsp:val=&quot;1CD55AB9&quot;/&gt;&lt;wsp:rsid wsp:val=&quot;1CD72B28&quot;/&gt;&lt;wsp:rsid wsp:val=&quot;1CD75C0A&quot;/&gt;&lt;wsp:rsid wsp:val=&quot;1CD83537&quot;/&gt;&lt;wsp:rsid wsp:val=&quot;1CD852E5&quot;/&gt;&lt;wsp:rsid wsp:val=&quot;1CD87093&quot;/&gt;&lt;wsp:rsid wsp:val=&quot;1CD93B05&quot;/&gt;&lt;wsp:rsid wsp:val=&quot;1CDA105D&quot;/&gt;&lt;wsp:rsid wsp:val=&quot;1CDA621F&quot;/&gt;&lt;wsp:rsid wsp:val=&quot;1CDB6B83&quot;/&gt;&lt;wsp:rsid wsp:val=&quot;1CDD0B4D&quot;/&gt;&lt;wsp:rsid wsp:val=&quot;1CDF48C5&quot;/&gt;&lt;wsp:rsid wsp:val=&quot;1CE04199&quot;/&gt;&lt;wsp:rsid wsp:val=&quot;1CE115DE&quot;/&gt;&lt;wsp:rsid wsp:val=&quot;1CE27F12&quot;/&gt;&lt;wsp:rsid wsp:val=&quot;1CE42ACB&quot;/&gt;&lt;wsp:rsid wsp:val=&quot;1CE43C8A&quot;/&gt;&lt;wsp:rsid wsp:val=&quot;1CE65C54&quot;/&gt;&lt;wsp:rsid wsp:val=&quot;1CE67A02&quot;/&gt;&lt;wsp:rsid wsp:val=&quot;1CE819CC&quot;/&gt;&lt;wsp:rsid wsp:val=&quot;1CEA4227&quot;/&gt;&lt;wsp:rsid wsp:val=&quot;1CEB326A&quot;/&gt;&lt;wsp:rsid wsp:val=&quot;1CEC0D90&quot;/&gt;&lt;wsp:rsid wsp:val=&quot;1CEE2D5A&quot;/&gt;&lt;wsp:rsid wsp:val=&quot;1CEE5B24&quot;/&gt;&lt;wsp:rsid wsp:val=&quot;1CEF181C&quot;/&gt;&lt;wsp:rsid wsp:val=&quot;1CF00880&quot;/&gt;&lt;wsp:rsid wsp:val=&quot;1CF0262F&quot;/&gt;&lt;wsp:rsid wsp:val=&quot;1CF06D28&quot;/&gt;&lt;wsp:rsid wsp:val=&quot;1CF245F9&quot;/&gt;&lt;wsp:rsid wsp:val=&quot;1CF3211F&quot;/&gt;&lt;wsp:rsid wsp:val=&quot;1CF5282B&quot;/&gt;&lt;wsp:rsid wsp:val=&quot;1CF55E97&quot;/&gt;&lt;wsp:rsid wsp:val=&quot;1CF71C0F&quot;/&gt;&lt;wsp:rsid wsp:val=&quot;1CF86BD6&quot;/&gt;&lt;wsp:rsid wsp:val=&quot;1CFA2C37&quot;/&gt;&lt;wsp:rsid wsp:val=&quot;1CFA525B&quot;/&gt;&lt;wsp:rsid wsp:val=&quot;1CFC5AFB&quot;/&gt;&lt;wsp:rsid wsp:val=&quot;1CFD070F&quot;/&gt;&lt;wsp:rsid wsp:val=&quot;1CFD15B8&quot;/&gt;&lt;wsp:rsid wsp:val=&quot;1CFD2F9D&quot;/&gt;&lt;wsp:rsid wsp:val=&quot;1CFD68ED&quot;/&gt;&lt;wsp:rsid wsp:val=&quot;1CFE11EF&quot;/&gt;&lt;wsp:rsid wsp:val=&quot;1CFE2A48&quot;/&gt;&lt;wsp:rsid wsp:val=&quot;1D012A8E&quot;/&gt;&lt;wsp:rsid wsp:val=&quot;1D0205B4&quot;/&gt;&lt;wsp:rsid wsp:val=&quot;1D036806&quot;/&gt;&lt;wsp:rsid wsp:val=&quot;1D061E52&quot;/&gt;&lt;wsp:rsid wsp:val=&quot;1D077978&quot;/&gt;&lt;wsp:rsid wsp:val=&quot;1D08193A&quot;/&gt;&lt;wsp:rsid wsp:val=&quot;1D097B94&quot;/&gt;&lt;wsp:rsid wsp:val=&quot;1D0B1216&quot;/&gt;&lt;wsp:rsid wsp:val=&quot;1D0E6F59&quot;/&gt;&lt;wsp:rsid wsp:val=&quot;1D104A7F&quot;/&gt;&lt;wsp:rsid wsp:val=&quot;1D114FDB&quot;/&gt;&lt;wsp:rsid wsp:val=&quot;1D117987&quot;/&gt;&lt;wsp:rsid wsp:val=&quot;1D120D12&quot;/&gt;&lt;wsp:rsid wsp:val=&quot;1D13456F&quot;/&gt;&lt;wsp:rsid wsp:val=&quot;1D13631D&quot;/&gt;&lt;wsp:rsid wsp:val=&quot;1D1502E7&quot;/&gt;&lt;wsp:rsid wsp:val=&quot;1D1830F8&quot;/&gt;&lt;wsp:rsid wsp:val=&quot;1D18357F&quot;/&gt;&lt;wsp:rsid wsp:val=&quot;1D187DD7&quot;/&gt;&lt;wsp:rsid wsp:val=&quot;1D192221&quot;/&gt;&lt;wsp:rsid wsp:val=&quot;1D1A0B73&quot;/&gt;&lt;wsp:rsid wsp:val=&quot;1D1A58FD&quot;/&gt;&lt;wsp:rsid wsp:val=&quot;1D1C3424&quot;/&gt;&lt;wsp:rsid wsp:val=&quot;1D2106EA&quot;/&gt;&lt;wsp:rsid wsp:val=&quot;1D217272&quot;/&gt;&lt;wsp:rsid wsp:val=&quot;1D24052A&quot;/&gt;&lt;wsp:rsid wsp:val=&quot;1D24677C&quot;/&gt;&lt;wsp:rsid wsp:val=&quot;1D2624F4&quot;/&gt;&lt;wsp:rsid wsp:val=&quot;1D263C41&quot;/&gt;&lt;wsp:rsid wsp:val=&quot;1D271DC8&quot;/&gt;&lt;wsp:rsid wsp:val=&quot;1D274825&quot;/&gt;&lt;wsp:rsid wsp:val=&quot;1D28626C&quot;/&gt;&lt;wsp:rsid wsp:val=&quot;1D295B40&quot;/&gt;&lt;wsp:rsid wsp:val=&quot;1D2B18B9&quot;/&gt;&lt;wsp:rsid wsp:val=&quot;1D2C2E7B&quot;/&gt;&lt;wsp:rsid wsp:val=&quot;1D2D5631&quot;/&gt;&lt;wsp:rsid wsp:val=&quot;1D2E13A9&quot;/&gt;&lt;wsp:rsid wsp:val=&quot;1D2E3157&quot;/&gt;&lt;wsp:rsid wsp:val=&quot;1D2F75FB&quot;/&gt;&lt;wsp:rsid wsp:val=&quot;1D300C7D&quot;/&gt;&lt;wsp:rsid wsp:val=&quot;1D3249F5&quot;/&gt;&lt;wsp:rsid wsp:val=&quot;1D3544E5&quot;/&gt;&lt;wsp:rsid wsp:val=&quot;1D392227&quot;/&gt;&lt;wsp:rsid wsp:val=&quot;1D396BA2&quot;/&gt;&lt;wsp:rsid wsp:val=&quot;1D3A5FA0&quot;/&gt;&lt;wsp:rsid wsp:val=&quot;1D3A7D4E&quot;/&gt;&lt;wsp:rsid wsp:val=&quot;1D3B3B30&quot;/&gt;&lt;wsp:rsid wsp:val=&quot;1D3C5874&quot;/&gt;&lt;wsp:rsid wsp:val=&quot;1D3E15EC&quot;/&gt;&lt;wsp:rsid wsp:val=&quot;1D3F136B&quot;/&gt;&lt;wsp:rsid wsp:val=&quot;1D4104C0&quot;/&gt;&lt;wsp:rsid wsp:val=&quot;1D4110DC&quot;/&gt;&lt;wsp:rsid wsp:val=&quot;1D416EFC&quot;/&gt;&lt;wsp:rsid wsp:val=&quot;1D4330A6&quot;/&gt;&lt;wsp:rsid wsp:val=&quot;1D434E54&quot;/&gt;&lt;wsp:rsid wsp:val=&quot;1D436C02&quot;/&gt;&lt;wsp:rsid wsp:val=&quot;1D44297A&quot;/&gt;&lt;wsp:rsid wsp:val=&quot;1D4604A0&quot;/&gt;&lt;wsp:rsid wsp:val=&quot;1D461FCB&quot;/&gt;&lt;wsp:rsid wsp:val=&quot;1D480B0F&quot;/&gt;&lt;wsp:rsid wsp:val=&quot;1D480D08&quot;/&gt;&lt;wsp:rsid wsp:val=&quot;1D48246B&quot;/&gt;&lt;wsp:rsid wsp:val=&quot;1D484219&quot;/&gt;&lt;wsp:rsid wsp:val=&quot;1D485019&quot;/&gt;&lt;wsp:rsid wsp:val=&quot;1D491D3F&quot;/&gt;&lt;wsp:rsid wsp:val=&quot;1D497BBF&quot;/&gt;&lt;wsp:rsid wsp:val=&quot;1D497F91&quot;/&gt;&lt;wsp:rsid wsp:val=&quot;1D4A0D98&quot;/&gt;&lt;wsp:rsid wsp:val=&quot;1D4D7A81&quot;/&gt;&lt;wsp:rsid wsp:val=&quot;1D4E6DE5&quot;/&gt;&lt;wsp:rsid wsp:val=&quot;1D4F1980&quot;/&gt;&lt;wsp:rsid wsp:val=&quot;1D5021FA&quot;/&gt;&lt;wsp:rsid wsp:val=&quot;1D5030CD&quot;/&gt;&lt;wsp:rsid wsp:val=&quot;1D507571&quot;/&gt;&lt;wsp:rsid wsp:val=&quot;1D5232E9&quot;/&gt;&lt;wsp:rsid wsp:val=&quot;1D525097&quot;/&gt;&lt;wsp:rsid wsp:val=&quot;1D561FAD&quot;/&gt;&lt;wsp:rsid wsp:val=&quot;1D570900&quot;/&gt;&lt;wsp:rsid wsp:val=&quot;1D5726AE&quot;/&gt;&lt;wsp:rsid wsp:val=&quot;1D57445C&quot;/&gt;&lt;wsp:rsid wsp:val=&quot;1D576DEB&quot;/&gt;&lt;wsp:rsid wsp:val=&quot;1D5801D4&quot;/&gt;&lt;wsp:rsid wsp:val=&quot;1D596426&quot;/&gt;&lt;wsp:rsid wsp:val=&quot;1D5A3F4C&quot;/&gt;&lt;wsp:rsid wsp:val=&quot;1D5C7CC4&quot;/&gt;&lt;wsp:rsid wsp:val=&quot;1D5E1C8E&quot;/&gt;&lt;wsp:rsid wsp:val=&quot;1D5E2B76&quot;/&gt;&lt;wsp:rsid wsp:val=&quot;1D5E5D84&quot;/&gt;&lt;wsp:rsid wsp:val=&quot;1D5F4368&quot;/&gt;&lt;wsp:rsid wsp:val=&quot;1D5F5A06&quot;/&gt;&lt;wsp:rsid wsp:val=&quot;1D5F6196&quot;/&gt;&lt;wsp:rsid wsp:val=&quot;1D61177E&quot;/&gt;&lt;wsp:rsid wsp:val=&quot;1D6132A5&quot;/&gt;&lt;wsp:rsid wsp:val=&quot;1D6372A4&quot;/&gt;&lt;wsp:rsid wsp:val=&quot;1D660B43&quot;/&gt;&lt;wsp:rsid wsp:val=&quot;1D664516&quot;/&gt;&lt;wsp:rsid wsp:val=&quot;1D6807F6&quot;/&gt;&lt;wsp:rsid wsp:val=&quot;1D683148&quot;/&gt;&lt;wsp:rsid wsp:val=&quot;1D6923E1&quot;/&gt;&lt;wsp:rsid wsp:val=&quot;1D6E17A5&quot;/&gt;&lt;wsp:rsid wsp:val=&quot;1D6F3E9B&quot;/&gt;&lt;wsp:rsid wsp:val=&quot;1D6F5C49&quot;/&gt;&lt;wsp:rsid wsp:val=&quot;1D725739&quot;/&gt;&lt;wsp:rsid wsp:val=&quot;1D736B1A&quot;/&gt;&lt;wsp:rsid wsp:val=&quot;1D74500E&quot;/&gt;&lt;wsp:rsid wsp:val=&quot;1D766BDC&quot;/&gt;&lt;wsp:rsid wsp:val=&quot;1D772D50&quot;/&gt;&lt;wsp:rsid wsp:val=&quot;1D774AFE&quot;/&gt;&lt;wsp:rsid wsp:val=&quot;1D7814FC&quot;/&gt;&lt;wsp:rsid wsp:val=&quot;1D781D53&quot;/&gt;&lt;wsp:rsid wsp:val=&quot;1D792624&quot;/&gt;&lt;wsp:rsid wsp:val=&quot;1D796AC8&quot;/&gt;&lt;wsp:rsid wsp:val=&quot;1D7E536E&quot;/&gt;&lt;wsp:rsid wsp:val=&quot;1D7E5E8C&quot;/&gt;&lt;wsp:rsid wsp:val=&quot;1D7E7C3A&quot;/&gt;&lt;wsp:rsid wsp:val=&quot;1D7F39B2&quot;/&gt;&lt;wsp:rsid wsp:val=&quot;1D803F2F&quot;/&gt;&lt;wsp:rsid wsp:val=&quot;1D813BCE&quot;/&gt;&lt;wsp:rsid wsp:val=&quot;1D821D5D&quot;/&gt;&lt;wsp:rsid wsp:val=&quot;1D863B00&quot;/&gt;&lt;wsp:rsid wsp:val=&quot;1D866AFD&quot;/&gt;&lt;wsp:rsid wsp:val=&quot;1D882867&quot;/&gt;&lt;wsp:rsid wsp:val=&quot;1D886D0B&quot;/&gt;&lt;wsp:rsid wsp:val=&quot;1D8A2A83&quot;/&gt;&lt;wsp:rsid wsp:val=&quot;1D8B67FB&quot;/&gt;&lt;wsp:rsid wsp:val=&quot;1D8C0E02&quot;/&gt;&lt;wsp:rsid wsp:val=&quot;1D8E3BF5&quot;/&gt;&lt;wsp:rsid wsp:val=&quot;1D8E56D5&quot;/&gt;&lt;wsp:rsid wsp:val=&quot;1D8F62F3&quot;/&gt;&lt;wsp:rsid wsp:val=&quot;1D90619F&quot;/&gt;&lt;wsp:rsid wsp:val=&quot;1D921938&quot;/&gt;&lt;wsp:rsid wsp:val=&quot;1D9236E6&quot;/&gt;&lt;wsp:rsid wsp:val=&quot;1D927B8A&quot;/&gt;&lt;wsp:rsid wsp:val=&quot;1D936104&quot;/&gt;&lt;wsp:rsid wsp:val=&quot;1D94745E&quot;/&gt;&lt;wsp:rsid wsp:val=&quot;1D950C10&quot;/&gt;&lt;wsp:rsid wsp:val=&quot;1D951428&quot;/&gt;&lt;wsp:rsid wsp:val=&quot;1D9531D6&quot;/&gt;&lt;wsp:rsid wsp:val=&quot;1D9838A2&quot;/&gt;&lt;wsp:rsid wsp:val=&quot;1D990F18&quot;/&gt;&lt;wsp:rsid wsp:val=&quot;1D992CC6&quot;/&gt;&lt;wsp:rsid wsp:val=&quot;1D9A259A&quot;/&gt;&lt;wsp:rsid wsp:val=&quot;1D9B4C90&quot;/&gt;&lt;wsp:rsid wsp:val=&quot;1D9B6A3E&quot;/&gt;&lt;wsp:rsid wsp:val=&quot;1D9C4564&quot;/&gt;&lt;wsp:rsid wsp:val=&quot;1D9C6312&quot;/&gt;&lt;wsp:rsid wsp:val=&quot;1D9D14E3&quot;/&gt;&lt;wsp:rsid wsp:val=&quot;1DA04055&quot;/&gt;&lt;wsp:rsid wsp:val=&quot;1DA43419&quot;/&gt;&lt;wsp:rsid wsp:val=&quot;1DA47933&quot;/&gt;&lt;wsp:rsid wsp:val=&quot;1DA533FC&quot;/&gt;&lt;wsp:rsid wsp:val=&quot;1DA653E3&quot;/&gt;&lt;wsp:rsid wsp:val=&quot;1DA76F7C&quot;/&gt;&lt;wsp:rsid wsp:val=&quot;1DA805DB&quot;/&gt;&lt;wsp:rsid wsp:val=&quot;1DAA2EFB&quot;/&gt;&lt;wsp:rsid wsp:val=&quot;1DAD0C58&quot;/&gt;&lt;wsp:rsid wsp:val=&quot;1DAD49C3&quot;/&gt;&lt;wsp:rsid wsp:val=&quot;1DAD6772&quot;/&gt;&lt;wsp:rsid wsp:val=&quot;1DAE5592&quot;/&gt;&lt;wsp:rsid wsp:val=&quot;1DAF6046&quot;/&gt;&lt;wsp:rsid wsp:val=&quot;1DB11ECA&quot;/&gt;&lt;wsp:rsid wsp:val=&quot;1DB33ED5&quot;/&gt;&lt;wsp:rsid wsp:val=&quot;1DB418AE&quot;/&gt;&lt;wsp:rsid wsp:val=&quot;1DB4365C&quot;/&gt;&lt;wsp:rsid wsp:val=&quot;1DB47B00&quot;/&gt;&lt;wsp:rsid wsp:val=&quot;1DB919B0&quot;/&gt;&lt;wsp:rsid wsp:val=&quot;1DB93368&quot;/&gt;&lt;wsp:rsid wsp:val=&quot;1DB96EC4&quot;/&gt;&lt;wsp:rsid wsp:val=&quot;1DBA2C3C&quot;/&gt;&lt;wsp:rsid wsp:val=&quot;1DBB70D0&quot;/&gt;&lt;wsp:rsid wsp:val=&quot;1DBC0763&quot;/&gt;&lt;wsp:rsid wsp:val=&quot;1DBD7BFB&quot;/&gt;&lt;wsp:rsid wsp:val=&quot;1DBE44DB&quot;/&gt;&lt;wsp:rsid wsp:val=&quot;1DC00253&quot;/&gt;&lt;wsp:rsid wsp:val=&quot;1DC05121&quot;/&gt;&lt;wsp:rsid wsp:val=&quot;1DC51D0D&quot;/&gt;&lt;wsp:rsid wsp:val=&quot;1DC615E1&quot;/&gt;&lt;wsp:rsid wsp:val=&quot;1DC6338F&quot;/&gt;&lt;wsp:rsid wsp:val=&quot;1DC75A85&quot;/&gt;&lt;wsp:rsid wsp:val=&quot;1DC85359&quot;/&gt;&lt;wsp:rsid wsp:val=&quot;1DC87107&quot;/&gt;&lt;wsp:rsid wsp:val=&quot;1DC90261&quot;/&gt;&lt;wsp:rsid wsp:val=&quot;1DCB6BF8&quot;/&gt;&lt;wsp:rsid wsp:val=&quot;1DCF493A&quot;/&gt;&lt;wsp:rsid wsp:val=&quot;1DCF66E8&quot;/&gt;&lt;wsp:rsid wsp:val=&quot;1DD12460&quot;/&gt;&lt;wsp:rsid wsp:val=&quot;1DD160A6&quot;/&gt;&lt;wsp:rsid wsp:val=&quot;1DD27F86&quot;/&gt;&lt;wsp:rsid wsp:val=&quot;1DD37047&quot;/&gt;&lt;wsp:rsid wsp:val=&quot;1DD41F50&quot;/&gt;&lt;wsp:rsid wsp:val=&quot;1DD43CFE&quot;/&gt;&lt;wsp:rsid wsp:val=&quot;1DD54528&quot;/&gt;&lt;wsp:rsid wsp:val=&quot;1DD737EE&quot;/&gt;&lt;wsp:rsid wsp:val=&quot;1DD7559C&quot;/&gt;&lt;wsp:rsid wsp:val=&quot;1DD827FE&quot;/&gt;&lt;wsp:rsid wsp:val=&quot;1DD957B9&quot;/&gt;&lt;wsp:rsid wsp:val=&quot;1DDA2343&quot;/&gt;&lt;wsp:rsid wsp:val=&quot;1DDB32DF&quot;/&gt;&lt;wsp:rsid wsp:val=&quot;1DDC0837&quot;/&gt;&lt;wsp:rsid wsp:val=&quot;1DDD0DFF&quot;/&gt;&lt;wsp:rsid wsp:val=&quot;1DDE2DCF&quot;/&gt;&lt;wsp:rsid wsp:val=&quot;1DDE692B&quot;/&gt;&lt;wsp:rsid wsp:val=&quot;1DE06B47&quot;/&gt;&lt;wsp:rsid wsp:val=&quot;1DE101C9&quot;/&gt;&lt;wsp:rsid wsp:val=&quot;1DE1194E&quot;/&gt;&lt;wsp:rsid wsp:val=&quot;1DE1641B&quot;/&gt;&lt;wsp:rsid wsp:val=&quot;1DE426A8&quot;/&gt;&lt;wsp:rsid wsp:val=&quot;1DE5415D&quot;/&gt;&lt;wsp:rsid wsp:val=&quot;1DE57CB9&quot;/&gt;&lt;wsp:rsid wsp:val=&quot;1DE657E0&quot;/&gt;&lt;wsp:rsid wsp:val=&quot;1DE67E68&quot;/&gt;&lt;wsp:rsid wsp:val=&quot;1DE81558&quot;/&gt;&lt;wsp:rsid wsp:val=&quot;1DEA1774&quot;/&gt;&lt;wsp:rsid wsp:val=&quot;1DEA6C4D&quot;/&gt;&lt;wsp:rsid wsp:val=&quot;1DEC54EC&quot;/&gt;&lt;wsp:rsid wsp:val=&quot;1DED3012&quot;/&gt;&lt;wsp:rsid wsp:val=&quot;1DED6B6E&quot;/&gt;&lt;wsp:rsid wsp:val=&quot;1DED6D0F&quot;/&gt;&lt;wsp:rsid wsp:val=&quot;1DF12B02&quot;/&gt;&lt;wsp:rsid wsp:val=&quot;1DF3059A&quot;/&gt;&lt;wsp:rsid wsp:val=&quot;1DF3687A&quot;/&gt;&lt;wsp:rsid wsp:val=&quot;1DF60E56&quot;/&gt;&lt;wsp:rsid wsp:val=&quot;1DF61EC7&quot;/&gt;&lt;wsp:rsid wsp:val=&quot;1DF919B7&quot;/&gt;&lt;wsp:rsid wsp:val=&quot;1DF93765&quot;/&gt;&lt;wsp:rsid wsp:val=&quot;1DF95513&quot;/&gt;&lt;wsp:rsid wsp:val=&quot;1DFB6BCB&quot;/&gt;&lt;wsp:rsid wsp:val=&quot;1DFC5003&quot;/&gt;&lt;wsp:rsid wsp:val=&quot;1DFD2D71&quot;/&gt;&lt;wsp:rsid wsp:val=&quot;1DFE0D7B&quot;/&gt;&lt;wsp:rsid wsp:val=&quot;1DFE6FCD&quot;/&gt;&lt;wsp:rsid wsp:val=&quot;1E002D45&quot;/&gt;&lt;wsp:rsid wsp:val=&quot;1E005185&quot;/&gt;&lt;wsp:rsid wsp:val=&quot;1E013A44&quot;/&gt;&lt;wsp:rsid wsp:val=&quot;1E075E82&quot;/&gt;&lt;wsp:rsid wsp:val=&quot;1E0A3BC4&quot;/&gt;&lt;wsp:rsid wsp:val=&quot;1E0A5972&quot;/&gt;&lt;wsp:rsid wsp:val=&quot;1E0C793C&quot;/&gt;&lt;wsp:rsid wsp:val=&quot;1E0D7210&quot;/&gt;&lt;wsp:rsid wsp:val=&quot;1E0F11DA&quot;/&gt;&lt;wsp:rsid wsp:val=&quot;1E0F160C&quot;/&gt;&lt;wsp:rsid wsp:val=&quot;1E0F4D36&quot;/&gt;&lt;wsp:rsid wsp:val=&quot;1E0F7527&quot;/&gt;&lt;wsp:rsid wsp:val=&quot;1E104D37&quot;/&gt;&lt;wsp:rsid wsp:val=&quot;1E10619E&quot;/&gt;&lt;wsp:rsid wsp:val=&quot;1E114F52&quot;/&gt;&lt;wsp:rsid wsp:val=&quot;1E116D00&quot;/&gt;&lt;wsp:rsid wsp:val=&quot;1E1341FB&quot;/&gt;&lt;wsp:rsid wsp:val=&quot;1E134B83&quot;/&gt;&lt;wsp:rsid wsp:val=&quot;1E14234D&quot;/&gt;&lt;wsp:rsid wsp:val=&quot;1E1467F1&quot;/&gt;&lt;wsp:rsid wsp:val=&quot;1E1627CB&quot;/&gt;&lt;wsp:rsid wsp:val=&quot;1E171E3D&quot;/&gt;&lt;wsp:rsid wsp:val=&quot;1E18008F&quot;/&gt;&lt;wsp:rsid wsp:val=&quot;1E1862E1&quot;/&gt;&lt;wsp:rsid wsp:val=&quot;1E1D56A5&quot;/&gt;&lt;wsp:rsid wsp:val=&quot;1E1E31CB&quot;/&gt;&lt;wsp:rsid wsp:val=&quot;1E1E563D&quot;/&gt;&lt;wsp:rsid wsp:val=&quot;1E1E766F&quot;/&gt;&lt;wsp:rsid wsp:val=&quot;1E205195&quot;/&gt;&lt;wsp:rsid wsp:val=&quot;1E222CBC&quot;/&gt;&lt;wsp:rsid wsp:val=&quot;1E2527AC&quot;/&gt;&lt;wsp:rsid wsp:val=&quot;1E25455A&quot;/&gt;&lt;wsp:rsid wsp:val=&quot;1E27575F&quot;/&gt;&lt;wsp:rsid wsp:val=&quot;1E285DF8&quot;/&gt;&lt;wsp:rsid wsp:val=&quot;1E29229C&quot;/&gt;&lt;wsp:rsid wsp:val=&quot;1E2A1AD4&quot;/&gt;&lt;wsp:rsid wsp:val=&quot;1E2A7DC2&quot;/&gt;&lt;wsp:rsid wsp:val=&quot;1E2C3B3A&quot;/&gt;&lt;wsp:rsid wsp:val=&quot;1E2C7696&quot;/&gt;&lt;wsp:rsid wsp:val=&quot;1E2D1660&quot;/&gt;&lt;wsp:rsid wsp:val=&quot;1E2D41A2&quot;/&gt;&lt;wsp:rsid wsp:val=&quot;1E2D66F3&quot;/&gt;&lt;wsp:rsid wsp:val=&quot;1E2E37DA&quot;/&gt;&lt;wsp:rsid wsp:val=&quot;1E2F7187&quot;/&gt;&lt;wsp:rsid wsp:val=&quot;1E326C77&quot;/&gt;&lt;wsp:rsid wsp:val=&quot;1E334EC9&quot;/&gt;&lt;wsp:rsid wsp:val=&quot;1E340C41&quot;/&gt;&lt;wsp:rsid wsp:val=&quot;1E360515&quot;/&gt;&lt;wsp:rsid wsp:val=&quot;1E365DE2&quot;/&gt;&lt;wsp:rsid wsp:val=&quot;1E390005&quot;/&gt;&lt;wsp:rsid wsp:val=&quot;1E3B1FCF&quot;/&gt;&lt;wsp:rsid wsp:val=&quot;1E3B3D7D&quot;/&gt;&lt;wsp:rsid wsp:val=&quot;1E3E561C&quot;/&gt;&lt;wsp:rsid wsp:val=&quot;1E401394&quot;/&gt;&lt;wsp:rsid wsp:val=&quot;1E42510C&quot;/&gt;&lt;wsp:rsid wsp:val=&quot;1E426EBA&quot;/&gt;&lt;wsp:rsid wsp:val=&quot;1E432C32&quot;/&gt;&lt;wsp:rsid wsp:val=&quot;1E446F12&quot;/&gt;&lt;wsp:rsid wsp:val=&quot;1E4569AA&quot;/&gt;&lt;wsp:rsid wsp:val=&quot;1E474D49&quot;/&gt;&lt;wsp:rsid wsp:val=&quot;1E477A2B&quot;/&gt;&lt;wsp:rsid wsp:val=&quot;1E480375&quot;/&gt;&lt;wsp:rsid wsp:val=&quot;1E496DB9&quot;/&gt;&lt;wsp:rsid wsp:val=&quot;1E4B3A5F&quot;/&gt;&lt;wsp:rsid wsp:val=&quot;1E4C1AE7&quot;/&gt;&lt;wsp:rsid wsp:val=&quot;1E5019FF&quot;/&gt;&lt;wsp:rsid wsp:val=&quot;1E51534F&quot;/&gt;&lt;wsp:rsid wsp:val=&quot;1E522E75&quot;/&gt;&lt;wsp:rsid wsp:val=&quot;1E54477C&quot;/&gt;&lt;wsp:rsid wsp:val=&quot;1E5507DD&quot;/&gt;&lt;wsp:rsid wsp:val=&quot;1E552B5D&quot;/&gt;&lt;wsp:rsid wsp:val=&quot;1E562965&quot;/&gt;&lt;wsp:rsid wsp:val=&quot;1E566E09&quot;/&gt;&lt;wsp:rsid wsp:val=&quot;1E5752B6&quot;/&gt;&lt;wsp:rsid wsp:val=&quot;1E580E02&quot;/&gt;&lt;wsp:rsid wsp:val=&quot;1E592455&quot;/&gt;&lt;wsp:rsid wsp:val=&quot;1E5974FD&quot;/&gt;&lt;wsp:rsid wsp:val=&quot;1E5B441F&quot;/&gt;&lt;wsp:rsid wsp:val=&quot;1E5B61CE&quot;/&gt;&lt;wsp:rsid wsp:val=&quot;1E5D0198&quot;/&gt;&lt;wsp:rsid wsp:val=&quot;1E5D3CF4&quot;/&gt;&lt;wsp:rsid wsp:val=&quot;1E5E7A6C&quot;/&gt;&lt;wsp:rsid wsp:val=&quot;1E601A36&quot;/&gt;&lt;wsp:rsid wsp:val=&quot;1E603227&quot;/&gt;&lt;wsp:rsid wsp:val=&quot;1E605592&quot;/&gt;&lt;wsp:rsid wsp:val=&quot;1E62130A&quot;/&gt;&lt;wsp:rsid wsp:val=&quot;1E636E30&quot;/&gt;&lt;wsp:rsid wsp:val=&quot;1E676920&quot;/&gt;&lt;wsp:rsid wsp:val=&quot;1E682698&quot;/&gt;&lt;wsp:rsid wsp:val=&quot;1E6908EA&quot;/&gt;&lt;wsp:rsid wsp:val=&quot;1E6A4663&quot;/&gt;&lt;wsp:rsid wsp:val=&quot;1E6C2189&quot;/&gt;&lt;wsp:rsid wsp:val=&quot;1E6C3E2E&quot;/&gt;&lt;wsp:rsid wsp:val=&quot;1E6D79E9&quot;/&gt;&lt;wsp:rsid wsp:val=&quot;1E6E4153&quot;/&gt;&lt;wsp:rsid wsp:val=&quot;1E6F3A27&quot;/&gt;&lt;wsp:rsid wsp:val=&quot;1E71779F&quot;/&gt;&lt;wsp:rsid wsp:val=&quot;1E731769&quot;/&gt;&lt;wsp:rsid wsp:val=&quot;1E733517&quot;/&gt;&lt;wsp:rsid wsp:val=&quot;1E7352C5&quot;/&gt;&lt;wsp:rsid wsp:val=&quot;1E74728F&quot;/&gt;&lt;wsp:rsid wsp:val=&quot;1E757DC6&quot;/&gt;&lt;wsp:rsid wsp:val=&quot;1E763007&quot;/&gt;&lt;wsp:rsid wsp:val=&quot;1E766B63&quot;/&gt;&lt;wsp:rsid wsp:val=&quot;1E7828DC&quot;/&gt;&lt;wsp:rsid wsp:val=&quot;1E7960C6&quot;/&gt;&lt;wsp:rsid wsp:val=&quot;1E796654&quot;/&gt;&lt;wsp:rsid wsp:val=&quot;1E797880&quot;/&gt;&lt;wsp:rsid wsp:val=&quot;1E7A43DA&quot;/&gt;&lt;wsp:rsid wsp:val=&quot;1E7B061E&quot;/&gt;&lt;wsp:rsid wsp:val=&quot;1E7B23CC&quot;/&gt;&lt;wsp:rsid wsp:val=&quot;1E7D4396&quot;/&gt;&lt;wsp:rsid wsp:val=&quot;1E7D7EF2&quot;/&gt;&lt;wsp:rsid wsp:val=&quot;1E7E1EBC&quot;/&gt;&lt;wsp:rsid wsp:val=&quot;1E7E3C6A&quot;/&gt;&lt;wsp:rsid wsp:val=&quot;1E804ED9&quot;/&gt;&lt;wsp:rsid wsp:val=&quot;1E82375A&quot;/&gt;&lt;wsp:rsid wsp:val=&quot;1E827BFE&quot;/&gt;&lt;wsp:rsid wsp:val=&quot;1E845724&quot;/&gt;&lt;wsp:rsid wsp:val=&quot;1E85324A&quot;/&gt;&lt;wsp:rsid wsp:val=&quot;1E860D4B&quot;/&gt;&lt;wsp:rsid wsp:val=&quot;1E870D71&quot;/&gt;&lt;wsp:rsid wsp:val=&quot;1E8A6AB3&quot;/&gt;&lt;wsp:rsid wsp:val=&quot;1E8C282B&quot;/&gt;&lt;wsp:rsid wsp:val=&quot;1E8C347C&quot;/&gt;&lt;wsp:rsid wsp:val=&quot;1E8C45D9&quot;/&gt;&lt;wsp:rsid wsp:val=&quot;1E8C6387&quot;/&gt;&lt;wsp:rsid wsp:val=&quot;1E90231B&quot;/&gt;&lt;wsp:rsid wsp:val=&quot;1E903A10&quot;/&gt;&lt;wsp:rsid wsp:val=&quot;1E9049CE&quot;/&gt;&lt;wsp:rsid wsp:val=&quot;1E911BEF&quot;/&gt;&lt;wsp:rsid wsp:val=&quot;1E915031&quot;/&gt;&lt;wsp:rsid wsp:val=&quot;1E921EBF&quot;/&gt;&lt;wsp:rsid wsp:val=&quot;1E92764B&quot;/&gt;&lt;wsp:rsid wsp:val=&quot;1E933B20&quot;/&gt;&lt;wsp:rsid wsp:val=&quot;1E937715&quot;/&gt;&lt;wsp:rsid wsp:val=&quot;1E9516DF&quot;/&gt;&lt;wsp:rsid wsp:val=&quot;1E957931&quot;/&gt;&lt;wsp:rsid wsp:val=&quot;1E97058F&quot;/&gt;&lt;wsp:rsid wsp:val=&quot;1E972D06&quot;/&gt;&lt;wsp:rsid wsp:val=&quot;1E984D2C&quot;/&gt;&lt;wsp:rsid wsp:val=&quot;1E9D4401&quot;/&gt;&lt;wsp:rsid wsp:val=&quot;1E9F255E&quot;/&gt;&lt;wsp:rsid wsp:val=&quot;1E9F430C&quot;/&gt;&lt;wsp:rsid wsp:val=&quot;1EA01E32&quot;/&gt;&lt;wsp:rsid wsp:val=&quot;1EA23DFC&quot;/&gt;&lt;wsp:rsid wsp:val=&quot;1EA27958&quot;/&gt;&lt;wsp:rsid wsp:val=&quot;1EA30273&quot;/&gt;&lt;wsp:rsid wsp:val=&quot;1EA336D1&quot;/&gt;&lt;wsp:rsid wsp:val=&quot;1EA50C8D&quot;/&gt;&lt;wsp:rsid wsp:val=&quot;1EA5569B&quot;/&gt;&lt;wsp:rsid wsp:val=&quot;1EA71413&quot;/&gt;&lt;wsp:rsid wsp:val=&quot;1EA731C1&quot;/&gt;&lt;wsp:rsid wsp:val=&quot;1EA96F39&quot;/&gt;&lt;wsp:rsid wsp:val=&quot;1EAA1A19&quot;/&gt;&lt;wsp:rsid wsp:val=&quot;1EAA2CB1&quot;/&gt;&lt;wsp:rsid wsp:val=&quot;1EAB0F03&quot;/&gt;&lt;wsp:rsid wsp:val=&quot;1EAC6902&quot;/&gt;&lt;wsp:rsid wsp:val=&quot;1EAD7B17&quot;/&gt;&lt;wsp:rsid wsp:val=&quot;1EAE09F3&quot;/&gt;&lt;wsp:rsid wsp:val=&quot;1EB12291&quot;/&gt;&lt;wsp:rsid wsp:val=&quot;1EB2020D&quot;/&gt;&lt;wsp:rsid wsp:val=&quot;1EB31B66&quot;/&gt;&lt;wsp:rsid wsp:val=&quot;1EB3600A&quot;/&gt;&lt;wsp:rsid wsp:val=&quot;1EB4768C&quot;/&gt;&lt;wsp:rsid wsp:val=&quot;1EB63404&quot;/&gt;&lt;wsp:rsid wsp:val=&quot;1EB83620&quot;/&gt;&lt;wsp:rsid wsp:val=&quot;1EB87F15&quot;/&gt;&lt;wsp:rsid wsp:val=&quot;1EBA7398&quot;/&gt;&lt;wsp:rsid wsp:val=&quot;1EBD0C36&quot;/&gt;&lt;wsp:rsid wsp:val=&quot;1EBD4792&quot;/&gt;&lt;wsp:rsid wsp:val=&quot;1EC00911&quot;/&gt;&lt;wsp:rsid wsp:val=&quot;1EC04283&quot;/&gt;&lt;wsp:rsid wsp:val=&quot;1EC10726&quot;/&gt;&lt;wsp:rsid wsp:val=&quot;1EC41FC5&quot;/&gt;&lt;wsp:rsid wsp:val=&quot;1EC4217D&quot;/&gt;&lt;wsp:rsid wsp:val=&quot;1EC65D3D&quot;/&gt;&lt;wsp:rsid wsp:val=&quot;1EC661DE&quot;/&gt;&lt;wsp:rsid wsp:val=&quot;1EC71AB5&quot;/&gt;&lt;wsp:rsid wsp:val=&quot;1EC75611&quot;/&gt;&lt;wsp:rsid wsp:val=&quot;1EC93137&quot;/&gt;&lt;wsp:rsid wsp:val=&quot;1EC9341E&quot;/&gt;&lt;wsp:rsid wsp:val=&quot;1ECB3353&quot;/&gt;&lt;wsp:rsid wsp:val=&quot;1ECC2C27&quot;/&gt;&lt;wsp:rsid wsp:val=&quot;1ECC70CB&quot;/&gt;&lt;wsp:rsid wsp:val=&quot;1ECE2E43&quot;/&gt;&lt;wsp:rsid wsp:val=&quot;1ECF44C6&quot;/&gt;&lt;wsp:rsid wsp:val=&quot;1ED0096A&quot;/&gt;&lt;wsp:rsid wsp:val=&quot;1ED3045A&quot;/&gt;&lt;wsp:rsid wsp:val=&quot;1ED33FB6&quot;/&gt;&lt;wsp:rsid wsp:val=&quot;1ED41ADC&quot;/&gt;&lt;wsp:rsid wsp:val=&quot;1ED61EF3&quot;/&gt;&lt;wsp:rsid wsp:val=&quot;1ED74A21&quot;/&gt;&lt;wsp:rsid wsp:val=&quot;1ED77C74&quot;/&gt;&lt;wsp:rsid wsp:val=&quot;1EDA01AA&quot;/&gt;&lt;wsp:rsid wsp:val=&quot;1EDA3596&quot;/&gt;&lt;wsp:rsid wsp:val=&quot;1EDD3086&quot;/&gt;&lt;wsp:rsid wsp:val=&quot;1EDD6BE3&quot;/&gt;&lt;wsp:rsid wsp:val=&quot;1EDD7E56&quot;/&gt;&lt;wsp:rsid wsp:val=&quot;1EE066D3&quot;/&gt;&lt;wsp:rsid wsp:val=&quot;1EE2069D&quot;/&gt;&lt;wsp:rsid wsp:val=&quot;1EE272D7&quot;/&gt;&lt;wsp:rsid wsp:val=&quot;1EE44415&quot;/&gt;&lt;wsp:rsid wsp:val=&quot;1EE47F71&quot;/&gt;&lt;wsp:rsid wsp:val=&quot;1EE61F3B&quot;/&gt;&lt;wsp:rsid wsp:val=&quot;1EE73F06&quot;/&gt;&lt;wsp:rsid wsp:val=&quot;1EE91A2B&quot;/&gt;&lt;wsp:rsid wsp:val=&quot;1EEE2B9E&quot;/&gt;&lt;wsp:rsid wsp:val=&quot;1EF04B68&quot;/&gt;&lt;wsp:rsid wsp:val=&quot;1EF328AA&quot;/&gt;&lt;wsp:rsid wsp:val=&quot;1EF33ABA&quot;/&gt;&lt;wsp:rsid wsp:val=&quot;1EF36406&quot;/&gt;&lt;wsp:rsid wsp:val=&quot;1EF65EF6&quot;/&gt;&lt;wsp:rsid wsp:val=&quot;1EF81C6E&quot;/&gt;&lt;wsp:rsid wsp:val=&quot;1EF83A1C&quot;/&gt;&lt;wsp:rsid wsp:val=&quot;1EFA3C38&quot;/&gt;&lt;wsp:rsid wsp:val=&quot;1EFA5547&quot;/&gt;&lt;wsp:rsid wsp:val=&quot;1EFD1033&quot;/&gt;&lt;wsp:rsid wsp:val=&quot;1EFF4DAB&quot;/&gt;&lt;wsp:rsid wsp:val=&quot;1F061F30&quot;/&gt;&lt;wsp:rsid wsp:val=&quot;1F0625DD&quot;/&gt;&lt;wsp:rsid wsp:val=&quot;1F066139&quot;/&gt;&lt;wsp:rsid wsp:val=&quot;1F0711B4&quot;/&gt;&lt;wsp:rsid wsp:val=&quot;1F093E7B&quot;/&gt;&lt;wsp:rsid wsp:val=&quot;1F095C2A&quot;/&gt;&lt;wsp:rsid wsp:val=&quot;1F0B7BF4&quot;/&gt;&lt;wsp:rsid wsp:val=&quot;1F0C1276&quot;/&gt;&lt;wsp:rsid wsp:val=&quot;1F0C2B01&quot;/&gt;&lt;wsp:rsid wsp:val=&quot;1F0E1492&quot;/&gt;&lt;wsp:rsid wsp:val=&quot;1F0E3293&quot;/&gt;&lt;wsp:rsid wsp:val=&quot;1F0E4FEE&quot;/&gt;&lt;wsp:rsid wsp:val=&quot;1F0F399E&quot;/&gt;&lt;wsp:rsid wsp:val=&quot;1F100D66&quot;/&gt;&lt;wsp:rsid wsp:val=&quot;1F120F82&quot;/&gt;&lt;wsp:rsid wsp:val=&quot;1F122D30&quot;/&gt;&lt;wsp:rsid wsp:val=&quot;1F134CFA&quot;/&gt;&lt;wsp:rsid wsp:val=&quot;1F136AA8&quot;/&gt;&lt;wsp:rsid wsp:val=&quot;1F140503&quot;/&gt;&lt;wsp:rsid wsp:val=&quot;1F145347&quot;/&gt;&lt;wsp:rsid wsp:val=&quot;1F153A2A&quot;/&gt;&lt;wsp:rsid wsp:val=&quot;1F170346&quot;/&gt;&lt;wsp:rsid wsp:val=&quot;1F176598&quot;/&gt;&lt;wsp:rsid wsp:val=&quot;1F182311&quot;/&gt;&lt;wsp:rsid wsp:val=&quot;1F1840BF&quot;/&gt;&lt;wsp:rsid wsp:val=&quot;1F1A3993&quot;/&gt;&lt;wsp:rsid wsp:val=&quot;1F204D21&quot;/&gt;&lt;wsp:rsid wsp:val=&quot;1F212F73&quot;/&gt;&lt;wsp:rsid wsp:val=&quot;1F240CB5&quot;/&gt;&lt;wsp:rsid wsp:val=&quot;1F242A63&quot;/&gt;&lt;wsp:rsid wsp:val=&quot;1F247119&quot;/&gt;&lt;wsp:rsid wsp:val=&quot;1F264A2D&quot;/&gt;&lt;wsp:rsid wsp:val=&quot;1F2667DB&quot;/&gt;&lt;wsp:rsid wsp:val=&quot;1F2820C8&quot;/&gt;&lt;wsp:rsid wsp:val=&quot;1F282554&quot;/&gt;&lt;wsp:rsid wsp:val=&quot;1F2A6B51&quot;/&gt;&lt;wsp:rsid wsp:val=&quot;1F2C36C6&quot;/&gt;&lt;wsp:rsid wsp:val=&quot;1F2E5690&quot;/&gt;&lt;wsp:rsid wsp:val=&quot;1F304E58&quot;/&gt;&lt;wsp:rsid wsp:val=&quot;1F330EF8&quot;/&gt;&lt;wsp:rsid wsp:val=&quot;1F376A06&quot;/&gt;&lt;wsp:rsid wsp:val=&quot;1F38392F&quot;/&gt;&lt;wsp:rsid wsp:val=&quot;1F3A2287&quot;/&gt;&lt;wsp:rsid wsp:val=&quot;1F3A5DE3&quot;/&gt;&lt;wsp:rsid wsp:val=&quot;1F3C1B5B&quot;/&gt;&lt;wsp:rsid wsp:val=&quot;1F3C5FFF&quot;/&gt;&lt;wsp:rsid wsp:val=&quot;1F3D3B25&quot;/&gt;&lt;wsp:rsid wsp:val=&quot;1F3E297F&quot;/&gt;&lt;wsp:rsid wsp:val=&quot;1F3F20C1&quot;/&gt;&lt;wsp:rsid wsp:val=&quot;1F3F33F9&quot;/&gt;&lt;wsp:rsid wsp:val=&quot;1F4149E1&quot;/&gt;&lt;wsp:rsid wsp:val=&quot;1F4153C3&quot;/&gt;&lt;wsp:rsid wsp:val=&quot;1F417171&quot;/&gt;&lt;wsp:rsid wsp:val=&quot;1F43738D&quot;/&gt;&lt;wsp:rsid wsp:val=&quot;1F446268&quot;/&gt;&lt;wsp:rsid wsp:val=&quot;1F446C62&quot;/&gt;&lt;wsp:rsid wsp:val=&quot;1F460C2C&quot;/&gt;&lt;wsp:rsid wsp:val=&quot;1F4629DA&quot;/&gt;&lt;wsp:rsid wsp:val=&quot;1F470500&quot;/&gt;&lt;wsp:rsid wsp:val=&quot;1F4849A4&quot;/&gt;&lt;wsp:rsid wsp:val=&quot;1F486752&quot;/&gt;&lt;wsp:rsid wsp:val=&quot;1F49071C&quot;/&gt;&lt;wsp:rsid wsp:val=&quot;1F49312F&quot;/&gt;&lt;wsp:rsid wsp:val=&quot;1F4973AD&quot;/&gt;&lt;wsp:rsid wsp:val=&quot;1F4B4494&quot;/&gt;&lt;wsp:rsid wsp:val=&quot;1F4D1FBA&quot;/&gt;&lt;wsp:rsid wsp:val=&quot;1F4D3D68&quot;/&gt;&lt;wsp:rsid wsp:val=&quot;1F4E7AE0&quot;/&gt;&lt;wsp:rsid wsp:val=&quot;1F501AAA&quot;/&gt;&lt;wsp:rsid wsp:val=&quot;1F503858&quot;/&gt;&lt;wsp:rsid wsp:val=&quot;1F52137F&quot;/&gt;&lt;wsp:rsid wsp:val=&quot;1F525822&quot;/&gt;&lt;wsp:rsid wsp:val=&quot;1F542CAF&quot;/&gt;&lt;wsp:rsid wsp:val=&quot;1F547F21&quot;/&gt;&lt;wsp:rsid wsp:val=&quot;1F550E6F&quot;/&gt;&lt;wsp:rsid wsp:val=&quot;1F572E39&quot;/&gt;&lt;wsp:rsid wsp:val=&quot;1F5823ED&quot;/&gt;&lt;wsp:rsid wsp:val=&quot;1F5B37A4&quot;/&gt;&lt;wsp:rsid wsp:val=&quot;1F5C3FAB&quot;/&gt;&lt;wsp:rsid wsp:val=&quot;1F5D41BA&quot;/&gt;&lt;wsp:rsid wsp:val=&quot;1F5D7D23&quot;/&gt;&lt;wsp:rsid wsp:val=&quot;1F5E5F75&quot;/&gt;&lt;wsp:rsid wsp:val=&quot;1F5F3A9B&quot;/&gt;&lt;wsp:rsid wsp:val=&quot;1F617814&quot;/&gt;&lt;wsp:rsid wsp:val=&quot;1F6414BC&quot;/&gt;&lt;wsp:rsid wsp:val=&quot;1F645556&quot;/&gt;&lt;wsp:rsid wsp:val=&quot;1F646875&quot;/&gt;&lt;wsp:rsid wsp:val=&quot;1F666BD8&quot;/&gt;&lt;wsp:rsid wsp:val=&quot;1F672950&quot;/&gt;&lt;wsp:rsid wsp:val=&quot;1F69491A&quot;/&gt;&lt;wsp:rsid wsp:val=&quot;1F6A69FC&quot;/&gt;&lt;wsp:rsid wsp:val=&quot;1F6C10DE&quot;/&gt;&lt;wsp:rsid wsp:val=&quot;1F6D4E7A&quot;/&gt;&lt;wsp:rsid wsp:val=&quot;1F6D7F66&quot;/&gt;&lt;wsp:rsid wsp:val=&quot;1F6F11A0&quot;/&gt;&lt;wsp:rsid wsp:val=&quot;1F705CA9&quot;/&gt;&lt;wsp:rsid wsp:val=&quot;1F737B21&quot;/&gt;&lt;wsp:rsid wsp:val=&quot;1F75506D&quot;/&gt;&lt;wsp:rsid wsp:val=&quot;1F784B5D&quot;/&gt;&lt;wsp:rsid wsp:val=&quot;1F78690B&quot;/&gt;&lt;wsp:rsid wsp:val=&quot;1F792DAF&quot;/&gt;&lt;wsp:rsid wsp:val=&quot;1F7A08D5&quot;/&gt;&lt;wsp:rsid wsp:val=&quot;1F7A2683&quot;/&gt;&lt;wsp:rsid wsp:val=&quot;1F7A27D4&quot;/&gt;&lt;wsp:rsid wsp:val=&quot;1F7A32FD&quot;/&gt;&lt;wsp:rsid wsp:val=&quot;1F7A36E2&quot;/&gt;&lt;wsp:rsid wsp:val=&quot;1F7C0BD3&quot;/&gt;&lt;wsp:rsid wsp:val=&quot;1F7C1DAA&quot;/&gt;&lt;wsp:rsid wsp:val=&quot;1F7C464D&quot;/&gt;&lt;wsp:rsid wsp:val=&quot;1F7E2174&quot;/&gt;&lt;wsp:rsid wsp:val=&quot;1F7E2E95&quot;/&gt;&lt;wsp:rsid wsp:val=&quot;1F7E6617&quot;/&gt;&lt;wsp:rsid wsp:val=&quot;1F7F2A96&quot;/&gt;&lt;wsp:rsid wsp:val=&quot;1F7F5EEC&quot;/&gt;&lt;wsp:rsid wsp:val=&quot;1F800F8E&quot;/&gt;&lt;wsp:rsid wsp:val=&quot;1F811C64&quot;/&gt;&lt;wsp:rsid wsp:val=&quot;1F8328FD&quot;/&gt;&lt;wsp:rsid wsp:val=&quot;1F833C2E&quot;/&gt;&lt;wsp:rsid wsp:val=&quot;1F83778A&quot;/&gt;&lt;wsp:rsid wsp:val=&quot;1F841754&quot;/&gt;&lt;wsp:rsid wsp:val=&quot;1F8452B0&quot;/&gt;&lt;wsp:rsid wsp:val=&quot;1F86727A&quot;/&gt;&lt;wsp:rsid wsp:val=&quot;1F8B1D63&quot;/&gt;&lt;wsp:rsid wsp:val=&quot;1F8B2AE2&quot;/&gt;&lt;wsp:rsid wsp:val=&quot;1F8B4667&quot;/&gt;&lt;wsp:rsid wsp:val=&quot;1F8B663F&quot;/&gt;&lt;wsp:rsid wsp:val=&quot;1F8D0609&quot;/&gt;&lt;wsp:rsid wsp:val=&quot;1F8F430C&quot;/&gt;&lt;wsp:rsid wsp:val=&quot;1F8F4381&quot;/&gt;&lt;wsp:rsid wsp:val=&quot;1F90634B&quot;/&gt;&lt;wsp:rsid wsp:val=&quot;1F925C1F&quot;/&gt;&lt;wsp:rsid wsp:val=&quot;1F9279CD&quot;/&gt;&lt;wsp:rsid wsp:val=&quot;1F946E5A&quot;/&gt;&lt;wsp:rsid wsp:val=&quot;1F953961&quot;/&gt;&lt;wsp:rsid wsp:val=&quot;1F9574BD&quot;/&gt;&lt;wsp:rsid wsp:val=&quot;1F971487&quot;/&gt;&lt;wsp:rsid wsp:val=&quot;1F9C084C&quot;/&gt;&lt;wsp:rsid wsp:val=&quot;1F9E2816&quot;/&gt;&lt;wsp:rsid wsp:val=&quot;1F9F20EA&quot;/&gt;&lt;wsp:rsid wsp:val=&quot;1FA140B4&quot;/&gt;&lt;wsp:rsid wsp:val=&quot;1FA3607E&quot;/&gt;&lt;wsp:rsid wsp:val=&quot;1FA53BA4&quot;/&gt;&lt;wsp:rsid wsp:val=&quot;1FA828F8&quot;/&gt;&lt;wsp:rsid wsp:val=&quot;1FAA11BB&quot;/&gt;&lt;wsp:rsid wsp:val=&quot;1FAD0CAB&quot;/&gt;&lt;wsp:rsid wsp:val=&quot;1FAF4A23&quot;/&gt;&lt;wsp:rsid wsp:val=&quot;1FB21655&quot;/&gt;&lt;wsp:rsid wsp:val=&quot;1FB21E1D&quot;/&gt;&lt;wsp:rsid wsp:val=&quot;1FB448F7&quot;/&gt;&lt;wsp:rsid wsp:val=&quot;1FB65DB1&quot;/&gt;&lt;wsp:rsid wsp:val=&quot;1FB77434&quot;/&gt;&lt;wsp:rsid wsp:val=&quot;1FB77875&quot;/&gt;&lt;wsp:rsid wsp:val=&quot;1FB976E5&quot;/&gt;&lt;wsp:rsid wsp:val=&quot;1FBB33C8&quot;/&gt;&lt;wsp:rsid wsp:val=&quot;1FBC4DE6&quot;/&gt;&lt;wsp:rsid wsp:val=&quot;1FBE0986&quot;/&gt;&lt;wsp:rsid wsp:val=&quot;1FBE4C66&quot;/&gt;&lt;wsp:rsid wsp:val=&quot;1FBE6A14&quot;/&gt;&lt;wsp:rsid wsp:val=&quot;1FC14756&quot;/&gt;&lt;wsp:rsid wsp:val=&quot;1FC31414&quot;/&gt;&lt;wsp:rsid wsp:val=&quot;1FC3227C&quot;/&gt;&lt;wsp:rsid wsp:val=&quot;1FC55FF4&quot;/&gt;&lt;wsp:rsid wsp:val=&quot;1FC57DA2&quot;/&gt;&lt;wsp:rsid wsp:val=&quot;1FC61D6D&quot;/&gt;&lt;wsp:rsid wsp:val=&quot;1FC81641&quot;/&gt;&lt;wsp:rsid wsp:val=&quot;1FCA53B9&quot;/&gt;&lt;wsp:rsid wsp:val=&quot;1FCF0C21&quot;/&gt;&lt;wsp:rsid wsp:val=&quot;1FCF190A&quot;/&gt;&lt;wsp:rsid wsp:val=&quot;1FCF6E73&quot;/&gt;&lt;wsp:rsid wsp:val=&quot;1FD06747&quot;/&gt;&lt;wsp:rsid wsp:val=&quot;1FD1431F&quot;/&gt;&lt;wsp:rsid wsp:val=&quot;1FD174F6&quot;/&gt;&lt;wsp:rsid wsp:val=&quot;1FD3171B&quot;/&gt;&lt;wsp:rsid wsp:val=&quot;1FD46237&quot;/&gt;&lt;wsp:rsid wsp:val=&quot;1FD5000E&quot;/&gt;&lt;wsp:rsid wsp:val=&quot;1FD5034D&quot;/&gt;&lt;wsp:rsid wsp:val=&quot;1FD53D5E&quot;/&gt;&lt;wsp:rsid wsp:val=&quot;1FD60202&quot;/&gt;&lt;wsp:rsid wsp:val=&quot;1FD87954&quot;/&gt;&lt;wsp:rsid wsp:val=&quot;1FD9384E&quot;/&gt;&lt;wsp:rsid wsp:val=&quot;1FDB383D&quot;/&gt;&lt;wsp:rsid wsp:val=&quot;1FDB75C6&quot;/&gt;&lt;wsp:rsid wsp:val=&quot;1FDC333E&quot;/&gt;&lt;wsp:rsid wsp:val=&quot;1FDC6E9A&quot;/&gt;&lt;wsp:rsid wsp:val=&quot;1FDE0E64&quot;/&gt;&lt;wsp:rsid wsp:val=&quot;1FDE70B6&quot;/&gt;&lt;wsp:rsid wsp:val=&quot;1FDF698A&quot;/&gt;&lt;wsp:rsid wsp:val=&quot;1FE3647B&quot;/&gt;&lt;wsp:rsid wsp:val=&quot;1FE521F3&quot;/&gt;&lt;wsp:rsid wsp:val=&quot;1FE6508C&quot;/&gt;&lt;wsp:rsid wsp:val=&quot;1FE741BD&quot;/&gt;&lt;wsp:rsid wsp:val=&quot;1FE7539E&quot;/&gt;&lt;wsp:rsid wsp:val=&quot;1FE8583F&quot;/&gt;&lt;wsp:rsid wsp:val=&quot;1FED72F9&quot;/&gt;&lt;wsp:rsid wsp:val=&quot;1FEE5E46&quot;/&gt;&lt;wsp:rsid wsp:val=&quot;1FEF4E1F&quot;/&gt;&lt;wsp:rsid wsp:val=&quot;1FF00B97&quot;/&gt;&lt;wsp:rsid wsp:val=&quot;1FF21896&quot;/&gt;&lt;wsp:rsid wsp:val=&quot;1FF40688&quot;/&gt;&lt;wsp:rsid wsp:val=&quot;1FF67686&quot;/&gt;&lt;wsp:rsid wsp:val=&quot;1FF7057B&quot;/&gt;&lt;wsp:rsid wsp:val=&quot;1FF82189&quot;/&gt;&lt;wsp:rsid wsp:val=&quot;1FF93490&quot;/&gt;&lt;wsp:rsid wsp:val=&quot;1FFD25F1&quot;/&gt;&lt;wsp:rsid wsp:val=&quot;1FFE5062&quot;/&gt;&lt;wsp:rsid wsp:val=&quot;1FFF72A8&quot;/&gt;&lt;wsp:rsid wsp:val=&quot;20000DDB&quot;/&gt;&lt;wsp:rsid wsp:val=&quot;2000527E&quot;/&gt;&lt;wsp:rsid wsp:val=&quot;20016901&quot;/&gt;&lt;wsp:rsid wsp:val=&quot;20032679&quot;/&gt;&lt;wsp:rsid wsp:val=&quot;20036B1D&quot;/&gt;&lt;wsp:rsid wsp:val=&quot;20037379&quot;/&gt;&lt;wsp:rsid wsp:val=&quot;20085EE1&quot;/&gt;&lt;wsp:rsid wsp:val=&quot;200A18C7&quot;/&gt;&lt;wsp:rsid wsp:val=&quot;200A1C59&quot;/&gt;&lt;wsp:rsid wsp:val=&quot;200B777F&quot;/&gt;&lt;wsp:rsid wsp:val=&quot;200C041C&quot;/&gt;&lt;wsp:rsid wsp:val=&quot;200C18AC&quot;/&gt;&lt;wsp:rsid wsp:val=&quot;200F0B71&quot;/&gt;&lt;wsp:rsid wsp:val=&quot;200F101E&quot;/&gt;&lt;wsp:rsid wsp:val=&quot;200F70B2&quot;/&gt;&lt;wsp:rsid wsp:val=&quot;201223C3&quot;/&gt;&lt;wsp:rsid wsp:val=&quot;20144886&quot;/&gt;&lt;wsp:rsid wsp:val=&quot;201523AC&quot;/&gt;&lt;wsp:rsid wsp:val=&quot;20156253&quot;/&gt;&lt;wsp:rsid wsp:val=&quot;20166850&quot;/&gt;&lt;wsp:rsid wsp:val=&quot;2017552F&quot;/&gt;&lt;wsp:rsid wsp:val=&quot;201900EE&quot;/&gt;&lt;wsp:rsid wsp:val=&quot;20192A20&quot;/&gt;&lt;wsp:rsid wsp:val=&quot;201A1264&quot;/&gt;&lt;wsp:rsid wsp:val=&quot;201B7F11&quot;/&gt;&lt;wsp:rsid wsp:val=&quot;201C198C&quot;/&gt;&lt;wsp:rsid wsp:val=&quot;201C373B&quot;/&gt;&lt;wsp:rsid wsp:val=&quot;20210D51&quot;/&gt;&lt;wsp:rsid wsp:val=&quot;2022758D&quot;/&gt;&lt;wsp:rsid wsp:val=&quot;20234AC9&quot;/&gt;&lt;wsp:rsid wsp:val=&quot;2024673D&quot;/&gt;&lt;wsp:rsid wsp:val=&quot;20256A93&quot;/&gt;&lt;wsp:rsid wsp:val=&quot;20270A5D&quot;/&gt;&lt;wsp:rsid wsp:val=&quot;20286583&quot;/&gt;&lt;wsp:rsid wsp:val=&quot;20291B63&quot;/&gt;&lt;wsp:rsid wsp:val=&quot;202B5CA9&quot;/&gt;&lt;wsp:rsid wsp:val=&quot;202C7E22&quot;/&gt;&lt;wsp:rsid wsp:val=&quot;202E07CC&quot;/&gt;&lt;wsp:rsid wsp:val=&quot;202F09E9&quot;/&gt;&lt;wsp:rsid wsp:val=&quot;202F16C0&quot;/&gt;&lt;wsp:rsid wsp:val=&quot;202F346E&quot;/&gt;&lt;wsp:rsid wsp:val=&quot;203171E6&quot;/&gt;&lt;wsp:rsid wsp:val=&quot;20344F28&quot;/&gt;&lt;wsp:rsid wsp:val=&quot;203458FD&quot;/&gt;&lt;wsp:rsid wsp:val=&quot;20356FAB&quot;/&gt;&lt;wsp:rsid wsp:val=&quot;20362A4E&quot;/&gt;&lt;wsp:rsid wsp:val=&quot;20363689&quot;/&gt;&lt;wsp:rsid wsp:val=&quot;203768AC&quot;/&gt;&lt;wsp:rsid wsp:val=&quot;2038066E&quot;/&gt;&lt;wsp:rsid wsp:val=&quot;20384A18&quot;/&gt;&lt;wsp:rsid wsp:val=&quot;203A2555&quot;/&gt;&lt;wsp:rsid wsp:val=&quot;203B0065&quot;/&gt;&lt;wsp:rsid wsp:val=&quot;203C3DDD&quot;/&gt;&lt;wsp:rsid wsp:val=&quot;203C5B8B&quot;/&gt;&lt;wsp:rsid wsp:val=&quot;203C5DBA&quot;/&gt;&lt;wsp:rsid wsp:val=&quot;203F473B&quot;/&gt;&lt;wsp:rsid wsp:val=&quot;203F550C&quot;/&gt;&lt;wsp:rsid wsp:val=&quot;204038CD&quot;/&gt;&lt;wsp:rsid wsp:val=&quot;204131A1&quot;/&gt;&lt;wsp:rsid wsp:val=&quot;20474C5B&quot;/&gt;&lt;wsp:rsid wsp:val=&quot;204A2F8F&quot;/&gt;&lt;wsp:rsid wsp:val=&quot;204C04C4&quot;/&gt;&lt;wsp:rsid wsp:val=&quot;20511636&quot;/&gt;&lt;wsp:rsid wsp:val=&quot;20517888&quot;/&gt;&lt;wsp:rsid wsp:val=&quot;20524514&quot;/&gt;&lt;wsp:rsid wsp:val=&quot;20531852&quot;/&gt;&lt;wsp:rsid wsp:val=&quot;20532B88&quot;/&gt;&lt;wsp:rsid wsp:val=&quot;20536A69&quot;/&gt;&lt;wsp:rsid wsp:val=&quot;205454D1&quot;/&gt;&lt;wsp:rsid wsp:val=&quot;20564103&quot;/&gt;&lt;wsp:rsid wsp:val=&quot;205729C5&quot;/&gt;&lt;wsp:rsid wsp:val=&quot;205904EB&quot;/&gt;&lt;wsp:rsid wsp:val=&quot;205B0707&quot;/&gt;&lt;wsp:rsid wsp:val=&quot;205B24B5&quot;/&gt;&lt;wsp:rsid wsp:val=&quot;205B3F14&quot;/&gt;&lt;wsp:rsid wsp:val=&quot;205D447F&quot;/&gt;&lt;wsp:rsid wsp:val=&quot;205F0ADF&quot;/&gt;&lt;wsp:rsid wsp:val=&quot;20605E29&quot;/&gt;&lt;wsp:rsid wsp:val=&quot;20614072&quot;/&gt;&lt;wsp:rsid wsp:val=&quot;20621A95&quot;/&gt;&lt;wsp:rsid wsp:val=&quot;20623843&quot;/&gt;&lt;wsp:rsid wsp:val=&quot;206334A0&quot;/&gt;&lt;wsp:rsid wsp:val=&quot;2063580D&quot;/&gt;&lt;wsp:rsid wsp:val=&quot;20650234&quot;/&gt;&lt;wsp:rsid wsp:val=&quot;20670E5A&quot;/&gt;&lt;wsp:rsid wsp:val=&quot;20671BE0&quot;/&gt;&lt;wsp:rsid wsp:val=&quot;20686458&quot;/&gt;&lt;wsp:rsid wsp:val=&quot;20686980&quot;/&gt;&lt;wsp:rsid wsp:val=&quot;20692E24&quot;/&gt;&lt;wsp:rsid wsp:val=&quot;206B1AB6&quot;/&gt;&lt;wsp:rsid wsp:val=&quot;206B2BEF&quot;/&gt;&lt;wsp:rsid wsp:val=&quot;206C021E&quot;/&gt;&lt;wsp:rsid wsp:val=&quot;206C2914&quot;/&gt;&lt;wsp:rsid wsp:val=&quot;206C3758&quot;/&gt;&lt;wsp:rsid wsp:val=&quot;206D21E8&quot;/&gt;&lt;wsp:rsid wsp:val=&quot;206D3F96&quot;/&gt;&lt;wsp:rsid wsp:val=&quot;206F381A&quot;/&gt;&lt;wsp:rsid wsp:val=&quot;206F41B2&quot;/&gt;&lt;wsp:rsid wsp:val=&quot;206F5F60&quot;/&gt;&lt;wsp:rsid wsp:val=&quot;2072219B&quot;/&gt;&lt;wsp:rsid wsp:val=&quot;207277FE&quot;/&gt;&lt;wsp:rsid wsp:val=&quot;20743577&quot;/&gt;&lt;wsp:rsid wsp:val=&quot;20745325&quot;/&gt;&lt;wsp:rsid wsp:val=&quot;20752354&quot;/&gt;&lt;wsp:rsid wsp:val=&quot;207672EF&quot;/&gt;&lt;wsp:rsid wsp:val=&quot;2077343C&quot;/&gt;&lt;wsp:rsid wsp:val=&quot;20790B8D&quot;/&gt;&lt;wsp:rsid wsp:val=&quot;20796DDF&quot;/&gt;&lt;wsp:rsid wsp:val=&quot;207B1DBD&quot;/&gt;&lt;wsp:rsid wsp:val=&quot;207C324D&quot;/&gt;&lt;wsp:rsid wsp:val=&quot;207E61A3&quot;/&gt;&lt;wsp:rsid wsp:val=&quot;208337BA&quot;/&gt;&lt;wsp:rsid wsp:val=&quot;208539D6&quot;/&gt;&lt;wsp:rsid wsp:val=&quot;20854C75&quot;/&gt;&lt;wsp:rsid wsp:val=&quot;20857532&quot;/&gt;&lt;wsp:rsid wsp:val=&quot;208741C9&quot;/&gt;&lt;wsp:rsid wsp:val=&quot;20875058&quot;/&gt;&lt;wsp:rsid wsp:val=&quot;208D63E6&quot;/&gt;&lt;wsp:rsid wsp:val=&quot;208F215E&quot;/&gt;&lt;wsp:rsid wsp:val=&quot;208F6602&quot;/&gt;&lt;wsp:rsid wsp:val=&quot;209115D5&quot;/&gt;&lt;wsp:rsid wsp:val=&quot;209314D4&quot;/&gt;&lt;wsp:rsid wsp:val=&quot;20931C4F&quot;/&gt;&lt;wsp:rsid wsp:val=&quot;20942964&quot;/&gt;&lt;wsp:rsid wsp:val=&quot;20943C19&quot;/&gt;&lt;wsp:rsid wsp:val=&quot;20961DB0&quot;/&gt;&lt;wsp:rsid wsp:val=&quot;209634ED&quot;/&gt;&lt;wsp:rsid wsp:val=&quot;20963CB8&quot;/&gt;&lt;wsp:rsid wsp:val=&quot;20971013&quot;/&gt;&lt;wsp:rsid wsp:val=&quot;20977E55&quot;/&gt;&lt;wsp:rsid wsp:val=&quot;2099776D&quot;/&gt;&lt;wsp:rsid wsp:val=&quot;209B6D55&quot;/&gt;&lt;wsp:rsid wsp:val=&quot;209D2ACD&quot;/&gt;&lt;wsp:rsid wsp:val=&quot;209E23A2&quot;/&gt;&lt;wsp:rsid wsp:val=&quot;209E2EE2&quot;/&gt;&lt;wsp:rsid wsp:val=&quot;20A0611A&quot;/&gt;&lt;wsp:rsid wsp:val=&quot;20A42459&quot;/&gt;&lt;wsp:rsid wsp:val=&quot;20A459ED&quot;/&gt;&lt;wsp:rsid wsp:val=&quot;20A52598&quot;/&gt;&lt;wsp:rsid wsp:val=&quot;20A53730&quot;/&gt;&lt;wsp:rsid wsp:val=&quot;20A756FA&quot;/&gt;&lt;wsp:rsid wsp:val=&quot;20A81A1B&quot;/&gt;&lt;wsp:rsid wsp:val=&quot;20A839AB&quot;/&gt;&lt;wsp:rsid wsp:val=&quot;20A976C4&quot;/&gt;&lt;wsp:rsid wsp:val=&quot;20AA343C&quot;/&gt;&lt;wsp:rsid wsp:val=&quot;20AC2D10&quot;/&gt;&lt;wsp:rsid wsp:val=&quot;20AC4ABE&quot;/&gt;&lt;wsp:rsid wsp:val=&quot;20AE6A88&quot;/&gt;&lt;wsp:rsid wsp:val=&quot;20AF1471&quot;/&gt;&lt;wsp:rsid wsp:val=&quot;20B07FB6&quot;/&gt;&lt;wsp:rsid wsp:val=&quot;20B10327&quot;/&gt;&lt;wsp:rsid wsp:val=&quot;20B120D5&quot;/&gt;&lt;wsp:rsid wsp:val=&quot;20B147CB&quot;/&gt;&lt;wsp:rsid wsp:val=&quot;20B16579&quot;/&gt;&lt;wsp:rsid wsp:val=&quot;20B179F6&quot;/&gt;&lt;wsp:rsid wsp:val=&quot;20B3409F&quot;/&gt;&lt;wsp:rsid wsp:val=&quot;20B35E4D&quot;/&gt;&lt;wsp:rsid wsp:val=&quot;20B646FB&quot;/&gt;&lt;wsp:rsid wsp:val=&quot;20B6593D&quot;/&gt;&lt;wsp:rsid wsp:val=&quot;20B816B5&quot;/&gt;&lt;wsp:rsid wsp:val=&quot;20B83463&quot;/&gt;&lt;wsp:rsid wsp:val=&quot;20BB1758&quot;/&gt;&lt;wsp:rsid wsp:val=&quot;20BC06E0&quot;/&gt;&lt;wsp:rsid wsp:val=&quot;20BC72BC&quot;/&gt;&lt;wsp:rsid wsp:val=&quot;20BD316F&quot;/&gt;&lt;wsp:rsid wsp:val=&quot;20BE2A44&quot;/&gt;&lt;wsp:rsid wsp:val=&quot;20C0056A&quot;/&gt;&lt;wsp:rsid wsp:val=&quot;20C130C2&quot;/&gt;&lt;wsp:rsid wsp:val=&quot;20C27BBB&quot;/&gt;&lt;wsp:rsid wsp:val=&quot;20C55B80&quot;/&gt;&lt;wsp:rsid wsp:val=&quot;20C718F8&quot;/&gt;&lt;wsp:rsid wsp:val=&quot;20C77B4A&quot;/&gt;&lt;wsp:rsid wsp:val=&quot;20C80E1E&quot;/&gt;&lt;wsp:rsid wsp:val=&quot;20C91B14&quot;/&gt;&lt;wsp:rsid wsp:val=&quot;20C95670&quot;/&gt;&lt;wsp:rsid wsp:val=&quot;20CA7BDE&quot;/&gt;&lt;wsp:rsid wsp:val=&quot;20CC33B3&quot;/&gt;&lt;wsp:rsid wsp:val=&quot;20CC6F0F&quot;/&gt;&lt;wsp:rsid wsp:val=&quot;20CD5881&quot;/&gt;&lt;wsp:rsid wsp:val=&quot;20CE0ED9&quot;/&gt;&lt;wsp:rsid wsp:val=&quot;20D02EA3&quot;/&gt;&lt;wsp:rsid wsp:val=&quot;20D063EC&quot;/&gt;&lt;wsp:rsid wsp:val=&quot;20D12BB7&quot;/&gt;&lt;wsp:rsid wsp:val=&quot;20D2063F&quot;/&gt;&lt;wsp:rsid wsp:val=&quot;20D22906&quot;/&gt;&lt;wsp:rsid wsp:val=&quot;20D34741&quot;/&gt;&lt;wsp:rsid wsp:val=&quot;20D52267&quot;/&gt;&lt;wsp:rsid wsp:val=&quot;20D65FDF&quot;/&gt;&lt;wsp:rsid wsp:val=&quot;20D67D8D&quot;/&gt;&lt;wsp:rsid wsp:val=&quot;20D83B05&quot;/&gt;&lt;wsp:rsid wsp:val=&quot;20D860E5&quot;/&gt;&lt;wsp:rsid wsp:val=&quot;20D9162C&quot;/&gt;&lt;wsp:rsid wsp:val=&quot;20DB35F6&quot;/&gt;&lt;wsp:rsid wsp:val=&quot;20DD2C3A&quot;/&gt;&lt;wsp:rsid wsp:val=&quot;20DE6AF4&quot;/&gt;&lt;wsp:rsid wsp:val=&quot;20DE6C42&quot;/&gt;&lt;wsp:rsid wsp:val=&quot;20DE7A50&quot;/&gt;&lt;wsp:rsid wsp:val=&quot;20DF30E6&quot;/&gt;&lt;wsp:rsid wsp:val=&quot;20E029BA&quot;/&gt;&lt;wsp:rsid wsp:val=&quot;20E24FCC&quot;/&gt;&lt;wsp:rsid wsp:val=&quot;20E406FC&quot;/&gt;&lt;wsp:rsid wsp:val=&quot;20E409E8&quot;/&gt;&lt;wsp:rsid wsp:val=&quot;20E57FD0&quot;/&gt;&lt;wsp:rsid wsp:val=&quot;20E701EC&quot;/&gt;&lt;wsp:rsid wsp:val=&quot;20E922CE&quot;/&gt;&lt;wsp:rsid wsp:val=&quot;20E92DBD&quot;/&gt;&lt;wsp:rsid wsp:val=&quot;20E96173&quot;/&gt;&lt;wsp:rsid wsp:val=&quot;20EA0BE3&quot;/&gt;&lt;wsp:rsid wsp:val=&quot;20EA55E7&quot;/&gt;&lt;wsp:rsid wsp:val=&quot;20EC0C4F&quot;/&gt;&lt;wsp:rsid wsp:val=&quot;20ED7D96&quot;/&gt;&lt;wsp:rsid wsp:val=&quot;20EE3E02&quot;/&gt;&lt;wsp:rsid wsp:val=&quot;20EF2BFD&quot;/&gt;&lt;wsp:rsid wsp:val=&quot;20F052F3&quot;/&gt;&lt;wsp:rsid wsp:val=&quot;20F16975&quot;/&gt;&lt;wsp:rsid wsp:val=&quot;20F3093F&quot;/&gt;&lt;wsp:rsid wsp:val=&quot;20F44810&quot;/&gt;&lt;wsp:rsid wsp:val=&quot;20F50871&quot;/&gt;&lt;wsp:rsid wsp:val=&quot;20F52909&quot;/&gt;&lt;wsp:rsid wsp:val=&quot;20F546B7&quot;/&gt;&lt;wsp:rsid wsp:val=&quot;20F87D04&quot;/&gt;&lt;wsp:rsid wsp:val=&quot;20FA0E09&quot;/&gt;&lt;wsp:rsid wsp:val=&quot;20FA3A7C&quot;/&gt;&lt;wsp:rsid wsp:val=&quot;20FD1BD4&quot;/&gt;&lt;wsp:rsid wsp:val=&quot;20FD531A&quot;/&gt;&lt;wsp:rsid wsp:val=&quot;20FF5536&quot;/&gt;&lt;wsp:rsid wsp:val=&quot;21004E0A&quot;/&gt;&lt;wsp:rsid wsp:val=&quot;210112AE&quot;/&gt;&lt;wsp:rsid wsp:val=&quot;210251C1&quot;/&gt;&lt;wsp:rsid wsp:val=&quot;21025544&quot;/&gt;&lt;wsp:rsid wsp:val=&quot;21042B4C&quot;/&gt;&lt;wsp:rsid wsp:val=&quot;210A7A37&quot;/&gt;&lt;wsp:rsid wsp:val=&quot;210C1A01&quot;/&gt;&lt;wsp:rsid wsp:val=&quot;210C37AF&quot;/&gt;&lt;wsp:rsid wsp:val=&quot;210C7C53&quot;/&gt;&lt;wsp:rsid wsp:val=&quot;210E39CB&quot;/&gt;&lt;wsp:rsid wsp:val=&quot;210E7527&quot;/&gt;&lt;wsp:rsid wsp:val=&quot;210F504D&quot;/&gt;&lt;wsp:rsid wsp:val=&quot;21111EDC&quot;/&gt;&lt;wsp:rsid wsp:val=&quot;21115269&quot;/&gt;&lt;wsp:rsid wsp:val=&quot;21117017&quot;/&gt;&lt;wsp:rsid wsp:val=&quot;21156E19&quot;/&gt;&lt;wsp:rsid wsp:val=&quot;2116462E&quot;/&gt;&lt;wsp:rsid wsp:val=&quot;21166F0F&quot;/&gt;&lt;wsp:rsid wsp:val=&quot;2117610B&quot;/&gt;&lt;wsp:rsid wsp:val=&quot;211865F8&quot;/&gt;&lt;wsp:rsid wsp:val=&quot;211A2370&quot;/&gt;&lt;wsp:rsid wsp:val=&quot;211A411E&quot;/&gt;&lt;wsp:rsid wsp:val=&quot;211B1C44&quot;/&gt;&lt;wsp:rsid wsp:val=&quot;211D59BC&quot;/&gt;&lt;wsp:rsid wsp:val=&quot;211E3538&quot;/&gt;&lt;wsp:rsid wsp:val=&quot;211F09E2&quot;/&gt;&lt;wsp:rsid wsp:val=&quot;211F1734&quot;/&gt;&lt;wsp:rsid wsp:val=&quot;21201F53&quot;/&gt;&lt;wsp:rsid wsp:val=&quot;212154AC&quot;/&gt;&lt;wsp:rsid wsp:val=&quot;2122245F&quot;/&gt;&lt;wsp:rsid wsp:val=&quot;21246D4B&quot;/&gt;&lt;wsp:rsid wsp:val=&quot;2127304A&quot;/&gt;&lt;wsp:rsid wsp:val=&quot;2127683B&quot;/&gt;&lt;wsp:rsid wsp:val=&quot;2129610F&quot;/&gt;&lt;wsp:rsid wsp:val=&quot;212B632B&quot;/&gt;&lt;wsp:rsid wsp:val=&quot;212D20A3&quot;/&gt;&lt;wsp:rsid wsp:val=&quot;212D2986&quot;/&gt;&lt;wsp:rsid wsp:val=&quot;212D49A1&quot;/&gt;&lt;wsp:rsid wsp:val=&quot;21332FC8&quot;/&gt;&lt;wsp:rsid wsp:val=&quot;213333E4&quot;/&gt;&lt;wsp:rsid wsp:val=&quot;21333432&quot;/&gt;&lt;wsp:rsid wsp:val=&quot;21345B69&quot;/&gt;&lt;wsp:rsid wsp:val=&quot;213571AA&quot;/&gt;&lt;wsp:rsid wsp:val=&quot;21374CD0&quot;/&gt;&lt;wsp:rsid wsp:val=&quot;213827F6&quot;/&gt;&lt;wsp:rsid wsp:val=&quot;21395B15&quot;/&gt;&lt;wsp:rsid wsp:val=&quot;213A06E6&quot;/&gt;&lt;wsp:rsid wsp:val=&quot;213A3073&quot;/&gt;&lt;wsp:rsid wsp:val=&quot;213B74B1&quot;/&gt;&lt;wsp:rsid wsp:val=&quot;213D4AD5&quot;/&gt;&lt;wsp:rsid wsp:val=&quot;213D64F3&quot;/&gt;&lt;wsp:rsid wsp:val=&quot;213D7067&quot;/&gt;&lt;wsp:rsid wsp:val=&quot;213D7E0C&quot;/&gt;&lt;wsp:rsid wsp:val=&quot;21420783&quot;/&gt;&lt;wsp:rsid wsp:val=&quot;21423675&quot;/&gt;&lt;wsp:rsid wsp:val=&quot;21442F49&quot;/&gt;&lt;wsp:rsid wsp:val=&quot;21444369&quot;/&gt;&lt;wsp:rsid wsp:val=&quot;21453DE1&quot;/&gt;&lt;wsp:rsid wsp:val=&quot;214557F9&quot;/&gt;&lt;wsp:rsid wsp:val=&quot;21455F28&quot;/&gt;&lt;wsp:rsid wsp:val=&quot;21455FC2&quot;/&gt;&lt;wsp:rsid wsp:val=&quot;21470C8B&quot;/&gt;&lt;wsp:rsid wsp:val=&quot;21486EDD&quot;/&gt;&lt;wsp:rsid wsp:val=&quot;214923C2&quot;/&gt;&lt;wsp:rsid wsp:val=&quot;21494A03&quot;/&gt;&lt;wsp:rsid wsp:val=&quot;214B09CE&quot;/&gt;&lt;wsp:rsid wsp:val=&quot;214B2529&quot;/&gt;&lt;wsp:rsid wsp:val=&quot;214B42D7&quot;/&gt;&lt;wsp:rsid wsp:val=&quot;214D4BFC&quot;/&gt;&lt;wsp:rsid wsp:val=&quot;214E201A&quot;/&gt;&lt;wsp:rsid wsp:val=&quot;214E3DC8&quot;/&gt;&lt;wsp:rsid wsp:val=&quot;214E5B76&quot;/&gt;&lt;wsp:rsid wsp:val=&quot;214F1F02&quot;/&gt;&lt;wsp:rsid wsp:val=&quot;215313DE&quot;/&gt;&lt;wsp:rsid wsp:val=&quot;21535882&quot;/&gt;&lt;wsp:rsid wsp:val=&quot;21570ECE&quot;/&gt;&lt;wsp:rsid wsp:val=&quot;215727DE&quot;/&gt;&lt;wsp:rsid wsp:val=&quot;215804A8&quot;/&gt;&lt;wsp:rsid wsp:val=&quot;21596DDD&quot;/&gt;&lt;wsp:rsid wsp:val=&quot;215A2310&quot;/&gt;&lt;wsp:rsid wsp:val=&quot;215A451A&quot;/&gt;&lt;wsp:rsid wsp:val=&quot;215C64E4&quot;/&gt;&lt;wsp:rsid wsp:val=&quot;215D04AF&quot;/&gt;&lt;wsp:rsid wsp:val=&quot;215F7D83&quot;/&gt;&lt;wsp:rsid wsp:val=&quot;21611D4D&quot;/&gt;&lt;wsp:rsid wsp:val=&quot;21616461&quot;/&gt;&lt;wsp:rsid wsp:val=&quot;21627873&quot;/&gt;&lt;wsp:rsid wsp:val=&quot;216361B0&quot;/&gt;&lt;wsp:rsid wsp:val=&quot;2164183D&quot;/&gt;&lt;wsp:rsid wsp:val=&quot;21661111&quot;/&gt;&lt;wsp:rsid wsp:val=&quot;216830DB&quot;/&gt;&lt;wsp:rsid wsp:val=&quot;21690C01&quot;/&gt;&lt;wsp:rsid wsp:val=&quot;21692022&quot;/&gt;&lt;wsp:rsid wsp:val=&quot;21693A14&quot;/&gt;&lt;wsp:rsid wsp:val=&quot;216A5E6B&quot;/&gt;&lt;wsp:rsid wsp:val=&quot;216B7513&quot;/&gt;&lt;wsp:rsid wsp:val=&quot;216C24A0&quot;/&gt;&lt;wsp:rsid wsp:val=&quot;216D06F2&quot;/&gt;&lt;wsp:rsid wsp:val=&quot;216E32C3&quot;/&gt;&lt;wsp:rsid wsp:val=&quot;216E7FC6&quot;/&gt;&lt;wsp:rsid wsp:val=&quot;21701F90&quot;/&gt;&lt;wsp:rsid wsp:val=&quot;21717AB6&quot;/&gt;&lt;wsp:rsid wsp:val=&quot;21724024&quot;/&gt;&lt;wsp:rsid wsp:val=&quot;217355DC&quot;/&gt;&lt;wsp:rsid wsp:val=&quot;21751354&quot;/&gt;&lt;wsp:rsid wsp:val=&quot;21753196&quot;/&gt;&lt;wsp:rsid wsp:val=&quot;217575A6&quot;/&gt;&lt;wsp:rsid wsp:val=&quot;21763195&quot;/&gt;&lt;wsp:rsid wsp:val=&quot;21771570&quot;/&gt;&lt;wsp:rsid wsp:val=&quot;2177331E&quot;/&gt;&lt;wsp:rsid wsp:val=&quot;217750CC&quot;/&gt;&lt;wsp:rsid wsp:val=&quot;21787C6A&quot;/&gt;&lt;wsp:rsid wsp:val=&quot;217A696B&quot;/&gt;&lt;wsp:rsid wsp:val=&quot;217D46AD&quot;/&gt;&lt;wsp:rsid wsp:val=&quot;21817CF9&quot;/&gt;&lt;wsp:rsid wsp:val=&quot;21821CC3&quot;/&gt;&lt;wsp:rsid wsp:val=&quot;21845A3B&quot;/&gt;&lt;wsp:rsid wsp:val=&quot;21857B95&quot;/&gt;&lt;wsp:rsid wsp:val=&quot;218617B3&quot;/&gt;&lt;wsp:rsid wsp:val=&quot;21863561&quot;/&gt;&lt;wsp:rsid wsp:val=&quot;2186530F&quot;/&gt;&lt;wsp:rsid wsp:val=&quot;218872DA&quot;/&gt;&lt;wsp:rsid wsp:val=&quot;21894E00&quot;/&gt;&lt;wsp:rsid wsp:val=&quot;218A3F2C&quot;/&gt;&lt;wsp:rsid wsp:val=&quot;218B6AFD&quot;/&gt;&lt;wsp:rsid wsp:val=&quot;218D48F0&quot;/&gt;&lt;wsp:rsid wsp:val=&quot;219043E0&quot;/&gt;&lt;wsp:rsid wsp:val=&quot;21921F06&quot;/&gt;&lt;wsp:rsid wsp:val=&quot;219263AA&quot;/&gt;&lt;wsp:rsid wsp:val=&quot;21935491&quot;/&gt;&lt;wsp:rsid wsp:val=&quot;21935C7E&quot;/&gt;&lt;wsp:rsid wsp:val=&quot;219537A4&quot;/&gt;&lt;wsp:rsid wsp:val=&quot;21983295&quot;/&gt;&lt;wsp:rsid wsp:val=&quot;219915B7&quot;/&gt;&lt;wsp:rsid wsp:val=&quot;219A3017&quot;/&gt;&lt;wsp:rsid wsp:val=&quot;219D4A4B&quot;/&gt;&lt;wsp:rsid wsp:val=&quot;219E4D4F&quot;/&gt;&lt;wsp:rsid wsp:val=&quot;219F4623&quot;/&gt;&lt;wsp:rsid wsp:val=&quot;219F4CC2&quot;/&gt;&lt;wsp:rsid wsp:val=&quot;21A10D23&quot;/&gt;&lt;wsp:rsid wsp:val=&quot;21A34A70&quot;/&gt;&lt;wsp:rsid wsp:val=&quot;21A460DD&quot;/&gt;&lt;wsp:rsid wsp:val=&quot;21A711FA&quot;/&gt;&lt;wsp:rsid wsp:val=&quot;21A841CC&quot;/&gt;&lt;wsp:rsid wsp:val=&quot;21A8797C&quot;/&gt;&lt;wsp:rsid wsp:val=&quot;21A97250&quot;/&gt;&lt;wsp:rsid wsp:val=&quot;21AA3516&quot;/&gt;&lt;wsp:rsid wsp:val=&quot;21AB2FC8&quot;/&gt;&lt;wsp:rsid wsp:val=&quot;21AC1A98&quot;/&gt;&lt;wsp:rsid wsp:val=&quot;21AD4F92&quot;/&gt;&lt;wsp:rsid wsp:val=&quot;21AE4866&quot;/&gt;&lt;wsp:rsid wsp:val=&quot;21B24356&quot;/&gt;&lt;wsp:rsid wsp:val=&quot;21B46321&quot;/&gt;&lt;wsp:rsid wsp:val=&quot;21B52099&quot;/&gt;&lt;wsp:rsid wsp:val=&quot;21B7196D&quot;/&gt;&lt;wsp:rsid wsp:val=&quot;21B87493&quot;/&gt;&lt;wsp:rsid wsp:val=&quot;21B96280&quot;/&gt;&lt;wsp:rsid wsp:val=&quot;21BA145D&quot;/&gt;&lt;wsp:rsid wsp:val=&quot;21BA320B&quot;/&gt;&lt;wsp:rsid wsp:val=&quot;21BE0F4D&quot;/&gt;&lt;wsp:rsid wsp:val=&quot;21BE2CFB&quot;/&gt;&lt;wsp:rsid wsp:val=&quot;21BF6A73&quot;/&gt;&lt;wsp:rsid wsp:val=&quot;21C422DC&quot;/&gt;&lt;wsp:rsid wsp:val=&quot;21C4408A&quot;/&gt;&lt;wsp:rsid wsp:val=&quot;21C81DCC&quot;/&gt;&lt;wsp:rsid wsp:val=&quot;21C83ECE&quot;/&gt;&lt;wsp:rsid wsp:val=&quot;21C916A0&quot;/&gt;&lt;wsp:rsid wsp:val=&quot;21CA5B44&quot;/&gt;&lt;wsp:rsid wsp:val=&quot;21CB71C6&quot;/&gt;&lt;wsp:rsid wsp:val=&quot;21CC24F4&quot;/&gt;&lt;wsp:rsid wsp:val=&quot;21CE7D40&quot;/&gt;&lt;wsp:rsid wsp:val=&quot;21CF4F08&quot;/&gt;&lt;wsp:rsid wsp:val=&quot;21D4251F&quot;/&gt;&lt;wsp:rsid wsp:val=&quot;21D56297&quot;/&gt;&lt;wsp:rsid wsp:val=&quot;21D70261&quot;/&gt;&lt;wsp:rsid wsp:val=&quot;21D839C3&quot;/&gt;&lt;wsp:rsid wsp:val=&quot;21D86395&quot;/&gt;&lt;wsp:rsid wsp:val=&quot;21D86594&quot;/&gt;&lt;wsp:rsid wsp:val=&quot;21D92534&quot;/&gt;&lt;wsp:rsid wsp:val=&quot;21DA565B&quot;/&gt;&lt;wsp:rsid wsp:val=&quot;21DC13D3&quot;/&gt;&lt;wsp:rsid wsp:val=&quot;21DC1B04&quot;/&gt;&lt;wsp:rsid wsp:val=&quot;21DE318A&quot;/&gt;&lt;wsp:rsid wsp:val=&quot;21DF0EC4&quot;/&gt;&lt;wsp:rsid wsp:val=&quot;21DF2C72&quot;/&gt;&lt;wsp:rsid wsp:val=&quot;21E07116&quot;/&gt;&lt;wsp:rsid wsp:val=&quot;21E14C3C&quot;/&gt;&lt;wsp:rsid wsp:val=&quot;21E169EA&quot;/&gt;&lt;wsp:rsid wsp:val=&quot;21E26FB5&quot;/&gt;&lt;wsp:rsid wsp:val=&quot;21E32762&quot;/&gt;&lt;wsp:rsid wsp:val=&quot;21E909DA&quot;/&gt;&lt;wsp:rsid wsp:val=&quot;21EB5ABA&quot;/&gt;&lt;wsp:rsid wsp:val=&quot;21EB7868&quot;/&gt;&lt;wsp:rsid wsp:val=&quot;21EF55AB&quot;/&gt;&lt;wsp:rsid wsp:val=&quot;21EF5B80&quot;/&gt;&lt;wsp:rsid wsp:val=&quot;21F259FA&quot;/&gt;&lt;wsp:rsid wsp:val=&quot;21F4496F&quot;/&gt;&lt;wsp:rsid wsp:val=&quot;21F66939&quot;/&gt;&lt;wsp:rsid wsp:val=&quot;21F726B1&quot;/&gt;&lt;wsp:rsid wsp:val=&quot;21F7445F&quot;/&gt;&lt;wsp:rsid wsp:val=&quot;21F7620D&quot;/&gt;&lt;wsp:rsid wsp:val=&quot;21F93D33&quot;/&gt;&lt;wsp:rsid wsp:val=&quot;21FA7AAB&quot;/&gt;&lt;wsp:rsid wsp:val=&quot;21FE134A&quot;/&gt;&lt;wsp:rsid wsp:val=&quot;21FE1DF5&quot;/&gt;&lt;wsp:rsid wsp:val=&quot;21FE56DE&quot;/&gt;&lt;wsp:rsid wsp:val=&quot;21FE759C&quot;/&gt;&lt;wsp:rsid wsp:val=&quot;21FF6B6E&quot;/&gt;&lt;wsp:rsid wsp:val=&quot;22002BCF&quot;/&gt;&lt;wsp:rsid wsp:val=&quot;220152DE&quot;/&gt;&lt;wsp:rsid wsp:val=&quot;220426D8&quot;/&gt;&lt;wsp:rsid wsp:val=&quot;22056B7C&quot;/&gt;&lt;wsp:rsid wsp:val=&quot;220628F4&quot;/&gt;&lt;wsp:rsid wsp:val=&quot;220646A2&quot;/&gt;&lt;wsp:rsid wsp:val=&quot;22066450&quot;/&gt;&lt;wsp:rsid wsp:val=&quot;22097CEF&quot;/&gt;&lt;wsp:rsid wsp:val=&quot;220A4192&quot;/&gt;&lt;wsp:rsid wsp:val=&quot;220A731F&quot;/&gt;&lt;wsp:rsid wsp:val=&quot;220D5A31&quot;/&gt;&lt;wsp:rsid wsp:val=&quot;220D77DF&quot;/&gt;&lt;wsp:rsid wsp:val=&quot;220F17A9&quot;/&gt;&lt;wsp:rsid wsp:val=&quot;2210107D&quot;/&gt;&lt;wsp:rsid wsp:val=&quot;22123047&quot;/&gt;&lt;wsp:rsid wsp:val=&quot;22124DF5&quot;/&gt;&lt;wsp:rsid wsp:val=&quot;22153965&quot;/&gt;&lt;wsp:rsid wsp:val=&quot;221548E5&quot;/&gt;&lt;wsp:rsid wsp:val=&quot;22160D89&quot;/&gt;&lt;wsp:rsid wsp:val=&quot;2217065D&quot;/&gt;&lt;wsp:rsid wsp:val=&quot;2217240B&quot;/&gt;&lt;wsp:rsid wsp:val=&quot;221943D6&quot;/&gt;&lt;wsp:rsid wsp:val=&quot;22196AD9&quot;/&gt;&lt;wsp:rsid wsp:val=&quot;221A18C9&quot;/&gt;&lt;wsp:rsid wsp:val=&quot;221A365E&quot;/&gt;&lt;wsp:rsid wsp:val=&quot;221A55CD&quot;/&gt;&lt;wsp:rsid wsp:val=&quot;2221328A&quot;/&gt;&lt;wsp:rsid wsp:val=&quot;22214839&quot;/&gt;&lt;wsp:rsid wsp:val=&quot;2221772E&quot;/&gt;&lt;wsp:rsid wsp:val=&quot;22235B21&quot;/&gt;&lt;wsp:rsid wsp:val=&quot;22266AF2&quot;/&gt;&lt;wsp:rsid wsp:val=&quot;22277E86&quot;/&gt;&lt;wsp:rsid wsp:val=&quot;222A0391&quot;/&gt;&lt;wsp:rsid wsp:val=&quot;222A213F&quot;/&gt;&lt;wsp:rsid wsp:val=&quot;222A65E3&quot;/&gt;&lt;wsp:rsid wsp:val=&quot;222B5EB7&quot;/&gt;&lt;wsp:rsid wsp:val=&quot;222D1C2F&quot;/&gt;&lt;wsp:rsid wsp:val=&quot;223034CD&quot;/&gt;&lt;wsp:rsid wsp:val=&quot;223125F1&quot;/&gt;&lt;wsp:rsid wsp:val=&quot;22321C56&quot;/&gt;&lt;wsp:rsid wsp:val=&quot;22322E8D&quot;/&gt;&lt;wsp:rsid wsp:val=&quot;223236E9&quot;/&gt;&lt;wsp:rsid wsp:val=&quot;22340C98&quot;/&gt;&lt;wsp:rsid wsp:val=&quot;22356D36&quot;/&gt;&lt;wsp:rsid wsp:val=&quot;22394A78&quot;/&gt;&lt;wsp:rsid wsp:val=&quot;223A1B0E&quot;/&gt;&lt;wsp:rsid wsp:val=&quot;223B07F0&quot;/&gt;&lt;wsp:rsid wsp:val=&quot;223B259E&quot;/&gt;&lt;wsp:rsid wsp:val=&quot;223B7F62&quot;/&gt;&lt;wsp:rsid wsp:val=&quot;223C00C4&quot;/&gt;&lt;wsp:rsid wsp:val=&quot;223C0251&quot;/&gt;&lt;wsp:rsid wsp:val=&quot;223F181A&quot;/&gt;&lt;wsp:rsid wsp:val=&quot;22405E06&quot;/&gt;&lt;wsp:rsid wsp:val=&quot;2241392C&quot;/&gt;&lt;wsp:rsid wsp:val=&quot;22425184&quot;/&gt;&lt;wsp:rsid wsp:val=&quot;224312FC&quot;/&gt;&lt;wsp:rsid wsp:val=&quot;22431452&quot;/&gt;&lt;wsp:rsid wsp:val=&quot;22442C3C&quot;/&gt;&lt;wsp:rsid wsp:val=&quot;2245341D&quot;/&gt;&lt;wsp:rsid wsp:val=&quot;22460F43&quot;/&gt;&lt;wsp:rsid wsp:val=&quot;22484CBB&quot;/&gt;&lt;wsp:rsid wsp:val=&quot;224C4614&quot;/&gt;&lt;wsp:rsid wsp:val=&quot;224C6559&quot;/&gt;&lt;wsp:rsid wsp:val=&quot;224C7D46&quot;/&gt;&lt;wsp:rsid wsp:val=&quot;224D0523&quot;/&gt;&lt;wsp:rsid wsp:val=&quot;2250591D&quot;/&gt;&lt;wsp:rsid wsp:val=&quot;22525B39&quot;/&gt;&lt;wsp:rsid wsp:val=&quot;22543660&quot;/&gt;&lt;wsp:rsid wsp:val=&quot;22561186&quot;/&gt;&lt;wsp:rsid wsp:val=&quot;225673D8&quot;/&gt;&lt;wsp:rsid wsp:val=&quot;22573150&quot;/&gt;&lt;wsp:rsid wsp:val=&quot;22576990&quot;/&gt;&lt;wsp:rsid wsp:val=&quot;22590C76&quot;/&gt;&lt;wsp:rsid wsp:val=&quot;22596EC8&quot;/&gt;&lt;wsp:rsid wsp:val=&quot;225B49EE&quot;/&gt;&lt;wsp:rsid wsp:val=&quot;225C2514&quot;/&gt;&lt;wsp:rsid wsp:val=&quot;225C3529&quot;/&gt;&lt;wsp:rsid wsp:val=&quot;225D0766&quot;/&gt;&lt;wsp:rsid wsp:val=&quot;225E003A&quot;/&gt;&lt;wsp:rsid wsp:val=&quot;225E628C&quot;/&gt;&lt;wsp:rsid wsp:val=&quot;22607368&quot;/&gt;&lt;wsp:rsid wsp:val=&quot;22623FCE&quot;/&gt;&lt;wsp:rsid wsp:val=&quot;226513C9&quot;/&gt;&lt;wsp:rsid wsp:val=&quot;22665141&quot;/&gt;&lt;wsp:rsid wsp:val=&quot;22665859&quot;/&gt;&lt;wsp:rsid wsp:val=&quot;22680EB9&quot;/&gt;&lt;wsp:rsid wsp:val=&quot;2268710B&quot;/&gt;&lt;wsp:rsid wsp:val=&quot;226B24CD&quot;/&gt;&lt;wsp:rsid wsp:val=&quot;226B2757&quot;/&gt;&lt;wsp:rsid wsp:val=&quot;226B475F&quot;/&gt;&lt;wsp:rsid wsp:val=&quot;226C68FD&quot;/&gt;&lt;wsp:rsid wsp:val=&quot;226D1E92&quot;/&gt;&lt;wsp:rsid wsp:val=&quot;226D4721&quot;/&gt;&lt;wsp:rsid wsp:val=&quot;226E2973&quot;/&gt;&lt;wsp:rsid wsp:val=&quot;226E3EE9&quot;/&gt;&lt;wsp:rsid wsp:val=&quot;226F30E0&quot;/&gt;&lt;wsp:rsid wsp:val=&quot;226F7C8D&quot;/&gt;&lt;wsp:rsid wsp:val=&quot;227105D1&quot;/&gt;&lt;wsp:rsid wsp:val=&quot;22717D6E&quot;/&gt;&lt;wsp:rsid wsp:val=&quot;227317B0&quot;/&gt;&lt;wsp:rsid wsp:val=&quot;22737F8A&quot;/&gt;&lt;wsp:rsid wsp:val=&quot;22794E74&quot;/&gt;&lt;wsp:rsid wsp:val=&quot;227B5090&quot;/&gt;&lt;wsp:rsid wsp:val=&quot;227B7D85&quot;/&gt;&lt;wsp:rsid wsp:val=&quot;227C332F&quot;/&gt;&lt;wsp:rsid wsp:val=&quot;227C4964&quot;/&gt;&lt;wsp:rsid wsp:val=&quot;227E692E&quot;/&gt;&lt;wsp:rsid wsp:val=&quot;22811F32&quot;/&gt;&lt;wsp:rsid wsp:val=&quot;22813D29&quot;/&gt;&lt;wsp:rsid wsp:val=&quot;22827E15&quot;/&gt;&lt;wsp:rsid wsp:val=&quot;22834CFD&quot;/&gt;&lt;wsp:rsid wsp:val=&quot;2285011F&quot;/&gt;&lt;wsp:rsid wsp:val=&quot;228526B8&quot;/&gt;&lt;wsp:rsid wsp:val=&quot;22857CBD&quot;/&gt;&lt;wsp:rsid wsp:val=&quot;22866796&quot;/&gt;&lt;wsp:rsid wsp:val=&quot;22877591&quot;/&gt;&lt;wsp:rsid wsp:val=&quot;228A1178&quot;/&gt;&lt;wsp:rsid wsp:val=&quot;228C104B&quot;/&gt;&lt;wsp:rsid wsp:val=&quot;228E38D5&quot;/&gt;&lt;wsp:rsid wsp:val=&quot;228F28EA&quot;/&gt;&lt;wsp:rsid wsp:val=&quot;22934188&quot;/&gt;&lt;wsp:rsid wsp:val=&quot;22963C78&quot;/&gt;&lt;wsp:rsid wsp:val=&quot;22965A26&quot;/&gt;&lt;wsp:rsid wsp:val=&quot;2296695B&quot;/&gt;&lt;wsp:rsid wsp:val=&quot;22993768&quot;/&gt;&lt;wsp:rsid wsp:val=&quot;22993C71&quot;/&gt;&lt;wsp:rsid wsp:val=&quot;229B128E&quot;/&gt;&lt;wsp:rsid wsp:val=&quot;229D4A1D&quot;/&gt;&lt;wsp:rsid wsp:val=&quot;229E200E&quot;/&gt;&lt;wsp:rsid wsp:val=&quot;229E2B2D&quot;/&gt;&lt;wsp:rsid wsp:val=&quot;229E75D3&quot;/&gt;&lt;wsp:rsid wsp:val=&quot;22A00653&quot;/&gt;&lt;wsp:rsid wsp:val=&quot;22A06A15&quot;/&gt;&lt;wsp:rsid wsp:val=&quot;22A20FA7&quot;/&gt;&lt;wsp:rsid wsp:val=&quot;22AA3280&quot;/&gt;&lt;wsp:rsid wsp:val=&quot;22AA7723&quot;/&gt;&lt;wsp:rsid wsp:val=&quot;22AD2D70&quot;/&gt;&lt;wsp:rsid wsp:val=&quot;22AE59A2&quot;/&gt;&lt;wsp:rsid wsp:val=&quot;22B1460E&quot;/&gt;&lt;wsp:rsid wsp:val=&quot;22B362C9&quot;/&gt;&lt;wsp:rsid wsp:val=&quot;22B660C8&quot;/&gt;&lt;wsp:rsid wsp:val=&quot;22B8599C&quot;/&gt;&lt;wsp:rsid wsp:val=&quot;22B91715&quot;/&gt;&lt;wsp:rsid wsp:val=&quot;22B934C3&quot;/&gt;&lt;wsp:rsid wsp:val=&quot;22BA5BB9&quot;/&gt;&lt;wsp:rsid wsp:val=&quot;22BD1205&quot;/&gt;&lt;wsp:rsid wsp:val=&quot;22BD28C6&quot;/&gt;&lt;wsp:rsid wsp:val=&quot;22BE6D2B&quot;/&gt;&lt;wsp:rsid wsp:val=&quot;22BF02C5&quot;/&gt;&lt;wsp:rsid wsp:val=&quot;22BF52C9&quot;/&gt;&lt;wsp:rsid wsp:val=&quot;22C3455E&quot;/&gt;&lt;wsp:rsid wsp:val=&quot;22C36737&quot;/&gt;&lt;wsp:rsid wsp:val=&quot;22C407E5&quot;/&gt;&lt;wsp:rsid wsp:val=&quot;22C500B9&quot;/&gt;&lt;wsp:rsid wsp:val=&quot;22C52798&quot;/&gt;&lt;wsp:rsid wsp:val=&quot;22C541CF&quot;/&gt;&lt;wsp:rsid wsp:val=&quot;22C5630B&quot;/&gt;&lt;wsp:rsid wsp:val=&quot;22C73E32&quot;/&gt;&lt;wsp:rsid wsp:val=&quot;22C77C89&quot;/&gt;&lt;wsp:rsid wsp:val=&quot;22C81958&quot;/&gt;&lt;wsp:rsid wsp:val=&quot;22CA4D90&quot;/&gt;&lt;wsp:rsid wsp:val=&quot;22CA56D0&quot;/&gt;&lt;wsp:rsid wsp:val=&quot;22CB2372&quot;/&gt;&lt;wsp:rsid wsp:val=&quot;22CE51C0&quot;/&gt;&lt;wsp:rsid wsp:val=&quot;22CF1618&quot;/&gt;&lt;wsp:rsid wsp:val=&quot;22CF718A&quot;/&gt;&lt;wsp:rsid wsp:val=&quot;22D24584&quot;/&gt;&lt;wsp:rsid wsp:val=&quot;22D327D6&quot;/&gt;&lt;wsp:rsid wsp:val=&quot;22D36C7A&quot;/&gt;&lt;wsp:rsid wsp:val=&quot;22D402FC&quot;/&gt;&lt;wsp:rsid wsp:val=&quot;22D801D2&quot;/&gt;&lt;wsp:rsid wsp:val=&quot;22D84291&quot;/&gt;&lt;wsp:rsid wsp:val=&quot;22D8603F&quot;/&gt;&lt;wsp:rsid wsp:val=&quot;22D95913&quot;/&gt;&lt;wsp:rsid wsp:val=&quot;22DB5B2F&quot;/&gt;&lt;wsp:rsid wsp:val=&quot;22DB78DD&quot;/&gt;&lt;wsp:rsid wsp:val=&quot;22DB7A75&quot;/&gt;&lt;wsp:rsid wsp:val=&quot;22DD3655&quot;/&gt;&lt;wsp:rsid wsp:val=&quot;22DD5403&quot;/&gt;&lt;wsp:rsid wsp:val=&quot;22DE07AD&quot;/&gt;&lt;wsp:rsid wsp:val=&quot;22E5075C&quot;/&gt;&lt;wsp:rsid wsp:val=&quot;22E542B8&quot;/&gt;&lt;wsp:rsid wsp:val=&quot;22E7490B&quot;/&gt;&lt;wsp:rsid wsp:val=&quot;22E91B93&quot;/&gt;&lt;wsp:rsid wsp:val=&quot;22E91FFA&quot;/&gt;&lt;wsp:rsid wsp:val=&quot;22E946E5&quot;/&gt;&lt;wsp:rsid wsp:val=&quot;22EB44B3&quot;/&gt;&lt;wsp:rsid wsp:val=&quot;22EC3898&quot;/&gt;&lt;wsp:rsid wsp:val=&quot;22EC5646&quot;/&gt;&lt;wsp:rsid wsp:val=&quot;22ED0263&quot;/&gt;&lt;wsp:rsid wsp:val=&quot;22EE5862&quot;/&gt;&lt;wsp:rsid wsp:val=&quot;22EF08E4&quot;/&gt;&lt;wsp:rsid wsp:val=&quot;22F015DA&quot;/&gt;&lt;wsp:rsid wsp:val=&quot;22F108A9&quot;/&gt;&lt;wsp:rsid wsp:val=&quot;22F10F18&quot;/&gt;&lt;wsp:rsid wsp:val=&quot;22F15352&quot;/&gt;&lt;wsp:rsid wsp:val=&quot;22F16BE4&quot;/&gt;&lt;wsp:rsid wsp:val=&quot;22F4099F&quot;/&gt;&lt;wsp:rsid wsp:val=&quot;22F422C8&quot;/&gt;&lt;wsp:rsid wsp:val=&quot;22F47480&quot;/&gt;&lt;wsp:rsid wsp:val=&quot;22F56BF1&quot;/&gt;&lt;wsp:rsid wsp:val=&quot;22F716CB&quot;/&gt;&lt;wsp:rsid wsp:val=&quot;22F72A56&quot;/&gt;&lt;wsp:rsid wsp:val=&quot;22F83FEB&quot;/&gt;&lt;wsp:rsid wsp:val=&quot;22FA533E&quot;/&gt;&lt;wsp:rsid wsp:val=&quot;22FC1543&quot;/&gt;&lt;wsp:rsid wsp:val=&quot;22FC5438&quot;/&gt;&lt;wsp:rsid wsp:val=&quot;22FF35CB&quot;/&gt;&lt;wsp:rsid wsp:val=&quot;23000B70&quot;/&gt;&lt;wsp:rsid wsp:val=&quot;23024E6A&quot;/&gt;&lt;wsp:rsid wsp:val=&quot;23033BCA&quot;/&gt;&lt;wsp:rsid wsp:val=&quot;23046E34&quot;/&gt;&lt;wsp:rsid wsp:val=&quot;2305495A&quot;/&gt;&lt;wsp:rsid wsp:val=&quot;230564EA&quot;/&gt;&lt;wsp:rsid wsp:val=&quot;23056708&quot;/&gt;&lt;wsp:rsid wsp:val=&quot;2307511C&quot;/&gt;&lt;wsp:rsid wsp:val=&quot;23076924&quot;/&gt;&lt;wsp:rsid wsp:val=&quot;230E1A60&quot;/&gt;&lt;wsp:rsid wsp:val=&quot;230E380E&quot;/&gt;&lt;wsp:rsid wsp:val=&quot;230E3DFE&quot;/&gt;&lt;wsp:rsid wsp:val=&quot;230E7CB2&quot;/&gt;&lt;wsp:rsid wsp:val=&quot;231132FF&quot;/&gt;&lt;wsp:rsid wsp:val=&quot;231150AD&quot;/&gt;&lt;wsp:rsid wsp:val=&quot;231177A3&quot;/&gt;&lt;wsp:rsid wsp:val=&quot;231352C9&quot;/&gt;&lt;wsp:rsid wsp:val=&quot;23144B9D&quot;/&gt;&lt;wsp:rsid wsp:val=&quot;23152DEF&quot;/&gt;&lt;wsp:rsid wsp:val=&quot;231921B3&quot;/&gt;&lt;wsp:rsid wsp:val=&quot;231A0B85&quot;/&gt;&lt;wsp:rsid wsp:val=&quot;231A54B6&quot;/&gt;&lt;wsp:rsid wsp:val=&quot;231B5F2B&quot;/&gt;&lt;wsp:rsid wsp:val=&quot;231D6147&quot;/&gt;&lt;wsp:rsid wsp:val=&quot;231F5A1C&quot;/&gt;&lt;wsp:rsid wsp:val=&quot;231F7E56&quot;/&gt;&lt;wsp:rsid wsp:val=&quot;23201794&quot;/&gt;&lt;wsp:rsid wsp:val=&quot;232118FA&quot;/&gt;&lt;wsp:rsid wsp:val=&quot;23215CC3&quot;/&gt;&lt;wsp:rsid wsp:val=&quot;2322375E&quot;/&gt;&lt;wsp:rsid wsp:val=&quot;23226D27&quot;/&gt;&lt;wsp:rsid wsp:val=&quot;23244DE0&quot;/&gt;&lt;wsp:rsid wsp:val=&quot;23247D44&quot;/&gt;&lt;wsp:rsid wsp:val=&quot;23250B58&quot;/&gt;&lt;wsp:rsid wsp:val=&quot;23251FF0&quot;/&gt;&lt;wsp:rsid wsp:val=&quot;232548A1&quot;/&gt;&lt;wsp:rsid wsp:val=&quot;23255AD4&quot;/&gt;&lt;wsp:rsid wsp:val=&quot;23294AEC&quot;/&gt;&lt;wsp:rsid wsp:val=&quot;232A2389&quot;/&gt;&lt;wsp:rsid wsp:val=&quot;232A43C0&quot;/&gt;&lt;wsp:rsid wsp:val=&quot;232C0139&quot;/&gt;&lt;wsp:rsid wsp:val=&quot;232C1EE7&quot;/&gt;&lt;wsp:rsid wsp:val=&quot;232C638A&quot;/&gt;&lt;wsp:rsid wsp:val=&quot;232E2103&quot;/&gt;&lt;wsp:rsid wsp:val=&quot;2331574F&quot;/&gt;&lt;wsp:rsid wsp:val=&quot;233157B8&quot;/&gt;&lt;wsp:rsid wsp:val=&quot;233314C7&quot;/&gt;&lt;wsp:rsid wsp:val=&quot;23333275&quot;/&gt;&lt;wsp:rsid wsp:val=&quot;23353491&quot;/&gt;&lt;wsp:rsid wsp:val=&quot;2335523F&quot;/&gt;&lt;wsp:rsid wsp:val=&quot;23360FB7&quot;/&gt;&lt;wsp:rsid wsp:val=&quot;23362D65&quot;/&gt;&lt;wsp:rsid wsp:val=&quot;233644C7&quot;/&gt;&lt;wsp:rsid wsp:val=&quot;2338088B&quot;/&gt;&lt;wsp:rsid wsp:val=&quot;233817E5&quot;/&gt;&lt;wsp:rsid wsp:val=&quot;23384D2F&quot;/&gt;&lt;wsp:rsid wsp:val=&quot;23395C89&quot;/&gt;&lt;wsp:rsid wsp:val=&quot;233A0AA7&quot;/&gt;&lt;wsp:rsid wsp:val=&quot;233A2855&quot;/&gt;&lt;wsp:rsid wsp:val=&quot;233B18FF&quot;/&gt;&lt;wsp:rsid wsp:val=&quot;233C28CB&quot;/&gt;&lt;wsp:rsid wsp:val=&quot;233D2346&quot;/&gt;&lt;wsp:rsid wsp:val=&quot;233D40F4&quot;/&gt;&lt;wsp:rsid wsp:val=&quot;233F28CD&quot;/&gt;&lt;wsp:rsid wsp:val=&quot;233F60BE&quot;/&gt;&lt;wsp:rsid wsp:val=&quot;233F7E6C&quot;/&gt;&lt;wsp:rsid wsp:val=&quot;23405992&quot;/&gt;&lt;wsp:rsid wsp:val=&quot;23411E36&quot;/&gt;&lt;wsp:rsid wsp:val=&quot;2342795C&quot;/&gt;&lt;wsp:rsid wsp:val=&quot;23446EF2&quot;/&gt;&lt;wsp:rsid wsp:val=&quot;2346744C&quot;/&gt;&lt;wsp:rsid wsp:val=&quot;23474F72&quot;/&gt;&lt;wsp:rsid wsp:val=&quot;23476D20&quot;/&gt;&lt;wsp:rsid wsp:val=&quot;234839B9&quot;/&gt;&lt;wsp:rsid wsp:val=&quot;23483ACC&quot;/&gt;&lt;wsp:rsid wsp:val=&quot;23490CEA&quot;/&gt;&lt;wsp:rsid wsp:val=&quot;23492A98&quot;/&gt;&lt;wsp:rsid wsp:val=&quot;234A05BF&quot;/&gt;&lt;wsp:rsid wsp:val=&quot;234C3850&quot;/&gt;&lt;wsp:rsid wsp:val=&quot;234C4337&quot;/&gt;&lt;wsp:rsid wsp:val=&quot;234E6301&quot;/&gt;&lt;wsp:rsid wsp:val=&quot;234F4B40&quot;/&gt;&lt;wsp:rsid wsp:val=&quot;235002CB&quot;/&gt;&lt;wsp:rsid wsp:val=&quot;235021D1&quot;/&gt;&lt;wsp:rsid wsp:val=&quot;23513661&quot;/&gt;&lt;wsp:rsid wsp:val=&quot;23521160&quot;/&gt;&lt;wsp:rsid wsp:val=&quot;23525258&quot;/&gt;&lt;wsp:rsid wsp:val=&quot;23531B69&quot;/&gt;&lt;wsp:rsid wsp:val=&quot;235356C5&quot;/&gt;&lt;wsp:rsid wsp:val=&quot;235651B5&quot;/&gt;&lt;wsp:rsid wsp:val=&quot;23566F63&quot;/&gt;&lt;wsp:rsid wsp:val=&quot;23576154&quot;/&gt;&lt;wsp:rsid wsp:val=&quot;23593283&quot;/&gt;&lt;wsp:rsid wsp:val=&quot;235947F0&quot;/&gt;&lt;wsp:rsid wsp:val=&quot;235A2EF8&quot;/&gt;&lt;wsp:rsid wsp:val=&quot;235B248E&quot;/&gt;&lt;wsp:rsid wsp:val=&quot;235B2E51&quot;/&gt;&lt;wsp:rsid wsp:val=&quot;235C0A1E&quot;/&gt;&lt;wsp:rsid wsp:val=&quot;235D02F2&quot;/&gt;&lt;wsp:rsid wsp:val=&quot;235D6544&quot;/&gt;&lt;wsp:rsid wsp:val=&quot;235F050E&quot;/&gt;&lt;wsp:rsid wsp:val=&quot;235F3807&quot;/&gt;&lt;wsp:rsid wsp:val=&quot;235F406A&quot;/&gt;&lt;wsp:rsid wsp:val=&quot;23641680&quot;/&gt;&lt;wsp:rsid wsp:val=&quot;236478D2&quot;/&gt;&lt;wsp:rsid wsp:val=&quot;236553F8&quot;/&gt;&lt;wsp:rsid wsp:val=&quot;236773C3&quot;/&gt;&lt;wsp:rsid wsp:val=&quot;23696C97&quot;/&gt;&lt;wsp:rsid wsp:val=&quot;236B2A0F&quot;/&gt;&lt;wsp:rsid wsp:val=&quot;236C2E3A&quot;/&gt;&lt;wsp:rsid wsp:val=&quot;236E0751&quot;/&gt;&lt;wsp:rsid wsp:val=&quot;237044C9&quot;/&gt;&lt;wsp:rsid wsp:val=&quot;23706277&quot;/&gt;&lt;wsp:rsid wsp:val=&quot;23713D9D&quot;/&gt;&lt;wsp:rsid wsp:val=&quot;23755842&quot;/&gt;&lt;wsp:rsid wsp:val=&quot;23757D31&quot;/&gt;&lt;wsp:rsid wsp:val=&quot;237613B4&quot;/&gt;&lt;wsp:rsid wsp:val=&quot;23766ABD&quot;/&gt;&lt;wsp:rsid wsp:val=&quot;23784951&quot;/&gt;&lt;wsp:rsid wsp:val=&quot;237A0EA4&quot;/&gt;&lt;wsp:rsid wsp:val=&quot;237A70F6&quot;/&gt;&lt;wsp:rsid wsp:val=&quot;237C10C0&quot;/&gt;&lt;wsp:rsid wsp:val=&quot;237C661D&quot;/&gt;&lt;wsp:rsid wsp:val=&quot;237E524F&quot;/&gt;&lt;wsp:rsid wsp:val=&quot;23810FFF&quot;/&gt;&lt;wsp:rsid wsp:val=&quot;238166D6&quot;/&gt;&lt;wsp:rsid wsp:val=&quot;23827D58&quot;/&gt;&lt;wsp:rsid wsp:val=&quot;23841D23&quot;/&gt;&lt;wsp:rsid wsp:val=&quot;23841DA8&quot;/&gt;&lt;wsp:rsid wsp:val=&quot;23843AD1&quot;/&gt;&lt;wsp:rsid wsp:val=&quot;23846E58&quot;/&gt;&lt;wsp:rsid wsp:val=&quot;23847F75&quot;/&gt;&lt;wsp:rsid wsp:val=&quot;238612AD&quot;/&gt;&lt;wsp:rsid wsp:val=&quot;23863CED&quot;/&gt;&lt;wsp:rsid wsp:val=&quot;23865A9B&quot;/&gt;&lt;wsp:rsid wsp:val=&quot;2386783E&quot;/&gt;&lt;wsp:rsid wsp:val=&quot;23887A65&quot;/&gt;&lt;wsp:rsid wsp:val=&quot;23890495&quot;/&gt;&lt;wsp:rsid wsp:val=&quot;23891DF0&quot;/&gt;&lt;wsp:rsid wsp:val=&quot;238B4E5F&quot;/&gt;&lt;wsp:rsid wsp:val=&quot;238C2C77&quot;/&gt;&lt;wsp:rsid wsp:val=&quot;238C6E29&quot;/&gt;&lt;wsp:rsid wsp:val=&quot;238D37BF&quot;/&gt;&lt;wsp:rsid wsp:val=&quot;23910AF4&quot;/&gt;&lt;wsp:rsid wsp:val=&quot;23922691&quot;/&gt;&lt;wsp:rsid wsp:val=&quot;2392443F&quot;/&gt;&lt;wsp:rsid wsp:val=&quot;23952182&quot;/&gt;&lt;wsp:rsid wsp:val=&quot;23953F30&quot;/&gt;&lt;wsp:rsid wsp:val=&quot;23963804&quot;/&gt;&lt;wsp:rsid wsp:val=&quot;23977CA8&quot;/&gt;&lt;wsp:rsid wsp:val=&quot;2398757C&quot;/&gt;&lt;wsp:rsid wsp:val=&quot;239A1546&quot;/&gt;&lt;wsp:rsid wsp:val=&quot;239A32F4&quot;/&gt;&lt;wsp:rsid wsp:val=&quot;239C52BE&quot;/&gt;&lt;wsp:rsid wsp:val=&quot;239D1036&quot;/&gt;&lt;wsp:rsid wsp:val=&quot;239D2DE4&quot;/&gt;&lt;wsp:rsid wsp:val=&quot;239E21FE&quot;/&gt;&lt;wsp:rsid wsp:val=&quot;23A10B26&quot;/&gt;&lt;wsp:rsid wsp:val=&quot;23A3664D&quot;/&gt;&lt;wsp:rsid wsp:val=&quot;23A3680E&quot;/&gt;&lt;wsp:rsid wsp:val=&quot;23A44173&quot;/&gt;&lt;wsp:rsid wsp:val=&quot;23A777BF&quot;/&gt;&lt;wsp:rsid wsp:val=&quot;23A80CA6&quot;/&gt;&lt;wsp:rsid wsp:val=&quot;23A957E6&quot;/&gt;&lt;wsp:rsid wsp:val=&quot;23AA169B&quot;/&gt;&lt;wsp:rsid wsp:val=&quot;23AB72AF&quot;/&gt;&lt;wsp:rsid wsp:val=&quot;23AC0E53&quot;/&gt;&lt;wsp:rsid wsp:val=&quot;23AD74CB&quot;/&gt;&lt;wsp:rsid wsp:val=&quot;23AE6D9F&quot;/&gt;&lt;wsp:rsid wsp:val=&quot;23B02B18&quot;/&gt;&lt;wsp:rsid wsp:val=&quot;23B24AE2&quot;/&gt;&lt;wsp:rsid wsp:val=&quot;23B26890&quot;/&gt;&lt;wsp:rsid wsp:val=&quot;23B32608&quot;/&gt;&lt;wsp:rsid wsp:val=&quot;23B4085A&quot;/&gt;&lt;wsp:rsid wsp:val=&quot;23B75C54&quot;/&gt;&lt;wsp:rsid wsp:val=&quot;23B86660&quot;/&gt;&lt;wsp:rsid wsp:val=&quot;23B87C1E&quot;/&gt;&lt;wsp:rsid wsp:val=&quot;23B91A9E&quot;/&gt;&lt;wsp:rsid wsp:val=&quot;23BA1BE8&quot;/&gt;&lt;wsp:rsid wsp:val=&quot;23BC51F1&quot;/&gt;&lt;wsp:rsid wsp:val=&quot;23BF0BC5&quot;/&gt;&lt;wsp:rsid wsp:val=&quot;23BF0FAD&quot;/&gt;&lt;wsp:rsid wsp:val=&quot;23BF2D5B&quot;/&gt;&lt;wsp:rsid wsp:val=&quot;23C10881&quot;/&gt;&lt;wsp:rsid wsp:val=&quot;23C12F77&quot;/&gt;&lt;wsp:rsid wsp:val=&quot;23C2284B&quot;/&gt;&lt;wsp:rsid wsp:val=&quot;23C245F9&quot;/&gt;&lt;wsp:rsid wsp:val=&quot;23C40371&quot;/&gt;&lt;wsp:rsid wsp:val=&quot;23C44815&quot;/&gt;&lt;wsp:rsid wsp:val=&quot;23C465C3&quot;/&gt;&lt;wsp:rsid wsp:val=&quot;23C53D41&quot;/&gt;&lt;wsp:rsid wsp:val=&quot;23C57FBE&quot;/&gt;&lt;wsp:rsid wsp:val=&quot;23C640E9&quot;/&gt;&lt;wsp:rsid wsp:val=&quot;23C860B3&quot;/&gt;&lt;wsp:rsid wsp:val=&quot;23C87E61&quot;/&gt;&lt;wsp:rsid wsp:val=&quot;23CA0100&quot;/&gt;&lt;wsp:rsid wsp:val=&quot;23CB16FF&quot;/&gt;&lt;wsp:rsid wsp:val=&quot;23CB5BA3&quot;/&gt;&lt;wsp:rsid wsp:val=&quot;23CD36CA&quot;/&gt;&lt;wsp:rsid wsp:val=&quot;23CE11F0&quot;/&gt;&lt;wsp:rsid wsp:val=&quot;23CE2811&quot;/&gt;&lt;wsp:rsid wsp:val=&quot;23D02696&quot;/&gt;&lt;wsp:rsid wsp:val=&quot;23D031BA&quot;/&gt;&lt;wsp:rsid wsp:val=&quot;23D245E4&quot;/&gt;&lt;wsp:rsid wsp:val=&quot;23D26F32&quot;/&gt;&lt;wsp:rsid wsp:val=&quot;23D305B4&quot;/&gt;&lt;wsp:rsid wsp:val=&quot;23D34A58&quot;/&gt;&lt;wsp:rsid wsp:val=&quot;23D36806&quot;/&gt;&lt;wsp:rsid wsp:val=&quot;23D42CAA&quot;/&gt;&lt;wsp:rsid wsp:val=&quot;23D507D0&quot;/&gt;&lt;wsp:rsid wsp:val=&quot;23D74548&quot;/&gt;&lt;wsp:rsid wsp:val=&quot;23DA1943&quot;/&gt;&lt;wsp:rsid wsp:val=&quot;23DA7B95&quot;/&gt;&lt;wsp:rsid wsp:val=&quot;23DE1C48&quot;/&gt;&lt;wsp:rsid wsp:val=&quot;23DE5576&quot;/&gt;&lt;wsp:rsid wsp:val=&quot;23E1714E&quot;/&gt;&lt;wsp:rsid wsp:val=&quot;23E3589A&quot;/&gt;&lt;wsp:rsid wsp:val=&quot;23E40A13&quot;/&gt;&lt;wsp:rsid wsp:val=&quot;23E427C1&quot;/&gt;&lt;wsp:rsid wsp:val=&quot;23E660C1&quot;/&gt;&lt;wsp:rsid wsp:val=&quot;23E66539&quot;/&gt;&lt;wsp:rsid wsp:val=&quot;23E9602A&quot;/&gt;&lt;wsp:rsid wsp:val=&quot;23E97DD8&quot;/&gt;&lt;wsp:rsid wsp:val=&quot;23ED1676&quot;/&gt;&lt;wsp:rsid wsp:val=&quot;23ED46EB&quot;/&gt;&lt;wsp:rsid wsp:val=&quot;23ED5B1A&quot;/&gt;&lt;wsp:rsid wsp:val=&quot;23EE3640&quot;/&gt;&lt;wsp:rsid wsp:val=&quot;23F0560A&quot;/&gt;&lt;wsp:rsid wsp:val=&quot;23F24EDE&quot;/&gt;&lt;wsp:rsid wsp:val=&quot;23F37E91&quot;/&gt;&lt;wsp:rsid wsp:val=&quot;23F5732E&quot;/&gt;&lt;wsp:rsid wsp:val=&quot;23F66979&quot;/&gt;&lt;wsp:rsid wsp:val=&quot;23F70746&quot;/&gt;&lt;wsp:rsid wsp:val=&quot;23F85E1A&quot;/&gt;&lt;wsp:rsid wsp:val=&quot;23F93B71&quot;/&gt;&lt;wsp:rsid wsp:val=&quot;23F944BF&quot;/&gt;&lt;wsp:rsid wsp:val=&quot;23FA0D14&quot;/&gt;&lt;wsp:rsid wsp:val=&quot;23FC1649&quot;/&gt;&lt;wsp:rsid wsp:val=&quot;23FE7D27&quot;/&gt;&lt;wsp:rsid wsp:val=&quot;23FF75FB&quot;/&gt;&lt;wsp:rsid wsp:val=&quot;240115C5&quot;/&gt;&lt;wsp:rsid wsp:val=&quot;240210CD&quot;/&gt;&lt;wsp:rsid wsp:val=&quot;240370EB&quot;/&gt;&lt;wsp:rsid wsp:val=&quot;24042E63&quot;/&gt;&lt;wsp:rsid wsp:val=&quot;240510B5&quot;/&gt;&lt;wsp:rsid wsp:val=&quot;24053736&quot;/&gt;&lt;wsp:rsid wsp:val=&quot;24061B78&quot;/&gt;&lt;wsp:rsid wsp:val=&quot;2409047A&quot;/&gt;&lt;wsp:rsid wsp:val=&quot;24094C88&quot;/&gt;&lt;wsp:rsid wsp:val=&quot;240A66CC&quot;/&gt;&lt;wsp:rsid wsp:val=&quot;24102A4E&quot;/&gt;&lt;wsp:rsid wsp:val=&quot;24107A5A&quot;/&gt;&lt;wsp:rsid wsp:val=&quot;24111CD9&quot;/&gt;&lt;wsp:rsid wsp:val=&quot;24134E54&quot;/&gt;&lt;wsp:rsid wsp:val=&quot;241430A6&quot;/&gt;&lt;wsp:rsid wsp:val=&quot;24150BCD&quot;/&gt;&lt;wsp:rsid wsp:val=&quot;2419690F&quot;/&gt;&lt;wsp:rsid wsp:val=&quot;241A4435&quot;/&gt;&lt;wsp:rsid wsp:val=&quot;241C01AD&quot;/&gt;&lt;wsp:rsid wsp:val=&quot;241C1F5B&quot;/&gt;&lt;wsp:rsid wsp:val=&quot;241E2177&quot;/&gt;&lt;wsp:rsid wsp:val=&quot;242332EA&quot;/&gt;&lt;wsp:rsid wsp:val=&quot;24253506&quot;/&gt;&lt;wsp:rsid wsp:val=&quot;24264B88&quot;/&gt;&lt;wsp:rsid wsp:val=&quot;242816A1&quot;/&gt;&lt;wsp:rsid wsp:val=&quot;24284DA4&quot;/&gt;&lt;wsp:rsid wsp:val=&quot;24285550&quot;/&gt;&lt;wsp:rsid wsp:val=&quot;24295A04&quot;/&gt;&lt;wsp:rsid wsp:val=&quot;242A28CA&quot;/&gt;&lt;wsp:rsid wsp:val=&quot;242B6642&quot;/&gt;&lt;wsp:rsid wsp:val=&quot;242D14B2&quot;/&gt;&lt;wsp:rsid wsp:val=&quot;242D24F0&quot;/&gt;&lt;wsp:rsid wsp:val=&quot;242D5F16&quot;/&gt;&lt;wsp:rsid wsp:val=&quot;242F7EE0&quot;/&gt;&lt;wsp:rsid wsp:val=&quot;24303C58&quot;/&gt;&lt;wsp:rsid wsp:val=&quot;24311EAA&quot;/&gt;&lt;wsp:rsid wsp:val=&quot;2432177F&quot;/&gt;&lt;wsp:rsid wsp:val=&quot;243279D1&quot;/&gt;&lt;wsp:rsid wsp:val=&quot;243472A5&quot;/&gt;&lt;wsp:rsid wsp:val=&quot;2436209C&quot;/&gt;&lt;wsp:rsid wsp:val=&quot;243674C1&quot;/&gt;&lt;wsp:rsid wsp:val=&quot;24392B0D&quot;/&gt;&lt;wsp:rsid wsp:val=&quot;243A525D&quot;/&gt;&lt;wsp:rsid wsp:val=&quot;243A6885&quot;/&gt;&lt;wsp:rsid wsp:val=&quot;243C25FD&quot;/&gt;&lt;wsp:rsid wsp:val=&quot;243C2F8D&quot;/&gt;&lt;wsp:rsid wsp:val=&quot;243D04AF&quot;/&gt;&lt;wsp:rsid wsp:val=&quot;243E6375&quot;/&gt;&lt;wsp:rsid wsp:val=&quot;243F4D56&quot;/&gt;&lt;wsp:rsid wsp:val=&quot;24425E3B&quot;/&gt;&lt;wsp:rsid wsp:val=&quot;24434A5C&quot;/&gt;&lt;wsp:rsid wsp:val=&quot;24443260&quot;/&gt;&lt;wsp:rsid wsp:val=&quot;244A4D1A&quot;/&gt;&lt;wsp:rsid wsp:val=&quot;244B1E69&quot;/&gt;&lt;wsp:rsid wsp:val=&quot;244D480A&quot;/&gt;&lt;wsp:rsid wsp:val=&quot;245265B7&quot;/&gt;&lt;wsp:rsid wsp:val=&quot;2454306B&quot;/&gt;&lt;wsp:rsid wsp:val=&quot;24545B99&quot;/&gt;&lt;wsp:rsid wsp:val=&quot;24561B4D&quot;/&gt;&lt;wsp:rsid wsp:val=&quot;24577437&quot;/&gt;&lt;wsp:rsid wsp:val=&quot;2458446D&quot;/&gt;&lt;wsp:rsid wsp:val=&quot;245931AF&quot;/&gt;&lt;wsp:rsid wsp:val=&quot;245A04CE&quot;/&gt;&lt;wsp:rsid wsp:val=&quot;245C2C9F&quot;/&gt;&lt;wsp:rsid wsp:val=&quot;245C67FB&quot;/&gt;&lt;wsp:rsid wsp:val=&quot;245C7023&quot;/&gt;&lt;wsp:rsid wsp:val=&quot;245D6108&quot;/&gt;&lt;wsp:rsid wsp:val=&quot;245E4322&quot;/&gt;&lt;wsp:rsid wsp:val=&quot;24612064&quot;/&gt;&lt;wsp:rsid wsp:val=&quot;24632CC1&quot;/&gt;&lt;wsp:rsid wsp:val=&quot;24633790&quot;/&gt;&lt;wsp:rsid wsp:val=&quot;2463402E&quot;/&gt;&lt;wsp:rsid wsp:val=&quot;24661428&quot;/&gt;&lt;wsp:rsid wsp:val=&quot;246758CC&quot;/&gt;&lt;wsp:rsid wsp:val=&quot;24677167&quot;/&gt;&lt;wsp:rsid wsp:val=&quot;24681644&quot;/&gt;&lt;wsp:rsid wsp:val=&quot;246833F2&quot;/&gt;&lt;wsp:rsid wsp:val=&quot;246851A0&quot;/&gt;&lt;wsp:rsid wsp:val=&quot;246856A3&quot;/&gt;&lt;wsp:rsid wsp:val=&quot;246C03EF&quot;/&gt;&lt;wsp:rsid wsp:val=&quot;246C2EE2&quot;/&gt;&lt;wsp:rsid wsp:val=&quot;246D0A09&quot;/&gt;&lt;wsp:rsid wsp:val=&quot;246D6C5B&quot;/&gt;&lt;wsp:rsid wsp:val=&quot;246E7DD4&quot;/&gt;&lt;wsp:rsid wsp:val=&quot;246F29D3&quot;/&gt;&lt;wsp:rsid wsp:val=&quot;246F652F&quot;/&gt;&lt;wsp:rsid wsp:val=&quot;24704055&quot;/&gt;&lt;wsp:rsid wsp:val=&quot;2471674B&quot;/&gt;&lt;wsp:rsid wsp:val=&quot;24727BE5&quot;/&gt;&lt;wsp:rsid wsp:val=&quot;24741D97&quot;/&gt;&lt;wsp:rsid wsp:val=&quot;24753802&quot;/&gt;&lt;wsp:rsid wsp:val=&quot;24773635&quot;/&gt;&lt;wsp:rsid wsp:val=&quot;2479115B&quot;/&gt;&lt;wsp:rsid wsp:val=&quot;247965B0&quot;/&gt;&lt;wsp:rsid wsp:val=&quot;247966B3&quot;/&gt;&lt;wsp:rsid wsp:val=&quot;247973AD&quot;/&gt;&lt;wsp:rsid wsp:val=&quot;247B1BF4&quot;/&gt;&lt;wsp:rsid wsp:val=&quot;247B4ED4&quot;/&gt;&lt;wsp:rsid wsp:val=&quot;247D4CF8&quot;/&gt;&lt;wsp:rsid wsp:val=&quot;247D50F0&quot;/&gt;&lt;wsp:rsid wsp:val=&quot;247E6772&quot;/&gt;&lt;wsp:rsid wsp:val=&quot;2480698E&quot;/&gt;&lt;wsp:rsid wsp:val=&quot;24816262&quot;/&gt;&lt;wsp:rsid wsp:val=&quot;248322AB&quot;/&gt;&lt;wsp:rsid wsp:val=&quot;24855D52&quot;/&gt;&lt;wsp:rsid wsp:val=&quot;24861ACA&quot;/&gt;&lt;wsp:rsid wsp:val=&quot;24883A94&quot;/&gt;&lt;wsp:rsid wsp:val=&quot;24885842&quot;/&gt;&lt;wsp:rsid wsp:val=&quot;248A15BB&quot;/&gt;&lt;wsp:rsid wsp:val=&quot;248A5117&quot;/&gt;&lt;wsp:rsid wsp:val=&quot;248B0D95&quot;/&gt;&lt;wsp:rsid wsp:val=&quot;248B1ECD&quot;/&gt;&lt;wsp:rsid wsp:val=&quot;248D10AB&quot;/&gt;&lt;wsp:rsid wsp:val=&quot;248D2E59&quot;/&gt;&lt;wsp:rsid wsp:val=&quot;248E1534&quot;/&gt;&lt;wsp:rsid wsp:val=&quot;248F076C&quot;/&gt;&lt;wsp:rsid wsp:val=&quot;248F4E23&quot;/&gt;&lt;wsp:rsid wsp:val=&quot;24922B77&quot;/&gt;&lt;wsp:rsid wsp:val=&quot;249266C1&quot;/&gt;&lt;wsp:rsid wsp:val=&quot;24960699&quot;/&gt;&lt;wsp:rsid wsp:val=&quot;24970470&quot;/&gt;&lt;wsp:rsid wsp:val=&quot;249776D4&quot;/&gt;&lt;wsp:rsid wsp:val=&quot;24997A50&quot;/&gt;&lt;wsp:rsid wsp:val=&quot;249B37C8&quot;/&gt;&lt;wsp:rsid wsp:val=&quot;249B5576&quot;/&gt;&lt;wsp:rsid wsp:val=&quot;249D12EE&quot;/&gt;&lt;wsp:rsid wsp:val=&quot;249D1730&quot;/&gt;&lt;wsp:rsid wsp:val=&quot;249D4C1D&quot;/&gt;&lt;wsp:rsid wsp:val=&quot;249E0BC2&quot;/&gt;&lt;wsp:rsid wsp:val=&quot;24A04DA1&quot;/&gt;&lt;wsp:rsid wsp:val=&quot;24A04DBD&quot;/&gt;&lt;wsp:rsid wsp:val=&quot;24A26904&quot;/&gt;&lt;wsp:rsid wsp:val=&quot;24A3267C&quot;/&gt;&lt;wsp:rsid wsp:val=&quot;24A415E4&quot;/&gt;&lt;wsp:rsid wsp:val=&quot;24A51F50&quot;/&gt;&lt;wsp:rsid wsp:val=&quot;24A63F04&quot;/&gt;&lt;wsp:rsid wsp:val=&quot;24A65CC9&quot;/&gt;&lt;wsp:rsid wsp:val=&quot;24AA68E6&quot;/&gt;&lt;wsp:rsid wsp:val=&quot;24AE34FB&quot;/&gt;&lt;wsp:rsid wsp:val=&quot;24B102DB&quot;/&gt;&lt;wsp:rsid wsp:val=&quot;24B16B47&quot;/&gt;&lt;wsp:rsid wsp:val=&quot;24B47998&quot;/&gt;&lt;wsp:rsid wsp:val=&quot;24B93C4E&quot;/&gt;&lt;wsp:rsid wsp:val=&quot;24BB5C18&quot;/&gt;&lt;wsp:rsid wsp:val=&quot;24BD373E&quot;/&gt;&lt;wsp:rsid wsp:val=&quot;24BE2528&quot;/&gt;&lt;wsp:rsid wsp:val=&quot;24BF09F7&quot;/&gt;&lt;wsp:rsid wsp:val=&quot;24C0322E&quot;/&gt;&lt;wsp:rsid wsp:val=&quot;24C06D8A&quot;/&gt;&lt;wsp:rsid wsp:val=&quot;24C30629&quot;/&gt;&lt;wsp:rsid wsp:val=&quot;24C3087B&quot;/&gt;&lt;wsp:rsid wsp:val=&quot;24C3328E&quot;/&gt;&lt;wsp:rsid wsp:val=&quot;24C573A0&quot;/&gt;&lt;wsp:rsid wsp:val=&quot;24C745BD&quot;/&gt;&lt;wsp:rsid wsp:val=&quot;24C820E3&quot;/&gt;&lt;wsp:rsid wsp:val=&quot;24CA19B7&quot;/&gt;&lt;wsp:rsid wsp:val=&quot;24CC07F0&quot;/&gt;&lt;wsp:rsid wsp:val=&quot;24CC572F&quot;/&gt;&lt;wsp:rsid wsp:val=&quot;24CC5C1F&quot;/&gt;&lt;wsp:rsid wsp:val=&quot;24CD1292&quot;/&gt;&lt;wsp:rsid wsp:val=&quot;24CD14A7&quot;/&gt;&lt;wsp:rsid wsp:val=&quot;24CE594B&quot;/&gt;&lt;wsp:rsid wsp:val=&quot;24CF1C50&quot;/&gt;&lt;wsp:rsid wsp:val=&quot;24CF521F&quot;/&gt;&lt;wsp:rsid wsp:val=&quot;24D10F97&quot;/&gt;&lt;wsp:rsid wsp:val=&quot;24D10FB3&quot;/&gt;&lt;wsp:rsid wsp:val=&quot;24D25CCF&quot;/&gt;&lt;wsp:rsid wsp:val=&quot;24D26ABE&quot;/&gt;&lt;wsp:rsid wsp:val=&quot;24D34D10&quot;/&gt;&lt;wsp:rsid wsp:val=&quot;24D42836&quot;/&gt;&lt;wsp:rsid wsp:val=&quot;24D740D4&quot;/&gt;&lt;wsp:rsid wsp:val=&quot;24D90223&quot;/&gt;&lt;wsp:rsid wsp:val=&quot;24D97C08&quot;/&gt;&lt;wsp:rsid wsp:val=&quot;24DB0068&quot;/&gt;&lt;wsp:rsid wsp:val=&quot;24DB3BC4&quot;/&gt;&lt;wsp:rsid wsp:val=&quot;24DC16EA&quot;/&gt;&lt;wsp:rsid wsp:val=&quot;24E0742D&quot;/&gt;&lt;wsp:rsid wsp:val=&quot;24E32A79&quot;/&gt;&lt;wsp:rsid wsp:val=&quot;24E52C95&quot;/&gt;&lt;wsp:rsid wsp:val=&quot;24E54A43&quot;/&gt;&lt;wsp:rsid wsp:val=&quot;24E6133A&quot;/&gt;&lt;wsp:rsid wsp:val=&quot;24E94533&quot;/&gt;&lt;wsp:rsid wsp:val=&quot;24EA3E07&quot;/&gt;&lt;wsp:rsid wsp:val=&quot;24EE1B49&quot;/&gt;&lt;wsp:rsid wsp:val=&quot;24F01F86&quot;/&gt;&lt;wsp:rsid wsp:val=&quot;24F1163A&quot;/&gt;&lt;wsp:rsid wsp:val=&quot;24F353B2&quot;/&gt;&lt;wsp:rsid wsp:val=&quot;24F37160&quot;/&gt;&lt;wsp:rsid wsp:val=&quot;24F609FE&quot;/&gt;&lt;wsp:rsid wsp:val=&quot;24F86524&quot;/&gt;&lt;wsp:rsid wsp:val=&quot;24F904EE&quot;/&gt;&lt;wsp:rsid wsp:val=&quot;24FB4266&quot;/&gt;&lt;wsp:rsid wsp:val=&quot;24FB7DC2&quot;/&gt;&lt;wsp:rsid wsp:val=&quot;24FD3B3B&quot;/&gt;&lt;wsp:rsid wsp:val=&quot;24FE5B05&quot;/&gt;&lt;wsp:rsid wsp:val=&quot;2500362B&quot;/&gt;&lt;wsp:rsid wsp:val=&quot;2503462D&quot;/&gt;&lt;wsp:rsid wsp:val=&quot;25040928&quot;/&gt;&lt;wsp:rsid wsp:val=&quot;25050981&quot;/&gt;&lt;wsp:rsid wsp:val=&quot;25072C0B&quot;/&gt;&lt;wsp:rsid wsp:val=&quot;250A6257&quot;/&gt;&lt;wsp:rsid wsp:val=&quot;250C6474&quot;/&gt;&lt;wsp:rsid wsp:val=&quot;250D7A7E&quot;/&gt;&lt;wsp:rsid wsp:val=&quot;250E3F9A&quot;/&gt;&lt;wsp:rsid wsp:val=&quot;250E5D48&quot;/&gt;&lt;wsp:rsid wsp:val=&quot;250E7A49&quot;/&gt;&lt;wsp:rsid wsp:val=&quot;250F386E&quot;/&gt;&lt;wsp:rsid wsp:val=&quot;25115838&quot;/&gt;&lt;wsp:rsid wsp:val=&quot;251315B0&quot;/&gt;&lt;wsp:rsid wsp:val=&quot;25131844&quot;/&gt;&lt;wsp:rsid wsp:val=&quot;2513335E&quot;/&gt;&lt;wsp:rsid wsp:val=&quot;25137802&quot;/&gt;&lt;wsp:rsid wsp:val=&quot;25140E84&quot;/&gt;&lt;wsp:rsid wsp:val=&quot;25145328&quot;/&gt;&lt;wsp:rsid wsp:val=&quot;25162E4E&quot;/&gt;&lt;wsp:rsid wsp:val=&quot;25184E18&quot;/&gt;&lt;wsp:rsid wsp:val=&quot;251946ED&quot;/&gt;&lt;wsp:rsid wsp:val=&quot;251B2213&quot;/&gt;&lt;wsp:rsid wsp:val=&quot;251C5778&quot;/&gt;&lt;wsp:rsid wsp:val=&quot;251D5F8B&quot;/&gt;&lt;wsp:rsid wsp:val=&quot;251D70E5&quot;/&gt;&lt;wsp:rsid wsp:val=&quot;252029B8&quot;/&gt;&lt;wsp:rsid wsp:val=&quot;25207829&quot;/&gt;&lt;wsp:rsid wsp:val=&quot;25213E48&quot;/&gt;&lt;wsp:rsid wsp:val=&quot;2526682A&quot;/&gt;&lt;wsp:rsid wsp:val=&quot;2527505B&quot;/&gt;&lt;wsp:rsid wsp:val=&quot;25276E09&quot;/&gt;&lt;wsp:rsid wsp:val=&quot;25284930&quot;/&gt;&lt;wsp:rsid wsp:val=&quot;252B4B4C&quot;/&gt;&lt;wsp:rsid wsp:val=&quot;252C2672&quot;/&gt;&lt;wsp:rsid wsp:val=&quot;252D53FE&quot;/&gt;&lt;wsp:rsid wsp:val=&quot;252E0198&quot;/&gt;&lt;wsp:rsid wsp:val=&quot;252E1F46&quot;/&gt;&lt;wsp:rsid wsp:val=&quot;252F5CBE&quot;/&gt;&lt;wsp:rsid wsp:val=&quot;25304E39&quot;/&gt;&lt;wsp:rsid wsp:val=&quot;25333A00&quot;/&gt;&lt;wsp:rsid wsp:val=&quot;253357AE&quot;/&gt;&lt;wsp:rsid wsp:val=&quot;2533755C&quot;/&gt;&lt;wsp:rsid wsp:val=&quot;25357778&quot;/&gt;&lt;wsp:rsid wsp:val=&quot;25382DC5&quot;/&gt;&lt;wsp:rsid wsp:val=&quot;253A4D8F&quot;/&gt;&lt;wsp:rsid wsp:val=&quot;253B2191&quot;/&gt;&lt;wsp:rsid wsp:val=&quot;253B28B5&quot;/&gt;&lt;wsp:rsid wsp:val=&quot;253C797D&quot;/&gt;&lt;wsp:rsid wsp:val=&quot;253D662D&quot;/&gt;&lt;wsp:rsid wsp:val=&quot;253F05F7&quot;/&gt;&lt;wsp:rsid wsp:val=&quot;253F4153&quot;/&gt;&lt;wsp:rsid wsp:val=&quot;2540170A&quot;/&gt;&lt;wsp:rsid wsp:val=&quot;25401C79&quot;/&gt;&lt;wsp:rsid wsp:val=&quot;25407ECB&quot;/&gt;&lt;wsp:rsid wsp:val=&quot;25421E95&quot;/&gt;&lt;wsp:rsid wsp:val=&quot;25453733&quot;/&gt;&lt;wsp:rsid wsp:val=&quot;254C6870&quot;/&gt;&lt;wsp:rsid wsp:val=&quot;254E0756&quot;/&gt;&lt;wsp:rsid wsp:val=&quot;254E25E8&quot;/&gt;&lt;wsp:rsid wsp:val=&quot;254F010E&quot;/&gt;&lt;wsp:rsid wsp:val=&quot;255046A7&quot;/&gt;&lt;wsp:rsid wsp:val=&quot;255120D8&quot;/&gt;&lt;wsp:rsid wsp:val=&quot;25513E86&quot;/&gt;&lt;wsp:rsid wsp:val=&quot;25537BFE&quot;/&gt;&lt;wsp:rsid wsp:val=&quot;25551BC9&quot;/&gt;&lt;wsp:rsid wsp:val=&quot;2556149D&quot;/&gt;&lt;wsp:rsid wsp:val=&quot;255641A7&quot;/&gt;&lt;wsp:rsid wsp:val=&quot;25565941&quot;/&gt;&lt;wsp:rsid wsp:val=&quot;255676EF&quot;/&gt;&lt;wsp:rsid wsp:val=&quot;25586A2F&quot;/&gt;&lt;wsp:rsid wsp:val=&quot;255A0F8D&quot;/&gt;&lt;wsp:rsid wsp:val=&quot;255B2F57&quot;/&gt;&lt;wsp:rsid wsp:val=&quot;255B4D05&quot;/&gt;&lt;wsp:rsid wsp:val=&quot;255D592E&quot;/&gt;&lt;wsp:rsid wsp:val=&quot;255F47F5&quot;/&gt;&lt;wsp:rsid wsp:val=&quot;25600F79&quot;/&gt;&lt;wsp:rsid wsp:val=&quot;256040C9&quot;/&gt;&lt;wsp:rsid wsp:val=&quot;256112DB&quot;/&gt;&lt;wsp:rsid wsp:val=&quot;256242E5&quot;/&gt;&lt;wsp:rsid wsp:val=&quot;25627E42&quot;/&gt;&lt;wsp:rsid wsp:val=&quot;256476B6&quot;/&gt;&lt;wsp:rsid wsp:val=&quot;2567514D&quot;/&gt;&lt;wsp:rsid wsp:val=&quot;25695674&quot;/&gt;&lt;wsp:rsid wsp:val=&quot;25697422&quot;/&gt;&lt;wsp:rsid wsp:val=&quot;256B7A37&quot;/&gt;&lt;wsp:rsid wsp:val=&quot;256C2A6E&quot;/&gt;&lt;wsp:rsid wsp:val=&quot;256C6F12&quot;/&gt;&lt;wsp:rsid wsp:val=&quot;256D6D51&quot;/&gt;&lt;wsp:rsid wsp:val=&quot;256E38EB&quot;/&gt;&lt;wsp:rsid wsp:val=&quot;256E4A38&quot;/&gt;&lt;wsp:rsid wsp:val=&quot;256E67E6&quot;/&gt;&lt;wsp:rsid wsp:val=&quot;256F255E&quot;/&gt;&lt;wsp:rsid wsp:val=&quot;25706A02&quot;/&gt;&lt;wsp:rsid wsp:val=&quot;25722260&quot;/&gt;&lt;wsp:rsid wsp:val=&quot;2572431F&quot;/&gt;&lt;wsp:rsid wsp:val=&quot;257302A1&quot;/&gt;&lt;wsp:rsid wsp:val=&quot;2573204F&quot;/&gt;&lt;wsp:rsid wsp:val=&quot;25733DFD&quot;/&gt;&lt;wsp:rsid wsp:val=&quot;25754019&quot;/&gt;&lt;wsp:rsid wsp:val=&quot;257858B7&quot;/&gt;&lt;wsp:rsid wsp:val=&quot;25787665&quot;/&gt;&lt;wsp:rsid wsp:val=&quot;257B0F03&quot;/&gt;&lt;wsp:rsid wsp:val=&quot;257F27A2&quot;/&gt;&lt;wsp:rsid wsp:val=&quot;257F6C45&quot;/&gt;&lt;wsp:rsid wsp:val=&quot;25826736&quot;/&gt;&lt;wsp:rsid wsp:val=&quot;25826799&quot;/&gt;&lt;wsp:rsid wsp:val=&quot;258424AE&quot;/&gt;&lt;wsp:rsid wsp:val=&quot;2584425C&quot;/&gt;&lt;wsp:rsid wsp:val=&quot;25880798&quot;/&gt;&lt;wsp:rsid wsp:val=&quot;25891872&quot;/&gt;&lt;wsp:rsid wsp:val=&quot;258B55EA&quot;/&gt;&lt;wsp:rsid wsp:val=&quot;258C0DDD&quot;/&gt;&lt;wsp:rsid wsp:val=&quot;258C59D8&quot;/&gt;&lt;wsp:rsid wsp:val=&quot;258D5C34&quot;/&gt;&lt;wsp:rsid wsp:val=&quot;258E6E89&quot;/&gt;&lt;wsp:rsid wsp:val=&quot;259049AF&quot;/&gt;&lt;wsp:rsid wsp:val=&quot;25910727&quot;/&gt;&lt;wsp:rsid wsp:val=&quot;259124D5&quot;/&gt;&lt;wsp:rsid wsp:val=&quot;259326F1&quot;/&gt;&lt;wsp:rsid wsp:val=&quot;2593449F&quot;/&gt;&lt;wsp:rsid wsp:val=&quot;2593624D&quot;/&gt;&lt;wsp:rsid wsp:val=&quot;259455FA&quot;/&gt;&lt;wsp:rsid wsp:val=&quot;25950217&quot;/&gt;&lt;wsp:rsid wsp:val=&quot;259721E1&quot;/&gt;&lt;wsp:rsid wsp:val=&quot;259B403D&quot;/&gt;&lt;wsp:rsid wsp:val=&quot;259C009E&quot;/&gt;&lt;wsp:rsid wsp:val=&quot;259C15A5&quot;/&gt;&lt;wsp:rsid wsp:val=&quot;259C77F7&quot;/&gt;&lt;wsp:rsid wsp:val=&quot;259D531E&quot;/&gt;&lt;wsp:rsid wsp:val=&quot;259E2E5A&quot;/&gt;&lt;wsp:rsid wsp:val=&quot;259F3E4E&quot;/&gt;&lt;wsp:rsid wsp:val=&quot;25A0096A&quot;/&gt;&lt;wsp:rsid wsp:val=&quot;25A052DE&quot;/&gt;&lt;wsp:rsid wsp:val=&quot;25A42208&quot;/&gt;&lt;wsp:rsid wsp:val=&quot;25A61866&quot;/&gt;&lt;wsp:rsid wsp:val=&quot;25A71CF8&quot;/&gt;&lt;wsp:rsid wsp:val=&quot;25A725E0&quot;/&gt;&lt;wsp:rsid wsp:val=&quot;25A769EE&quot;/&gt;&lt;wsp:rsid wsp:val=&quot;25A95A70&quot;/&gt;&lt;wsp:rsid wsp:val=&quot;25AB17E9&quot;/&gt;&lt;wsp:rsid wsp:val=&quot;25AB7A3A&quot;/&gt;&lt;wsp:rsid wsp:val=&quot;25AE3087&quot;/&gt;&lt;wsp:rsid wsp:val=&quot;25B12B77&quot;/&gt;&lt;wsp:rsid wsp:val=&quot;25B1777F&quot;/&gt;&lt;wsp:rsid wsp:val=&quot;25B82157&quot;/&gt;&lt;wsp:rsid wsp:val=&quot;25B849F4&quot;/&gt;&lt;wsp:rsid wsp:val=&quot;25BA7C7E&quot;/&gt;&lt;wsp:rsid wsp:val=&quot;25BC1C48&quot;/&gt;&lt;wsp:rsid wsp:val=&quot;25BC57A4&quot;/&gt;&lt;wsp:rsid wsp:val=&quot;25BF0E4C&quot;/&gt;&lt;wsp:rsid wsp:val=&quot;25C12DBA&quot;/&gt;&lt;wsp:rsid wsp:val=&quot;25C26B32&quot;/&gt;&lt;wsp:rsid wsp:val=&quot;25C32FD6&quot;/&gt;&lt;wsp:rsid wsp:val=&quot;25C4081F&quot;/&gt;&lt;wsp:rsid wsp:val=&quot;25C55B68&quot;/&gt;&lt;wsp:rsid wsp:val=&quot;25C61BC9&quot;/&gt;&lt;wsp:rsid wsp:val=&quot;25C66622&quot;/&gt;&lt;wsp:rsid wsp:val=&quot;25C77554&quot;/&gt;&lt;wsp:rsid wsp:val=&quot;25CB1E8B&quot;/&gt;&lt;wsp:rsid wsp:val=&quot;25CE197B&quot;/&gt;&lt;wsp:rsid wsp:val=&quot;25D23219&quot;/&gt;&lt;wsp:rsid wsp:val=&quot;25D24FC7&quot;/&gt;&lt;wsp:rsid wsp:val=&quot;25D30D3F&quot;/&gt;&lt;wsp:rsid wsp:val=&quot;25D56865&quot;/&gt;&lt;wsp:rsid wsp:val=&quot;25D61896&quot;/&gt;&lt;wsp:rsid wsp:val=&quot;25D93E01&quot;/&gt;&lt;wsp:rsid wsp:val=&quot;25DA20CE&quot;/&gt;&lt;wsp:rsid wsp:val=&quot;25DC295F&quot;/&gt;&lt;wsp:rsid wsp:val=&quot;25DC4098&quot;/&gt;&lt;wsp:rsid wsp:val=&quot;25E036D8&quot;/&gt;&lt;wsp:rsid wsp:val=&quot;25E1345C&quot;/&gt;&lt;wsp:rsid wsp:val=&quot;25E35426&quot;/&gt;&lt;wsp:rsid wsp:val=&quot;25E46AA9&quot;/&gt;&lt;wsp:rsid wsp:val=&quot;25E62821&quot;/&gt;&lt;wsp:rsid wsp:val=&quot;25E66CC5&quot;/&gt;&lt;wsp:rsid wsp:val=&quot;25E904C5&quot;/&gt;&lt;wsp:rsid wsp:val=&quot;25E90563&quot;/&gt;&lt;wsp:rsid wsp:val=&quot;25E940BF&quot;/&gt;&lt;wsp:rsid wsp:val=&quot;25EB42DB&quot;/&gt;&lt;wsp:rsid wsp:val=&quot;25EB5898&quot;/&gt;&lt;wsp:rsid wsp:val=&quot;25EB7E37&quot;/&gt;&lt;wsp:rsid wsp:val=&quot;25EC2D81&quot;/&gt;&lt;wsp:rsid wsp:val=&quot;25ED1E01&quot;/&gt;&lt;wsp:rsid wsp:val=&quot;25F24B85&quot;/&gt;&lt;wsp:rsid wsp:val=&quot;25F25669&quot;/&gt;&lt;wsp:rsid wsp:val=&quot;25F27417&quot;/&gt;&lt;wsp:rsid wsp:val=&quot;25F3318F&quot;/&gt;&lt;wsp:rsid wsp:val=&quot;25F34F1D&quot;/&gt;&lt;wsp:rsid wsp:val=&quot;25F36015&quot;/&gt;&lt;wsp:rsid wsp:val=&quot;25F43AB3&quot;/&gt;&lt;wsp:rsid wsp:val=&quot;25F52A64&quot;/&gt;&lt;wsp:rsid wsp:val=&quot;25F54C47&quot;/&gt;&lt;wsp:rsid wsp:val=&quot;25F5515A&quot;/&gt;&lt;wsp:rsid wsp:val=&quot;25F72C80&quot;/&gt;&lt;wsp:rsid wsp:val=&quot;25F82554&quot;/&gt;&lt;wsp:rsid wsp:val=&quot;25FC33D9&quot;/&gt;&lt;wsp:rsid wsp:val=&quot;25FC3DF2&quot;/&gt;&lt;wsp:rsid wsp:val=&quot;25FC7AAD&quot;/&gt;&lt;wsp:rsid wsp:val=&quot;25FD5DBC&quot;/&gt;&lt;wsp:rsid wsp:val=&quot;25FE400E&quot;/&gt;&lt;wsp:rsid wsp:val=&quot;260158AC&quot;/&gt;&lt;wsp:rsid wsp:val=&quot;2601765A&quot;/&gt;&lt;wsp:rsid wsp:val=&quot;26031625&quot;/&gt;&lt;wsp:rsid wsp:val=&quot;26040EF9&quot;/&gt;&lt;wsp:rsid wsp:val=&quot;2604714B&quot;/&gt;&lt;wsp:rsid wsp:val=&quot;260578BB&quot;/&gt;&lt;wsp:rsid wsp:val=&quot;2607705C&quot;/&gt;&lt;wsp:rsid wsp:val=&quot;26082FEA&quot;/&gt;&lt;wsp:rsid wsp:val=&quot;260B672B&quot;/&gt;&lt;wsp:rsid wsp:val=&quot;260D24A3&quot;/&gt;&lt;wsp:rsid wsp:val=&quot;260D4251&quot;/&gt;&lt;wsp:rsid wsp:val=&quot;260D5FFF&quot;/&gt;&lt;wsp:rsid wsp:val=&quot;26102CD7&quot;/&gt;&lt;wsp:rsid wsp:val=&quot;2610789E&quot;/&gt;&lt;wsp:rsid wsp:val=&quot;26121868&quot;/&gt;&lt;wsp:rsid wsp:val=&quot;26124F7C&quot;/&gt;&lt;wsp:rsid wsp:val=&quot;26151358&quot;/&gt;&lt;wsp:rsid wsp:val=&quot;26154EB4&quot;/&gt;&lt;wsp:rsid wsp:val=&quot;26163F80&quot;/&gt;&lt;wsp:rsid wsp:val=&quot;26192BF6&quot;/&gt;&lt;wsp:rsid wsp:val=&quot;261A3D6A&quot;/&gt;&lt;wsp:rsid wsp:val=&quot;261E020C&quot;/&gt;&lt;wsp:rsid wsp:val=&quot;261F093B&quot;/&gt;&lt;wsp:rsid wsp:val=&quot;26211093&quot;/&gt;&lt;wsp:rsid wsp:val=&quot;26233A75&quot;/&gt;&lt;wsp:rsid wsp:val=&quot;2624159B&quot;/&gt;&lt;wsp:rsid wsp:val=&quot;26246953&quot;/&gt;&lt;wsp:rsid wsp:val=&quot;26247A14&quot;/&gt;&lt;wsp:rsid wsp:val=&quot;26265313&quot;/&gt;&lt;wsp:rsid wsp:val=&quot;26273AE3&quot;/&gt;&lt;wsp:rsid wsp:val=&quot;26282E39&quot;/&gt;&lt;wsp:rsid wsp:val=&quot;26284BE7&quot;/&gt;&lt;wsp:rsid wsp:val=&quot;2629095F&quot;/&gt;&lt;wsp:rsid wsp:val=&quot;26296882&quot;/&gt;&lt;wsp:rsid wsp:val=&quot;262A4E03&quot;/&gt;&lt;wsp:rsid wsp:val=&quot;262B0B7B&quot;/&gt;&lt;wsp:rsid wsp:val=&quot;262D4649&quot;/&gt;&lt;wsp:rsid wsp:val=&quot;262E41C8&quot;/&gt;&lt;wsp:rsid wsp:val=&quot;262F4B27&quot;/&gt;&lt;wsp:rsid wsp:val=&quot;26301CEE&quot;/&gt;&lt;wsp:rsid wsp:val=&quot;26306192&quot;/&gt;&lt;wsp:rsid wsp:val=&quot;26311886&quot;/&gt;&lt;wsp:rsid wsp:val=&quot;263317DE&quot;/&gt;&lt;wsp:rsid wsp:val=&quot;26345C82&quot;/&gt;&lt;wsp:rsid wsp:val=&quot;26350999&quot;/&gt;&lt;wsp:rsid wsp:val=&quot;26355556&quot;/&gt;&lt;wsp:rsid wsp:val=&quot;2636186A&quot;/&gt;&lt;wsp:rsid wsp:val=&quot;263712CE&quot;/&gt;&lt;wsp:rsid wsp:val=&quot;2637307C&quot;/&gt;&lt;wsp:rsid wsp:val=&quot;263A491A&quot;/&gt;&lt;wsp:rsid wsp:val=&quot;263B64F1&quot;/&gt;&lt;wsp:rsid wsp:val=&quot;263B7010&quot;/&gt;&lt;wsp:rsid wsp:val=&quot;263C0693&quot;/&gt;&lt;wsp:rsid wsp:val=&quot;263C4B36&quot;/&gt;&lt;wsp:rsid wsp:val=&quot;263C68E5&quot;/&gt;&lt;wsp:rsid wsp:val=&quot;263F0183&quot;/&gt;&lt;wsp:rsid wsp:val=&quot;263F63D5&quot;/&gt;&lt;wsp:rsid wsp:val=&quot;26435EC5&quot;/&gt;&lt;wsp:rsid wsp:val=&quot;26437C73&quot;/&gt;&lt;wsp:rsid wsp:val=&quot;26446FFE&quot;/&gt;&lt;wsp:rsid wsp:val=&quot;264834DB&quot;/&gt;&lt;wsp:rsid wsp:val=&quot;264D28A0&quot;/&gt;&lt;wsp:rsid wsp:val=&quot;264D464E&quot;/&gt;&lt;wsp:rsid wsp:val=&quot;264D6D44&quot;/&gt;&lt;wsp:rsid wsp:val=&quot;264E00B0&quot;/&gt;&lt;wsp:rsid wsp:val=&quot;264E342E&quot;/&gt;&lt;wsp:rsid wsp:val=&quot;264F6618&quot;/&gt;&lt;wsp:rsid wsp:val=&quot;265005E2&quot;/&gt;&lt;wsp:rsid wsp:val=&quot;2650413E&quot;/&gt;&lt;wsp:rsid wsp:val=&quot;26543C2E&quot;/&gt;&lt;wsp:rsid wsp:val=&quot;26555BF8&quot;/&gt;&lt;wsp:rsid wsp:val=&quot;26575474&quot;/&gt;&lt;wsp:rsid wsp:val=&quot;26591245&quot;/&gt;&lt;wsp:rsid wsp:val=&quot;265956E8&quot;/&gt;&lt;wsp:rsid wsp:val=&quot;265D4AA1&quot;/&gt;&lt;wsp:rsid wsp:val=&quot;265E17FF&quot;/&gt;&lt;wsp:rsid wsp:val=&quot;265E685B&quot;/&gt;&lt;wsp:rsid wsp:val=&quot;266100F9&quot;/&gt;&lt;wsp:rsid wsp:val=&quot;2661459D&quot;/&gt;&lt;wsp:rsid wsp:val=&quot;26622587&quot;/&gt;&lt;wsp:rsid wsp:val=&quot;26627EDE&quot;/&gt;&lt;wsp:rsid wsp:val=&quot;26633A17&quot;/&gt;&lt;wsp:rsid wsp:val=&quot;26633E71&quot;/&gt;&lt;wsp:rsid wsp:val=&quot;26642ABF&quot;/&gt;&lt;wsp:rsid wsp:val=&quot;26643BF2&quot;/&gt;&lt;wsp:rsid wsp:val=&quot;26647BE9&quot;/&gt;&lt;wsp:rsid wsp:val=&quot;2665408D&quot;/&gt;&lt;wsp:rsid wsp:val=&quot;26663961&quot;/&gt;&lt;wsp:rsid wsp:val=&quot;26667E05&quot;/&gt;&lt;wsp:rsid wsp:val=&quot;26667F9E&quot;/&gt;&lt;wsp:rsid wsp:val=&quot;26676DC9&quot;/&gt;&lt;wsp:rsid wsp:val=&quot;26681488&quot;/&gt;&lt;wsp:rsid wsp:val=&quot;2668592C&quot;/&gt;&lt;wsp:rsid wsp:val=&quot;266A3452&quot;/&gt;&lt;wsp:rsid wsp:val=&quot;266B0F78&quot;/&gt;&lt;wsp:rsid wsp:val=&quot;266D2F42&quot;/&gt;&lt;wsp:rsid wsp:val=&quot;266D4CF0&quot;/&gt;&lt;wsp:rsid wsp:val=&quot;266F6CBA&quot;/&gt;&lt;wsp:rsid wsp:val=&quot;267047E0&quot;/&gt;&lt;wsp:rsid wsp:val=&quot;2670658E&quot;/&gt;&lt;wsp:rsid wsp:val=&quot;26712A32&quot;/&gt;&lt;wsp:rsid wsp:val=&quot;2672207C&quot;/&gt;&lt;wsp:rsid wsp:val=&quot;267267AA&quot;/&gt;&lt;wsp:rsid wsp:val=&quot;2674499C&quot;/&gt;&lt;wsp:rsid wsp:val=&quot;26751385&quot;/&gt;&lt;wsp:rsid wsp:val=&quot;26760048&quot;/&gt;&lt;wsp:rsid wsp:val=&quot;26775B6F&quot;/&gt;&lt;wsp:rsid wsp:val=&quot;267775BA&quot;/&gt;&lt;wsp:rsid wsp:val=&quot;2678103A&quot;/&gt;&lt;wsp:rsid wsp:val=&quot;267B1C9E&quot;/&gt;&lt;wsp:rsid wsp:val=&quot;267D4C70&quot;/&gt;&lt;wsp:rsid wsp:val=&quot;267E514F&quot;/&gt;&lt;wsp:rsid wsp:val=&quot;267E6EFD&quot;/&gt;&lt;wsp:rsid wsp:val=&quot;26802C75&quot;/&gt;&lt;wsp:rsid wsp:val=&quot;26804A23&quot;/&gt;&lt;wsp:rsid wsp:val=&quot;26805352&quot;/&gt;&lt;wsp:rsid wsp:val=&quot;26810235&quot;/&gt;&lt;wsp:rsid wsp:val=&quot;26833001&quot;/&gt;&lt;wsp:rsid wsp:val=&quot;26834513&quot;/&gt;&lt;wsp:rsid wsp:val=&quot;26842FEA&quot;/&gt;&lt;wsp:rsid wsp:val=&quot;2685028B&quot;/&gt;&lt;wsp:rsid wsp:val=&quot;2685203A&quot;/&gt;&lt;wsp:rsid wsp:val=&quot;26864004&quot;/&gt;&lt;wsp:rsid wsp:val=&quot;26871982&quot;/&gt;&lt;wsp:rsid wsp:val=&quot;26887D7C&quot;/&gt;&lt;wsp:rsid wsp:val=&quot;26890114&quot;/&gt;&lt;wsp:rsid wsp:val=&quot;268A0303&quot;/&gt;&lt;wsp:rsid wsp:val=&quot;268A7650&quot;/&gt;&lt;wsp:rsid wsp:val=&quot;268B1793&quot;/&gt;&lt;wsp:rsid wsp:val=&quot;268C786C&quot;/&gt;&lt;wsp:rsid wsp:val=&quot;268E7D4E&quot;/&gt;&lt;wsp:rsid wsp:val=&quot;268F4C66&quot;/&gt;&lt;wsp:rsid wsp:val=&quot;26920BFA&quot;/&gt;&lt;wsp:rsid wsp:val=&quot;26926577&quot;/&gt;&lt;wsp:rsid wsp:val=&quot;26926958&quot;/&gt;&lt;wsp:rsid wsp:val=&quot;269404CF&quot;/&gt;&lt;wsp:rsid wsp:val=&quot;269432A2&quot;/&gt;&lt;wsp:rsid wsp:val=&quot;269621FC&quot;/&gt;&lt;wsp:rsid wsp:val=&quot;26971D6D&quot;/&gt;&lt;wsp:rsid wsp:val=&quot;26984D6C&quot;/&gt;&lt;wsp:rsid wsp:val=&quot;26992656&quot;/&gt;&lt;wsp:rsid wsp:val=&quot;269A2E50&quot;/&gt;&lt;wsp:rsid wsp:val=&quot;269A47EB&quot;/&gt;&lt;wsp:rsid wsp:val=&quot;269B185D&quot;/&gt;&lt;wsp:rsid wsp:val=&quot;269E759F&quot;/&gt;&lt;wsp:rsid wsp:val=&quot;269E75BC&quot;/&gt;&lt;wsp:rsid wsp:val=&quot;269F2B0B&quot;/&gt;&lt;wsp:rsid wsp:val=&quot;26A06E73&quot;/&gt;&lt;wsp:rsid wsp:val=&quot;26A12BEB&quot;/&gt;&lt;wsp:rsid wsp:val=&quot;26A1499A&quot;/&gt;&lt;wsp:rsid wsp:val=&quot;26A34BB6&quot;/&gt;&lt;wsp:rsid wsp:val=&quot;26A5092E&quot;/&gt;&lt;wsp:rsid wsp:val=&quot;26A61FB0&quot;/&gt;&lt;wsp:rsid wsp:val=&quot;26A76454&quot;/&gt;&lt;wsp:rsid wsp:val=&quot;26A85D28&quot;/&gt;&lt;wsp:rsid wsp:val=&quot;26AA35DB&quot;/&gt;&lt;wsp:rsid wsp:val=&quot;26AB75C6&quot;/&gt;&lt;wsp:rsid wsp:val=&quot;26AF0EEB&quot;/&gt;&lt;wsp:rsid wsp:val=&quot;26B172D2&quot;/&gt;&lt;wsp:rsid wsp:val=&quot;26B20955&quot;/&gt;&lt;wsp:rsid wsp:val=&quot;26B26BA7&quot;/&gt;&lt;wsp:rsid wsp:val=&quot;26B3099F&quot;/&gt;&lt;wsp:rsid wsp:val=&quot;26B50445&quot;/&gt;&lt;wsp:rsid wsp:val=&quot;26B53A57&quot;/&gt;&lt;wsp:rsid wsp:val=&quot;26B75F6B&quot;/&gt;&lt;wsp:rsid wsp:val=&quot;26B801BD&quot;/&gt;&lt;wsp:rsid wsp:val=&quot;26B8182B&quot;/&gt;&lt;wsp:rsid wsp:val=&quot;26B818B1&quot;/&gt;&lt;wsp:rsid wsp:val=&quot;26B91CE3&quot;/&gt;&lt;wsp:rsid wsp:val=&quot;26B96187&quot;/&gt;&lt;wsp:rsid wsp:val=&quot;26BA5B8F&quot;/&gt;&lt;wsp:rsid wsp:val=&quot;26BB5A5B&quot;/&gt;&lt;wsp:rsid wsp:val=&quot;26BC17D3&quot;/&gt;&lt;wsp:rsid wsp:val=&quot;26BC2B51&quot;/&gt;&lt;wsp:rsid wsp:val=&quot;26BC6698&quot;/&gt;&lt;wsp:rsid wsp:val=&quot;26BD5C77&quot;/&gt;&lt;wsp:rsid wsp:val=&quot;26BE554B&quot;/&gt;&lt;wsp:rsid wsp:val=&quot;26C1503C&quot;/&gt;&lt;wsp:rsid wsp:val=&quot;26C3701B&quot;/&gt;&lt;wsp:rsid wsp:val=&quot;26C54B2C&quot;/&gt;&lt;wsp:rsid wsp:val=&quot;26CA0394&quot;/&gt;&lt;wsp:rsid wsp:val=&quot;26CC38C1&quot;/&gt;&lt;wsp:rsid wsp:val=&quot;26CC5EBA&quot;/&gt;&lt;wsp:rsid wsp:val=&quot;26CD1C32&quot;/&gt;&lt;wsp:rsid wsp:val=&quot;26CF59AB&quot;/&gt;&lt;wsp:rsid wsp:val=&quot;26CF7759&quot;/&gt;&lt;wsp:rsid wsp:val=&quot;26D07EC7&quot;/&gt;&lt;wsp:rsid wsp:val=&quot;26D11723&quot;/&gt;&lt;wsp:rsid wsp:val=&quot;26D20FF7&quot;/&gt;&lt;wsp:rsid wsp:val=&quot;26D22DA5&quot;/&gt;&lt;wsp:rsid wsp:val=&quot;26D3779C&quot;/&gt;&lt;wsp:rsid wsp:val=&quot;26D44D6F&quot;/&gt;&lt;wsp:rsid wsp:val=&quot;26D625F8&quot;/&gt;&lt;wsp:rsid wsp:val=&quot;26D66D39&quot;/&gt;&lt;wsp:rsid wsp:val=&quot;26D905D7&quot;/&gt;&lt;wsp:rsid wsp:val=&quot;26D92385&quot;/&gt;&lt;wsp:rsid wsp:val=&quot;26D97AE9&quot;/&gt;&lt;wsp:rsid wsp:val=&quot;26DA78A1&quot;/&gt;&lt;wsp:rsid wsp:val=&quot;26DB434F&quot;/&gt;&lt;wsp:rsid wsp:val=&quot;26DD00C8&quot;/&gt;&lt;wsp:rsid wsp:val=&quot;26DD2094&quot;/&gt;&lt;wsp:rsid wsp:val=&quot;26DE5BEE&quot;/&gt;&lt;wsp:rsid wsp:val=&quot;26DE799C&quot;/&gt;&lt;wsp:rsid wsp:val=&quot;26DF4B02&quot;/&gt;&lt;wsp:rsid wsp:val=&quot;26E10E4C&quot;/&gt;&lt;wsp:rsid wsp:val=&quot;26E11D97&quot;/&gt;&lt;wsp:rsid wsp:val=&quot;26E1248B&quot;/&gt;&lt;wsp:rsid wsp:val=&quot;26E20A62&quot;/&gt;&lt;wsp:rsid wsp:val=&quot;26E2106F&quot;/&gt;&lt;wsp:rsid wsp:val=&quot;26E222DC&quot;/&gt;&lt;wsp:rsid wsp:val=&quot;26E2748C&quot;/&gt;&lt;wsp:rsid wsp:val=&quot;26E36D60&quot;/&gt;&lt;wsp:rsid wsp:val=&quot;26E50D2A&quot;/&gt;&lt;wsp:rsid wsp:val=&quot;26E52AD8&quot;/&gt;&lt;wsp:rsid wsp:val=&quot;26E8081A&quot;/&gt;&lt;wsp:rsid wsp:val=&quot;26EA0A6E&quot;/&gt;&lt;wsp:rsid wsp:val=&quot;26EB3E67&quot;/&gt;&lt;wsp:rsid wsp:val=&quot;26EB6016&quot;/&gt;&lt;wsp:rsid wsp:val=&quot;26EF3957&quot;/&gt;&lt;wsp:rsid wsp:val=&quot;26EF3ACE&quot;/&gt;&lt;wsp:rsid wsp:val=&quot;26EF7DFB&quot;/&gt;&lt;wsp:rsid wsp:val=&quot;26F0218F&quot;/&gt;&lt;wsp:rsid wsp:val=&quot;26F15921&quot;/&gt;&lt;wsp:rsid wsp:val=&quot;26F251F5&quot;/&gt;&lt;wsp:rsid wsp:val=&quot;26F64CE5&quot;/&gt;&lt;wsp:rsid wsp:val=&quot;26F6767D&quot;/&gt;&lt;wsp:rsid wsp:val=&quot;26F70A5D&quot;/&gt;&lt;wsp:rsid wsp:val=&quot;26F7280B&quot;/&gt;&lt;wsp:rsid wsp:val=&quot;26F86CAF&quot;/&gt;&lt;wsp:rsid wsp:val=&quot;26FA33AF&quot;/&gt;&lt;wsp:rsid wsp:val=&quot;26FA7EC6&quot;/&gt;&lt;wsp:rsid wsp:val=&quot;26FB054E&quot;/&gt;&lt;wsp:rsid wsp:val=&quot;26FB22FC&quot;/&gt;&lt;wsp:rsid wsp:val=&quot;26FB45C4&quot;/&gt;&lt;wsp:rsid wsp:val=&quot;26FC6074&quot;/&gt;&lt;wsp:rsid wsp:val=&quot;26FD3D8F&quot;/&gt;&lt;wsp:rsid wsp:val=&quot;26FE2E1D&quot;/&gt;&lt;wsp:rsid wsp:val=&quot;26FF43D5&quot;/&gt;&lt;wsp:rsid wsp:val=&quot;2702368A&quot;/&gt;&lt;wsp:rsid wsp:val=&quot;27024548&quot;/&gt;&lt;wsp:rsid wsp:val=&quot;270311B0&quot;/&gt;&lt;wsp:rsid wsp:val=&quot;2705317A&quot;/&gt;&lt;wsp:rsid wsp:val=&quot;27070CA1&quot;/&gt;&lt;wsp:rsid wsp:val=&quot;27072B67&quot;/&gt;&lt;wsp:rsid wsp:val=&quot;27075144&quot;/&gt;&lt;wsp:rsid wsp:val=&quot;270A0791&quot;/&gt;&lt;wsp:rsid wsp:val=&quot;270A253F&quot;/&gt;&lt;wsp:rsid wsp:val=&quot;270B3494&quot;/&gt;&lt;wsp:rsid wsp:val=&quot;270C62B7&quot;/&gt;&lt;wsp:rsid wsp:val=&quot;270D202F&quot;/&gt;&lt;wsp:rsid wsp:val=&quot;270D32BD&quot;/&gt;&lt;wsp:rsid wsp:val=&quot;270E20AE&quot;/&gt;&lt;wsp:rsid wsp:val=&quot;270F3ECA&quot;/&gt;&lt;wsp:rsid wsp:val=&quot;27100E1A&quot;/&gt;&lt;wsp:rsid wsp:val=&quot;2714225E&quot;/&gt;&lt;wsp:rsid wsp:val=&quot;271433BD&quot;/&gt;&lt;wsp:rsid wsp:val=&quot;27165388&quot;/&gt;&lt;wsp:rsid wsp:val=&quot;27167136&quot;/&gt;&lt;wsp:rsid wsp:val=&quot;27182EAE&quot;/&gt;&lt;wsp:rsid wsp:val=&quot;271909D4&quot;/&gt;&lt;wsp:rsid wsp:val=&quot;271D04C4&quot;/&gt;&lt;wsp:rsid wsp:val=&quot;271D6716&quot;/&gt;&lt;wsp:rsid wsp:val=&quot;271F3365&quot;/&gt;&lt;wsp:rsid wsp:val=&quot;2720227E&quot;/&gt;&lt;wsp:rsid wsp:val=&quot;27207FB4&quot;/&gt;&lt;wsp:rsid wsp:val=&quot;27220FDE&quot;/&gt;&lt;wsp:rsid wsp:val=&quot;2724208F&quot;/&gt;&lt;wsp:rsid wsp:val=&quot;2725381D&quot;/&gt;&lt;wsp:rsid wsp:val=&quot;27266572&quot;/&gt;&lt;wsp:rsid wsp:val=&quot;27276D3D&quot;/&gt;&lt;wsp:rsid wsp:val=&quot;27277595&quot;/&gt;&lt;wsp:rsid wsp:val=&quot;27286E69&quot;/&gt;&lt;wsp:rsid wsp:val=&quot;272A498F&quot;/&gt;&lt;wsp:rsid wsp:val=&quot;272D33E5&quot;/&gt;&lt;wsp:rsid wsp:val=&quot;27313F6F&quot;/&gt;&lt;wsp:rsid wsp:val=&quot;27321A96&quot;/&gt;&lt;wsp:rsid wsp:val=&quot;27337CE7&quot;/&gt;&lt;wsp:rsid wsp:val=&quot;27343A60&quot;/&gt;&lt;wsp:rsid wsp:val=&quot;2734580E&quot;/&gt;&lt;wsp:rsid wsp:val=&quot;27361586&quot;/&gt;&lt;wsp:rsid wsp:val=&quot;27391076&quot;/&gt;&lt;wsp:rsid wsp:val=&quot;27392E24&quot;/&gt;&lt;wsp:rsid wsp:val=&quot;27394565&quot;/&gt;&lt;wsp:rsid wsp:val=&quot;273A18F4&quot;/&gt;&lt;wsp:rsid wsp:val=&quot;273A72C8&quot;/&gt;&lt;wsp:rsid wsp:val=&quot;273B094A&quot;/&gt;&lt;wsp:rsid wsp:val=&quot;273B6B9C&quot;/&gt;&lt;wsp:rsid wsp:val=&quot;273D2914&quot;/&gt;&lt;wsp:rsid wsp:val=&quot;273D46C2&quot;/&gt;&lt;wsp:rsid wsp:val=&quot;273E043A&quot;/&gt;&lt;wsp:rsid wsp:val=&quot;273E668C&quot;/&gt;&lt;wsp:rsid wsp:val=&quot;273F48DE&quot;/&gt;&lt;wsp:rsid wsp:val=&quot;27402404&quot;/&gt;&lt;wsp:rsid wsp:val=&quot;274134AA&quot;/&gt;&lt;wsp:rsid wsp:val=&quot;274243CE&quot;/&gt;&lt;wsp:rsid wsp:val=&quot;27424B60&quot;/&gt;&lt;wsp:rsid wsp:val=&quot;27427F2B&quot;/&gt;&lt;wsp:rsid wsp:val=&quot;274301E8&quot;/&gt;&lt;wsp:rsid wsp:val=&quot;27433CA3&quot;/&gt;&lt;wsp:rsid wsp:val=&quot;27435A51&quot;/&gt;&lt;wsp:rsid wsp:val=&quot;27436AA7&quot;/&gt;&lt;wsp:rsid wsp:val=&quot;27441678&quot;/&gt;&lt;wsp:rsid wsp:val=&quot;274A3283&quot;/&gt;&lt;wsp:rsid wsp:val=&quot;274A5031&quot;/&gt;&lt;wsp:rsid wsp:val=&quot;274A634F&quot;/&gt;&lt;wsp:rsid wsp:val=&quot;274B7E0A&quot;/&gt;&lt;wsp:rsid wsp:val=&quot;274C0DA9&quot;/&gt;&lt;wsp:rsid wsp:val=&quot;274C2B57&quot;/&gt;&lt;wsp:rsid wsp:val=&quot;274C6FFB&quot;/&gt;&lt;wsp:rsid wsp:val=&quot;274E2D73&quot;/&gt;&lt;wsp:rsid wsp:val=&quot;274E68CF&quot;/&gt;&lt;wsp:rsid wsp:val=&quot;274F505D&quot;/&gt;&lt;wsp:rsid wsp:val=&quot;275066B9&quot;/&gt;&lt;wsp:rsid wsp:val=&quot;27507C1B&quot;/&gt;&lt;wsp:rsid wsp:val=&quot;27513C7C&quot;/&gt;&lt;wsp:rsid wsp:val=&quot;27514612&quot;/&gt;&lt;wsp:rsid wsp:val=&quot;27533EE6&quot;/&gt;&lt;wsp:rsid wsp:val=&quot;27541A0C&quot;/&gt;&lt;wsp:rsid wsp:val=&quot;27545EB0&quot;/&gt;&lt;wsp:rsid wsp:val=&quot;275814FC&quot;/&gt;&lt;wsp:rsid wsp:val=&quot;275859A0&quot;/&gt;&lt;wsp:rsid wsp:val=&quot;27594FDF&quot;/&gt;&lt;wsp:rsid wsp:val=&quot;275A1718&quot;/&gt;&lt;wsp:rsid wsp:val=&quot;275A34C6&quot;/&gt;&lt;wsp:rsid wsp:val=&quot;275B304F&quot;/&gt;&lt;wsp:rsid wsp:val=&quot;275D2FB6&quot;/&gt;&lt;wsp:rsid wsp:val=&quot;275D3041&quot;/&gt;&lt;wsp:rsid wsp:val=&quot;27604855&quot;/&gt;&lt;wsp:rsid wsp:val=&quot;27607710&quot;/&gt;&lt;wsp:rsid wsp:val=&quot;276205CD&quot;/&gt;&lt;wsp:rsid wsp:val=&quot;27644345&quot;/&gt;&lt;wsp:rsid wsp:val=&quot;276A122F&quot;/&gt;&lt;wsp:rsid wsp:val=&quot;276A3840&quot;/&gt;&lt;wsp:rsid wsp:val=&quot;276E31A4&quot;/&gt;&lt;wsp:rsid wsp:val=&quot;276E51C4&quot;/&gt;&lt;wsp:rsid wsp:val=&quot;277057A2&quot;/&gt;&lt;wsp:rsid wsp:val=&quot;27706FB8&quot;/&gt;&lt;wsp:rsid wsp:val=&quot;27710810&quot;/&gt;&lt;wsp:rsid wsp:val=&quot;277125BE&quot;/&gt;&lt;wsp:rsid wsp:val=&quot;27726DC1&quot;/&gt;&lt;wsp:rsid wsp:val=&quot;27750300&quot;/&gt;&lt;wsp:rsid wsp:val=&quot;27753077&quot;/&gt;&lt;wsp:rsid wsp:val=&quot;27761936&quot;/&gt;&lt;wsp:rsid wsp:val=&quot;27765E26&quot;/&gt;&lt;wsp:rsid wsp:val=&quot;27791C52&quot;/&gt;&lt;wsp:rsid wsp:val=&quot;277A5916&quot;/&gt;&lt;wsp:rsid wsp:val=&quot;277B343D&quot;/&gt;&lt;wsp:rsid wsp:val=&quot;277B51EB&quot;/&gt;&lt;wsp:rsid wsp:val=&quot;277B6EE9&quot;/&gt;&lt;wsp:rsid wsp:val=&quot;277D0F63&quot;/&gt;&lt;wsp:rsid wsp:val=&quot;277D1E1B&quot;/&gt;&lt;wsp:rsid wsp:val=&quot;27800A53&quot;/&gt;&lt;wsp:rsid wsp:val=&quot;27802801&quot;/&gt;&lt;wsp:rsid wsp:val=&quot;27822A1D&quot;/&gt;&lt;wsp:rsid wsp:val=&quot;278241EB&quot;/&gt;&lt;wsp:rsid wsp:val=&quot;278247CB&quot;/&gt;&lt;wsp:rsid wsp:val=&quot;27856069&quot;/&gt;&lt;wsp:rsid wsp:val=&quot;27857F9B&quot;/&gt;&lt;wsp:rsid wsp:val=&quot;27893DAB&quot;/&gt;&lt;wsp:rsid wsp:val=&quot;27897806&quot;/&gt;&lt;wsp:rsid wsp:val=&quot;278A18D2&quot;/&gt;&lt;wsp:rsid wsp:val=&quot;278B7B24&quot;/&gt;&lt;wsp:rsid wsp:val=&quot;278B7D5D&quot;/&gt;&lt;wsp:rsid wsp:val=&quot;278C389C&quot;/&gt;&lt;wsp:rsid wsp:val=&quot;278C73F8&quot;/&gt;&lt;wsp:rsid wsp:val=&quot;278E4F1E&quot;/&gt;&lt;wsp:rsid wsp:val=&quot;279029B7&quot;/&gt;&lt;wsp:rsid wsp:val=&quot;2790513A&quot;/&gt;&lt;wsp:rsid wsp:val=&quot;2792259F&quot;/&gt;&lt;wsp:rsid wsp:val=&quot;27952750&quot;/&gt;&lt;wsp:rsid wsp:val=&quot;27966247&quot;/&gt;&lt;wsp:rsid wsp:val=&quot;279664C8&quot;/&gt;&lt;wsp:rsid wsp:val=&quot;27983FEE&quot;/&gt;&lt;wsp:rsid wsp:val=&quot;279A1B15&quot;/&gt;&lt;wsp:rsid wsp:val=&quot;279A2500&quot;/&gt;&lt;wsp:rsid wsp:val=&quot;279B763B&quot;/&gt;&lt;wsp:rsid wsp:val=&quot;279C473B&quot;/&gt;&lt;wsp:rsid wsp:val=&quot;279D1605&quot;/&gt;&lt;wsp:rsid wsp:val=&quot;279D6E90&quot;/&gt;&lt;wsp:rsid wsp:val=&quot;279D7F0B&quot;/&gt;&lt;wsp:rsid wsp:val=&quot;279F3713&quot;/&gt;&lt;wsp:rsid wsp:val=&quot;279F712B&quot;/&gt;&lt;wsp:rsid wsp:val=&quot;27A02EA3&quot;/&gt;&lt;wsp:rsid wsp:val=&quot;27A17CA4&quot;/&gt;&lt;wsp:rsid wsp:val=&quot;27A22094&quot;/&gt;&lt;wsp:rsid wsp:val=&quot;27A44741&quot;/&gt;&lt;wsp:rsid wsp:val=&quot;27A612A3&quot;/&gt;&lt;wsp:rsid wsp:val=&quot;27A61EA5&quot;/&gt;&lt;wsp:rsid wsp:val=&quot;27A6670B&quot;/&gt;&lt;wsp:rsid wsp:val=&quot;27A74232&quot;/&gt;&lt;wsp:rsid wsp:val=&quot;27A97FAA&quot;/&gt;&lt;wsp:rsid wsp:val=&quot;27AB1F74&quot;/&gt;&lt;wsp:rsid wsp:val=&quot;27AB3D22&quot;/&gt;&lt;wsp:rsid wsp:val=&quot;27AB7DE0&quot;/&gt;&lt;wsp:rsid wsp:val=&quot;27AC35F6&quot;/&gt;&lt;wsp:rsid wsp:val=&quot;27AC5CEC&quot;/&gt;&lt;wsp:rsid wsp:val=&quot;27AE3812&quot;/&gt;&lt;wsp:rsid wsp:val=&quot;27AE736E&quot;/&gt;&lt;wsp:rsid wsp:val=&quot;27AF1AC7&quot;/&gt;&lt;wsp:rsid wsp:val=&quot;27AF30E6&quot;/&gt;&lt;wsp:rsid wsp:val=&quot;27B02F57&quot;/&gt;&lt;wsp:rsid wsp:val=&quot;27B04698&quot;/&gt;&lt;wsp:rsid wsp:val=&quot;27B0758A&quot;/&gt;&lt;wsp:rsid wsp:val=&quot;27B0795B&quot;/&gt;&lt;wsp:rsid wsp:val=&quot;27B106F9&quot;/&gt;&lt;wsp:rsid wsp:val=&quot;27B16194&quot;/&gt;&lt;wsp:rsid wsp:val=&quot;27B32BD6&quot;/&gt;&lt;wsp:rsid wsp:val=&quot;27B626C7&quot;/&gt;&lt;wsp:rsid wsp:val=&quot;27B66DC9&quot;/&gt;&lt;wsp:rsid wsp:val=&quot;27B84691&quot;/&gt;&lt;wsp:rsid wsp:val=&quot;27BA21B7&quot;/&gt;&lt;wsp:rsid wsp:val=&quot;27BB2F34&quot;/&gt;&lt;wsp:rsid wsp:val=&quot;27BB7CDD&quot;/&gt;&lt;wsp:rsid wsp:val=&quot;27BC580C&quot;/&gt;&lt;wsp:rsid wsp:val=&quot;27BC723E&quot;/&gt;&lt;wsp:rsid wsp:val=&quot;27BD2B44&quot;/&gt;&lt;wsp:rsid wsp:val=&quot;27BD5803&quot;/&gt;&lt;wsp:rsid wsp:val=&quot;27BF77CD&quot;/&gt;&lt;wsp:rsid wsp:val=&quot;27C052F3&quot;/&gt;&lt;wsp:rsid wsp:val=&quot;27C2106B&quot;/&gt;&lt;wsp:rsid wsp:val=&quot;27C22E19&quot;/&gt;&lt;wsp:rsid wsp:val=&quot;27C27F3D&quot;/&gt;&lt;wsp:rsid wsp:val=&quot;27C35E3F&quot;/&gt;&lt;wsp:rsid wsp:val=&quot;27C43F9E&quot;/&gt;&lt;wsp:rsid wsp:val=&quot;27C46B92&quot;/&gt;&lt;wsp:rsid wsp:val=&quot;27C546B8&quot;/&gt;&lt;wsp:rsid wsp:val=&quot;27C941A8&quot;/&gt;&lt;wsp:rsid wsp:val=&quot;27CB0FB5&quot;/&gt;&lt;wsp:rsid wsp:val=&quot;27CC3C98&quot;/&gt;&lt;wsp:rsid wsp:val=&quot;27CE17BE&quot;/&gt;&lt;wsp:rsid wsp:val=&quot;27CE5C62&quot;/&gt;&lt;wsp:rsid wsp:val=&quot;27D17500&quot;/&gt;&lt;wsp:rsid wsp:val=&quot;27D2015E&quot;/&gt;&lt;wsp:rsid wsp:val=&quot;27D35027&quot;/&gt;&lt;wsp:rsid wsp:val=&quot;27D549D1&quot;/&gt;&lt;wsp:rsid wsp:val=&quot;27D8263D&quot;/&gt;&lt;wsp:rsid wsp:val=&quot;27D8568C&quot;/&gt;&lt;wsp:rsid wsp:val=&quot;27D86AE1&quot;/&gt;&lt;wsp:rsid wsp:val=&quot;27DA4607&quot;/&gt;&lt;wsp:rsid wsp:val=&quot;27DA63B5&quot;/&gt;&lt;wsp:rsid wsp:val=&quot;27DD5EA5&quot;/&gt;&lt;wsp:rsid wsp:val=&quot;27DF1C1D&quot;/&gt;&lt;wsp:rsid wsp:val=&quot;27DF39CB&quot;/&gt;&lt;wsp:rsid wsp:val=&quot;27DF5779&quot;/&gt;&lt;wsp:rsid wsp:val=&quot;27E014F2&quot;/&gt;&lt;wsp:rsid wsp:val=&quot;27E15995&quot;/&gt;&lt;wsp:rsid wsp:val=&quot;27E20E2A&quot;/&gt;&lt;wsp:rsid wsp:val=&quot;27E234BC&quot;/&gt;&lt;wsp:rsid wsp:val=&quot;27E4630B&quot;/&gt;&lt;wsp:rsid wsp:val=&quot;27E61651&quot;/&gt;&lt;wsp:rsid wsp:val=&quot;27E70AD2&quot;/&gt;&lt;wsp:rsid wsp:val=&quot;27E82557&quot;/&gt;&lt;wsp:rsid wsp:val=&quot;27EB2370&quot;/&gt;&lt;wsp:rsid wsp:val=&quot;27F07987&quot;/&gt;&lt;wsp:rsid wsp:val=&quot;27F12FBB&quot;/&gt;&lt;wsp:rsid wsp:val=&quot;27F136FF&quot;/&gt;&lt;wsp:rsid wsp:val=&quot;27F154AD&quot;/&gt;&lt;wsp:rsid wsp:val=&quot;27F27A1F&quot;/&gt;&lt;wsp:rsid wsp:val=&quot;27F37477&quot;/&gt;&lt;wsp:rsid wsp:val=&quot;27F4323D&quot;/&gt;&lt;wsp:rsid wsp:val=&quot;27F531EF&quot;/&gt;&lt;wsp:rsid wsp:val=&quot;27F57BD6&quot;/&gt;&lt;wsp:rsid wsp:val=&quot;27F751B9&quot;/&gt;&lt;wsp:rsid wsp:val=&quot;27F84A8D&quot;/&gt;&lt;wsp:rsid wsp:val=&quot;27F90751&quot;/&gt;&lt;wsp:rsid wsp:val=&quot;27FA6A57&quot;/&gt;&lt;wsp:rsid wsp:val=&quot;27FC27CF&quot;/&gt;&lt;wsp:rsid wsp:val=&quot;27FC2C9F&quot;/&gt;&lt;wsp:rsid wsp:val=&quot;27FC632B&quot;/&gt;&lt;wsp:rsid wsp:val=&quot;27FD6419&quot;/&gt;&lt;wsp:rsid wsp:val=&quot;27FE6547&quot;/&gt;&lt;wsp:rsid wsp:val=&quot;28012102&quot;/&gt;&lt;wsp:rsid wsp:val=&quot;28041431&quot;/&gt;&lt;wsp:rsid wsp:val=&quot;28043432&quot;/&gt;&lt;wsp:rsid wsp:val=&quot;28060F58&quot;/&gt;&lt;wsp:rsid wsp:val=&quot;28074CD0&quot;/&gt;&lt;wsp:rsid wsp:val=&quot;280B7BC3&quot;/&gt;&lt;wsp:rsid wsp:val=&quot;280D0F4C&quot;/&gt;&lt;wsp:rsid wsp:val=&quot;280D24E3&quot;/&gt;&lt;wsp:rsid wsp:val=&quot;280E2503&quot;/&gt;&lt;wsp:rsid wsp:val=&quot;28100718&quot;/&gt;&lt;wsp:rsid wsp:val=&quot;281178FD&quot;/&gt;&lt;wsp:rsid wsp:val=&quot;28123DA1&quot;/&gt;&lt;wsp:rsid wsp:val=&quot;28124CBB&quot;/&gt;&lt;wsp:rsid wsp:val=&quot;28133675&quot;/&gt;&lt;wsp:rsid wsp:val=&quot;28135D30&quot;/&gt;&lt;wsp:rsid wsp:val=&quot;28140F26&quot;/&gt;&lt;wsp:rsid wsp:val=&quot;28164F13&quot;/&gt;&lt;wsp:rsid wsp:val=&quot;28165994&quot;/&gt;&lt;wsp:rsid wsp:val=&quot;28177609&quot;/&gt;&lt;wsp:rsid wsp:val=&quot;281803AC&quot;/&gt;&lt;wsp:rsid wsp:val=&quot;281A2C55&quot;/&gt;&lt;wsp:rsid wsp:val=&quot;281C01F3&quot;/&gt;&lt;wsp:rsid wsp:val=&quot;281C077C&quot;/&gt;&lt;wsp:rsid wsp:val=&quot;281F201A&quot;/&gt;&lt;wsp:rsid wsp:val=&quot;281F5094&quot;/&gt;&lt;wsp:rsid wsp:val=&quot;28235FAE&quot;/&gt;&lt;wsp:rsid wsp:val=&quot;28275C5B&quot;/&gt;&lt;wsp:rsid wsp:val=&quot;28277C8E&quot;/&gt;&lt;wsp:rsid wsp:val=&quot;28292C63&quot;/&gt;&lt;wsp:rsid wsp:val=&quot;282B09BF&quot;/&gt;&lt;wsp:rsid wsp:val=&quot;282C5617&quot;/&gt;&lt;wsp:rsid wsp:val=&quot;282E04AF&quot;/&gt;&lt;wsp:rsid wsp:val=&quot;282E6701&quot;/&gt;&lt;wsp:rsid wsp:val=&quot;28304227&quot;/&gt;&lt;wsp:rsid wsp:val=&quot;28305FD5&quot;/&gt;&lt;wsp:rsid wsp:val=&quot;28322399&quot;/&gt;&lt;wsp:rsid wsp:val=&quot;28322D6E&quot;/&gt;&lt;wsp:rsid wsp:val=&quot;283261F1&quot;/&gt;&lt;wsp:rsid wsp:val=&quot;28333D17&quot;/&gt;&lt;wsp:rsid wsp:val=&quot;28341F69&quot;/&gt;&lt;wsp:rsid wsp:val=&quot;2835183D&quot;/&gt;&lt;wsp:rsid wsp:val=&quot;28357A8F&quot;/&gt;&lt;wsp:rsid wsp:val=&quot;283B2990&quot;/&gt;&lt;wsp:rsid wsp:val=&quot;283C2BCC&quot;/&gt;&lt;wsp:rsid wsp:val=&quot;283C5EAB&quot;/&gt;&lt;wsp:rsid wsp:val=&quot;283E2A52&quot;/&gt;&lt;wsp:rsid wsp:val=&quot;284167A7&quot;/&gt;&lt;wsp:rsid wsp:val=&quot;284303FE&quot;/&gt;&lt;wsp:rsid wsp:val=&quot;28433CF3&quot;/&gt;&lt;wsp:rsid wsp:val=&quot;28447CD2&quot;/&gt;&lt;wsp:rsid wsp:val=&quot;28457D54&quot;/&gt;&lt;wsp:rsid wsp:val=&quot;284611E4&quot;/&gt;&lt;wsp:rsid wsp:val=&quot;28472674&quot;/&gt;&lt;wsp:rsid wsp:val=&quot;28485A15&quot;/&gt;&lt;wsp:rsid wsp:val=&quot;284952E9&quot;/&gt;&lt;wsp:rsid wsp:val=&quot;28497097&quot;/&gt;&lt;wsp:rsid wsp:val=&quot;284B2485&quot;/&gt;&lt;wsp:rsid wsp:val=&quot;284B4370&quot;/&gt;&lt;wsp:rsid wsp:val=&quot;284D302B&quot;/&gt;&lt;wsp:rsid wsp:val=&quot;284D4DD9&quot;/&gt;&lt;wsp:rsid wsp:val=&quot;284E28FF&quot;/&gt;&lt;wsp:rsid wsp:val=&quot;284F6DA3&quot;/&gt;&lt;wsp:rsid wsp:val=&quot;28500425&quot;/&gt;&lt;wsp:rsid wsp:val=&quot;2850260F&quot;/&gt;&lt;wsp:rsid wsp:val=&quot;285223EF&quot;/&gt;&lt;wsp:rsid wsp:val=&quot;28537F15&quot;/&gt;&lt;wsp:rsid wsp:val=&quot;285443B9&quot;/&gt;&lt;wsp:rsid wsp:val=&quot;28546167&quot;/&gt;&lt;wsp:rsid wsp:val=&quot;28550131&quot;/&gt;&lt;wsp:rsid wsp:val=&quot;28574869&quot;/&gt;&lt;wsp:rsid wsp:val=&quot;28595F19&quot;/&gt;&lt;wsp:rsid wsp:val=&quot;285A6182&quot;/&gt;&lt;wsp:rsid wsp:val=&quot;285C14C0&quot;/&gt;&lt;wsp:rsid wsp:val=&quot;285C326E&quot;/&gt;&lt;wsp:rsid wsp:val=&quot;285D746B&quot;/&gt;&lt;wsp:rsid wsp:val=&quot;28612632&quot;/&gt;&lt;wsp:rsid wsp:val=&quot;2862536E&quot;/&gt;&lt;wsp:rsid wsp:val=&quot;28643ED1&quot;/&gt;&lt;wsp:rsid wsp:val=&quot;286444FC&quot;/&gt;&lt;wsp:rsid wsp:val=&quot;2869124C&quot;/&gt;&lt;wsp:rsid wsp:val=&quot;28697739&quot;/&gt;&lt;wsp:rsid wsp:val=&quot;286A598B&quot;/&gt;&lt;wsp:rsid wsp:val=&quot;286A5FDD&quot;/&gt;&lt;wsp:rsid wsp:val=&quot;286B1703&quot;/&gt;&lt;wsp:rsid wsp:val=&quot;286D008D&quot;/&gt;&lt;wsp:rsid wsp:val=&quot;286D0FD7&quot;/&gt;&lt;wsp:rsid wsp:val=&quot;286D7229&quot;/&gt;&lt;wsp:rsid wsp:val=&quot;286E4D4F&quot;/&gt;&lt;wsp:rsid wsp:val=&quot;28700AC7&quot;/&gt;&lt;wsp:rsid wsp:val=&quot;287265EE&quot;/&gt;&lt;wsp:rsid wsp:val=&quot;28732366&quot;/&gt;&lt;wsp:rsid wsp:val=&quot;28741B8A&quot;/&gt;&lt;wsp:rsid wsp:val=&quot;28744960&quot;/&gt;&lt;wsp:rsid wsp:val=&quot;28744BDA&quot;/&gt;&lt;wsp:rsid wsp:val=&quot;2874680A&quot;/&gt;&lt;wsp:rsid wsp:val=&quot;287560DE&quot;/&gt;&lt;wsp:rsid wsp:val=&quot;287656A9&quot;/&gt;&lt;wsp:rsid wsp:val=&quot;28771E56&quot;/&gt;&lt;wsp:rsid wsp:val=&quot;28773C04&quot;/&gt;&lt;wsp:rsid wsp:val=&quot;287776D3&quot;/&gt;&lt;wsp:rsid wsp:val=&quot;287814A2&quot;/&gt;&lt;wsp:rsid wsp:val=&quot;287C121A&quot;/&gt;&lt;wsp:rsid wsp:val=&quot;287C56BE&quot;/&gt;&lt;wsp:rsid wsp:val=&quot;287F6DC5&quot;/&gt;&lt;wsp:rsid wsp:val=&quot;287F6F5C&quot;/&gt;&lt;wsp:rsid wsp:val=&quot;288051AE&quot;/&gt;&lt;wsp:rsid wsp:val=&quot;28812455&quot;/&gt;&lt;wsp:rsid wsp:val=&quot;28844573&quot;/&gt;&lt;wsp:rsid wsp:val=&quot;28846321&quot;/&gt;&lt;wsp:rsid wsp:val=&quot;288502C1&quot;/&gt;&lt;wsp:rsid wsp:val=&quot;28862099&quot;/&gt;&lt;wsp:rsid wsp:val=&quot;288822B5&quot;/&gt;&lt;wsp:rsid wsp:val=&quot;288A1B89&quot;/&gt;&lt;wsp:rsid wsp:val=&quot;288A4920&quot;/&gt;&lt;wsp:rsid wsp:val=&quot;288B5901&quot;/&gt;&lt;wsp:rsid wsp:val=&quot;28902F18&quot;/&gt;&lt;wsp:rsid wsp:val=&quot;28904CC6&quot;/&gt;&lt;wsp:rsid wsp:val=&quot;289112ED&quot;/&gt;&lt;wsp:rsid wsp:val=&quot;28926C90&quot;/&gt;&lt;wsp:rsid wsp:val=&quot;28940C5A&quot;/&gt;&lt;wsp:rsid wsp:val=&quot;28942A08&quot;/&gt;&lt;wsp:rsid wsp:val=&quot;289447B6&quot;/&gt;&lt;wsp:rsid wsp:val=&quot;289522DC&quot;/&gt;&lt;wsp:rsid wsp:val=&quot;28954CDC&quot;/&gt;&lt;wsp:rsid wsp:val=&quot;28956780&quot;/&gt;&lt;wsp:rsid wsp:val=&quot;28976054&quot;/&gt;&lt;wsp:rsid wsp:val=&quot;28990963&quot;/&gt;&lt;wsp:rsid wsp:val=&quot;28991DCC&quot;/&gt;&lt;wsp:rsid wsp:val=&quot;289B1FDE&quot;/&gt;&lt;wsp:rsid wsp:val=&quot;289B5978&quot;/&gt;&lt;wsp:rsid wsp:val=&quot;289D1D2D&quot;/&gt;&lt;wsp:rsid wsp:val=&quot;289F721E&quot;/&gt;&lt;wsp:rsid wsp:val=&quot;28A10C81&quot;/&gt;&lt;wsp:rsid wsp:val=&quot;28A16ED3&quot;/&gt;&lt;wsp:rsid wsp:val=&quot;28A54C15&quot;/&gt;&lt;wsp:rsid wsp:val=&quot;28A8200F&quot;/&gt;&lt;wsp:rsid wsp:val=&quot;28A945E1&quot;/&gt;&lt;wsp:rsid wsp:val=&quot;28A95D87&quot;/&gt;&lt;wsp:rsid wsp:val=&quot;28AA3FD9&quot;/&gt;&lt;wsp:rsid wsp:val=&quot;28AB7D51&quot;/&gt;&lt;wsp:rsid wsp:val=&quot;28AD1D1C&quot;/&gt;&lt;wsp:rsid wsp:val=&quot;28AD5878&quot;/&gt;&lt;wsp:rsid wsp:val=&quot;28AF339E&quot;/&gt;&lt;wsp:rsid wsp:val=&quot;28B07116&quot;/&gt;&lt;wsp:rsid wsp:val=&quot;28B409B4&quot;/&gt;&lt;wsp:rsid wsp:val=&quot;28B44E58&quot;/&gt;&lt;wsp:rsid wsp:val=&quot;28B45344&quot;/&gt;&lt;wsp:rsid wsp:val=&quot;28B5472C&quot;/&gt;&lt;wsp:rsid wsp:val=&quot;28B9421C&quot;/&gt;&lt;wsp:rsid wsp:val=&quot;28BA1D43&quot;/&gt;&lt;wsp:rsid wsp:val=&quot;28BA5566&quot;/&gt;&lt;wsp:rsid wsp:val=&quot;28BC1F5F&quot;/&gt;&lt;wsp:rsid wsp:val=&quot;28BC5ABB&quot;/&gt;&lt;wsp:rsid wsp:val=&quot;28BE7A85&quot;/&gt;&lt;wsp:rsid wsp:val=&quot;28BF50C6&quot;/&gt;&lt;wsp:rsid wsp:val=&quot;28C130D1&quot;/&gt;&lt;wsp:rsid wsp:val=&quot;28C332ED&quot;/&gt;&lt;wsp:rsid wsp:val=&quot;28C3700C&quot;/&gt;&lt;wsp:rsid wsp:val=&quot;28C45F55&quot;/&gt;&lt;wsp:rsid wsp:val=&quot;28C47AA8&quot;/&gt;&lt;wsp:rsid wsp:val=&quot;28C50E13&quot;/&gt;&lt;wsp:rsid wsp:val=&quot;28C50F38&quot;/&gt;&lt;wsp:rsid wsp:val=&quot;28C56E58&quot;/&gt;&lt;wsp:rsid wsp:val=&quot;28C57065&quot;/&gt;&lt;wsp:rsid wsp:val=&quot;28C63B09&quot;/&gt;&lt;wsp:rsid wsp:val=&quot;28C80903&quot;/&gt;&lt;wsp:rsid wsp:val=&quot;28C826B1&quot;/&gt;&lt;wsp:rsid wsp:val=&quot;28CB3F50&quot;/&gt;&lt;wsp:rsid wsp:val=&quot;28CC03F4&quot;/&gt;&lt;wsp:rsid wsp:val=&quot;28CD229B&quot;/&gt;&lt;wsp:rsid wsp:val=&quot;28CD2F26&quot;/&gt;&lt;wsp:rsid wsp:val=&quot;28CD5F1A&quot;/&gt;&lt;wsp:rsid wsp:val=&quot;28D163A6&quot;/&gt;&lt;wsp:rsid wsp:val=&quot;28D4759D&quot;/&gt;&lt;wsp:rsid wsp:val=&quot;28D67719&quot;/&gt;&lt;wsp:rsid wsp:val=&quot;28D728F5&quot;/&gt;&lt;wsp:rsid wsp:val=&quot;28D95D96&quot;/&gt;&lt;wsp:rsid wsp:val=&quot;28D9666D&quot;/&gt;&lt;wsp:rsid wsp:val=&quot;28DA340F&quot;/&gt;&lt;wsp:rsid wsp:val=&quot;28DC615D&quot;/&gt;&lt;wsp:rsid wsp:val=&quot;28DC73E2&quot;/&gt;&lt;wsp:rsid wsp:val=&quot;28DC7F0B&quot;/&gt;&lt;wsp:rsid wsp:val=&quot;28E03E9F&quot;/&gt;&lt;wsp:rsid wsp:val=&quot;28E079FB&quot;/&gt;&lt;wsp:rsid wsp:val=&quot;28E13773&quot;/&gt;&lt;wsp:rsid wsp:val=&quot;28E15521&quot;/&gt;&lt;wsp:rsid wsp:val=&quot;28E219C5&quot;/&gt;&lt;wsp:rsid wsp:val=&quot;28E31299&quot;/&gt;&lt;wsp:rsid wsp:val=&quot;28E3573D&quot;/&gt;&lt;wsp:rsid wsp:val=&quot;28E37000&quot;/&gt;&lt;wsp:rsid wsp:val=&quot;28E374EB&quot;/&gt;&lt;wsp:rsid wsp:val=&quot;28E4124D&quot;/&gt;&lt;wsp:rsid wsp:val=&quot;28E53263&quot;/&gt;&lt;wsp:rsid wsp:val=&quot;28E55011&quot;/&gt;&lt;wsp:rsid wsp:val=&quot;28E619B2&quot;/&gt;&lt;wsp:rsid wsp:val=&quot;28E76FDC&quot;/&gt;&lt;wsp:rsid wsp:val=&quot;28E82D54&quot;/&gt;&lt;wsp:rsid wsp:val=&quot;28E868B0&quot;/&gt;&lt;wsp:rsid wsp:val=&quot;28E86EA3&quot;/&gt;&lt;wsp:rsid wsp:val=&quot;28EA0527&quot;/&gt;&lt;wsp:rsid wsp:val=&quot;28EA087A&quot;/&gt;&lt;wsp:rsid wsp:val=&quot;28EA2628&quot;/&gt;&lt;wsp:rsid wsp:val=&quot;28EC095D&quot;/&gt;&lt;wsp:rsid wsp:val=&quot;28EE0144&quot;/&gt;&lt;wsp:rsid wsp:val=&quot;28EF5E90&quot;/&gt;&lt;wsp:rsid wsp:val=&quot;28F2772E&quot;/&gt;&lt;wsp:rsid wsp:val=&quot;28F434A6&quot;/&gt;&lt;wsp:rsid wsp:val=&quot;28F60FCD&quot;/&gt;&lt;wsp:rsid wsp:val=&quot;28F76096&quot;/&gt;&lt;wsp:rsid wsp:val=&quot;28F90ABD&quot;/&gt;&lt;wsp:rsid wsp:val=&quot;28F9286B&quot;/&gt;&lt;wsp:rsid wsp:val=&quot;28FB789F&quot;/&gt;&lt;wsp:rsid wsp:val=&quot;28FC235B&quot;/&gt;&lt;wsp:rsid wsp:val=&quot;28FD16C4&quot;/&gt;&lt;wsp:rsid wsp:val=&quot;28FD67FF&quot;/&gt;&lt;wsp:rsid wsp:val=&quot;28FE4325&quot;/&gt;&lt;wsp:rsid wsp:val=&quot;29003BF9&quot;/&gt;&lt;wsp:rsid wsp:val=&quot;29015BC3&quot;/&gt;&lt;wsp:rsid wsp:val=&quot;29017971&quot;/&gt;&lt;wsp:rsid wsp:val=&quot;29046EDC&quot;/&gt;&lt;wsp:rsid wsp:val=&quot;29053906&quot;/&gt;&lt;wsp:rsid wsp:val=&quot;290563CB&quot;/&gt;&lt;wsp:rsid wsp:val=&quot;290731DA&quot;/&gt;&lt;wsp:rsid wsp:val=&quot;29080D00&quot;/&gt;&lt;wsp:rsid wsp:val=&quot;290B223D&quot;/&gt;&lt;wsp:rsid wsp:val=&quot;291122AA&quot;/&gt;&lt;wsp:rsid wsp:val=&quot;29115E06&quot;/&gt;&lt;wsp:rsid wsp:val=&quot;29121B7F&quot;/&gt;&lt;wsp:rsid wsp:val=&quot;2912392D&quot;/&gt;&lt;wsp:rsid wsp:val=&quot;29127DD1&quot;/&gt;&lt;wsp:rsid wsp:val=&quot;2914053D&quot;/&gt;&lt;wsp:rsid wsp:val=&quot;29144A30&quot;/&gt;&lt;wsp:rsid wsp:val=&quot;291476A5&quot;/&gt;&lt;wsp:rsid wsp:val=&quot;291678C1&quot;/&gt;&lt;wsp:rsid wsp:val=&quot;29183639&quot;/&gt;&lt;wsp:rsid wsp:val=&quot;2919115F&quot;/&gt;&lt;wsp:rsid wsp:val=&quot;29191410&quot;/&gt;&lt;wsp:rsid wsp:val=&quot;291B6C85&quot;/&gt;&lt;wsp:rsid wsp:val=&quot;291C47AB&quot;/&gt;&lt;wsp:rsid wsp:val=&quot;291E22D1&quot;/&gt;&lt;wsp:rsid wsp:val=&quot;291E6775&quot;/&gt;&lt;wsp:rsid wsp:val=&quot;2920429C&quot;/&gt;&lt;wsp:rsid wsp:val=&quot;2920604A&quot;/&gt;&lt;wsp:rsid wsp:val=&quot;29206EB8&quot;/&gt;&lt;wsp:rsid wsp:val=&quot;29211DC2&quot;/&gt;&lt;wsp:rsid wsp:val=&quot;29227034&quot;/&gt;&lt;wsp:rsid wsp:val=&quot;292565A7&quot;/&gt;&lt;wsp:rsid wsp:val=&quot;292813A2&quot;/&gt;&lt;wsp:rsid wsp:val=&quot;29297E32&quot;/&gt;&lt;wsp:rsid wsp:val=&quot;292A6EC8&quot;/&gt;&lt;wsp:rsid wsp:val=&quot;292A7B94&quot;/&gt;&lt;wsp:rsid wsp:val=&quot;292B00E6&quot;/&gt;&lt;wsp:rsid wsp:val=&quot;292C0E92&quot;/&gt;&lt;wsp:rsid wsp:val=&quot;292C49EE&quot;/&gt;&lt;wsp:rsid wsp:val=&quot;292C587F&quot;/&gt;&lt;wsp:rsid wsp:val=&quot;292D1BA5&quot;/&gt;&lt;wsp:rsid wsp:val=&quot;292F2731&quot;/&gt;&lt;wsp:rsid wsp:val=&quot;292F400E&quot;/&gt;&lt;wsp:rsid wsp:val=&quot;29341ACA&quot;/&gt;&lt;wsp:rsid wsp:val=&quot;2934401A&quot;/&gt;&lt;wsp:rsid wsp:val=&quot;29353D69&quot;/&gt;&lt;wsp:rsid wsp:val=&quot;29361C72&quot;/&gt;&lt;wsp:rsid wsp:val=&quot;29361D11&quot;/&gt;&lt;wsp:rsid wsp:val=&quot;2936586D&quot;/&gt;&lt;wsp:rsid wsp:val=&quot;29373393&quot;/&gt;&lt;wsp:rsid wsp:val=&quot;293935AF&quot;/&gt;&lt;wsp:rsid wsp:val=&quot;2939535D&quot;/&gt;&lt;wsp:rsid wsp:val=&quot;2939710B&quot;/&gt;&lt;wsp:rsid wsp:val=&quot;293A007B&quot;/&gt;&lt;wsp:rsid wsp:val=&quot;293B10D5&quot;/&gt;&lt;wsp:rsid wsp:val=&quot;293C27AC&quot;/&gt;&lt;wsp:rsid wsp:val=&quot;293C5380&quot;/&gt;&lt;wsp:rsid wsp:val=&quot;293D6BFB&quot;/&gt;&lt;wsp:rsid wsp:val=&quot;293E2974&quot;/&gt;&lt;wsp:rsid wsp:val=&quot;293E4FA7&quot;/&gt;&lt;wsp:rsid wsp:val=&quot;29403455&quot;/&gt;&lt;wsp:rsid wsp:val=&quot;29424212&quot;/&gt;&lt;wsp:rsid wsp:val=&quot;29430E8F&quot;/&gt;&lt;wsp:rsid wsp:val=&quot;294361DC&quot;/&gt;&lt;wsp:rsid wsp:val=&quot;29471828&quot;/&gt;&lt;wsp:rsid wsp:val=&quot;29477A7A&quot;/&gt;&lt;wsp:rsid wsp:val=&quot;294837F2&quot;/&gt;&lt;wsp:rsid wsp:val=&quot;294A6EAE&quot;/&gt;&lt;wsp:rsid wsp:val=&quot;294C6E3F&quot;/&gt;&lt;wsp:rsid wsp:val=&quot;294F4B81&quot;/&gt;&lt;wsp:rsid wsp:val=&quot;29506096&quot;/&gt;&lt;wsp:rsid wsp:val=&quot;29511E01&quot;/&gt;&lt;wsp:rsid wsp:val=&quot;29514455&quot;/&gt;&lt;wsp:rsid wsp:val=&quot;295201CD&quot;/&gt;&lt;wsp:rsid wsp:val=&quot;295474FF&quot;/&gt;&lt;wsp:rsid wsp:val=&quot;29564161&quot;/&gt;&lt;wsp:rsid wsp:val=&quot;29567CBD&quot;/&gt;&lt;wsp:rsid wsp:val=&quot;29575C73&quot;/&gt;&lt;wsp:rsid wsp:val=&quot;29595666&quot;/&gt;&lt;wsp:rsid wsp:val=&quot;29596949&quot;/&gt;&lt;wsp:rsid wsp:val=&quot;295D54F0&quot;/&gt;&lt;wsp:rsid wsp:val=&quot;29622D86&quot;/&gt;&lt;wsp:rsid wsp:val=&quot;29626662&quot;/&gt;&lt;wsp:rsid wsp:val=&quot;296323DA&quot;/&gt;&lt;wsp:rsid wsp:val=&quot;2964062C&quot;/&gt;&lt;wsp:rsid wsp:val=&quot;29671ECA&quot;/&gt;&lt;wsp:rsid wsp:val=&quot;296C128F&quot;/&gt;&lt;wsp:rsid wsp:val=&quot;29712D49&quot;/&gt;&lt;wsp:rsid wsp:val=&quot;29714AF7&quot;/&gt;&lt;wsp:rsid wsp:val=&quot;2973261D&quot;/&gt;&lt;wsp:rsid wsp:val=&quot;29736AC1&quot;/&gt;&lt;wsp:rsid wsp:val=&quot;29752839&quot;/&gt;&lt;wsp:rsid wsp:val=&quot;2976035F&quot;/&gt;&lt;wsp:rsid wsp:val=&quot;2976210D&quot;/&gt;&lt;wsp:rsid wsp:val=&quot;29763EBB&quot;/&gt;&lt;wsp:rsid wsp:val=&quot;297665B1&quot;/&gt;&lt;wsp:rsid wsp:val=&quot;29785E86&quot;/&gt;&lt;wsp:rsid wsp:val=&quot;29787C34&quot;/&gt;&lt;wsp:rsid wsp:val=&quot;29791BFE&quot;/&gt;&lt;wsp:rsid wsp:val=&quot;297B5976&quot;/&gt;&lt;wsp:rsid wsp:val=&quot;297D16EE&quot;/&gt;&lt;wsp:rsid wsp:val=&quot;298011DE&quot;/&gt;&lt;wsp:rsid wsp:val=&quot;29820AB2&quot;/&gt;&lt;wsp:rsid wsp:val=&quot;29824F56&quot;/&gt;&lt;wsp:rsid wsp:val=&quot;29826D04&quot;/&gt;&lt;wsp:rsid wsp:val=&quot;298365D8&quot;/&gt;&lt;wsp:rsid wsp:val=&quot;29842A7C&quot;/&gt;&lt;wsp:rsid wsp:val=&quot;2984482A&quot;/&gt;&lt;wsp:rsid wsp:val=&quot;29844C90&quot;/&gt;&lt;wsp:rsid wsp:val=&quot;29852351&quot;/&gt;&lt;wsp:rsid wsp:val=&quot;298654FF&quot;/&gt;&lt;wsp:rsid wsp:val=&quot;2987256D&quot;/&gt;&lt;wsp:rsid wsp:val=&quot;29874881&quot;/&gt;&lt;wsp:rsid wsp:val=&quot;298760C9&quot;/&gt;&lt;wsp:rsid wsp:val=&quot;298962E5&quot;/&gt;&lt;wsp:rsid wsp:val=&quot;298C36DF&quot;/&gt;&lt;wsp:rsid wsp:val=&quot;298E38FB&quot;/&gt;&lt;wsp:rsid wsp:val=&quot;298E7457&quot;/&gt;&lt;wsp:rsid wsp:val=&quot;298F1421&quot;/&gt;&lt;wsp:rsid wsp:val=&quot;298F4F7D&quot;/&gt;&lt;wsp:rsid wsp:val=&quot;299042C3&quot;/&gt;&lt;wsp:rsid wsp:val=&quot;29911D35&quot;/&gt;&lt;wsp:rsid wsp:val=&quot;29916F47&quot;/&gt;&lt;wsp:rsid wsp:val=&quot;299270AF&quot;/&gt;&lt;wsp:rsid wsp:val=&quot;29934A6D&quot;/&gt;&lt;wsp:rsid wsp:val=&quot;29946A38&quot;/&gt;&lt;wsp:rsid wsp:val=&quot;29956DFE&quot;/&gt;&lt;wsp:rsid wsp:val=&quot;29974847&quot;/&gt;&lt;wsp:rsid wsp:val=&quot;299A1CC3&quot;/&gt;&lt;wsp:rsid wsp:val=&quot;299A22A0&quot;/&gt;&lt;wsp:rsid wsp:val=&quot;299B7DC6&quot;/&gt;&lt;wsp:rsid wsp:val=&quot;299D58EC&quot;/&gt;&lt;wsp:rsid wsp:val=&quot;299E3412&quot;/&gt;&lt;wsp:rsid wsp:val=&quot;299F1664&quot;/&gt;&lt;wsp:rsid wsp:val=&quot;29A22F02&quot;/&gt;&lt;wsp:rsid wsp:val=&quot;29A44ECD&quot;/&gt;&lt;wsp:rsid wsp:val=&quot;29A529F3&quot;/&gt;&lt;wsp:rsid wsp:val=&quot;29A547A1&quot;/&gt;&lt;wsp:rsid wsp:val=&quot;29A749BD&quot;/&gt;&lt;wsp:rsid wsp:val=&quot;29AB625B&quot;/&gt;&lt;wsp:rsid wsp:val=&quot;29AC5B2F&quot;/&gt;&lt;wsp:rsid wsp:val=&quot;29AD17B3&quot;/&gt;&lt;wsp:rsid wsp:val=&quot;29AE18A7&quot;/&gt;&lt;wsp:rsid wsp:val=&quot;29AE5D4B&quot;/&gt;&lt;wsp:rsid wsp:val=&quot;29B0281D&quot;/&gt;&lt;wsp:rsid wsp:val=&quot;29B03871&quot;/&gt;&lt;wsp:rsid wsp:val=&quot;29B175E9&quot;/&gt;&lt;wsp:rsid wsp:val=&quot;29B35110&quot;/&gt;&lt;wsp:rsid wsp:val=&quot;29B7592F&quot;/&gt;&lt;wsp:rsid wsp:val=&quot;29B82726&quot;/&gt;&lt;wsp:rsid wsp:val=&quot;29B9024C&quot;/&gt;&lt;wsp:rsid wsp:val=&quot;29BA649E&quot;/&gt;&lt;wsp:rsid wsp:val=&quot;29BB2216&quot;/&gt;&lt;wsp:rsid wsp:val=&quot;29BB3FC4&quot;/&gt;&lt;wsp:rsid wsp:val=&quot;29BC23C8&quot;/&gt;&lt;wsp:rsid wsp:val=&quot;29BD6562&quot;/&gt;&lt;wsp:rsid wsp:val=&quot;29C0782D&quot;/&gt;&lt;wsp:rsid wsp:val=&quot;29C235A5&quot;/&gt;&lt;wsp:rsid wsp:val=&quot;29C34ADE&quot;/&gt;&lt;wsp:rsid wsp:val=&quot;29C44CF4&quot;/&gt;&lt;wsp:rsid wsp:val=&quot;29C54E43&quot;/&gt;&lt;wsp:rsid wsp:val=&quot;29C55BD3&quot;/&gt;&lt;wsp:rsid wsp:val=&quot;29C70CDD&quot;/&gt;&lt;wsp:rsid wsp:val=&quot;29C94933&quot;/&gt;&lt;wsp:rsid wsp:val=&quot;29CB1FF6&quot;/&gt;&lt;wsp:rsid wsp:val=&quot;29CB68D8&quot;/&gt;&lt;wsp:rsid wsp:val=&quot;29CC61D1&quot;/&gt;&lt;wsp:rsid wsp:val=&quot;29CC7F7F&quot;/&gt;&lt;wsp:rsid wsp:val=&quot;29CD6057&quot;/&gt;&lt;wsp:rsid wsp:val=&quot;29CE5AA6&quot;/&gt;&lt;wsp:rsid wsp:val=&quot;29CE5DA6&quot;/&gt;&lt;wsp:rsid wsp:val=&quot;29CF181E&quot;/&gt;&lt;wsp:rsid wsp:val=&quot;29D049D8&quot;/&gt;&lt;wsp:rsid wsp:val=&quot;29D07A70&quot;/&gt;&lt;wsp:rsid wsp:val=&quot;29D23611&quot;/&gt;&lt;wsp:rsid wsp:val=&quot;29D3130E&quot;/&gt;&lt;wsp:rsid wsp:val=&quot;29D37560&quot;/&gt;&lt;wsp:rsid wsp:val=&quot;29D46E34&quot;/&gt;&lt;wsp:rsid wsp:val=&quot;29D532D8&quot;/&gt;&lt;wsp:rsid wsp:val=&quot;29D67050&quot;/&gt;&lt;wsp:rsid wsp:val=&quot;29D81A29&quot;/&gt;&lt;wsp:rsid wsp:val=&quot;29D81A5D&quot;/&gt;&lt;wsp:rsid wsp:val=&quot;29D85AE2&quot;/&gt;&lt;wsp:rsid wsp:val=&quot;29D92EB9&quot;/&gt;&lt;wsp:rsid wsp:val=&quot;29DA08EE&quot;/&gt;&lt;wsp:rsid wsp:val=&quot;29DA6B40&quot;/&gt;&lt;wsp:rsid wsp:val=&quot;29DB188C&quot;/&gt;&lt;wsp:rsid wsp:val=&quot;29DD218D&quot;/&gt;&lt;wsp:rsid wsp:val=&quot;29DE69D7&quot;/&gt;&lt;wsp:rsid wsp:val=&quot;29DF5F05&quot;/&gt;&lt;wsp:rsid wsp:val=&quot;29DF7CB3&quot;/&gt;&lt;wsp:rsid wsp:val=&quot;29E03A2B&quot;/&gt;&lt;wsp:rsid wsp:val=&quot;29E11C7D&quot;/&gt;&lt;wsp:rsid wsp:val=&quot;29E21551&quot;/&gt;&lt;wsp:rsid wsp:val=&quot;29E277A3&quot;/&gt;&lt;wsp:rsid wsp:val=&quot;29E325E0&quot;/&gt;&lt;wsp:rsid wsp:val=&quot;29E4170D&quot;/&gt;&lt;wsp:rsid wsp:val=&quot;29E43E3B&quot;/&gt;&lt;wsp:rsid wsp:val=&quot;29E7008E&quot;/&gt;&lt;wsp:rsid wsp:val=&quot;29E74DB9&quot;/&gt;&lt;wsp:rsid wsp:val=&quot;29E90B31&quot;/&gt;&lt;wsp:rsid wsp:val=&quot;29E929AE&quot;/&gt;&lt;wsp:rsid wsp:val=&quot;29E96D83&quot;/&gt;&lt;wsp:rsid wsp:val=&quot;29EE7EF6&quot;/&gt;&lt;wsp:rsid wsp:val=&quot;29F251A1&quot;/&gt;&lt;wsp:rsid wsp:val=&quot;29F375EE&quot;/&gt;&lt;wsp:rsid wsp:val=&quot;29F37C02&quot;/&gt;&lt;wsp:rsid wsp:val=&quot;29F47AC1&quot;/&gt;&lt;wsp:rsid wsp:val=&quot;29F55728&quot;/&gt;&lt;wsp:rsid wsp:val=&quot;29F6190F&quot;/&gt;&lt;wsp:rsid wsp:val=&quot;29F6324E&quot;/&gt;&lt;wsp:rsid wsp:val=&quot;29F714A0&quot;/&gt;&lt;wsp:rsid wsp:val=&quot;29F80D74&quot;/&gt;&lt;wsp:rsid wsp:val=&quot;29F814D9&quot;/&gt;&lt;wsp:rsid wsp:val=&quot;29F86FC6&quot;/&gt;&lt;wsp:rsid wsp:val=&quot;29F9586B&quot;/&gt;&lt;wsp:rsid wsp:val=&quot;29FA2D3E&quot;/&gt;&lt;wsp:rsid wsp:val=&quot;29FD45DD&quot;/&gt;&lt;wsp:rsid wsp:val=&quot;29FF0355&quot;/&gt;&lt;wsp:rsid wsp:val=&quot;29FF2103&quot;/&gt;&lt;wsp:rsid wsp:val=&quot;29FF6BD6&quot;/&gt;&lt;wsp:rsid wsp:val=&quot;2A0140CD&quot;/&gt;&lt;wsp:rsid wsp:val=&quot;2A027E45&quot;/&gt;&lt;wsp:rsid wsp:val=&quot;2A03697A&quot;/&gt;&lt;wsp:rsid wsp:val=&quot;2A043BBD&quot;/&gt;&lt;wsp:rsid wsp:val=&quot;2A070FB7&quot;/&gt;&lt;wsp:rsid wsp:val=&quot;2A077209&quot;/&gt;&lt;wsp:rsid wsp:val=&quot;2A091F98&quot;/&gt;&lt;wsp:rsid wsp:val=&quot;2A092F82&quot;/&gt;&lt;wsp:rsid wsp:val=&quot;2A0B7489&quot;/&gt;&lt;wsp:rsid wsp:val=&quot;2A0D1313&quot;/&gt;&lt;wsp:rsid wsp:val=&quot;2A0E2346&quot;/&gt;&lt;wsp:rsid wsp:val=&quot;2A0F5E0A&quot;/&gt;&lt;wsp:rsid wsp:val=&quot;2A104310&quot;/&gt;&lt;wsp:rsid wsp:val=&quot;2A1060BE&quot;/&gt;&lt;wsp:rsid wsp:val=&quot;2A110088&quot;/&gt;&lt;wsp:rsid wsp:val=&quot;2A111E36&quot;/&gt;&lt;wsp:rsid wsp:val=&quot;2A12586E&quot;/&gt;&lt;wsp:rsid wsp:val=&quot;2A133E00&quot;/&gt;&lt;wsp:rsid wsp:val=&quot;2A13795C&quot;/&gt;&lt;wsp:rsid wsp:val=&quot;2A1536D4&quot;/&gt;&lt;wsp:rsid wsp:val=&quot;2A161EB6&quot;/&gt;&lt;wsp:rsid wsp:val=&quot;2A175819&quot;/&gt;&lt;wsp:rsid wsp:val=&quot;2A1C2BC3&quot;/&gt;&lt;wsp:rsid wsp:val=&quot;2A1C2CB5&quot;/&gt;&lt;wsp:rsid wsp:val=&quot;2A1D07DB&quot;/&gt;&lt;wsp:rsid wsp:val=&quot;2A1D2DF3&quot;/&gt;&lt;wsp:rsid wsp:val=&quot;2A1D6A2D&quot;/&gt;&lt;wsp:rsid wsp:val=&quot;2A1E5633&quot;/&gt;&lt;wsp:rsid wsp:val=&quot;2A1F41BD&quot;/&gt;&lt;wsp:rsid wsp:val=&quot;2A202079&quot;/&gt;&lt;wsp:rsid wsp:val=&quot;2A2102CB&quot;/&gt;&lt;wsp:rsid wsp:val=&quot;2A222295&quot;/&gt;&lt;wsp:rsid wsp:val=&quot;2A255F01&quot;/&gt;&lt;wsp:rsid wsp:val=&quot;2A257690&quot;/&gt;&lt;wsp:rsid wsp:val=&quot;2A261D85&quot;/&gt;&lt;wsp:rsid wsp:val=&quot;2A263B34&quot;/&gt;&lt;wsp:rsid wsp:val=&quot;2A27165A&quot;/&gt;&lt;wsp:rsid wsp:val=&quot;2A293624&quot;/&gt;&lt;wsp:rsid wsp:val=&quot;2A2953D2&quot;/&gt;&lt;wsp:rsid wsp:val=&quot;2A297E40&quot;/&gt;&lt;wsp:rsid wsp:val=&quot;2A2B2EF8&quot;/&gt;&lt;wsp:rsid wsp:val=&quot;2A2C6C70&quot;/&gt;&lt;wsp:rsid wsp:val=&quot;2A30050E&quot;/&gt;&lt;wsp:rsid wsp:val=&quot;2A306760&quot;/&gt;&lt;wsp:rsid wsp:val=&quot;2A3111A3&quot;/&gt;&lt;wsp:rsid wsp:val=&quot;2A314286&quot;/&gt;&lt;wsp:rsid wsp:val=&quot;2A333AC3&quot;/&gt;&lt;wsp:rsid wsp:val=&quot;2A335204&quot;/&gt;&lt;wsp:rsid wsp:val=&quot;2A351FC9&quot;/&gt;&lt;wsp:rsid wsp:val=&quot;2A360FB4&quot;/&gt;&lt;wsp:rsid wsp:val=&quot;2A383867&quot;/&gt;&lt;wsp:rsid wsp:val=&quot;2A385615&quot;/&gt;&lt;wsp:rsid wsp:val=&quot;2A39669A&quot;/&gt;&lt;wsp:rsid wsp:val=&quot;2A3A313B&quot;/&gt;&lt;wsp:rsid wsp:val=&quot;2A3C5105&quot;/&gt;&lt;wsp:rsid wsp:val=&quot;2A3D2C2B&quot;/&gt;&lt;wsp:rsid wsp:val=&quot;2A410C98&quot;/&gt;&lt;wsp:rsid wsp:val=&quot;2A426494&quot;/&gt;&lt;wsp:rsid wsp:val=&quot;2A44220C&quot;/&gt;&lt;wsp:rsid wsp:val=&quot;2A44494B&quot;/&gt;&lt;wsp:rsid wsp:val=&quot;2A452503&quot;/&gt;&lt;wsp:rsid wsp:val=&quot;2A456A43&quot;/&gt;&lt;wsp:rsid wsp:val=&quot;2A465F84&quot;/&gt;&lt;wsp:rsid wsp:val=&quot;2A467ADE&quot;/&gt;&lt;wsp:rsid wsp:val=&quot;2A467D32&quot;/&gt;&lt;wsp:rsid wsp:val=&quot;2A473AAA&quot;/&gt;&lt;wsp:rsid wsp:val=&quot;2A497822&quot;/&gt;&lt;wsp:rsid wsp:val=&quot;2A4B17EC&quot;/&gt;&lt;wsp:rsid wsp:val=&quot;2A4B1FF1&quot;/&gt;&lt;wsp:rsid wsp:val=&quot;2A4B446B&quot;/&gt;&lt;wsp:rsid wsp:val=&quot;2A4D5650&quot;/&gt;&lt;wsp:rsid wsp:val=&quot;2A4D7312&quot;/&gt;&lt;wsp:rsid wsp:val=&quot;2A4D7C8D&quot;/&gt;&lt;wsp:rsid wsp:val=&quot;2A4E1F42&quot;/&gt;&lt;wsp:rsid wsp:val=&quot;2A4E308A&quot;/&gt;&lt;wsp:rsid wsp:val=&quot;2A4F0498&quot;/&gt;&lt;wsp:rsid wsp:val=&quot;2A506E02&quot;/&gt;&lt;wsp:rsid wsp:val=&quot;2A5330AD&quot;/&gt;&lt;wsp:rsid wsp:val=&quot;2A5561C7&quot;/&gt;&lt;wsp:rsid wsp:val=&quot;2A557F75&quot;/&gt;&lt;wsp:rsid wsp:val=&quot;2A571F3F&quot;/&gt;&lt;wsp:rsid wsp:val=&quot;2A587A65&quot;/&gt;&lt;wsp:rsid wsp:val=&quot;2A5A6C6E&quot;/&gt;&lt;wsp:rsid wsp:val=&quot;2A5C2CCF&quot;/&gt;&lt;wsp:rsid wsp:val=&quot;2A5C7555&quot;/&gt;&lt;wsp:rsid wsp:val=&quot;2A5E32CD&quot;/&gt;&lt;wsp:rsid wsp:val=&quot;2A5F2BA2&quot;/&gt;&lt;wsp:rsid wsp:val=&quot;2A6037AC&quot;/&gt;&lt;wsp:rsid wsp:val=&quot;2A623D4A&quot;/&gt;&lt;wsp:rsid wsp:val=&quot;2A662182&quot;/&gt;&lt;wsp:rsid wsp:val=&quot;2A681272&quot;/&gt;&lt;wsp:rsid wsp:val=&quot;2A6824BE&quot;/&gt;&lt;wsp:rsid wsp:val=&quot;2A68414C&quot;/&gt;&lt;wsp:rsid wsp:val=&quot;2A685EFA&quot;/&gt;&lt;wsp:rsid wsp:val=&quot;2A6C6B5B&quot;/&gt;&lt;wsp:rsid wsp:val=&quot;2A6E1037&quot;/&gt;&lt;wsp:rsid wsp:val=&quot;2A6E548C&quot;/&gt;&lt;wsp:rsid wsp:val=&quot;2A701253&quot;/&gt;&lt;wsp:rsid wsp:val=&quot;2A704DAF&quot;/&gt;&lt;wsp:rsid wsp:val=&quot;2A717F62&quot;/&gt;&lt;wsp:rsid wsp:val=&quot;2A7228D5&quot;/&gt;&lt;wsp:rsid wsp:val=&quot;2A726D79&quot;/&gt;&lt;wsp:rsid wsp:val=&quot;2A73664D&quot;/&gt;&lt;wsp:rsid wsp:val=&quot;2A736B07&quot;/&gt;&lt;wsp:rsid wsp:val=&quot;2A7523C5&quot;/&gt;&lt;wsp:rsid wsp:val=&quot;2A7725E1&quot;/&gt;&lt;wsp:rsid wsp:val=&quot;2A77438F&quot;/&gt;&lt;wsp:rsid wsp:val=&quot;2A783C63&quot;/&gt;&lt;wsp:rsid wsp:val=&quot;2A78776A&quot;/&gt;&lt;wsp:rsid wsp:val=&quot;2A790107&quot;/&gt;&lt;wsp:rsid wsp:val=&quot;2A7A79DB&quot;/&gt;&lt;wsp:rsid wsp:val=&quot;2A7C3754&quot;/&gt;&lt;wsp:rsid wsp:val=&quot;2A7E571E&quot;/&gt;&lt;wsp:rsid wsp:val=&quot;2A7F3244&quot;/&gt;&lt;wsp:rsid wsp:val=&quot;2A816FBC&quot;/&gt;&lt;wsp:rsid wsp:val=&quot;2A84085A&quot;/&gt;&lt;wsp:rsid wsp:val=&quot;2A841E75&quot;/&gt;&lt;wsp:rsid wsp:val=&quot;2A842608&quot;/&gt;&lt;wsp:rsid wsp:val=&quot;2A862824&quot;/&gt;&lt;wsp:rsid wsp:val=&quot;2A88659C&quot;/&gt;&lt;wsp:rsid wsp:val=&quot;2A8922A4&quot;/&gt;&lt;wsp:rsid wsp:val=&quot;2A89317C&quot;/&gt;&lt;wsp:rsid wsp:val=&quot;2A8940C2&quot;/&gt;&lt;wsp:rsid wsp:val=&quot;2A895828&quot;/&gt;&lt;wsp:rsid wsp:val=&quot;2A895E70&quot;/&gt;&lt;wsp:rsid wsp:val=&quot;2A8A2314&quot;/&gt;&lt;wsp:rsid wsp:val=&quot;2A8B1BE9&quot;/&gt;&lt;wsp:rsid wsp:val=&quot;2A8B3997&quot;/&gt;&lt;wsp:rsid wsp:val=&quot;2A900FAD&quot;/&gt;&lt;wsp:rsid wsp:val=&quot;2A9144DF&quot;/&gt;&lt;wsp:rsid wsp:val=&quot;2A930A9D&quot;/&gt;&lt;wsp:rsid wsp:val=&quot;2A9520EF&quot;/&gt;&lt;wsp:rsid wsp:val=&quot;2A952A67&quot;/&gt;&lt;wsp:rsid wsp:val=&quot;2A970BD3&quot;/&gt;&lt;wsp:rsid wsp:val=&quot;2A9767DF&quot;/&gt;&lt;wsp:rsid wsp:val=&quot;2A9860B3&quot;/&gt;&lt;wsp:rsid wsp:val=&quot;2A9943B2&quot;/&gt;&lt;wsp:rsid wsp:val=&quot;2A9A1E2C&quot;/&gt;&lt;wsp:rsid wsp:val=&quot;2A9C1476&quot;/&gt;&lt;wsp:rsid wsp:val=&quot;2A9D0465&quot;/&gt;&lt;wsp:rsid wsp:val=&quot;2AA31C54&quot;/&gt;&lt;wsp:rsid wsp:val=&quot;2AA36F32&quot;/&gt;&lt;wsp:rsid wsp:val=&quot;2AA42CAA&quot;/&gt;&lt;wsp:rsid wsp:val=&quot;2AA70B88&quot;/&gt;&lt;wsp:rsid wsp:val=&quot;2AA719AA&quot;/&gt;&lt;wsp:rsid wsp:val=&quot;2AA74552&quot;/&gt;&lt;wsp:rsid wsp:val=&quot;2AAA6513&quot;/&gt;&lt;wsp:rsid wsp:val=&quot;2AAB73FB&quot;/&gt;&lt;wsp:rsid wsp:val=&quot;2AAD6003&quot;/&gt;&lt;wsp:rsid wsp:val=&quot;2AAE58D7&quot;/&gt;&lt;wsp:rsid wsp:val=&quot;2AB0164F&quot;/&gt;&lt;wsp:rsid wsp:val=&quot;2AB02639&quot;/&gt;&lt;wsp:rsid wsp:val=&quot;2AB23619&quot;/&gt;&lt;wsp:rsid wsp:val=&quot;2AB24F59&quot;/&gt;&lt;wsp:rsid wsp:val=&quot;2AB34AAA&quot;/&gt;&lt;wsp:rsid wsp:val=&quot;2AB56C65&quot;/&gt;&lt;wsp:rsid wsp:val=&quot;2AB729DE&quot;/&gt;&lt;wsp:rsid wsp:val=&quot;2AB7478C&quot;/&gt;&lt;wsp:rsid wsp:val=&quot;2AB90504&quot;/&gt;&lt;wsp:rsid wsp:val=&quot;2AB92AF5&quot;/&gt;&lt;wsp:rsid wsp:val=&quot;2AB949A8&quot;/&gt;&lt;wsp:rsid wsp:val=&quot;2ABC13D1&quot;/&gt;&lt;wsp:rsid wsp:val=&quot;2ABC4498&quot;/&gt;&lt;wsp:rsid wsp:val=&quot;2ABE5B1A&quot;/&gt;&lt;wsp:rsid wsp:val=&quot;2AC1385C&quot;/&gt;&lt;wsp:rsid wsp:val=&quot;2AC31382&quot;/&gt;&lt;wsp:rsid wsp:val=&quot;2AC450FA&quot;/&gt;&lt;wsp:rsid wsp:val=&quot;2AC46EA9&quot;/&gt;&lt;wsp:rsid wsp:val=&quot;2AC717C5&quot;/&gt;&lt;wsp:rsid wsp:val=&quot;2ACA2711&quot;/&gt;&lt;wsp:rsid wsp:val=&quot;2ACA2BB1&quot;/&gt;&lt;wsp:rsid wsp:val=&quot;2ACB46DB&quot;/&gt;&lt;wsp:rsid wsp:val=&quot;2ACB7893&quot;/&gt;&lt;wsp:rsid wsp:val=&quot;2ACD2201&quot;/&gt;&lt;wsp:rsid wsp:val=&quot;2ACD3FAF&quot;/&gt;&lt;wsp:rsid wsp:val=&quot;2ACE1666&quot;/&gt;&lt;wsp:rsid wsp:val=&quot;2AD025B0&quot;/&gt;&lt;wsp:rsid wsp:val=&quot;2AD27817&quot;/&gt;&lt;wsp:rsid wsp:val=&quot;2AD4533E&quot;/&gt;&lt;wsp:rsid wsp:val=&quot;2AD510B6&quot;/&gt;&lt;wsp:rsid wsp:val=&quot;2AD64354&quot;/&gt;&lt;wsp:rsid wsp:val=&quot;2AD73080&quot;/&gt;&lt;wsp:rsid wsp:val=&quot;2AD74E2E&quot;/&gt;&lt;wsp:rsid wsp:val=&quot;2AD92954&quot;/&gt;&lt;wsp:rsid wsp:val=&quot;2ADB491E&quot;/&gt;&lt;wsp:rsid wsp:val=&quot;2ADC2444&quot;/&gt;&lt;wsp:rsid wsp:val=&quot;2ADC41F2&quot;/&gt;&lt;wsp:rsid wsp:val=&quot;2ADE0265&quot;/&gt;&lt;wsp:rsid wsp:val=&quot;2ADE2AE6&quot;/&gt;&lt;wsp:rsid wsp:val=&quot;2ADE6E32&quot;/&gt;&lt;wsp:rsid wsp:val=&quot;2AE00186&quot;/&gt;&lt;wsp:rsid wsp:val=&quot;2AE01BD6&quot;/&gt;&lt;wsp:rsid wsp:val=&quot;2AE412F9&quot;/&gt;&lt;wsp:rsid wsp:val=&quot;2AE5579D&quot;/&gt;&lt;wsp:rsid wsp:val=&quot;2AE5754B&quot;/&gt;&lt;wsp:rsid wsp:val=&quot;2AE57DE8&quot;/&gt;&lt;wsp:rsid wsp:val=&quot;2AE82B97&quot;/&gt;&lt;wsp:rsid wsp:val=&quot;2AE8528D&quot;/&gt;&lt;wsp:rsid wsp:val=&quot;2AE9690F&quot;/&gt;&lt;wsp:rsid wsp:val=&quot;2AEA2DB3&quot;/&gt;&lt;wsp:rsid wsp:val=&quot;2AED28A3&quot;/&gt;&lt;wsp:rsid wsp:val=&quot;2AEE0D42&quot;/&gt;&lt;wsp:rsid wsp:val=&quot;2AEF03C9&quot;/&gt;&lt;wsp:rsid wsp:val=&quot;2AF10F5C&quot;/&gt;&lt;wsp:rsid wsp:val=&quot;2AF43C32&quot;/&gt;&lt;wsp:rsid wsp:val=&quot;2AF459E0&quot;/&gt;&lt;wsp:rsid wsp:val=&quot;2AF47A0E&quot;/&gt;&lt;wsp:rsid wsp:val=&quot;2AF82279&quot;/&gt;&lt;wsp:rsid wsp:val=&quot;2AF91248&quot;/&gt;&lt;wsp:rsid wsp:val=&quot;2AFB461F&quot;/&gt;&lt;wsp:rsid wsp:val=&quot;2AFB4FC0&quot;/&gt;&lt;wsp:rsid wsp:val=&quot;2AFC1611&quot;/&gt;&lt;wsp:rsid wsp:val=&quot;2AFC41A2&quot;/&gt;&lt;wsp:rsid wsp:val=&quot;2B0025D7&quot;/&gt;&lt;wsp:rsid wsp:val=&quot;2B0032AF&quot;/&gt;&lt;wsp:rsid wsp:val=&quot;2B0100FD&quot;/&gt;&lt;wsp:rsid wsp:val=&quot;2B02634F&quot;/&gt;&lt;wsp:rsid wsp:val=&quot;2B0379D1&quot;/&gt;&lt;wsp:rsid wsp:val=&quot;2B053749&quot;/&gt;&lt;wsp:rsid wsp:val=&quot;2B057BED&quot;/&gt;&lt;wsp:rsid wsp:val=&quot;2B071CF2&quot;/&gt;&lt;wsp:rsid wsp:val=&quot;2B08148B&quot;/&gt;&lt;wsp:rsid wsp:val=&quot;2B0B1A6F&quot;/&gt;&lt;wsp:rsid wsp:val=&quot;2B0B2D29&quot;/&gt;&lt;wsp:rsid wsp:val=&quot;2B0C5B64&quot;/&gt;&lt;wsp:rsid wsp:val=&quot;2B0D6AA1&quot;/&gt;&lt;wsp:rsid wsp:val=&quot;2B0F281A&quot;/&gt;&lt;wsp:rsid wsp:val=&quot;2B116592&quot;/&gt;&lt;wsp:rsid wsp:val=&quot;2B12230A&quot;/&gt;&lt;wsp:rsid wsp:val=&quot;2B125F6C&quot;/&gt;&lt;wsp:rsid wsp:val=&quot;2B146082&quot;/&gt;&lt;wsp:rsid wsp:val=&quot;2B147E30&quot;/&gt;&lt;wsp:rsid wsp:val=&quot;2B17347C&quot;/&gt;&lt;wsp:rsid wsp:val=&quot;2B1B7EB7&quot;/&gt;&lt;wsp:rsid wsp:val=&quot;2B1C2A88&quot;/&gt;&lt;wsp:rsid wsp:val=&quot;2B1C4F36&quot;/&gt;&lt;wsp:rsid wsp:val=&quot;2B1C6CE5&quot;/&gt;&lt;wsp:rsid wsp:val=&quot;2B2160A9&quot;/&gt;&lt;wsp:rsid wsp:val=&quot;2B2251B9&quot;/&gt;&lt;wsp:rsid wsp:val=&quot;2B230073&quot;/&gt;&lt;wsp:rsid wsp:val=&quot;2B231E21&quot;/&gt;&lt;wsp:rsid wsp:val=&quot;2B245F87&quot;/&gt;&lt;wsp:rsid wsp:val=&quot;2B2636BF&quot;/&gt;&lt;wsp:rsid wsp:val=&quot;2B277B63&quot;/&gt;&lt;wsp:rsid wsp:val=&quot;2B2838DB&quot;/&gt;&lt;wsp:rsid wsp:val=&quot;2B2C33CC&quot;/&gt;&lt;wsp:rsid wsp:val=&quot;2B2D0EF2&quot;/&gt;&lt;wsp:rsid wsp:val=&quot;2B2D4A4E&quot;/&gt;&lt;wsp:rsid wsp:val=&quot;2B2D7144&quot;/&gt;&lt;wsp:rsid wsp:val=&quot;2B30453E&quot;/&gt;&lt;wsp:rsid wsp:val=&quot;2B307525&quot;/&gt;&lt;wsp:rsid wsp:val=&quot;2B3109E2&quot;/&gt;&lt;wsp:rsid wsp:val=&quot;2B326508&quot;/&gt;&lt;wsp:rsid wsp:val=&quot;2B3352EE&quot;/&gt;&lt;wsp:rsid wsp:val=&quot;2B342280&quot;/&gt;&lt;wsp:rsid wsp:val=&quot;2B365FF8&quot;/&gt;&lt;wsp:rsid wsp:val=&quot;2B367DA6&quot;/&gt;&lt;wsp:rsid wsp:val=&quot;2B372091&quot;/&gt;&lt;wsp:rsid wsp:val=&quot;2B3836F1&quot;/&gt;&lt;wsp:rsid wsp:val=&quot;2B397896&quot;/&gt;&lt;wsp:rsid wsp:val=&quot;2B3B0DBE&quot;/&gt;&lt;wsp:rsid wsp:val=&quot;2B3E4EAD&quot;/&gt;&lt;wsp:rsid wsp:val=&quot;2B3E6C5B&quot;/&gt;&lt;wsp:rsid wsp:val=&quot;2B3F2B94&quot;/&gt;&lt;wsp:rsid wsp:val=&quot;2B3F54CD&quot;/&gt;&lt;wsp:rsid wsp:val=&quot;2B4029D3&quot;/&gt;&lt;wsp:rsid wsp:val=&quot;2B4465E7&quot;/&gt;&lt;wsp:rsid wsp:val=&quot;2B45448D&quot;/&gt;&lt;wsp:rsid wsp:val=&quot;2B4638FA&quot;/&gt;&lt;wsp:rsid wsp:val=&quot;2B465B0F&quot;/&gt;&lt;wsp:rsid wsp:val=&quot;2B471FB3&quot;/&gt;&lt;wsp:rsid wsp:val=&quot;2B473D61&quot;/&gt;&lt;wsp:rsid wsp:val=&quot;2B477185&quot;/&gt;&lt;wsp:rsid wsp:val=&quot;2B4C1378&quot;/&gt;&lt;wsp:rsid wsp:val=&quot;2B4D6C1E&quot;/&gt;&lt;wsp:rsid wsp:val=&quot;2B4F0E68&quot;/&gt;&lt;wsp:rsid wsp:val=&quot;2B4F5673&quot;/&gt;&lt;wsp:rsid wsp:val=&quot;2B512E08&quot;/&gt;&lt;wsp:rsid wsp:val=&quot;2B512E32&quot;/&gt;&lt;wsp:rsid wsp:val=&quot;2B522706&quot;/&gt;&lt;wsp:rsid wsp:val=&quot;2B535728&quot;/&gt;&lt;wsp:rsid wsp:val=&quot;2B536BAA&quot;/&gt;&lt;wsp:rsid wsp:val=&quot;2B54003D&quot;/&gt;&lt;wsp:rsid wsp:val=&quot;2B566C7A&quot;/&gt;&lt;wsp:rsid wsp:val=&quot;2B577D1D&quot;/&gt;&lt;wsp:rsid wsp:val=&quot;2B593A95&quot;/&gt;&lt;wsp:rsid wsp:val=&quot;2B5A7935&quot;/&gt;&lt;wsp:rsid wsp:val=&quot;2B5E10AB&quot;/&gt;&lt;wsp:rsid wsp:val=&quot;2B5E554F&quot;/&gt;&lt;wsp:rsid wsp:val=&quot;2B612949&quot;/&gt;&lt;wsp:rsid wsp:val=&quot;2B613A37&quot;/&gt;&lt;wsp:rsid wsp:val=&quot;2B614ECC&quot;/&gt;&lt;wsp:rsid wsp:val=&quot;2B621AD2&quot;/&gt;&lt;wsp:rsid wsp:val=&quot;2B634913&quot;/&gt;&lt;wsp:rsid wsp:val=&quot;2B64127E&quot;/&gt;&lt;wsp:rsid wsp:val=&quot;2B667F60&quot;/&gt;&lt;wsp:rsid wsp:val=&quot;2B69017C&quot;/&gt;&lt;wsp:rsid wsp:val=&quot;2B6A7A50&quot;/&gt;&lt;wsp:rsid wsp:val=&quot;2B6D7540&quot;/&gt;&lt;wsp:rsid wsp:val=&quot;2B6F150A&quot;/&gt;&lt;wsp:rsid wsp:val=&quot;2B6F32B8&quot;/&gt;&lt;wsp:rsid wsp:val=&quot;2B6F5066&quot;/&gt;&lt;wsp:rsid wsp:val=&quot;2B7045BA&quot;/&gt;&lt;wsp:rsid wsp:val=&quot;2B710DDE&quot;/&gt;&lt;wsp:rsid wsp:val=&quot;2B716E31&quot;/&gt;&lt;wsp:rsid wsp:val=&quot;2B724B56&quot;/&gt;&lt;wsp:rsid wsp:val=&quot;2B726905&quot;/&gt;&lt;wsp:rsid wsp:val=&quot;2B7554AB&quot;/&gt;&lt;wsp:rsid wsp:val=&quot;2B7663F5&quot;/&gt;&lt;wsp:rsid wsp:val=&quot;2B7756A4&quot;/&gt;&lt;wsp:rsid wsp:val=&quot;2B7803BF&quot;/&gt;&lt;wsp:rsid wsp:val=&quot;2B795EE5&quot;/&gt;&lt;wsp:rsid wsp:val=&quot;2B7B144C&quot;/&gt;&lt;wsp:rsid wsp:val=&quot;2B7B3A0B&quot;/&gt;&lt;wsp:rsid wsp:val=&quot;2B7D58BA&quot;/&gt;&lt;wsp:rsid wsp:val=&quot;2B7D7783&quot;/&gt;&lt;wsp:rsid wsp:val=&quot;2B7E52A9&quot;/&gt;&lt;wsp:rsid wsp:val=&quot;2B7F1994&quot;/&gt;&lt;wsp:rsid wsp:val=&quot;2B8054C5&quot;/&gt;&lt;wsp:rsid wsp:val=&quot;2B807273&quot;/&gt;&lt;wsp:rsid wsp:val=&quot;2B834329&quot;/&gt;&lt;wsp:rsid wsp:val=&quot;2B836D64&quot;/&gt;&lt;wsp:rsid wsp:val=&quot;2B872ED7&quot;/&gt;&lt;wsp:rsid wsp:val=&quot;2B8A1EA0&quot;/&gt;&lt;wsp:rsid wsp:val=&quot;2B8A6344&quot;/&gt;&lt;wsp:rsid wsp:val=&quot;2B8B66EB&quot;/&gt;&lt;wsp:rsid wsp:val=&quot;2B8D191A&quot;/&gt;&lt;wsp:rsid wsp:val=&quot;2B8E7BE2&quot;/&gt;&lt;wsp:rsid wsp:val=&quot;2B8F1669&quot;/&gt;&lt;wsp:rsid wsp:val=&quot;2B911481&quot;/&gt;&lt;wsp:rsid wsp:val=&quot;2B9351F9&quot;/&gt;&lt;wsp:rsid wsp:val=&quot;2B936FA7&quot;/&gt;&lt;wsp:rsid wsp:val=&quot;2B940F71&quot;/&gt;&lt;wsp:rsid wsp:val=&quot;2B9729CB&quot;/&gt;&lt;wsp:rsid wsp:val=&quot;2B97636B&quot;/&gt;&lt;wsp:rsid wsp:val=&quot;2B98280F&quot;/&gt;&lt;wsp:rsid wsp:val=&quot;2B986A2C&quot;/&gt;&lt;wsp:rsid wsp:val=&quot;2B9A1328&quot;/&gt;&lt;wsp:rsid wsp:val=&quot;2B9C3C6C&quot;/&gt;&lt;wsp:rsid wsp:val=&quot;2B9D1BD3&quot;/&gt;&lt;wsp:rsid wsp:val=&quot;2B9D7E25&quot;/&gt;&lt;wsp:rsid wsp:val=&quot;2B9F2CC0&quot;/&gt;&lt;wsp:rsid wsp:val=&quot;2BA016C4&quot;/&gt;&lt;wsp:rsid wsp:val=&quot;2BA03472&quot;/&gt;&lt;wsp:rsid wsp:val=&quot;2BA44493&quot;/&gt;&lt;wsp:rsid wsp:val=&quot;2BA47406&quot;/&gt;&lt;wsp:rsid wsp:val=&quot;2BA50A88&quot;/&gt;&lt;wsp:rsid wsp:val=&quot;2BA54F2C&quot;/&gt;&lt;wsp:rsid wsp:val=&quot;2BA56CDA&quot;/&gt;&lt;wsp:rsid wsp:val=&quot;2BA86521&quot;/&gt;&lt;wsp:rsid wsp:val=&quot;2BA936A8&quot;/&gt;&lt;wsp:rsid wsp:val=&quot;2BAA14CE&quot;/&gt;&lt;wsp:rsid wsp:val=&quot;2BAB5541&quot;/&gt;&lt;wsp:rsid wsp:val=&quot;2BAC1E16&quot;/&gt;&lt;wsp:rsid wsp:val=&quot;2BAE2033&quot;/&gt;&lt;wsp:rsid wsp:val=&quot;2BAF20E2&quot;/&gt;&lt;wsp:rsid wsp:val=&quot;2BB04CB3&quot;/&gt;&lt;wsp:rsid wsp:val=&quot;2BB05DAB&quot;/&gt;&lt;wsp:rsid wsp:val=&quot;2BB331A5&quot;/&gt;&lt;wsp:rsid wsp:val=&quot;2BBA09D7&quot;/&gt;&lt;wsp:rsid wsp:val=&quot;2BBC3256&quot;/&gt;&lt;wsp:rsid wsp:val=&quot;2BBD4024&quot;/&gt;&lt;wsp:rsid wsp:val=&quot;2BBF5FEE&quot;/&gt;&lt;wsp:rsid wsp:val=&quot;2BC2163A&quot;/&gt;&lt;wsp:rsid wsp:val=&quot;2BC31734&quot;/&gt;&lt;wsp:rsid wsp:val=&quot;2BC453B2&quot;/&gt;&lt;wsp:rsid wsp:val=&quot;2BC66ED9&quot;/&gt;&lt;wsp:rsid wsp:val=&quot;2BC730F4&quot;/&gt;&lt;wsp:rsid wsp:val=&quot;2BC90C1A&quot;/&gt;&lt;wsp:rsid wsp:val=&quot;2BC929C8&quot;/&gt;&lt;wsp:rsid wsp:val=&quot;2BCC24B9&quot;/&gt;&lt;wsp:rsid wsp:val=&quot;2BCD76CE&quot;/&gt;&lt;wsp:rsid wsp:val=&quot;2BCE4483&quot;/&gt;&lt;wsp:rsid wsp:val=&quot;2BCF5242&quot;/&gt;&lt;wsp:rsid wsp:val=&quot;2BD05855&quot;/&gt;&lt;wsp:rsid wsp:val=&quot;2BD1572D&quot;/&gt;&lt;wsp:rsid wsp:val=&quot;2BD355F5&quot;/&gt;&lt;wsp:rsid wsp:val=&quot;2BD440AE&quot;/&gt;&lt;wsp:rsid wsp:val=&quot;2BD55811&quot;/&gt;&lt;wsp:rsid wsp:val=&quot;2BD63337&quot;/&gt;&lt;wsp:rsid wsp:val=&quot;2BD66E93&quot;/&gt;&lt;wsp:rsid wsp:val=&quot;2BD7250D&quot;/&gt;&lt;wsp:rsid wsp:val=&quot;2BD870AF&quot;/&gt;&lt;wsp:rsid wsp:val=&quot;2BD9091A&quot;/&gt;&lt;wsp:rsid wsp:val=&quot;2BD96984&quot;/&gt;&lt;wsp:rsid wsp:val=&quot;2BDA4BD6&quot;/&gt;&lt;wsp:rsid wsp:val=&quot;2BDA6A14&quot;/&gt;&lt;wsp:rsid wsp:val=&quot;2BDB094E&quot;/&gt;&lt;wsp:rsid wsp:val=&quot;2BDB26FC&quot;/&gt;&lt;wsp:rsid wsp:val=&quot;2BDD3CD0&quot;/&gt;&lt;wsp:rsid wsp:val=&quot;2BDE30D5&quot;/&gt;&lt;wsp:rsid wsp:val=&quot;2BDE3F9A&quot;/&gt;&lt;wsp:rsid wsp:val=&quot;2BDF043E&quot;/&gt;&lt;wsp:rsid wsp:val=&quot;2BDF11C1&quot;/&gt;&lt;wsp:rsid wsp:val=&quot;2BDF21C9&quot;/&gt;&lt;wsp:rsid wsp:val=&quot;2BDF24A6&quot;/&gt;&lt;wsp:rsid wsp:val=&quot;2BE21CDC&quot;/&gt;&lt;wsp:rsid wsp:val=&quot;2BE27F2E&quot;/&gt;&lt;wsp:rsid wsp:val=&quot;2BE315B0&quot;/&gt;&lt;wsp:rsid wsp:val=&quot;2BE55328&quot;/&gt;&lt;wsp:rsid wsp:val=&quot;2BE617CC&quot;/&gt;&lt;wsp:rsid wsp:val=&quot;2BE63B1F&quot;/&gt;&lt;wsp:rsid wsp:val=&quot;2BE8587B&quot;/&gt;&lt;wsp:rsid wsp:val=&quot;2BE912BD&quot;/&gt;&lt;wsp:rsid wsp:val=&quot;2BEA0B91&quot;/&gt;&lt;wsp:rsid wsp:val=&quot;2BEE242F&quot;/&gt;&lt;wsp:rsid wsp:val=&quot;2BEF7575&quot;/&gt;&lt;wsp:rsid wsp:val=&quot;2BF00C46&quot;/&gt;&lt;wsp:rsid wsp:val=&quot;2BF0264B&quot;/&gt;&lt;wsp:rsid wsp:val=&quot;2BF11F1F&quot;/&gt;&lt;wsp:rsid wsp:val=&quot;2BF33EE9&quot;/&gt;&lt;wsp:rsid wsp:val=&quot;2BF35C97&quot;/&gt;&lt;wsp:rsid wsp:val=&quot;2BF437BD&quot;/&gt;&lt;wsp:rsid wsp:val=&quot;2BF57C61&quot;/&gt;&lt;wsp:rsid wsp:val=&quot;2BF612E4&quot;/&gt;&lt;wsp:rsid wsp:val=&quot;2BF67536&quot;/&gt;&lt;wsp:rsid wsp:val=&quot;2BF81500&quot;/&gt;&lt;wsp:rsid wsp:val=&quot;2BF8505C&quot;/&gt;&lt;wsp:rsid wsp:val=&quot;2BFA7026&quot;/&gt;&lt;wsp:rsid wsp:val=&quot;2BFB2D9E&quot;/&gt;&lt;wsp:rsid wsp:val=&quot;2BFC0FF0&quot;/&gt;&lt;wsp:rsid wsp:val=&quot;2BFD2672&quot;/&gt;&lt;wsp:rsid wsp:val=&quot;2BFF463C&quot;/&gt;&lt;wsp:rsid wsp:val=&quot;2C025EDA&quot;/&gt;&lt;wsp:rsid wsp:val=&quot;2C027C88&quot;/&gt;&lt;wsp:rsid wsp:val=&quot;2C041C52&quot;/&gt;&lt;wsp:rsid wsp:val=&quot;2C0435DB&quot;/&gt;&lt;wsp:rsid wsp:val=&quot;2C043A79&quot;/&gt;&lt;wsp:rsid wsp:val=&quot;2C05030B&quot;/&gt;&lt;wsp:rsid wsp:val=&quot;2C051FF5&quot;/&gt;&lt;wsp:rsid wsp:val=&quot;2C0734F1&quot;/&gt;&lt;wsp:rsid wsp:val=&quot;2C09011C&quot;/&gt;&lt;wsp:rsid wsp:val=&quot;2C091613&quot;/&gt;&lt;wsp:rsid wsp:val=&quot;2C0A4D8F&quot;/&gt;&lt;wsp:rsid wsp:val=&quot;2C1005F7&quot;/&gt;&lt;wsp:rsid wsp:val=&quot;2C133D9F&quot;/&gt;&lt;wsp:rsid wsp:val=&quot;2C167BD8&quot;/&gt;&lt;wsp:rsid wsp:val=&quot;2C1703A3&quot;/&gt;&lt;wsp:rsid wsp:val=&quot;2C1752F1&quot;/&gt;&lt;wsp:rsid wsp:val=&quot;2C1A3224&quot;/&gt;&lt;wsp:rsid wsp:val=&quot;2C1A4943&quot;/&gt;&lt;wsp:rsid wsp:val=&quot;2C1C3440&quot;/&gt;&lt;wsp:rsid wsp:val=&quot;2C1C7CD3&quot;/&gt;&lt;wsp:rsid wsp:val=&quot;2C1D2D14&quot;/&gt;&lt;wsp:rsid wsp:val=&quot;2C1D33FB&quot;/&gt;&lt;wsp:rsid wsp:val=&quot;2C1D4AC2&quot;/&gt;&lt;wsp:rsid wsp:val=&quot;2C1D7A22&quot;/&gt;&lt;wsp:rsid wsp:val=&quot;2C1F6A8C&quot;/&gt;&lt;wsp:rsid wsp:val=&quot;2C210A56&quot;/&gt;&lt;wsp:rsid wsp:val=&quot;2C212804&quot;/&gt;&lt;wsp:rsid wsp:val=&quot;2C2422F5&quot;/&gt;&lt;wsp:rsid wsp:val=&quot;2C2440A3&quot;/&gt;&lt;wsp:rsid wsp:val=&quot;2C253164&quot;/&gt;&lt;wsp:rsid wsp:val=&quot;2C2661CB&quot;/&gt;&lt;wsp:rsid wsp:val=&quot;2C267E1B&quot;/&gt;&lt;wsp:rsid wsp:val=&quot;2C273B93&quot;/&gt;&lt;wsp:rsid wsp:val=&quot;2C275941&quot;/&gt;&lt;wsp:rsid wsp:val=&quot;2C293467&quot;/&gt;&lt;wsp:rsid wsp:val=&quot;2C2A3767&quot;/&gt;&lt;wsp:rsid wsp:val=&quot;2C2A71DF&quot;/&gt;&lt;wsp:rsid wsp:val=&quot;2C2C11A9&quot;/&gt;&lt;wsp:rsid wsp:val=&quot;2C2E0A7D&quot;/&gt;&lt;wsp:rsid wsp:val=&quot;2C2E3173&quot;/&gt;&lt;wsp:rsid wsp:val=&quot;2C302A48&quot;/&gt;&lt;wsp:rsid wsp:val=&quot;2C31056E&quot;/&gt;&lt;wsp:rsid wsp:val=&quot;2C315A5A&quot;/&gt;&lt;wsp:rsid wsp:val=&quot;2C332538&quot;/&gt;&lt;wsp:rsid wsp:val=&quot;2C35087A&quot;/&gt;&lt;wsp:rsid wsp:val=&quot;2C387880&quot;/&gt;&lt;wsp:rsid wsp:val=&quot;2C3A1B18&quot;/&gt;&lt;wsp:rsid wsp:val=&quot;2C3A5674&quot;/&gt;&lt;wsp:rsid wsp:val=&quot;2C3B3CAE&quot;/&gt;&lt;wsp:rsid wsp:val=&quot;2C3C763E&quot;/&gt;&lt;wsp:rsid wsp:val=&quot;2C3E306D&quot;/&gt;&lt;wsp:rsid wsp:val=&quot;2C3F28B9&quot;/&gt;&lt;wsp:rsid wsp:val=&quot;2C3F2C8B&quot;/&gt;&lt;wsp:rsid wsp:val=&quot;2C414C55&quot;/&gt;&lt;wsp:rsid wsp:val=&quot;2C4165DB&quot;/&gt;&lt;wsp:rsid wsp:val=&quot;2C416A03&quot;/&gt;&lt;wsp:rsid wsp:val=&quot;2C4209CD&quot;/&gt;&lt;wsp:rsid wsp:val=&quot;2C43743C&quot;/&gt;&lt;wsp:rsid wsp:val=&quot;2C484235&quot;/&gt;&lt;wsp:rsid wsp:val=&quot;2C4869F0&quot;/&gt;&lt;wsp:rsid wsp:val=&quot;2C4958B7&quot;/&gt;&lt;wsp:rsid wsp:val=&quot;2C4B162F&quot;/&gt;&lt;wsp:rsid wsp:val=&quot;2C4B1C25&quot;/&gt;&lt;wsp:rsid wsp:val=&quot;2C4B5AD3&quot;/&gt;&lt;wsp:rsid wsp:val=&quot;2C4C35F9&quot;/&gt;&lt;wsp:rsid wsp:val=&quot;2C4D184B&quot;/&gt;&lt;wsp:rsid wsp:val=&quot;2C4D5A97&quot;/&gt;&lt;wsp:rsid wsp:val=&quot;2C4E1120&quot;/&gt;&lt;wsp:rsid wsp:val=&quot;2C4E7372&quot;/&gt;&lt;wsp:rsid wsp:val=&quot;2C534309&quot;/&gt;&lt;wsp:rsid wsp:val=&quot;2C536736&quot;/&gt;&lt;wsp:rsid wsp:val=&quot;2C550700&quot;/&gt;&lt;wsp:rsid wsp:val=&quot;2C567FD4&quot;/&gt;&lt;wsp:rsid wsp:val=&quot;2C572442&quot;/&gt;&lt;wsp:rsid wsp:val=&quot;2C576226&quot;/&gt;&lt;wsp:rsid wsp:val=&quot;2C5A5D16&quot;/&gt;&lt;wsp:rsid wsp:val=&quot;2C5C383D&quot;/&gt;&lt;wsp:rsid wsp:val=&quot;2C6023A6&quot;/&gt;&lt;wsp:rsid wsp:val=&quot;2C602C01&quot;/&gt;&lt;wsp:rsid wsp:val=&quot;2C622E1D&quot;/&gt;&lt;wsp:rsid wsp:val=&quot;2C632468&quot;/&gt;&lt;wsp:rsid wsp:val=&quot;2C6646BB&quot;/&gt;&lt;wsp:rsid wsp:val=&quot;2C666469&quot;/&gt;&lt;wsp:rsid wsp:val=&quot;2C6941AB&quot;/&gt;&lt;wsp:rsid wsp:val=&quot;2C6B1CD2&quot;/&gt;&lt;wsp:rsid wsp:val=&quot;2C6D3C9C&quot;/&gt;&lt;wsp:rsid wsp:val=&quot;2C6E096F&quot;/&gt;&lt;wsp:rsid wsp:val=&quot;2C6E531E&quot;/&gt;&lt;wsp:rsid wsp:val=&quot;2C6F1D04&quot;/&gt;&lt;wsp:rsid wsp:val=&quot;2C6F72CA&quot;/&gt;&lt;wsp:rsid wsp:val=&quot;2C701096&quot;/&gt;&lt;wsp:rsid wsp:val=&quot;2C701E9B&quot;/&gt;&lt;wsp:rsid wsp:val=&quot;2C7072E8&quot;/&gt;&lt;wsp:rsid wsp:val=&quot;2C714E0E&quot;/&gt;&lt;wsp:rsid wsp:val=&quot;2C7212B2&quot;/&gt;&lt;wsp:rsid wsp:val=&quot;2C732934&quot;/&gt;&lt;wsp:rsid wsp:val=&quot;2C73502A&quot;/&gt;&lt;wsp:rsid wsp:val=&quot;2C742D57&quot;/&gt;&lt;wsp:rsid wsp:val=&quot;2C752B50&quot;/&gt;&lt;wsp:rsid wsp:val=&quot;2C7768C8&quot;/&gt;&lt;wsp:rsid wsp:val=&quot;2C7843EE&quot;/&gt;&lt;wsp:rsid wsp:val=&quot;2C792640&quot;/&gt;&lt;wsp:rsid wsp:val=&quot;2C795A94&quot;/&gt;&lt;wsp:rsid wsp:val=&quot;2C7A4279&quot;/&gt;&lt;wsp:rsid wsp:val=&quot;2C7D37B3&quot;/&gt;&lt;wsp:rsid wsp:val=&quot;2C7E7C57&quot;/&gt;&lt;wsp:rsid wsp:val=&quot;2C7F39CF&quot;/&gt;&lt;wsp:rsid wsp:val=&quot;2C8132A3&quot;/&gt;&lt;wsp:rsid wsp:val=&quot;2C82701B&quot;/&gt;&lt;wsp:rsid wsp:val=&quot;2C832906&quot;/&gt;&lt;wsp:rsid wsp:val=&quot;2C840FE5&quot;/&gt;&lt;wsp:rsid wsp:val=&quot;2C8608B9&quot;/&gt;&lt;wsp:rsid wsp:val=&quot;2C866B0B&quot;/&gt;&lt;wsp:rsid wsp:val=&quot;2C872E2D&quot;/&gt;&lt;wsp:rsid wsp:val=&quot;2C884632&quot;/&gt;&lt;wsp:rsid wsp:val=&quot;2C892158&quot;/&gt;&lt;wsp:rsid wsp:val=&quot;2C8B4122&quot;/&gt;&lt;wsp:rsid wsp:val=&quot;2C8B51FB&quot;/&gt;&lt;wsp:rsid wsp:val=&quot;2C8E17A8&quot;/&gt;&lt;wsp:rsid wsp:val=&quot;2C8E3C12&quot;/&gt;&lt;wsp:rsid wsp:val=&quot;2C901738&quot;/&gt;&lt;wsp:rsid wsp:val=&quot;2C9103E2&quot;/&gt;&lt;wsp:rsid wsp:val=&quot;2C923702&quot;/&gt;&lt;wsp:rsid wsp:val=&quot;2C9254B0&quot;/&gt;&lt;wsp:rsid wsp:val=&quot;2C9303A0&quot;/&gt;&lt;wsp:rsid wsp:val=&quot;2C931228&quot;/&gt;&lt;wsp:rsid wsp:val=&quot;2C934D84&quot;/&gt;&lt;wsp:rsid wsp:val=&quot;2C950AFD&quot;/&gt;&lt;wsp:rsid wsp:val=&quot;2C970CD4&quot;/&gt;&lt;wsp:rsid wsp:val=&quot;2C994A91&quot;/&gt;&lt;wsp:rsid wsp:val=&quot;2C9A25B7&quot;/&gt;&lt;wsp:rsid wsp:val=&quot;2C9A4365&quot;/&gt;&lt;wsp:rsid wsp:val=&quot;2C9A6113&quot;/&gt;&lt;wsp:rsid wsp:val=&quot;2C9C1E8B&quot;/&gt;&lt;wsp:rsid wsp:val=&quot;2C9E3E55&quot;/&gt;&lt;wsp:rsid wsp:val=&quot;2C9F197B&quot;/&gt;&lt;wsp:rsid wsp:val=&quot;2C9F20B0&quot;/&gt;&lt;wsp:rsid wsp:val=&quot;2C9F63A9&quot;/&gt;&lt;wsp:rsid wsp:val=&quot;2C9F7BCD&quot;/&gt;&lt;wsp:rsid wsp:val=&quot;2CA174A1&quot;/&gt;&lt;wsp:rsid wsp:val=&quot;2CA23219&quot;/&gt;&lt;wsp:rsid wsp:val=&quot;2CA43435&quot;/&gt;&lt;wsp:rsid wsp:val=&quot;2CA451E4&quot;/&gt;&lt;wsp:rsid wsp:val=&quot;2CA46F92&quot;/&gt;&lt;wsp:rsid wsp:val=&quot;2CA70830&quot;/&gt;&lt;wsp:rsid wsp:val=&quot;2CAB0320&quot;/&gt;&lt;wsp:rsid wsp:val=&quot;2CAD4098&quot;/&gt;&lt;wsp:rsid wsp:val=&quot;2CAE7587&quot;/&gt;&lt;wsp:rsid wsp:val=&quot;2CAE7E10&quot;/&gt;&lt;wsp:rsid wsp:val=&quot;2CB01DDA&quot;/&gt;&lt;wsp:rsid wsp:val=&quot;2CB216AE&quot;/&gt;&lt;wsp:rsid wsp:val=&quot;2CB2345D&quot;/&gt;&lt;wsp:rsid wsp:val=&quot;2CB2481F&quot;/&gt;&lt;wsp:rsid wsp:val=&quot;2CB371D5&quot;/&gt;&lt;wsp:rsid wsp:val=&quot;2CB42A1C&quot;/&gt;&lt;wsp:rsid wsp:val=&quot;2CB43679&quot;/&gt;&lt;wsp:rsid wsp:val=&quot;2CB46D5B&quot;/&gt;&lt;wsp:rsid wsp:val=&quot;2CB504DE&quot;/&gt;&lt;wsp:rsid wsp:val=&quot;2CB50C49&quot;/&gt;&lt;wsp:rsid wsp:val=&quot;2CB573F1&quot;/&gt;&lt;wsp:rsid wsp:val=&quot;2CB73169&quot;/&gt;&lt;wsp:rsid wsp:val=&quot;2CB74F17&quot;/&gt;&lt;wsp:rsid wsp:val=&quot;2CB76CC5&quot;/&gt;&lt;wsp:rsid wsp:val=&quot;2CB82A3D&quot;/&gt;&lt;wsp:rsid wsp:val=&quot;2CB847EB&quot;/&gt;&lt;wsp:rsid wsp:val=&quot;2CB90C8F&quot;/&gt;&lt;wsp:rsid wsp:val=&quot;2CBA0563&quot;/&gt;&lt;wsp:rsid wsp:val=&quot;2CBA1E1E&quot;/&gt;&lt;wsp:rsid wsp:val=&quot;2CBB4441&quot;/&gt;&lt;wsp:rsid wsp:val=&quot;2CC00E82&quot;/&gt;&lt;wsp:rsid wsp:val=&quot;2CC118F2&quot;/&gt;&lt;wsp:rsid wsp:val=&quot;2CC15D95&quot;/&gt;&lt;wsp:rsid wsp:val=&quot;2CC17B44&quot;/&gt;&lt;wsp:rsid wsp:val=&quot;2CC3566A&quot;/&gt;&lt;wsp:rsid wsp:val=&quot;2CC64125&quot;/&gt;&lt;wsp:rsid wsp:val=&quot;2CC80ED2&quot;/&gt;&lt;wsp:rsid wsp:val=&quot;2CC94C4A&quot;/&gt;&lt;wsp:rsid wsp:val=&quot;2CC969F8&quot;/&gt;&lt;wsp:rsid wsp:val=&quot;2CCB451E&quot;/&gt;&lt;wsp:rsid wsp:val=&quot;2CCB6C14&quot;/&gt;&lt;wsp:rsid wsp:val=&quot;2CCC7C29&quot;/&gt;&lt;wsp:rsid wsp:val=&quot;2CCD0296&quot;/&gt;&lt;wsp:rsid wsp:val=&quot;2CCF6918&quot;/&gt;&lt;wsp:rsid wsp:val=&quot;2CD07D87&quot;/&gt;&lt;wsp:rsid wsp:val=&quot;2CD35299&quot;/&gt;&lt;wsp:rsid wsp:val=&quot;2CD45AC9&quot;/&gt;&lt;wsp:rsid wsp:val=&quot;2CD47877&quot;/&gt;&lt;wsp:rsid wsp:val=&quot;2CD535EF&quot;/&gt;&lt;wsp:rsid wsp:val=&quot;2CD86C3B&quot;/&gt;&lt;wsp:rsid wsp:val=&quot;2CDC672B&quot;/&gt;&lt;wsp:rsid wsp:val=&quot;2CDF446E&quot;/&gt;&lt;wsp:rsid wsp:val=&quot;2CE101E6&quot;/&gt;&lt;wsp:rsid wsp:val=&quot;2CE43832&quot;/&gt;&lt;wsp:rsid wsp:val=&quot;2CE576AE&quot;/&gt;&lt;wsp:rsid wsp:val=&quot;2CE61FCE&quot;/&gt;&lt;wsp:rsid wsp:val=&quot;2CE7345E&quot;/&gt;&lt;wsp:rsid wsp:val=&quot;2CEA52EC&quot;/&gt;&lt;wsp:rsid wsp:val=&quot;2CEB2E12&quot;/&gt;&lt;wsp:rsid wsp:val=&quot;2CEB4BC0&quot;/&gt;&lt;wsp:rsid wsp:val=&quot;2CED0939&quot;/&gt;&lt;wsp:rsid wsp:val=&quot;2CEF46B1&quot;/&gt;&lt;wsp:rsid wsp:val=&quot;2CEF6E8C&quot;/&gt;&lt;wsp:rsid wsp:val=&quot;2CF00429&quot;/&gt;&lt;wsp:rsid wsp:val=&quot;2CF021D7&quot;/&gt;&lt;wsp:rsid wsp:val=&quot;2CF03F85&quot;/&gt;&lt;wsp:rsid wsp:val=&quot;2CF170E1&quot;/&gt;&lt;wsp:rsid wsp:val=&quot;2CF31A01&quot;/&gt;&lt;wsp:rsid wsp:val=&quot;2CF41CC7&quot;/&gt;&lt;wsp:rsid wsp:val=&quot;2CF55A3F&quot;/&gt;&lt;wsp:rsid wsp:val=&quot;2CF57C1C&quot;/&gt;&lt;wsp:rsid wsp:val=&quot;2CF94162&quot;/&gt;&lt;wsp:rsid wsp:val=&quot;2CFA6D03&quot;/&gt;&lt;wsp:rsid wsp:val=&quot;2CFB44A5&quot;/&gt;&lt;wsp:rsid wsp:val=&quot;2CFC0B7C&quot;/&gt;&lt;wsp:rsid wsp:val=&quot;2CFE66A2&quot;/&gt;&lt;wsp:rsid wsp:val=&quot;2CFF1472&quot;/&gt;&lt;wsp:rsid wsp:val=&quot;2D005746&quot;/&gt;&lt;wsp:rsid wsp:val=&quot;2D012636&quot;/&gt;&lt;wsp:rsid wsp:val=&quot;2D016192&quot;/&gt;&lt;wsp:rsid wsp:val=&quot;2D031F0A&quot;/&gt;&lt;wsp:rsid wsp:val=&quot;2D0363AE&quot;/&gt;&lt;wsp:rsid wsp:val=&quot;2D045C82&quot;/&gt;&lt;wsp:rsid wsp:val=&quot;2D076515&quot;/&gt;&lt;wsp:rsid wsp:val=&quot;2D0839C4&quot;/&gt;&lt;wsp:rsid wsp:val=&quot;2D087520&quot;/&gt;&lt;wsp:rsid wsp:val=&quot;2D095281&quot;/&gt;&lt;wsp:rsid wsp:val=&quot;2D0A3299&quot;/&gt;&lt;wsp:rsid wsp:val=&quot;2D0B0DBF&quot;/&gt;&lt;wsp:rsid wsp:val=&quot;2D0D0FDB&quot;/&gt;&lt;wsp:rsid wsp:val=&quot;2D0D2D89&quot;/&gt;&lt;wsp:rsid wsp:val=&quot;2D0F6B01&quot;/&gt;&lt;wsp:rsid wsp:val=&quot;2D12039F&quot;/&gt;&lt;wsp:rsid wsp:val=&quot;2D12214D&quot;/&gt;&lt;wsp:rsid wsp:val=&quot;2D126B82&quot;/&gt;&lt;wsp:rsid wsp:val=&quot;2D126CD3&quot;/&gt;&lt;wsp:rsid wsp:val=&quot;2D14247A&quot;/&gt;&lt;wsp:rsid wsp:val=&quot;2D145EC5&quot;/&gt;&lt;wsp:rsid wsp:val=&quot;2D173C07&quot;/&gt;&lt;wsp:rsid wsp:val=&quot;2D177764&quot;/&gt;&lt;wsp:rsid wsp:val=&quot;2D1934DC&quot;/&gt;&lt;wsp:rsid wsp:val=&quot;2D197980&quot;/&gt;&lt;wsp:rsid wsp:val=&quot;2D1B36F8&quot;/&gt;&lt;wsp:rsid wsp:val=&quot;2D1B54A6&quot;/&gt;&lt;wsp:rsid wsp:val=&quot;2D1C121E&quot;/&gt;&lt;wsp:rsid wsp:val=&quot;2D1E4F96&quot;/&gt;&lt;wsp:rsid wsp:val=&quot;2D1E6D44&quot;/&gt;&lt;wsp:rsid wsp:val=&quot;2D200D0E&quot;/&gt;&lt;wsp:rsid wsp:val=&quot;2D20215E&quot;/&gt;&lt;wsp:rsid wsp:val=&quot;2D2105E2&quot;/&gt;&lt;wsp:rsid wsp:val=&quot;2D23435A&quot;/&gt;&lt;wsp:rsid wsp:val=&quot;2D2500D2&quot;/&gt;&lt;wsp:rsid wsp:val=&quot;2D265BF9&quot;/&gt;&lt;wsp:rsid wsp:val=&quot;2D2D342B&quot;/&gt;&lt;wsp:rsid wsp:val=&quot;2D314CC9&quot;/&gt;&lt;wsp:rsid wsp:val=&quot;2D3227EF&quot;/&gt;&lt;wsp:rsid wsp:val=&quot;2D3305D4&quot;/&gt;&lt;wsp:rsid wsp:val=&quot;2D3312B2&quot;/&gt;&lt;wsp:rsid wsp:val=&quot;2D347A8C&quot;/&gt;&lt;wsp:rsid wsp:val=&quot;2D35408E&quot;/&gt;&lt;wsp:rsid wsp:val=&quot;2D355E3C&quot;/&gt;&lt;wsp:rsid wsp:val=&quot;2D391DD0&quot;/&gt;&lt;wsp:rsid wsp:val=&quot;2D393B7E&quot;/&gt;&lt;wsp:rsid wsp:val=&quot;2D3A16A4&quot;/&gt;&lt;wsp:rsid wsp:val=&quot;2D3A4195&quot;/&gt;&lt;wsp:rsid wsp:val=&quot;2D3E1194&quot;/&gt;&lt;wsp:rsid wsp:val=&quot;2D3E2F42&quot;/&gt;&lt;wsp:rsid wsp:val=&quot;2D3E73E6&quot;/&gt;&lt;wsp:rsid wsp:val=&quot;2D410C84&quot;/&gt;&lt;wsp:rsid wsp:val=&quot;2D41586D&quot;/&gt;&lt;wsp:rsid wsp:val=&quot;2D426ED6&quot;/&gt;&lt;wsp:rsid wsp:val=&quot;2D430559&quot;/&gt;&lt;wsp:rsid wsp:val=&quot;2D4349FC&quot;/&gt;&lt;wsp:rsid wsp:val=&quot;2D450775&quot;/&gt;&lt;wsp:rsid wsp:val=&quot;2D4542D1&quot;/&gt;&lt;wsp:rsid wsp:val=&quot;2D4744ED&quot;/&gt;&lt;wsp:rsid wsp:val=&quot;2D480265&quot;/&gt;&lt;wsp:rsid wsp:val=&quot;2D4D7629&quot;/&gt;&lt;wsp:rsid wsp:val=&quot;2D4F15F3&quot;/&gt;&lt;wsp:rsid wsp:val=&quot;2D517119&quot;/&gt;&lt;wsp:rsid wsp:val=&quot;2D524C40&quot;/&gt;&lt;wsp:rsid wsp:val=&quot;2D534021&quot;/&gt;&lt;wsp:rsid wsp:val=&quot;2D5409B8&quot;/&gt;&lt;wsp:rsid wsp:val=&quot;2D5655D2&quot;/&gt;&lt;wsp:rsid wsp:val=&quot;2D5704A8&quot;/&gt;&lt;wsp:rsid wsp:val=&quot;2D580E5F&quot;/&gt;&lt;wsp:rsid wsp:val=&quot;2D594220&quot;/&gt;&lt;wsp:rsid wsp:val=&quot;2D597D7C&quot;/&gt;&lt;wsp:rsid wsp:val=&quot;2D5B1D46&quot;/&gt;&lt;wsp:rsid wsp:val=&quot;2D5B77E0&quot;/&gt;&lt;wsp:rsid wsp:val=&quot;2D5D3823&quot;/&gt;&lt;wsp:rsid wsp:val=&quot;2D613652&quot;/&gt;&lt;wsp:rsid wsp:val=&quot;2D616C31&quot;/&gt;&lt;wsp:rsid wsp:val=&quot;2D6648F3&quot;/&gt;&lt;wsp:rsid wsp:val=&quot;2D67693D&quot;/&gt;&lt;wsp:rsid wsp:val=&quot;2D687FBF&quot;/&gt;&lt;wsp:rsid wsp:val=&quot;2D6A3D37&quot;/&gt;&lt;wsp:rsid wsp:val=&quot;2D6C0765&quot;/&gt;&lt;wsp:rsid wsp:val=&quot;2D6C3F53&quot;/&gt;&lt;wsp:rsid wsp:val=&quot;2D6C5D01&quot;/&gt;&lt;wsp:rsid wsp:val=&quot;2D6F57F1&quot;/&gt;&lt;wsp:rsid wsp:val=&quot;2D6F75A0&quot;/&gt;&lt;wsp:rsid wsp:val=&quot;2D71156A&quot;/&gt;&lt;wsp:rsid wsp:val=&quot;2D720E3E&quot;/&gt;&lt;wsp:rsid wsp:val=&quot;2D727090&quot;/&gt;&lt;wsp:rsid wsp:val=&quot;2D7352E2&quot;/&gt;&lt;wsp:rsid wsp:val=&quot;2D742E08&quot;/&gt;&lt;wsp:rsid wsp:val=&quot;2D747BBB&quot;/&gt;&lt;wsp:rsid wsp:val=&quot;2D76092E&quot;/&gt;&lt;wsp:rsid wsp:val=&quot;2D7626DC&quot;/&gt;&lt;wsp:rsid wsp:val=&quot;2D766B80&quot;/&gt;&lt;wsp:rsid wsp:val=&quot;2D7746A6&quot;/&gt;&lt;wsp:rsid wsp:val=&quot;2D784137&quot;/&gt;&lt;wsp:rsid wsp:val=&quot;2D79041E&quot;/&gt;&lt;wsp:rsid wsp:val=&quot;2D7921CC&quot;/&gt;&lt;wsp:rsid wsp:val=&quot;2D7C3A6A&quot;/&gt;&lt;wsp:rsid wsp:val=&quot;2D7D7F0E&quot;/&gt;&lt;wsp:rsid wsp:val=&quot;2D7E3C87&quot;/&gt;&lt;wsp:rsid wsp:val=&quot;2D7E5A35&quot;/&gt;&lt;wsp:rsid wsp:val=&quot;2D7E6DEA&quot;/&gt;&lt;wsp:rsid wsp:val=&quot;2D806BDB&quot;/&gt;&lt;wsp:rsid wsp:val=&quot;2D8079FF&quot;/&gt;&lt;wsp:rsid wsp:val=&quot;2D820DFF&quot;/&gt;&lt;wsp:rsid wsp:val=&quot;2D834DF9&quot;/&gt;&lt;wsp:rsid wsp:val=&quot;2D855015&quot;/&gt;&lt;wsp:rsid wsp:val=&quot;2D856DC3&quot;/&gt;&lt;wsp:rsid wsp:val=&quot;2D8748E9&quot;/&gt;&lt;wsp:rsid wsp:val=&quot;2D8A262B&quot;/&gt;&lt;wsp:rsid wsp:val=&quot;2D8C1F00&quot;/&gt;&lt;wsp:rsid wsp:val=&quot;2D8D03EA&quot;/&gt;&lt;wsp:rsid wsp:val=&quot;2D8D5C78&quot;/&gt;&lt;wsp:rsid wsp:val=&quot;2D8D660E&quot;/&gt;&lt;wsp:rsid wsp:val=&quot;2D8E211C&quot;/&gt;&lt;wsp:rsid wsp:val=&quot;2D8F7C42&quot;/&gt;&lt;wsp:rsid wsp:val=&quot;2D9139BA&quot;/&gt;&lt;wsp:rsid wsp:val=&quot;2D917516&quot;/&gt;&lt;wsp:rsid wsp:val=&quot;2D933910&quot;/&gt;&lt;wsp:rsid wsp:val=&quot;2D937732&quot;/&gt;&lt;wsp:rsid wsp:val=&quot;2D945258&quot;/&gt;&lt;wsp:rsid wsp:val=&quot;2D964B2C&quot;/&gt;&lt;wsp:rsid wsp:val=&quot;2D991937&quot;/&gt;&lt;wsp:rsid wsp:val=&quot;2D99286E&quot;/&gt;&lt;wsp:rsid wsp:val=&quot;2D9B0395&quot;/&gt;&lt;wsp:rsid wsp:val=&quot;2D9B2143&quot;/&gt;&lt;wsp:rsid wsp:val=&quot;2D9B65E7&quot;/&gt;&lt;wsp:rsid wsp:val=&quot;2D9D68F1&quot;/&gt;&lt;wsp:rsid wsp:val=&quot;2D9E0A23&quot;/&gt;&lt;wsp:rsid wsp:val=&quot;2D9E1C33&quot;/&gt;&lt;wsp:rsid wsp:val=&quot;2D9E56F5&quot;/&gt;&lt;wsp:rsid wsp:val=&quot;2DA07759&quot;/&gt;&lt;wsp:rsid wsp:val=&quot;2DA134D1&quot;/&gt;&lt;wsp:rsid wsp:val=&quot;2DA21723&quot;/&gt;&lt;wsp:rsid wsp:val=&quot;2DA60308&quot;/&gt;&lt;wsp:rsid wsp:val=&quot;2DA717C6&quot;/&gt;&lt;wsp:rsid wsp:val=&quot;2DA74F8B&quot;/&gt;&lt;wsp:rsid wsp:val=&quot;2DA75F41&quot;/&gt;&lt;wsp:rsid wsp:val=&quot;2DA76D39&quot;/&gt;&lt;wsp:rsid wsp:val=&quot;2DAA682A&quot;/&gt;&lt;wsp:rsid wsp:val=&quot;2DAD258B&quot;/&gt;&lt;wsp:rsid wsp:val=&quot;2DB01B2B&quot;/&gt;&lt;wsp:rsid wsp:val=&quot;2DB15E0A&quot;/&gt;&lt;wsp:rsid wsp:val=&quot;2DB16695&quot;/&gt;&lt;wsp:rsid wsp:val=&quot;2DB31B82&quot;/&gt;&lt;wsp:rsid wsp:val=&quot;2DB41456&quot;/&gt;&lt;wsp:rsid wsp:val=&quot;2DB476A8&quot;/&gt;&lt;wsp:rsid wsp:val=&quot;2DB51313&quot;/&gt;&lt;wsp:rsid wsp:val=&quot;2DB60A5F&quot;/&gt;&lt;wsp:rsid wsp:val=&quot;2DB66F7C&quot;/&gt;&lt;wsp:rsid wsp:val=&quot;2DB67697&quot;/&gt;&lt;wsp:rsid wsp:val=&quot;2DB72D0B&quot;/&gt;&lt;wsp:rsid wsp:val=&quot;2DB80F46&quot;/&gt;&lt;wsp:rsid wsp:val=&quot;2DB87198&quot;/&gt;&lt;wsp:rsid wsp:val=&quot;2DB9360F&quot;/&gt;&lt;wsp:rsid wsp:val=&quot;2DB96A6D&quot;/&gt;&lt;wsp:rsid wsp:val=&quot;2DBB27E5&quot;/&gt;&lt;wsp:rsid wsp:val=&quot;2DBD50E7&quot;/&gt;&lt;wsp:rsid wsp:val=&quot;2DBE0D2E&quot;/&gt;&lt;wsp:rsid wsp:val=&quot;2DBE22D5&quot;/&gt;&lt;wsp:rsid wsp:val=&quot;2DBE3570&quot;/&gt;&lt;wsp:rsid wsp:val=&quot;2DBE4083&quot;/&gt;&lt;wsp:rsid wsp:val=&quot;2DBF0527&quot;/&gt;&lt;wsp:rsid wsp:val=&quot;2DC01BA9&quot;/&gt;&lt;wsp:rsid wsp:val=&quot;2DC20E96&quot;/&gt;&lt;wsp:rsid wsp:val=&quot;2DC3161E&quot;/&gt;&lt;wsp:rsid wsp:val=&quot;2DC378EB&quot;/&gt;&lt;wsp:rsid wsp:val=&quot;2DC415DB&quot;/&gt;&lt;wsp:rsid wsp:val=&quot;2DC45B3D&quot;/&gt;&lt;wsp:rsid wsp:val=&quot;2DC63113&quot;/&gt;&lt;wsp:rsid wsp:val=&quot;2DC73C58&quot;/&gt;&lt;wsp:rsid wsp:val=&quot;2DC86CB0&quot;/&gt;&lt;wsp:rsid wsp:val=&quot;2DCA2A28&quot;/&gt;&lt;wsp:rsid wsp:val=&quot;2DCD2AB1&quot;/&gt;&lt;wsp:rsid wsp:val=&quot;2DCE2518&quot;/&gt;&lt;wsp:rsid wsp:val=&quot;2DCE784E&quot;/&gt;&lt;wsp:rsid wsp:val=&quot;2DCF0F92&quot;/&gt;&lt;wsp:rsid wsp:val=&quot;2DD218DC&quot;/&gt;&lt;wsp:rsid wsp:val=&quot;2DD22E73&quot;/&gt;&lt;wsp:rsid wsp:val=&quot;2DD7249E&quot;/&gt;&lt;wsp:rsid wsp:val=&quot;2DD815E9&quot;/&gt;&lt;wsp:rsid wsp:val=&quot;2DD83397&quot;/&gt;&lt;wsp:rsid wsp:val=&quot;2DDB2E87&quot;/&gt;&lt;wsp:rsid wsp:val=&quot;2DDB4C35&quot;/&gt;&lt;wsp:rsid wsp:val=&quot;2DDC5E7F&quot;/&gt;&lt;wsp:rsid wsp:val=&quot;2DDD09AD&quot;/&gt;&lt;wsp:rsid wsp:val=&quot;2DDD6BFF&quot;/&gt;&lt;wsp:rsid wsp:val=&quot;2DDE64D3&quot;/&gt;&lt;wsp:rsid wsp:val=&quot;2DDF14E4&quot;/&gt;&lt;wsp:rsid wsp:val=&quot;2DE23A09&quot;/&gt;&lt;wsp:rsid wsp:val=&quot;2DE24215&quot;/&gt;&lt;wsp:rsid wsp:val=&quot;2DE37BA3&quot;/&gt;&lt;wsp:rsid wsp:val=&quot;2DE47157&quot;/&gt;&lt;wsp:rsid wsp:val=&quot;2DE57862&quot;/&gt;&lt;wsp:rsid wsp:val=&quot;2DE7182C&quot;/&gt;&lt;wsp:rsid wsp:val=&quot;2DE735DA&quot;/&gt;&lt;wsp:rsid wsp:val=&quot;2DE8408C&quot;/&gt;&lt;wsp:rsid wsp:val=&quot;2DE955A4&quot;/&gt;&lt;wsp:rsid wsp:val=&quot;2DEA30CA&quot;/&gt;&lt;wsp:rsid wsp:val=&quot;2DEB087C&quot;/&gt;&lt;wsp:rsid wsp:val=&quot;2DEB6A75&quot;/&gt;&lt;wsp:rsid wsp:val=&quot;2DEC0BF0&quot;/&gt;&lt;wsp:rsid wsp:val=&quot;2DEC299E&quot;/&gt;&lt;wsp:rsid wsp:val=&quot;2DEF06E0&quot;/&gt;&lt;wsp:rsid wsp:val=&quot;2DEF248E&quot;/&gt;&lt;wsp:rsid wsp:val=&quot;2DEF3750&quot;/&gt;&lt;wsp:rsid wsp:val=&quot;2DEF6E3B&quot;/&gt;&lt;wsp:rsid wsp:val=&quot;2DF12E9C&quot;/&gt;&lt;wsp:rsid wsp:val=&quot;2DF16206&quot;/&gt;&lt;wsp:rsid wsp:val=&quot;2DF31F7F&quot;/&gt;&lt;wsp:rsid wsp:val=&quot;2DF45CF7&quot;/&gt;&lt;wsp:rsid wsp:val=&quot;2DF53F49&quot;/&gt;&lt;wsp:rsid wsp:val=&quot;2DF730F6&quot;/&gt;&lt;wsp:rsid wsp:val=&quot;2DF83A39&quot;/&gt;&lt;wsp:rsid wsp:val=&quot;2DF87595&quot;/&gt;&lt;wsp:rsid wsp:val=&quot;2DF9688E&quot;/&gt;&lt;wsp:rsid wsp:val=&quot;2DFB52D7&quot;/&gt;&lt;wsp:rsid wsp:val=&quot;2DFC5422&quot;/&gt;&lt;wsp:rsid wsp:val=&quot;2DFD4BAB&quot;/&gt;&lt;wsp:rsid wsp:val=&quot;2DFF1133&quot;/&gt;&lt;wsp:rsid wsp:val=&quot;2E00644A&quot;/&gt;&lt;wsp:rsid wsp:val=&quot;2E020414&quot;/&gt;&lt;wsp:rsid wsp:val=&quot;2E0210B7&quot;/&gt;&lt;wsp:rsid wsp:val=&quot;2E032598&quot;/&gt;&lt;wsp:rsid wsp:val=&quot;2E033B70&quot;/&gt;&lt;wsp:rsid wsp:val=&quot;2E040986&quot;/&gt;&lt;wsp:rsid wsp:val=&quot;2E041312&quot;/&gt;&lt;wsp:rsid wsp:val=&quot;2E045F3A&quot;/&gt;&lt;wsp:rsid wsp:val=&quot;2E0622F6&quot;/&gt;&lt;wsp:rsid wsp:val=&quot;2E0917A2&quot;/&gt;&lt;wsp:rsid wsp:val=&quot;2E0979F4&quot;/&gt;&lt;wsp:rsid wsp:val=&quot;2E0B02C8&quot;/&gt;&lt;wsp:rsid wsp:val=&quot;2E0C1292&quot;/&gt;&lt;wsp:rsid wsp:val=&quot;2E0E0B66&quot;/&gt;&lt;wsp:rsid wsp:val=&quot;2E0E500A&quot;/&gt;&lt;wsp:rsid wsp:val=&quot;2E1168A9&quot;/&gt;&lt;wsp:rsid wsp:val=&quot;2E132621&quot;/&gt;&lt;wsp:rsid wsp:val=&quot;2E13617D&quot;/&gt;&lt;wsp:rsid wsp:val=&quot;2E1476CE&quot;/&gt;&lt;wsp:rsid wsp:val=&quot;2E150147&quot;/&gt;&lt;wsp:rsid wsp:val=&quot;2E1819E5&quot;/&gt;&lt;wsp:rsid wsp:val=&quot;2E1B663D&quot;/&gt;&lt;wsp:rsid wsp:val=&quot;2E1D349F&quot;/&gt;&lt;wsp:rsid wsp:val=&quot;2E1E4B22&quot;/&gt;&lt;wsp:rsid wsp:val=&quot;2E1F0FC6&quot;/&gt;&lt;wsp:rsid wsp:val=&quot;2E1F4A69&quot;/&gt;&lt;wsp:rsid wsp:val=&quot;2E204D3E&quot;/&gt;&lt;wsp:rsid wsp:val=&quot;2E2122D0&quot;/&gt;&lt;wsp:rsid wsp:val=&quot;2E232138&quot;/&gt;&lt;wsp:rsid wsp:val=&quot;2E24038A&quot;/&gt;&lt;wsp:rsid wsp:val=&quot;2E2465DC&quot;/&gt;&lt;wsp:rsid wsp:val=&quot;2E255EB0&quot;/&gt;&lt;wsp:rsid wsp:val=&quot;2E271C28&quot;/&gt;&lt;wsp:rsid wsp:val=&quot;2E2A34C6&quot;/&gt;&lt;wsp:rsid wsp:val=&quot;2E2B796A&quot;/&gt;&lt;wsp:rsid wsp:val=&quot;2E2C723F&quot;/&gt;&lt;wsp:rsid wsp:val=&quot;2E2E026D&quot;/&gt;&lt;wsp:rsid wsp:val=&quot;2E2E2FB7&quot;/&gt;&lt;wsp:rsid wsp:val=&quot;2E2F6D2F&quot;/&gt;&lt;wsp:rsid wsp:val=&quot;2E312AA7&quot;/&gt;&lt;wsp:rsid wsp:val=&quot;2E314855&quot;/&gt;&lt;wsp:rsid wsp:val=&quot;2E344345&quot;/&gt;&lt;wsp:rsid wsp:val=&quot;2E36586F&quot;/&gt;&lt;wsp:rsid wsp:val=&quot;2E36630F&quot;/&gt;&lt;wsp:rsid wsp:val=&quot;2E374561&quot;/&gt;&lt;wsp:rsid wsp:val=&quot;2E383EF0&quot;/&gt;&lt;wsp:rsid wsp:val=&quot;2E395380&quot;/&gt;&lt;wsp:rsid wsp:val=&quot;2E3B3926&quot;/&gt;&lt;wsp:rsid wsp:val=&quot;2E3B56D4&quot;/&gt;&lt;wsp:rsid wsp:val=&quot;2E3B7332&quot;/&gt;&lt;wsp:rsid wsp:val=&quot;2E3C4320&quot;/&gt;&lt;wsp:rsid wsp:val=&quot;2E3D31FA&quot;/&gt;&lt;wsp:rsid wsp:val=&quot;2E3F51C4&quot;/&gt;&lt;wsp:rsid wsp:val=&quot;2E41385B&quot;/&gt;&lt;wsp:rsid wsp:val=&quot;2E41718E&quot;/&gt;&lt;wsp:rsid wsp:val=&quot;2E427D13&quot;/&gt;&lt;wsp:rsid wsp:val=&quot;2E432744&quot;/&gt;&lt;wsp:rsid wsp:val=&quot;2E440A2C&quot;/&gt;&lt;wsp:rsid wsp:val=&quot;2E450300&quot;/&gt;&lt;wsp:rsid wsp:val=&quot;2E467984&quot;/&gt;&lt;wsp:rsid wsp:val=&quot;2E4722CA&quot;/&gt;&lt;wsp:rsid wsp:val=&quot;2E4B1DBB&quot;/&gt;&lt;wsp:rsid wsp:val=&quot;2E4B2DD8&quot;/&gt;&lt;wsp:rsid wsp:val=&quot;2E4B3B69&quot;/&gt;&lt;wsp:rsid wsp:val=&quot;2E4C5B33&quot;/&gt;&lt;wsp:rsid wsp:val=&quot;2E5073D1&quot;/&gt;&lt;wsp:rsid wsp:val=&quot;2E530AF8&quot;/&gt;&lt;wsp:rsid wsp:val=&quot;2E56250D&quot;/&gt;&lt;wsp:rsid wsp:val=&quot;2E580034&quot;/&gt;&lt;wsp:rsid wsp:val=&quot;2E5844D8&quot;/&gt;&lt;wsp:rsid wsp:val=&quot;2E586286&quot;/&gt;&lt;wsp:rsid wsp:val=&quot;2E5A0250&quot;/&gt;&lt;wsp:rsid wsp:val=&quot;2E5A1FFE&quot;/&gt;&lt;wsp:rsid wsp:val=&quot;2E5D734C&quot;/&gt;&lt;wsp:rsid wsp:val=&quot;2E5F03D1&quot;/&gt;&lt;wsp:rsid wsp:val=&quot;2E6115DE&quot;/&gt;&lt;wsp:rsid wsp:val=&quot;2E61338C&quot;/&gt;&lt;wsp:rsid wsp:val=&quot;2E620EB2&quot;/&gt;&lt;wsp:rsid wsp:val=&quot;2E625356&quot;/&gt;&lt;wsp:rsid wsp:val=&quot;2E627104&quot;/&gt;&lt;wsp:rsid wsp:val=&quot;2E637A64&quot;/&gt;&lt;wsp:rsid wsp:val=&quot;2E642E7C&quot;/&gt;&lt;wsp:rsid wsp:val=&quot;2E667F96&quot;/&gt;&lt;wsp:rsid wsp:val=&quot;2E67296D&quot;/&gt;&lt;wsp:rsid wsp:val=&quot;2E67471B&quot;/&gt;&lt;wsp:rsid wsp:val=&quot;2E693FEF&quot;/&gt;&lt;wsp:rsid wsp:val=&quot;2E6D4270&quot;/&gt;&lt;wsp:rsid wsp:val=&quot;2E702BF1&quot;/&gt;&lt;wsp:rsid wsp:val=&quot;2E7035CF&quot;/&gt;&lt;wsp:rsid wsp:val=&quot;2E717347&quot;/&gt;&lt;wsp:rsid wsp:val=&quot;2E725599&quot;/&gt;&lt;wsp:rsid wsp:val=&quot;2E7330BF&quot;/&gt;&lt;wsp:rsid wsp:val=&quot;2E741572&quot;/&gt;&lt;wsp:rsid wsp:val=&quot;2E742A02&quot;/&gt;&lt;wsp:rsid wsp:val=&quot;2E755089&quot;/&gt;&lt;wsp:rsid wsp:val=&quot;2E756E38&quot;/&gt;&lt;wsp:rsid wsp:val=&quot;2E772BB0&quot;/&gt;&lt;wsp:rsid wsp:val=&quot;2E792950&quot;/&gt;&lt;wsp:rsid wsp:val=&quot;2E7A26A0&quot;/&gt;&lt;wsp:rsid wsp:val=&quot;2E7B3D22&quot;/&gt;&lt;wsp:rsid wsp:val=&quot;2E7D3F3E&quot;/&gt;&lt;wsp:rsid wsp:val=&quot;2E7F25F4&quot;/&gt;&lt;wsp:rsid wsp:val=&quot;2E7F6685&quot;/&gt;&lt;wsp:rsid wsp:val=&quot;2E7F7D69&quot;/&gt;&lt;wsp:rsid wsp:val=&quot;2E804A02&quot;/&gt;&lt;wsp:rsid wsp:val=&quot;2E81758A&quot;/&gt;&lt;wsp:rsid wsp:val=&quot;2E821554&quot;/&gt;&lt;wsp:rsid wsp:val=&quot;2E8226AB&quot;/&gt;&lt;wsp:rsid wsp:val=&quot;2E823302&quot;/&gt;&lt;wsp:rsid wsp:val=&quot;2E840E29&quot;/&gt;&lt;wsp:rsid wsp:val=&quot;2E8928E3&quot;/&gt;&lt;wsp:rsid wsp:val=&quot;2E894691&quot;/&gt;&lt;wsp:rsid wsp:val=&quot;2E8B21B7&quot;/&gt;&lt;wsp:rsid wsp:val=&quot;2E8B665B&quot;/&gt;&lt;wsp:rsid wsp:val=&quot;2E8B77F8&quot;/&gt;&lt;wsp:rsid wsp:val=&quot;2E8C5F2F&quot;/&gt;&lt;wsp:rsid wsp:val=&quot;2E8D23D3&quot;/&gt;&lt;wsp:rsid wsp:val=&quot;2E8E0627&quot;/&gt;&lt;wsp:rsid wsp:val=&quot;2E8E1CA7&quot;/&gt;&lt;wsp:rsid wsp:val=&quot;2E903C71&quot;/&gt;&lt;wsp:rsid wsp:val=&quot;2E905510&quot;/&gt;&lt;wsp:rsid wsp:val=&quot;2E9077CD&quot;/&gt;&lt;wsp:rsid wsp:val=&quot;2E913546&quot;/&gt;&lt;wsp:rsid wsp:val=&quot;2E91369D&quot;/&gt;&lt;wsp:rsid wsp:val=&quot;2E9141EB&quot;/&gt;&lt;wsp:rsid wsp:val=&quot;2E921798&quot;/&gt;&lt;wsp:rsid wsp:val=&quot;2E933762&quot;/&gt;&lt;wsp:rsid wsp:val=&quot;2E935510&quot;/&gt;&lt;wsp:rsid wsp:val=&quot;2E951288&quot;/&gt;&lt;wsp:rsid wsp:val=&quot;2E954DE4&quot;/&gt;&lt;wsp:rsid wsp:val=&quot;2E9574DA&quot;/&gt;&lt;wsp:rsid wsp:val=&quot;2E975000&quot;/&gt;&lt;wsp:rsid wsp:val=&quot;2E976DAE&quot;/&gt;&lt;wsp:rsid wsp:val=&quot;2E982B26&quot;/&gt;&lt;wsp:rsid wsp:val=&quot;2E99698C&quot;/&gt;&lt;wsp:rsid wsp:val=&quot;2E9A4AF0&quot;/&gt;&lt;wsp:rsid wsp:val=&quot;2E9A689E&quot;/&gt;&lt;wsp:rsid wsp:val=&quot;2E9B6172&quot;/&gt;&lt;wsp:rsid wsp:val=&quot;2E9C077D&quot;/&gt;&lt;wsp:rsid wsp:val=&quot;2EA119DB&quot;/&gt;&lt;wsp:rsid wsp:val=&quot;2EA15E7F&quot;/&gt;&lt;wsp:rsid wsp:val=&quot;2EA25753&quot;/&gt;&lt;wsp:rsid wsp:val=&quot;2EA27501&quot;/&gt;&lt;wsp:rsid wsp:val=&quot;2EA339A5&quot;/&gt;&lt;wsp:rsid wsp:val=&quot;2EA35ACD&quot;/&gt;&lt;wsp:rsid wsp:val=&quot;2EA67CB0&quot;/&gt;&lt;wsp:rsid wsp:val=&quot;2EA72D69&quot;/&gt;&lt;wsp:rsid wsp:val=&quot;2EA80FBB&quot;/&gt;&lt;wsp:rsid wsp:val=&quot;2EA901B0&quot;/&gt;&lt;wsp:rsid wsp:val=&quot;2EA94D33&quot;/&gt;&lt;wsp:rsid wsp:val=&quot;2EAB4607&quot;/&gt;&lt;wsp:rsid wsp:val=&quot;2EAE074D&quot;/&gt;&lt;wsp:rsid wsp:val=&quot;2EB07E70&quot;/&gt;&lt;wsp:rsid wsp:val=&quot;2EB15996&quot;/&gt;&lt;wsp:rsid wsp:val=&quot;2EB21E3A&quot;/&gt;&lt;wsp:rsid wsp:val=&quot;2EB23BE8&quot;/&gt;&lt;wsp:rsid wsp:val=&quot;2EB37960&quot;/&gt;&lt;wsp:rsid wsp:val=&quot;2EB57234&quot;/&gt;&lt;wsp:rsid wsp:val=&quot;2EB77450&quot;/&gt;&lt;wsp:rsid wsp:val=&quot;2EB813E6&quot;/&gt;&lt;wsp:rsid wsp:val=&quot;2EB86D24&quot;/&gt;&lt;wsp:rsid wsp:val=&quot;2EBA1135&quot;/&gt;&lt;wsp:rsid wsp:val=&quot;2EBA484A&quot;/&gt;&lt;wsp:rsid wsp:val=&quot;2EBC05C2&quot;/&gt;&lt;wsp:rsid wsp:val=&quot;2EBC4A66&quot;/&gt;&lt;wsp:rsid wsp:val=&quot;2EBE0643&quot;/&gt;&lt;wsp:rsid wsp:val=&quot;2EBE1C67&quot;/&gt;&lt;wsp:rsid wsp:val=&quot;2EBE2687&quot;/&gt;&lt;wsp:rsid wsp:val=&quot;2EBE493E&quot;/&gt;&lt;wsp:rsid wsp:val=&quot;2EC041FE&quot;/&gt;&lt;wsp:rsid wsp:val=&quot;2EC13E2B&quot;/&gt;&lt;wsp:rsid wsp:val=&quot;2EC14B6F&quot;/&gt;&lt;wsp:rsid wsp:val=&quot;2EC15BD9&quot;/&gt;&lt;wsp:rsid wsp:val=&quot;2EC1611A&quot;/&gt;&lt;wsp:rsid wsp:val=&quot;2EC21951&quot;/&gt;&lt;wsp:rsid wsp:val=&quot;2EC35DF5&quot;/&gt;&lt;wsp:rsid wsp:val=&quot;2EC41B6D&quot;/&gt;&lt;wsp:rsid wsp:val=&quot;2EC456C9&quot;/&gt;&lt;wsp:rsid wsp:val=&quot;2EC76F67&quot;/&gt;&lt;wsp:rsid wsp:val=&quot;2EC8340B&quot;/&gt;&lt;wsp:rsid wsp:val=&quot;2EC90F31&quot;/&gt;&lt;wsp:rsid wsp:val=&quot;2EC9236B&quot;/&gt;&lt;wsp:rsid wsp:val=&quot;2EC92CDF&quot;/&gt;&lt;wsp:rsid wsp:val=&quot;2ECB6480&quot;/&gt;&lt;wsp:rsid wsp:val=&quot;2ECB6A58&quot;/&gt;&lt;wsp:rsid wsp:val=&quot;2ECD6C74&quot;/&gt;&lt;wsp:rsid wsp:val=&quot;2ECE217C&quot;/&gt;&lt;wsp:rsid wsp:val=&quot;2ECE6548&quot;/&gt;&lt;wsp:rsid wsp:val=&quot;2ECF4A9C&quot;/&gt;&lt;wsp:rsid wsp:val=&quot;2ED00512&quot;/&gt;&lt;wsp:rsid wsp:val=&quot;2ED022C0&quot;/&gt;&lt;wsp:rsid wsp:val=&quot;2ED2428A&quot;/&gt;&lt;wsp:rsid wsp:val=&quot;2ED27DE6&quot;/&gt;&lt;wsp:rsid wsp:val=&quot;2ED3590C&quot;/&gt;&lt;wsp:rsid wsp:val=&quot;2ED50AD1&quot;/&gt;&lt;wsp:rsid wsp:val=&quot;2ED55B28&quot;/&gt;&lt;wsp:rsid wsp:val=&quot;2ED578D6&quot;/&gt;&lt;wsp:rsid wsp:val=&quot;2EDB6DBC&quot;/&gt;&lt;wsp:rsid wsp:val=&quot;2EDE1FC9&quot;/&gt;&lt;wsp:rsid wsp:val=&quot;2EDF0755&quot;/&gt;&lt;wsp:rsid wsp:val=&quot;2EDF19C0&quot;/&gt;&lt;wsp:rsid wsp:val=&quot;2EDF2503&quot;/&gt;&lt;wsp:rsid wsp:val=&quot;2EDF4591&quot;/&gt;&lt;wsp:rsid wsp:val=&quot;2EE06AF8&quot;/&gt;&lt;wsp:rsid wsp:val=&quot;2EE24216&quot;/&gt;&lt;wsp:rsid wsp:val=&quot;2EE47B19&quot;/&gt;&lt;wsp:rsid wsp:val=&quot;2EE6563F&quot;/&gt;&lt;wsp:rsid wsp:val=&quot;2EE67D35&quot;/&gt;&lt;wsp:rsid wsp:val=&quot;2EE713B8&quot;/&gt;&lt;wsp:rsid wsp:val=&quot;2EE8585B&quot;/&gt;&lt;wsp:rsid wsp:val=&quot;2EEA0214&quot;/&gt;&lt;wsp:rsid wsp:val=&quot;2EEA15D4&quot;/&gt;&lt;wsp:rsid wsp:val=&quot;2EEA16A4&quot;/&gt;&lt;wsp:rsid wsp:val=&quot;2EEB70FA&quot;/&gt;&lt;wsp:rsid wsp:val=&quot;2EED10C4&quot;/&gt;&lt;wsp:rsid wsp:val=&quot;2EED4C20&quot;/&gt;&lt;wsp:rsid wsp:val=&quot;2EEE1637&quot;/&gt;&lt;wsp:rsid wsp:val=&quot;2EEF4086&quot;/&gt;&lt;wsp:rsid wsp:val=&quot;2EF02962&quot;/&gt;&lt;wsp:rsid wsp:val=&quot;2EF04710&quot;/&gt;&lt;wsp:rsid wsp:val=&quot;2EF266DA&quot;/&gt;&lt;wsp:rsid wsp:val=&quot;2EF46CED&quot;/&gt;&lt;wsp:rsid wsp:val=&quot;2EF51D26&quot;/&gt;&lt;wsp:rsid wsp:val=&quot;2EF523B2&quot;/&gt;&lt;wsp:rsid wsp:val=&quot;2EF57F78&quot;/&gt;&lt;wsp:rsid wsp:val=&quot;2EF7784D&quot;/&gt;&lt;wsp:rsid wsp:val=&quot;2EFC1307&quot;/&gt;&lt;wsp:rsid wsp:val=&quot;2EFC30B5&quot;/&gt;&lt;wsp:rsid wsp:val=&quot;2EFC4E63&quot;/&gt;&lt;wsp:rsid wsp:val=&quot;2EFD4110&quot;/&gt;&lt;wsp:rsid wsp:val=&quot;2EFE0BDB&quot;/&gt;&lt;wsp:rsid wsp:val=&quot;2EFE6E2D&quot;/&gt;&lt;wsp:rsid wsp:val=&quot;2EFF4953&quot;/&gt;&lt;wsp:rsid wsp:val=&quot;2EFF6701&quot;/&gt;&lt;wsp:rsid wsp:val=&quot;2F000DF7&quot;/&gt;&lt;wsp:rsid wsp:val=&quot;2F002D93&quot;/&gt;&lt;wsp:rsid wsp:val=&quot;2F005A0D&quot;/&gt;&lt;wsp:rsid wsp:val=&quot;2F01691D&quot;/&gt;&lt;wsp:rsid wsp:val=&quot;2F030FE4&quot;/&gt;&lt;wsp:rsid wsp:val=&quot;2F032695&quot;/&gt;&lt;wsp:rsid wsp:val=&quot;2F034443&quot;/&gt;&lt;wsp:rsid wsp:val=&quot;2F081A5A&quot;/&gt;&lt;wsp:rsid wsp:val=&quot;2F087CAC&quot;/&gt;&lt;wsp:rsid wsp:val=&quot;2F0A0C8E&quot;/&gt;&lt;wsp:rsid wsp:val=&quot;2F0A1147&quot;/&gt;&lt;wsp:rsid wsp:val=&quot;2F0A60BD&quot;/&gt;&lt;wsp:rsid wsp:val=&quot;2F0B32F8&quot;/&gt;&lt;wsp:rsid wsp:val=&quot;2F0B67A3&quot;/&gt;&lt;wsp:rsid wsp:val=&quot;2F0E760F&quot;/&gt;&lt;wsp:rsid wsp:val=&quot;2F1321AD&quot;/&gt;&lt;wsp:rsid wsp:val=&quot;2F1403FE&quot;/&gt;&lt;wsp:rsid wsp:val=&quot;2F146650&quot;/&gt;&lt;wsp:rsid wsp:val=&quot;2F154177&quot;/&gt;&lt;wsp:rsid wsp:val=&quot;2F171C9D&quot;/&gt;&lt;wsp:rsid wsp:val=&quot;2F181B51&quot;/&gt;&lt;wsp:rsid wsp:val=&quot;2F186C3C&quot;/&gt;&lt;wsp:rsid wsp:val=&quot;2F1877C3&quot;/&gt;&lt;wsp:rsid wsp:val=&quot;2F195A15&quot;/&gt;&lt;wsp:rsid wsp:val=&quot;2F1A0783&quot;/&gt;&lt;wsp:rsid wsp:val=&quot;2F1C3757&quot;/&gt;&lt;wsp:rsid wsp:val=&quot;2F1C72B3&quot;/&gt;&lt;wsp:rsid wsp:val=&quot;2F1D4533&quot;/&gt;&lt;wsp:rsid wsp:val=&quot;2F1E302B&quot;/&gt;&lt;wsp:rsid wsp:val=&quot;2F1E74CF&quot;/&gt;&lt;wsp:rsid wsp:val=&quot;2F210D6D&quot;/&gt;&lt;wsp:rsid wsp:val=&quot;2F2318FC&quot;/&gt;&lt;wsp:rsid wsp:val=&quot;2F25260C&quot;/&gt;&lt;wsp:rsid wsp:val=&quot;2F266384&quot;/&gt;&lt;wsp:rsid wsp:val=&quot;2F2732C1&quot;/&gt;&lt;wsp:rsid wsp:val=&quot;2F2B399A&quot;/&gt;&lt;wsp:rsid wsp:val=&quot;2F2B74F6&quot;/&gt;&lt;wsp:rsid wsp:val=&quot;2F2C2940&quot;/&gt;&lt;wsp:rsid wsp:val=&quot;2F2D28E7&quot;/&gt;&lt;wsp:rsid wsp:val=&quot;2F2D326E&quot;/&gt;&lt;wsp:rsid wsp:val=&quot;2F2F5238&quot;/&gt;&lt;wsp:rsid wsp:val=&quot;2F320885&quot;/&gt;&lt;wsp:rsid wsp:val=&quot;2F337E9A&quot;/&gt;&lt;wsp:rsid wsp:val=&quot;2F3445FD&quot;/&gt;&lt;wsp:rsid wsp:val=&quot;2F37233F&quot;/&gt;&lt;wsp:rsid wsp:val=&quot;2F3825F9&quot;/&gt;&lt;wsp:rsid wsp:val=&quot;2F382935&quot;/&gt;&lt;wsp:rsid wsp:val=&quot;2F391C13&quot;/&gt;&lt;wsp:rsid wsp:val=&quot;2F39218E&quot;/&gt;&lt;wsp:rsid wsp:val=&quot;2F3960B7&quot;/&gt;&lt;wsp:rsid wsp:val=&quot;2F3A5E9B&quot;/&gt;&lt;wsp:rsid wsp:val=&quot;2F3B7ABC&quot;/&gt;&lt;wsp:rsid wsp:val=&quot;2F3C1703&quot;/&gt;&lt;wsp:rsid wsp:val=&quot;2F3C5BA7&quot;/&gt;&lt;wsp:rsid wsp:val=&quot;2F3D15F2&quot;/&gt;&lt;wsp:rsid wsp:val=&quot;2F416BFE&quot;/&gt;&lt;wsp:rsid wsp:val=&quot;2F4405B8&quot;/&gt;&lt;wsp:rsid wsp:val=&quot;2F4528CB&quot;/&gt;&lt;wsp:rsid wsp:val=&quot;2F454A5C&quot;/&gt;&lt;wsp:rsid wsp:val=&quot;2F462582&quot;/&gt;&lt;wsp:rsid wsp:val=&quot;2F4772C6&quot;/&gt;&lt;wsp:rsid wsp:val=&quot;2F4862FA&quot;/&gt;&lt;wsp:rsid wsp:val=&quot;2F49593D&quot;/&gt;&lt;wsp:rsid wsp:val=&quot;2F4A2072&quot;/&gt;&lt;wsp:rsid wsp:val=&quot;2F4C5E70&quot;/&gt;&lt;wsp:rsid wsp:val=&quot;2F4D1B62&quot;/&gt;&lt;wsp:rsid wsp:val=&quot;2F4D5775&quot;/&gt;&lt;wsp:rsid wsp:val=&quot;2F4E5C64&quot;/&gt;&lt;wsp:rsid wsp:val=&quot;2F4F58DB&quot;/&gt;&lt;wsp:rsid wsp:val=&quot;2F502541&quot;/&gt;&lt;wsp:rsid wsp:val=&quot;2F511653&quot;/&gt;&lt;wsp:rsid wsp:val=&quot;2F522CD5&quot;/&gt;&lt;wsp:rsid wsp:val=&quot;2F566C69&quot;/&gt;&lt;wsp:rsid wsp:val=&quot;2F5729E1&quot;/&gt;&lt;wsp:rsid wsp:val=&quot;2F580725&quot;/&gt;&lt;wsp:rsid wsp:val=&quot;2F591BB5&quot;/&gt;&lt;wsp:rsid wsp:val=&quot;2F5922B5&quot;/&gt;&lt;wsp:rsid wsp:val=&quot;2F594063&quot;/&gt;&lt;wsp:rsid wsp:val=&quot;2F5971AC&quot;/&gt;&lt;wsp:rsid wsp:val=&quot;2F5A3045&quot;/&gt;&lt;wsp:rsid wsp:val=&quot;2F5B35AF&quot;/&gt;&lt;wsp:rsid wsp:val=&quot;2F5C3B54&quot;/&gt;&lt;wsp:rsid wsp:val=&quot;2F5D19C6&quot;/&gt;&lt;wsp:rsid wsp:val=&quot;2F5E78CC&quot;/&gt;&lt;wsp:rsid wsp:val=&quot;2F600347&quot;/&gt;&lt;wsp:rsid wsp:val=&quot;2F601896&quot;/&gt;&lt;wsp:rsid wsp:val=&quot;2F603644&quot;/&gt;&lt;wsp:rsid wsp:val=&quot;2F6243A8&quot;/&gt;&lt;wsp:rsid wsp:val=&quot;2F67051F&quot;/&gt;&lt;wsp:rsid wsp:val=&quot;2F67112F&quot;/&gt;&lt;wsp:rsid wsp:val=&quot;2F672A78&quot;/&gt;&lt;wsp:rsid wsp:val=&quot;2F6824F8&quot;/&gt;&lt;wsp:rsid wsp:val=&quot;2F6964B6&quot;/&gt;&lt;wsp:rsid wsp:val=&quot;2F696CB2&quot;/&gt;&lt;wsp:rsid wsp:val=&quot;2F6A44C2&quot;/&gt;&lt;wsp:rsid wsp:val=&quot;2F6B3D97&quot;/&gt;&lt;wsp:rsid wsp:val=&quot;2F6B59C3&quot;/&gt;&lt;wsp:rsid wsp:val=&quot;2F6C023B&quot;/&gt;&lt;wsp:rsid wsp:val=&quot;2F6D7B0F&quot;/&gt;&lt;wsp:rsid wsp:val=&quot;2F6E6D7E&quot;/&gt;&lt;wsp:rsid wsp:val=&quot;2F6F3887&quot;/&gt;&lt;wsp:rsid wsp:val=&quot;2F7075FF&quot;/&gt;&lt;wsp:rsid wsp:val=&quot;2F715851&quot;/&gt;&lt;wsp:rsid wsp:val=&quot;2F745341&quot;/&gt;&lt;wsp:rsid wsp:val=&quot;2F747421&quot;/&gt;&lt;wsp:rsid wsp:val=&quot;2F77098D&quot;/&gt;&lt;wsp:rsid wsp:val=&quot;2F7739FD&quot;/&gt;&lt;wsp:rsid wsp:val=&quot;2F7852FC&quot;/&gt;&lt;wsp:rsid wsp:val=&quot;2F79399B&quot;/&gt;&lt;wsp:rsid wsp:val=&quot;2F7A1A4C&quot;/&gt;&lt;wsp:rsid wsp:val=&quot;2F7B222C&quot;/&gt;&lt;wsp:rsid wsp:val=&quot;2F7C226F&quot;/&gt;&lt;wsp:rsid wsp:val=&quot;2F7E1D1C&quot;/&gt;&lt;wsp:rsid wsp:val=&quot;2F7E7F6E&quot;/&gt;&lt;wsp:rsid wsp:val=&quot;2F803CE6&quot;/&gt;&lt;wsp:rsid wsp:val=&quot;2F805A94&quot;/&gt;&lt;wsp:rsid wsp:val=&quot;2F814DA1&quot;/&gt;&lt;wsp:rsid wsp:val=&quot;2F8310E0&quot;/&gt;&lt;wsp:rsid wsp:val=&quot;2F8337D6&quot;/&gt;&lt;wsp:rsid wsp:val=&quot;2F833C5E&quot;/&gt;&lt;wsp:rsid wsp:val=&quot;2F8512FC&quot;/&gt;&lt;wsp:rsid wsp:val=&quot;2F860BD0&quot;/&gt;&lt;wsp:rsid wsp:val=&quot;2F875074&quot;/&gt;&lt;wsp:rsid wsp:val=&quot;2F882B9B&quot;/&gt;&lt;wsp:rsid wsp:val=&quot;2F8A35B4&quot;/&gt;&lt;wsp:rsid wsp:val=&quot;2F8A6913&quot;/&gt;&lt;wsp:rsid wsp:val=&quot;2F8D6403&quot;/&gt;&lt;wsp:rsid wsp:val=&quot;2F8E04F5&quot;/&gt;&lt;wsp:rsid wsp:val=&quot;2F8F5CD7&quot;/&gt;&lt;wsp:rsid wsp:val=&quot;2F8F63FC&quot;/&gt;&lt;wsp:rsid wsp:val=&quot;2F911A4F&quot;/&gt;&lt;wsp:rsid wsp:val=&quot;2F923A19&quot;/&gt;&lt;wsp:rsid wsp:val=&quot;2F927575&quot;/&gt;&lt;wsp:rsid wsp:val=&quot;2F947791&quot;/&gt;&lt;wsp:rsid wsp:val=&quot;2F963509&quot;/&gt;&lt;wsp:rsid wsp:val=&quot;2F967065&quot;/&gt;&lt;wsp:rsid wsp:val=&quot;2F997048&quot;/&gt;&lt;wsp:rsid wsp:val=&quot;2F9B467C&quot;/&gt;&lt;wsp:rsid wsp:val=&quot;2F9C03F4&quot;/&gt;&lt;wsp:rsid wsp:val=&quot;2F9E5F1A&quot;/&gt;&lt;wsp:rsid wsp:val=&quot;2FA01C92&quot;/&gt;&lt;wsp:rsid wsp:val=&quot;2FA23C5C&quot;/&gt;&lt;wsp:rsid wsp:val=&quot;2FA31782&quot;/&gt;&lt;wsp:rsid wsp:val=&quot;2FA4299B&quot;/&gt;&lt;wsp:rsid wsp:val=&quot;2FA501BC&quot;/&gt;&lt;wsp:rsid wsp:val=&quot;2FA54233&quot;/&gt;&lt;wsp:rsid wsp:val=&quot;2FA774C5&quot;/&gt;&lt;wsp:rsid wsp:val=&quot;2FAA0D63&quot;/&gt;&lt;wsp:rsid wsp:val=&quot;2FAA2B11&quot;/&gt;&lt;wsp:rsid wsp:val=&quot;2FAC6889&quot;/&gt;&lt;wsp:rsid wsp:val=&quot;2FAD0853&quot;/&gt;&lt;wsp:rsid wsp:val=&quot;2FAD2601&quot;/&gt;&lt;wsp:rsid wsp:val=&quot;2FAF45CB&quot;/&gt;&lt;wsp:rsid wsp:val=&quot;2FB13E9F&quot;/&gt;&lt;wsp:rsid wsp:val=&quot;2FB43990&quot;/&gt;&lt;wsp:rsid wsp:val=&quot;2FB4573E&quot;/&gt;&lt;wsp:rsid wsp:val=&quot;2FB614B6&quot;/&gt;&lt;wsp:rsid wsp:val=&quot;2FB63264&quot;/&gt;&lt;wsp:rsid wsp:val=&quot;2FB714D1&quot;/&gt;&lt;wsp:rsid wsp:val=&quot;2FB92D54&quot;/&gt;&lt;wsp:rsid wsp:val=&quot;2FBA3D21&quot;/&gt;&lt;wsp:rsid wsp:val=&quot;2FBB2F70&quot;/&gt;&lt;wsp:rsid wsp:val=&quot;2FC5794B&quot;/&gt;&lt;wsp:rsid wsp:val=&quot;2FC60D0F&quot;/&gt;&lt;wsp:rsid wsp:val=&quot;2FC70985&quot;/&gt;&lt;wsp:rsid wsp:val=&quot;2FC75471&quot;/&gt;&lt;wsp:rsid wsp:val=&quot;2FC81EC3&quot;/&gt;&lt;wsp:rsid wsp:val=&quot;2FC9658A&quot;/&gt;&lt;wsp:rsid wsp:val=&quot;2FC96724&quot;/&gt;&lt;wsp:rsid wsp:val=&quot;2FCA6D0F&quot;/&gt;&lt;wsp:rsid wsp:val=&quot;2FCB7306&quot;/&gt;&lt;wsp:rsid wsp:val=&quot;2FCC6F2B&quot;/&gt;&lt;wsp:rsid wsp:val=&quot;2FCD1ED3&quot;/&gt;&lt;wsp:rsid wsp:val=&quot;2FCD67FF&quot;/&gt;&lt;wsp:rsid wsp:val=&quot;2FD065E6&quot;/&gt;&lt;wsp:rsid wsp:val=&quot;2FD211B5&quot;/&gt;&lt;wsp:rsid wsp:val=&quot;2FD32E80&quot;/&gt;&lt;wsp:rsid wsp:val=&quot;2FD45DE0&quot;/&gt;&lt;wsp:rsid wsp:val=&quot;2FD47B8E&quot;/&gt;&lt;wsp:rsid wsp:val=&quot;2FD7142C&quot;/&gt;&lt;wsp:rsid wsp:val=&quot;2FD77070&quot;/&gt;&lt;wsp:rsid wsp:val=&quot;2FD8190A&quot;/&gt;&lt;wsp:rsid wsp:val=&quot;2FD951A4&quot;/&gt;&lt;wsp:rsid wsp:val=&quot;2FD96870&quot;/&gt;&lt;wsp:rsid wsp:val=&quot;2FDF5AD0&quot;/&gt;&lt;wsp:rsid wsp:val=&quot;2FDF6E49&quot;/&gt;&lt;wsp:rsid wsp:val=&quot;2FE0009C&quot;/&gt;&lt;wsp:rsid wsp:val=&quot;2FE2558D&quot;/&gt;&lt;wsp:rsid wsp:val=&quot;2FE36023&quot;/&gt;&lt;wsp:rsid wsp:val=&quot;2FE43D81&quot;/&gt;&lt;wsp:rsid wsp:val=&quot;2FE47EAD&quot;/&gt;&lt;wsp:rsid wsp:val=&quot;2FE523C9&quot;/&gt;&lt;wsp:rsid wsp:val=&quot;2FE64BD8&quot;/&gt;&lt;wsp:rsid wsp:val=&quot;2FE7539E&quot;/&gt;&lt;wsp:rsid wsp:val=&quot;2FE75B13&quot;/&gt;&lt;wsp:rsid wsp:val=&quot;2FE778C1&quot;/&gt;&lt;wsp:rsid wsp:val=&quot;2FEA115F&quot;/&gt;&lt;wsp:rsid wsp:val=&quot;2FEA5603&quot;/&gt;&lt;wsp:rsid wsp:val=&quot;2FEA73B1&quot;/&gt;&lt;wsp:rsid wsp:val=&quot;2FEB51AF&quot;/&gt;&lt;wsp:rsid wsp:val=&quot;2FEB5CCB&quot;/&gt;&lt;wsp:rsid wsp:val=&quot;2FEC073B&quot;/&gt;&lt;wsp:rsid wsp:val=&quot;2FEE50F3&quot;/&gt;&lt;wsp:rsid wsp:val=&quot;2FEE6EA1&quot;/&gt;&lt;wsp:rsid wsp:val=&quot;2FEF1830&quot;/&gt;&lt;wsp:rsid wsp:val=&quot;2FEF49C8&quot;/&gt;&lt;wsp:rsid wsp:val=&quot;2FEF6701&quot;/&gt;&lt;wsp:rsid wsp:val=&quot;2FF10740&quot;/&gt;&lt;wsp:rsid wsp:val=&quot;2FF278D5&quot;/&gt;&lt;wsp:rsid wsp:val=&quot;2FF41FDE&quot;/&gt;&lt;wsp:rsid wsp:val=&quot;2FF5347D&quot;/&gt;&lt;wsp:rsid wsp:val=&quot;2FF7387C&quot;/&gt;&lt;wsp:rsid wsp:val=&quot;2FFA3A98&quot;/&gt;&lt;wsp:rsid wsp:val=&quot;2FFD70E5&quot;/&gt;&lt;wsp:rsid wsp:val=&quot;2FFE62F9&quot;/&gt;&lt;wsp:rsid wsp:val=&quot;3002294D&quot;/&gt;&lt;wsp:rsid wsp:val=&quot;30047496&quot;/&gt;&lt;wsp:rsid wsp:val=&quot;300541EB&quot;/&gt;&lt;wsp:rsid wsp:val=&quot;30087370&quot;/&gt;&lt;wsp:rsid wsp:val=&quot;30093CDB&quot;/&gt;&lt;wsp:rsid wsp:val=&quot;300968A8&quot;/&gt;&lt;wsp:rsid wsp:val=&quot;300A3D8C&quot;/&gt;&lt;wsp:rsid wsp:val=&quot;300C557A&quot;/&gt;&lt;wsp:rsid wsp:val=&quot;300C7328&quot;/&gt;&lt;wsp:rsid wsp:val=&quot;300D4E4E&quot;/&gt;&lt;wsp:rsid wsp:val=&quot;300F6E18&quot;/&gt;&lt;wsp:rsid wsp:val=&quot;3012466B&quot;/&gt;&lt;wsp:rsid wsp:val=&quot;301306B6&quot;/&gt;&lt;wsp:rsid wsp:val=&quot;30134B5A&quot;/&gt;&lt;wsp:rsid wsp:val=&quot;301663F8&quot;/&gt;&lt;wsp:rsid wsp:val=&quot;301745ED&quot;/&gt;&lt;wsp:rsid wsp:val=&quot;30180806&quot;/&gt;&lt;wsp:rsid wsp:val=&quot;30182170&quot;/&gt;&lt;wsp:rsid wsp:val=&quot;301870A8&quot;/&gt;&lt;wsp:rsid wsp:val=&quot;301937F3&quot;/&gt;&lt;wsp:rsid wsp:val=&quot;30197C97&quot;/&gt;&lt;wsp:rsid wsp:val=&quot;301A241E&quot;/&gt;&lt;wsp:rsid wsp:val=&quot;301B756B&quot;/&gt;&lt;wsp:rsid wsp:val=&quot;301D7787&quot;/&gt;&lt;wsp:rsid wsp:val=&quot;301E7081&quot;/&gt;&lt;wsp:rsid wsp:val=&quot;30201025&quot;/&gt;&lt;wsp:rsid wsp:val=&quot;30206F5A&quot;/&gt;&lt;wsp:rsid wsp:val=&quot;302208F9&quot;/&gt;&lt;wsp:rsid wsp:val=&quot;302243E3&quot;/&gt;&lt;wsp:rsid wsp:val=&quot;30241C87&quot;/&gt;&lt;wsp:rsid wsp:val=&quot;30246A80&quot;/&gt;&lt;wsp:rsid wsp:val=&quot;3026317E&quot;/&gt;&lt;wsp:rsid wsp:val=&quot;30267BAB&quot;/&gt;&lt;wsp:rsid wsp:val=&quot;30274161&quot;/&gt;&lt;wsp:rsid wsp:val=&quot;30281C88&quot;/&gt;&lt;wsp:rsid wsp:val=&quot;302A3C52&quot;/&gt;&lt;wsp:rsid wsp:val=&quot;302C5C1C&quot;/&gt;&lt;wsp:rsid wsp:val=&quot;302C79CA&quot;/&gt;&lt;wsp:rsid wsp:val=&quot;302F4737&quot;/&gt;&lt;wsp:rsid wsp:val=&quot;30307B56&quot;/&gt;&lt;wsp:rsid wsp:val=&quot;30316D8E&quot;/&gt;&lt;wsp:rsid wsp:val=&quot;3034062C&quot;/&gt;&lt;wsp:rsid wsp:val=&quot;30360E95&quot;/&gt;&lt;wsp:rsid wsp:val=&quot;30384C45&quot;/&gt;&lt;wsp:rsid wsp:val=&quot;30384E78&quot;/&gt;&lt;wsp:rsid wsp:val=&quot;303B7C0D&quot;/&gt;&lt;wsp:rsid wsp:val=&quot;303D1BD7&quot;/&gt;&lt;wsp:rsid wsp:val=&quot;303E6F0A&quot;/&gt;&lt;wsp:rsid wsp:val=&quot;303F124E&quot;/&gt;&lt;wsp:rsid wsp:val=&quot;303F594F&quot;/&gt;&lt;wsp:rsid wsp:val=&quot;303F76FD&quot;/&gt;&lt;wsp:rsid wsp:val=&quot;30403475&quot;/&gt;&lt;wsp:rsid wsp:val=&quot;30404B18&quot;/&gt;&lt;wsp:rsid wsp:val=&quot;304059BC&quot;/&gt;&lt;wsp:rsid wsp:val=&quot;30420F9B&quot;/&gt;&lt;wsp:rsid wsp:val=&quot;304271ED&quot;/&gt;&lt;wsp:rsid wsp:val=&quot;304308C8&quot;/&gt;&lt;wsp:rsid wsp:val=&quot;30465CF1&quot;/&gt;&lt;wsp:rsid wsp:val=&quot;30473ADA&quot;/&gt;&lt;wsp:rsid wsp:val=&quot;3049057C&quot;/&gt;&lt;wsp:rsid wsp:val=&quot;3049232A&quot;/&gt;&lt;wsp:rsid wsp:val=&quot;304940D8&quot;/&gt;&lt;wsp:rsid wsp:val=&quot;304A60A2&quot;/&gt;&lt;wsp:rsid wsp:val=&quot;304B42F4&quot;/&gt;&lt;wsp:rsid wsp:val=&quot;304C3BC8&quot;/&gt;&lt;wsp:rsid wsp:val=&quot;304C48ED&quot;/&gt;&lt;wsp:rsid wsp:val=&quot;304C5976&quot;/&gt;&lt;wsp:rsid wsp:val=&quot;304E7940&quot;/&gt;&lt;wsp:rsid wsp:val=&quot;30517430&quot;/&gt;&lt;wsp:rsid wsp:val=&quot;305331A8&quot;/&gt;&lt;wsp:rsid wsp:val=&quot;30533F6E&quot;/&gt;&lt;wsp:rsid wsp:val=&quot;30534F57&quot;/&gt;&lt;wsp:rsid wsp:val=&quot;30550CCF&quot;/&gt;&lt;wsp:rsid wsp:val=&quot;305667F5&quot;/&gt;&lt;wsp:rsid wsp:val=&quot;30566D3E&quot;/&gt;&lt;wsp:rsid wsp:val=&quot;30580BC9&quot;/&gt;&lt;wsp:rsid wsp:val=&quot;30586A11&quot;/&gt;&lt;wsp:rsid wsp:val=&quot;305A4537&quot;/&gt;&lt;wsp:rsid wsp:val=&quot;305A62E5&quot;/&gt;&lt;wsp:rsid wsp:val=&quot;305D4027&quot;/&gt;&lt;wsp:rsid wsp:val=&quot;305D4040&quot;/&gt;&lt;wsp:rsid wsp:val=&quot;305E34B5&quot;/&gt;&lt;wsp:rsid wsp:val=&quot;305E56A9&quot;/&gt;&lt;wsp:rsid wsp:val=&quot;305F1B4D&quot;/&gt;&lt;wsp:rsid wsp:val=&quot;306058C5&quot;/&gt;&lt;wsp:rsid wsp:val=&quot;3060709E&quot;/&gt;&lt;wsp:rsid wsp:val=&quot;30613E51&quot;/&gt;&lt;wsp:rsid wsp:val=&quot;3062519A&quot;/&gt;&lt;wsp:rsid wsp:val=&quot;30653C62&quot;/&gt;&lt;wsp:rsid wsp:val=&quot;30696528&quot;/&gt;&lt;wsp:rsid wsp:val=&quot;306A22A0&quot;/&gt;&lt;wsp:rsid wsp:val=&quot;306F1BBA&quot;/&gt;&lt;wsp:rsid wsp:val=&quot;306F78B6&quot;/&gt;&lt;wsp:rsid wsp:val=&quot;30703D5A&quot;/&gt;&lt;wsp:rsid wsp:val=&quot;30711881&quot;/&gt;&lt;wsp:rsid wsp:val=&quot;307153DD&quot;/&gt;&lt;wsp:rsid wsp:val=&quot;3073716F&quot;/&gt;&lt;wsp:rsid wsp:val=&quot;3075311F&quot;/&gt;&lt;wsp:rsid wsp:val=&quot;30757063&quot;/&gt;&lt;wsp:rsid wsp:val=&quot;30766E97&quot;/&gt;&lt;wsp:rsid wsp:val=&quot;307A24E3&quot;/&gt;&lt;wsp:rsid wsp:val=&quot;307A6987&quot;/&gt;&lt;wsp:rsid wsp:val=&quot;307C26FF&quot;/&gt;&lt;wsp:rsid wsp:val=&quot;307D6477&quot;/&gt;&lt;wsp:rsid wsp:val=&quot;307F3F9D&quot;/&gt;&lt;wsp:rsid wsp:val=&quot;307F7AFA&quot;/&gt;&lt;wsp:rsid wsp:val=&quot;30815AC1&quot;/&gt;&lt;wsp:rsid wsp:val=&quot;30841DBC&quot;/&gt;&lt;wsp:rsid wsp:val=&quot;308570DA&quot;/&gt;&lt;wsp:rsid wsp:val=&quot;3086532C&quot;/&gt;&lt;wsp:rsid wsp:val=&quot;3088073D&quot;/&gt;&lt;wsp:rsid wsp:val=&quot;30881BCD&quot;/&gt;&lt;wsp:rsid wsp:val=&quot;30892064&quot;/&gt;&lt;wsp:rsid wsp:val=&quot;3089305D&quot;/&gt;&lt;wsp:rsid wsp:val=&quot;30896BCA&quot;/&gt;&lt;wsp:rsid wsp:val=&quot;308A51D5&quot;/&gt;&lt;wsp:rsid wsp:val=&quot;308C0D28&quot;/&gt;&lt;wsp:rsid wsp:val=&quot;308C66BA&quot;/&gt;&lt;wsp:rsid wsp:val=&quot;308D19DE&quot;/&gt;&lt;wsp:rsid wsp:val=&quot;308E41E1&quot;/&gt;&lt;wsp:rsid wsp:val=&quot;309061AB&quot;/&gt;&lt;wsp:rsid wsp:val=&quot;30915A7F&quot;/&gt;&lt;wsp:rsid wsp:val=&quot;309537C1&quot;/&gt;&lt;wsp:rsid wsp:val=&quot;30953AAB&quot;/&gt;&lt;wsp:rsid wsp:val=&quot;30974EC3&quot;/&gt;&lt;wsp:rsid wsp:val=&quot;309A0DD7&quot;/&gt;&lt;wsp:rsid wsp:val=&quot;309A2B85&quot;/&gt;&lt;wsp:rsid wsp:val=&quot;309C68FD&quot;/&gt;&lt;wsp:rsid wsp:val=&quot;309D28EB&quot;/&gt;&lt;wsp:rsid wsp:val=&quot;309D65F0&quot;/&gt;&lt;wsp:rsid wsp:val=&quot;309F019C&quot;/&gt;&lt;wsp:rsid wsp:val=&quot;30A05CC2&quot;/&gt;&lt;wsp:rsid wsp:val=&quot;30A43A04&quot;/&gt;&lt;wsp:rsid wsp:val=&quot;30A457B2&quot;/&gt;&lt;wsp:rsid wsp:val=&quot;30A47560&quot;/&gt;&lt;wsp:rsid wsp:val=&quot;30A532D8&quot;/&gt;&lt;wsp:rsid wsp:val=&quot;30A734F4&quot;/&gt;&lt;wsp:rsid wsp:val=&quot;30A9101A&quot;/&gt;&lt;wsp:rsid wsp:val=&quot;30A92DC8&quot;/&gt;&lt;wsp:rsid wsp:val=&quot;30A9726C&quot;/&gt;&lt;wsp:rsid wsp:val=&quot;30AA3AD7&quot;/&gt;&lt;wsp:rsid wsp:val=&quot;30AB4D93&quot;/&gt;&lt;wsp:rsid wsp:val=&quot;30AB4F67&quot;/&gt;&lt;wsp:rsid wsp:val=&quot;30AD0B0B&quot;/&gt;&lt;wsp:rsid wsp:val=&quot;30AE03DF&quot;/&gt;&lt;wsp:rsid wsp:val=&quot;30AF33F6&quot;/&gt;&lt;wsp:rsid wsp:val=&quot;30B023A9&quot;/&gt;&lt;wsp:rsid wsp:val=&quot;30B26121&quot;/&gt;&lt;wsp:rsid wsp:val=&quot;30B654E5&quot;/&gt;&lt;wsp:rsid wsp:val=&quot;30B70C77&quot;/&gt;&lt;wsp:rsid wsp:val=&quot;30B85942&quot;/&gt;&lt;wsp:rsid wsp:val=&quot;30B860DB&quot;/&gt;&lt;wsp:rsid wsp:val=&quot;30B874AF&quot;/&gt;&lt;wsp:rsid wsp:val=&quot;30B87E4A&quot;/&gt;&lt;wsp:rsid wsp:val=&quot;30BA35CC&quot;/&gt;&lt;wsp:rsid wsp:val=&quot;30BC0D4E&quot;/&gt;&lt;wsp:rsid wsp:val=&quot;30BC5EEC&quot;/&gt;&lt;wsp:rsid wsp:val=&quot;30BE33DD&quot;/&gt;&lt;wsp:rsid wsp:val=&quot;30C23E8A&quot;/&gt;&lt;wsp:rsid wsp:val=&quot;30C40126&quot;/&gt;&lt;wsp:rsid wsp:val=&quot;30C419B0&quot;/&gt;&lt;wsp:rsid wsp:val=&quot;30C43B12&quot;/&gt;&lt;wsp:rsid wsp:val=&quot;30C5530F&quot;/&gt;&lt;wsp:rsid wsp:val=&quot;30C55B0E&quot;/&gt;&lt;wsp:rsid wsp:val=&quot;30C65728&quot;/&gt;&lt;wsp:rsid wsp:val=&quot;30C916BD&quot;/&gt;&lt;wsp:rsid wsp:val=&quot;30C9346B&quot;/&gt;&lt;wsp:rsid wsp:val=&quot;30C96FC7&quot;/&gt;&lt;wsp:rsid wsp:val=&quot;30CB0F91&quot;/&gt;&lt;wsp:rsid wsp:val=&quot;30CC4D09&quot;/&gt;&lt;wsp:rsid wsp:val=&quot;30CC6AB7&quot;/&gt;&lt;wsp:rsid wsp:val=&quot;30D0230B&quot;/&gt;&lt;wsp:rsid wsp:val=&quot;30D047F9&quot;/&gt;&lt;wsp:rsid wsp:val=&quot;30D065A7&quot;/&gt;&lt;wsp:rsid wsp:val=&quot;30D140CD&quot;/&gt;&lt;wsp:rsid wsp:val=&quot;30D20571&quot;/&gt;&lt;wsp:rsid wsp:val=&quot;30D342E9&quot;/&gt;&lt;wsp:rsid wsp:val=&quot;30D36097&quot;/&gt;&lt;wsp:rsid wsp:val=&quot;30D37E45&quot;/&gt;&lt;wsp:rsid wsp:val=&quot;30D50061&quot;/&gt;&lt;wsp:rsid wsp:val=&quot;30D77936&quot;/&gt;&lt;wsp:rsid wsp:val=&quot;30D8545C&quot;/&gt;&lt;wsp:rsid wsp:val=&quot;30DB6CFA&quot;/&gt;&lt;wsp:rsid wsp:val=&quot;30DD2A72&quot;/&gt;&lt;wsp:rsid wsp:val=&quot;30DD6966&quot;/&gt;&lt;wsp:rsid wsp:val=&quot;30DD6F16&quot;/&gt;&lt;wsp:rsid wsp:val=&quot;30DF67EA&quot;/&gt;&lt;wsp:rsid wsp:val=&quot;30E12562&quot;/&gt;&lt;wsp:rsid wsp:val=&quot;30E218A0&quot;/&gt;&lt;wsp:rsid wsp:val=&quot;30E262DA&quot;/&gt;&lt;wsp:rsid wsp:val=&quot;30E2642D&quot;/&gt;&lt;wsp:rsid wsp:val=&quot;30E3277E&quot;/&gt;&lt;wsp:rsid wsp:val=&quot;30E3452C&quot;/&gt;&lt;wsp:rsid wsp:val=&quot;30E6401D&quot;/&gt;&lt;wsp:rsid wsp:val=&quot;30E67B79&quot;/&gt;&lt;wsp:rsid wsp:val=&quot;30E81B43&quot;/&gt;&lt;wsp:rsid wsp:val=&quot;30E84DC0&quot;/&gt;&lt;wsp:rsid wsp:val=&quot;30E91417&quot;/&gt;&lt;wsp:rsid wsp:val=&quot;30E918A5&quot;/&gt;&lt;wsp:rsid wsp:val=&quot;30E94F09&quot;/&gt;&lt;wsp:rsid wsp:val=&quot;30E958BB&quot;/&gt;&lt;wsp:rsid wsp:val=&quot;30E97669&quot;/&gt;&lt;wsp:rsid wsp:val=&quot;30E97ADA&quot;/&gt;&lt;wsp:rsid wsp:val=&quot;30EA0F6A&quot;/&gt;&lt;wsp:rsid wsp:val=&quot;30EC0F07&quot;/&gt;&lt;wsp:rsid wsp:val=&quot;30ED53AB&quot;/&gt;&lt;wsp:rsid wsp:val=&quot;30EE01DF&quot;/&gt;&lt;wsp:rsid wsp:val=&quot;30EE4C7F&quot;/&gt;&lt;wsp:rsid wsp:val=&quot;30F009F7&quot;/&gt;&lt;wsp:rsid wsp:val=&quot;30F02036&quot;/&gt;&lt;wsp:rsid wsp:val=&quot;30F524B2&quot;/&gt;&lt;wsp:rsid wsp:val=&quot;30F5600E&quot;/&gt;&lt;wsp:rsid wsp:val=&quot;30F85AFE&quot;/&gt;&lt;wsp:rsid wsp:val=&quot;30F86B09&quot;/&gt;&lt;wsp:rsid wsp:val=&quot;30F93D50&quot;/&gt;&lt;wsp:rsid wsp:val=&quot;30F949FE&quot;/&gt;&lt;wsp:rsid wsp:val=&quot;30FA1876&quot;/&gt;&lt;wsp:rsid wsp:val=&quot;30FA7AC8&quot;/&gt;&lt;wsp:rsid wsp:val=&quot;30FC114A&quot;/&gt;&lt;wsp:rsid wsp:val=&quot;30FC55EE&quot;/&gt;&lt;wsp:rsid wsp:val=&quot;30FE3DE8&quot;/&gt;&lt;wsp:rsid wsp:val=&quot;30FF0C3A&quot;/&gt;&lt;wsp:rsid wsp:val=&quot;30FF1D00&quot;/&gt;&lt;wsp:rsid wsp:val=&quot;30FF50DE&quot;/&gt;&lt;wsp:rsid wsp:val=&quot;310149B3&quot;/&gt;&lt;wsp:rsid wsp:val=&quot;3102072B&quot;/&gt;&lt;wsp:rsid wsp:val=&quot;3103697D&quot;/&gt;&lt;wsp:rsid wsp:val=&quot;31036C3B&quot;/&gt;&lt;wsp:rsid wsp:val=&quot;310444A3&quot;/&gt;&lt;wsp:rsid wsp:val=&quot;31061FC9&quot;/&gt;&lt;wsp:rsid wsp:val=&quot;310712E0&quot;/&gt;&lt;wsp:rsid wsp:val=&quot;310821E5&quot;/&gt;&lt;wsp:rsid wsp:val=&quot;31091AB9&quot;/&gt;&lt;wsp:rsid wsp:val=&quot;31097D0B&quot;/&gt;&lt;wsp:rsid wsp:val=&quot;310D6ED5&quot;/&gt;&lt;wsp:rsid wsp:val=&quot;31102784&quot;/&gt;&lt;wsp:rsid wsp:val=&quot;31104BF6&quot;/&gt;&lt;wsp:rsid wsp:val=&quot;31115856&quot;/&gt;&lt;wsp:rsid wsp:val=&quot;31124E12&quot;/&gt;&lt;wsp:rsid wsp:val=&quot;31132938&quot;/&gt;&lt;wsp:rsid wsp:val=&quot;311346E6&quot;/&gt;&lt;wsp:rsid wsp:val=&quot;311566B0&quot;/&gt;&lt;wsp:rsid wsp:val=&quot;31165B12&quot;/&gt;&lt;wsp:rsid wsp:val=&quot;31175F84&quot;/&gt;&lt;wsp:rsid wsp:val=&quot;31177F87&quot;/&gt;&lt;wsp:rsid wsp:val=&quot;31182B58&quot;/&gt;&lt;wsp:rsid wsp:val=&quot;311A1F18&quot;/&gt;&lt;wsp:rsid wsp:val=&quot;311A3CC6&quot;/&gt;&lt;wsp:rsid wsp:val=&quot;311B5125&quot;/&gt;&lt;wsp:rsid wsp:val=&quot;311B7D98&quot;/&gt;&lt;wsp:rsid wsp:val=&quot;311C17EC&quot;/&gt;&lt;wsp:rsid wsp:val=&quot;311C7A3E&quot;/&gt;&lt;wsp:rsid wsp:val=&quot;311D7312&quot;/&gt;&lt;wsp:rsid wsp:val=&quot;311E2ED7&quot;/&gt;&lt;wsp:rsid wsp:val=&quot;311F308B&quot;/&gt;&lt;wsp:rsid wsp:val=&quot;31200A1B&quot;/&gt;&lt;wsp:rsid wsp:val=&quot;31210BB1&quot;/&gt;&lt;wsp:rsid wsp:val=&quot;31226909&quot;/&gt;&lt;wsp:rsid wsp:val=&quot;31230DCD&quot;/&gt;&lt;wsp:rsid wsp:val=&quot;312468F3&quot;/&gt;&lt;wsp:rsid wsp:val=&quot;31271F3F&quot;/&gt;&lt;wsp:rsid wsp:val=&quot;31280191&quot;/&gt;&lt;wsp:rsid wsp:val=&quot;3129239C&quot;/&gt;&lt;wsp:rsid wsp:val=&quot;312A215B&quot;/&gt;&lt;wsp:rsid wsp:val=&quot;312B4CBC&quot;/&gt;&lt;wsp:rsid wsp:val=&quot;312B5ED3&quot;/&gt;&lt;wsp:rsid wsp:val=&quot;312E4039&quot;/&gt;&lt;wsp:rsid wsp:val=&quot;312F2BA5&quot;/&gt;&lt;wsp:rsid wsp:val=&quot;31307046&quot;/&gt;&lt;wsp:rsid wsp:val=&quot;31311AD6&quot;/&gt;&lt;wsp:rsid wsp:val=&quot;31327262&quot;/&gt;&lt;wsp:rsid wsp:val=&quot;313308E4&quot;/&gt;&lt;wsp:rsid wsp:val=&quot;313316FE&quot;/&gt;&lt;wsp:rsid wsp:val=&quot;31342FDA&quot;/&gt;&lt;wsp:rsid wsp:val=&quot;31350B00&quot;/&gt;&lt;wsp:rsid wsp:val=&quot;313624B6&quot;/&gt;&lt;wsp:rsid wsp:val=&quot;31374878&quot;/&gt;&lt;wsp:rsid wsp:val=&quot;313A7EC4&quot;/&gt;&lt;wsp:rsid wsp:val=&quot;313C1E8F&quot;/&gt;&lt;wsp:rsid wsp:val=&quot;313C59EB&quot;/&gt;&lt;wsp:rsid wsp:val=&quot;313F34CE&quot;/&gt;&lt;wsp:rsid wsp:val=&quot;313F372D&quot;/&gt;&lt;wsp:rsid wsp:val=&quot;31411253&quot;/&gt;&lt;wsp:rsid wsp:val=&quot;31434FCB&quot;/&gt;&lt;wsp:rsid wsp:val=&quot;31442AF1&quot;/&gt;&lt;wsp:rsid wsp:val=&quot;31473867&quot;/&gt;&lt;wsp:rsid wsp:val=&quot;31480833&quot;/&gt;&lt;wsp:rsid wsp:val=&quot;31496359&quot;/&gt;&lt;wsp:rsid wsp:val=&quot;314A04F0&quot;/&gt;&lt;wsp:rsid wsp:val=&quot;314A45AB&quot;/&gt;&lt;wsp:rsid wsp:val=&quot;314B303F&quot;/&gt;&lt;wsp:rsid wsp:val=&quot;314B3E80&quot;/&gt;&lt;wsp:rsid wsp:val=&quot;31503085&quot;/&gt;&lt;wsp:rsid wsp:val=&quot;3150593A&quot;/&gt;&lt;wsp:rsid wsp:val=&quot;315216B2&quot;/&gt;&lt;wsp:rsid wsp:val=&quot;31530A22&quot;/&gt;&lt;wsp:rsid wsp:val=&quot;31533EC8&quot;/&gt;&lt;wsp:rsid wsp:val=&quot;315409BD&quot;/&gt;&lt;wsp:rsid wsp:val=&quot;31540F86&quot;/&gt;&lt;wsp:rsid wsp:val=&quot;315419A0&quot;/&gt;&lt;wsp:rsid wsp:val=&quot;315471D8&quot;/&gt;&lt;wsp:rsid wsp:val=&quot;31554CFE&quot;/&gt;&lt;wsp:rsid wsp:val=&quot;315619EE&quot;/&gt;&lt;wsp:rsid wsp:val=&quot;31570A76&quot;/&gt;&lt;wsp:rsid wsp:val=&quot;3157541A&quot;/&gt;&lt;wsp:rsid wsp:val=&quot;31592A40&quot;/&gt;&lt;wsp:rsid wsp:val=&quot;31597D3A&quot;/&gt;&lt;wsp:rsid wsp:val=&quot;315A2315&quot;/&gt;&lt;wsp:rsid wsp:val=&quot;315A40C3&quot;/&gt;&lt;wsp:rsid wsp:val=&quot;315C42DF&quot;/&gt;&lt;wsp:rsid wsp:val=&quot;315C449C&quot;/&gt;&lt;wsp:rsid wsp:val=&quot;315C608D&quot;/&gt;&lt;wsp:rsid wsp:val=&quot;315D71B8&quot;/&gt;&lt;wsp:rsid wsp:val=&quot;316255FD&quot;/&gt;&lt;wsp:rsid wsp:val=&quot;31644F41&quot;/&gt;&lt;wsp:rsid wsp:val=&quot;31650EAE&quot;/&gt;&lt;wsp:rsid wsp:val=&quot;316521F1&quot;/&gt;&lt;wsp:rsid wsp:val=&quot;31653193&quot;/&gt;&lt;wsp:rsid wsp:val=&quot;31660129&quot;/&gt;&lt;wsp:rsid wsp:val=&quot;31660CB9&quot;/&gt;&lt;wsp:rsid wsp:val=&quot;31662A68&quot;/&gt;&lt;wsp:rsid wsp:val=&quot;3166515D&quot;/&gt;&lt;wsp:rsid wsp:val=&quot;316737CE&quot;/&gt;&lt;wsp:rsid wsp:val=&quot;316B214F&quot;/&gt;&lt;wsp:rsid wsp:val=&quot;316B4522&quot;/&gt;&lt;wsp:rsid wsp:val=&quot;316B62D0&quot;/&gt;&lt;wsp:rsid wsp:val=&quot;316D2048&quot;/&gt;&lt;wsp:rsid wsp:val=&quot;316D3DF6&quot;/&gt;&lt;wsp:rsid wsp:val=&quot;316F7181&quot;/&gt;&lt;wsp:rsid wsp:val=&quot;31701B38&quot;/&gt;&lt;wsp:rsid wsp:val=&quot;317038E6&quot;/&gt;&lt;wsp:rsid wsp:val=&quot;31704B31&quot;/&gt;&lt;wsp:rsid wsp:val=&quot;31753B49&quot;/&gt;&lt;wsp:rsid wsp:val=&quot;31771119&quot;/&gt;&lt;wsp:rsid wsp:val=&quot;3179279B&quot;/&gt;&lt;wsp:rsid wsp:val=&quot;31796C3F&quot;/&gt;&lt;wsp:rsid wsp:val=&quot;317A6513&quot;/&gt;&lt;wsp:rsid wsp:val=&quot;317C5CA4&quot;/&gt;&lt;wsp:rsid wsp:val=&quot;317D0ABA&quot;/&gt;&lt;wsp:rsid wsp:val=&quot;317F1D7B&quot;/&gt;&lt;wsp:rsid wsp:val=&quot;317F3195&quot;/&gt;&lt;wsp:rsid wsp:val=&quot;317F3B29&quot;/&gt;&lt;wsp:rsid wsp:val=&quot;31803DAC&quot;/&gt;&lt;wsp:rsid wsp:val=&quot;31853836&quot;/&gt;&lt;wsp:rsid wsp:val=&quot;3186310A&quot;/&gt;&lt;wsp:rsid wsp:val=&quot;31864EB8&quot;/&gt;&lt;wsp:rsid wsp:val=&quot;31866D56&quot;/&gt;&lt;wsp:rsid wsp:val=&quot;31874330&quot;/&gt;&lt;wsp:rsid wsp:val=&quot;318956D7&quot;/&gt;&lt;wsp:rsid wsp:val=&quot;318D26EA&quot;/&gt;&lt;wsp:rsid wsp:val=&quot;318E5A74&quot;/&gt;&lt;wsp:rsid wsp:val=&quot;319066C4&quot;/&gt;&lt;wsp:rsid wsp:val=&quot;31943A79&quot;/&gt;&lt;wsp:rsid wsp:val=&quot;31966E5D&quot;/&gt;&lt;wsp:rsid wsp:val=&quot;31967CDB&quot;/&gt;&lt;wsp:rsid wsp:val=&quot;31983D3C&quot;/&gt;&lt;wsp:rsid wsp:val=&quot;319C292D&quot;/&gt;&lt;wsp:rsid wsp:val=&quot;319C46DB&quot;/&gt;&lt;wsp:rsid wsp:val=&quot;319C528E&quot;/&gt;&lt;wsp:rsid wsp:val=&quot;319E0453&quot;/&gt;&lt;wsp:rsid wsp:val=&quot;319E6025&quot;/&gt;&lt;wsp:rsid wsp:val=&quot;319F103E&quot;/&gt;&lt;wsp:rsid wsp:val=&quot;31A135F7&quot;/&gt;&lt;wsp:rsid wsp:val=&quot;31A55C86&quot;/&gt;&lt;wsp:rsid wsp:val=&quot;31A57A34&quot;/&gt;&lt;wsp:rsid wsp:val=&quot;31A67308&quot;/&gt;&lt;wsp:rsid wsp:val=&quot;31A737AC&quot;/&gt;&lt;wsp:rsid wsp:val=&quot;31A83080&quot;/&gt;&lt;wsp:rsid wsp:val=&quot;31A91211&quot;/&gt;&lt;wsp:rsid wsp:val=&quot;31AA329C&quot;/&gt;&lt;wsp:rsid wsp:val=&quot;31AA504A&quot;/&gt;&lt;wsp:rsid wsp:val=&quot;31AB2B70&quot;/&gt;&lt;wsp:rsid wsp:val=&quot;31AC5F47&quot;/&gt;&lt;wsp:rsid wsp:val=&quot;31AD68E8&quot;/&gt;&lt;wsp:rsid wsp:val=&quot;31AD77A6&quot;/&gt;&lt;wsp:rsid wsp:val=&quot;31AE385F&quot;/&gt;&lt;wsp:rsid wsp:val=&quot;31AF2660&quot;/&gt;&lt;wsp:rsid wsp:val=&quot;31AF440F&quot;/&gt;&lt;wsp:rsid wsp:val=&quot;31B00187&quot;/&gt;&lt;wsp:rsid wsp:val=&quot;31B163D9&quot;/&gt;&lt;wsp:rsid wsp:val=&quot;31B22151&quot;/&gt;&lt;wsp:rsid wsp:val=&quot;31B25CAD&quot;/&gt;&lt;wsp:rsid wsp:val=&quot;31B732C3&quot;/&gt;&lt;wsp:rsid wsp:val=&quot;31B8181D&quot;/&gt;&lt;wsp:rsid wsp:val=&quot;31B82709&quot;/&gt;&lt;wsp:rsid wsp:val=&quot;31B859B9&quot;/&gt;&lt;wsp:rsid wsp:val=&quot;31B867A1&quot;/&gt;&lt;wsp:rsid wsp:val=&quot;31B9528D&quot;/&gt;&lt;wsp:rsid wsp:val=&quot;31B9703B&quot;/&gt;&lt;wsp:rsid wsp:val=&quot;31BC3137&quot;/&gt;&lt;wsp:rsid wsp:val=&quot;31BD655C&quot;/&gt;&lt;wsp:rsid wsp:val=&quot;31BE7043&quot;/&gt;&lt;wsp:rsid wsp:val=&quot;31BF1AB8&quot;/&gt;&lt;wsp:rsid wsp:val=&quot;31C272B4&quot;/&gt;&lt;wsp:rsid wsp:val=&quot;31C27D50&quot;/&gt;&lt;wsp:rsid wsp:val=&quot;31C31505&quot;/&gt;&lt;wsp:rsid wsp:val=&quot;31C3435E&quot;/&gt;&lt;wsp:rsid wsp:val=&quot;31C51E84&quot;/&gt;&lt;wsp:rsid wsp:val=&quot;31C679AA&quot;/&gt;&lt;wsp:rsid wsp:val=&quot;31C75BFC&quot;/&gt;&lt;wsp:rsid wsp:val=&quot;31CA1248&quot;/&gt;&lt;wsp:rsid wsp:val=&quot;31CC3212&quot;/&gt;&lt;wsp:rsid wsp:val=&quot;31CD2AE7&quot;/&gt;&lt;wsp:rsid wsp:val=&quot;31CD6F8B&quot;/&gt;&lt;wsp:rsid wsp:val=&quot;31CF4AB1&quot;/&gt;&lt;wsp:rsid wsp:val=&quot;31CF71ED&quot;/&gt;&lt;wsp:rsid wsp:val=&quot;31D04385&quot;/&gt;&lt;wsp:rsid wsp:val=&quot;31D05482&quot;/&gt;&lt;wsp:rsid wsp:val=&quot;31D07E6C&quot;/&gt;&lt;wsp:rsid wsp:val=&quot;31D245A1&quot;/&gt;&lt;wsp:rsid wsp:val=&quot;31D64091&quot;/&gt;&lt;wsp:rsid wsp:val=&quot;31D9148B&quot;/&gt;&lt;wsp:rsid wsp:val=&quot;31DA66C0&quot;/&gt;&lt;wsp:rsid wsp:val=&quot;31DC0F7C&quot;/&gt;&lt;wsp:rsid wsp:val=&quot;31DD5420&quot;/&gt;&lt;wsp:rsid wsp:val=&quot;31DE2F46&quot;/&gt;&lt;wsp:rsid wsp:val=&quot;31E139C2&quot;/&gt;&lt;wsp:rsid wsp:val=&quot;31E16592&quot;/&gt;&lt;wsp:rsid wsp:val=&quot;31E22A36&quot;/&gt;&lt;wsp:rsid wsp:val=&quot;31E3230A&quot;/&gt;&lt;wsp:rsid wsp:val=&quot;31E653D6&quot;/&gt;&lt;wsp:rsid wsp:val=&quot;31E87920&quot;/&gt;&lt;wsp:rsid wsp:val=&quot;31EA35E4&quot;/&gt;&lt;wsp:rsid wsp:val=&quot;31EE089B&quot;/&gt;&lt;wsp:rsid wsp:val=&quot;31EE4B36&quot;/&gt;&lt;wsp:rsid wsp:val=&quot;31EF5153&quot;/&gt;&lt;wsp:rsid wsp:val=&quot;31F14A27&quot;/&gt;&lt;wsp:rsid wsp:val=&quot;31F167D5&quot;/&gt;&lt;wsp:rsid wsp:val=&quot;31F2254D&quot;/&gt;&lt;wsp:rsid wsp:val=&quot;31F369F1&quot;/&gt;&lt;wsp:rsid wsp:val=&quot;31F43B9D&quot;/&gt;&lt;wsp:rsid wsp:val=&quot;31F6203D&quot;/&gt;&lt;wsp:rsid wsp:val=&quot;31F75DB5&quot;/&gt;&lt;wsp:rsid wsp:val=&quot;31F84007&quot;/&gt;&lt;wsp:rsid wsp:val=&quot;31F97D80&quot;/&gt;&lt;wsp:rsid wsp:val=&quot;31FA30D9&quot;/&gt;&lt;wsp:rsid wsp:val=&quot;31FB08BE&quot;/&gt;&lt;wsp:rsid wsp:val=&quot;31FB0B7D&quot;/&gt;&lt;wsp:rsid wsp:val=&quot;31FB3AF8&quot;/&gt;&lt;wsp:rsid wsp:val=&quot;31FD161E&quot;/&gt;&lt;wsp:rsid wsp:val=&quot;31FE7144&quot;/&gt;&lt;wsp:rsid wsp:val=&quot;32004C6A&quot;/&gt;&lt;wsp:rsid wsp:val=&quot;32010381&quot;/&gt;&lt;wsp:rsid wsp:val=&quot;320209E2&quot;/&gt;&lt;wsp:rsid wsp:val=&quot;32022CFB&quot;/&gt;&lt;wsp:rsid wsp:val=&quot;32026C34&quot;/&gt;&lt;wsp:rsid wsp:val=&quot;32061EAF&quot;/&gt;&lt;wsp:rsid wsp:val=&quot;3207424B&quot;/&gt;&lt;wsp:rsid wsp:val=&quot;320960CA&quot;/&gt;&lt;wsp:rsid wsp:val=&quot;320A70C6&quot;/&gt;&lt;wsp:rsid wsp:val=&quot;320C1861&quot;/&gt;&lt;wsp:rsid wsp:val=&quot;320C697E&quot;/&gt;&lt;wsp:rsid wsp:val=&quot;320D1CB4&quot;/&gt;&lt;wsp:rsid wsp:val=&quot;320F27B6&quot;/&gt;&lt;wsp:rsid wsp:val=&quot;32116E77&quot;/&gt;&lt;wsp:rsid wsp:val=&quot;321227F0&quot;/&gt;&lt;wsp:rsid wsp:val=&quot;32132BEF&quot;/&gt;&lt;wsp:rsid wsp:val=&quot;32133BAD&quot;/&gt;&lt;wsp:rsid wsp:val=&quot;3216448E&quot;/&gt;&lt;wsp:rsid wsp:val=&quot;32170C86&quot;/&gt;&lt;wsp:rsid wsp:val=&quot;321859F5&quot;/&gt;&lt;wsp:rsid wsp:val=&quot;32186458&quot;/&gt;&lt;wsp:rsid wsp:val=&quot;321A5A83&quot;/&gt;&lt;wsp:rsid wsp:val=&quot;321B5F48&quot;/&gt;&lt;wsp:rsid wsp:val=&quot;321B7CF6&quot;/&gt;&lt;wsp:rsid wsp:val=&quot;321D3A6E&quot;/&gt;&lt;wsp:rsid wsp:val=&quot;321F09AA&quot;/&gt;&lt;wsp:rsid wsp:val=&quot;322070BA&quot;/&gt;&lt;wsp:rsid wsp:val=&quot;322272D6&quot;/&gt;&lt;wsp:rsid wsp:val=&quot;32244DFC&quot;/&gt;&lt;wsp:rsid wsp:val=&quot;32250B75&quot;/&gt;&lt;wsp:rsid wsp:val=&quot;3227483B&quot;/&gt;&lt;wsp:rsid wsp:val=&quot;322748ED&quot;/&gt;&lt;wsp:rsid wsp:val=&quot;32290665&quot;/&gt;&lt;wsp:rsid wsp:val=&quot;322A1CE7&quot;/&gt;&lt;wsp:rsid wsp:val=&quot;322A7F39&quot;/&gt;&lt;wsp:rsid wsp:val=&quot;322B1F07&quot;/&gt;&lt;wsp:rsid wsp:val=&quot;322C1F03&quot;/&gt;&lt;wsp:rsid wsp:val=&quot;322C3CB1&quot;/&gt;&lt;wsp:rsid wsp:val=&quot;322C5A5F&quot;/&gt;&lt;wsp:rsid wsp:val=&quot;322E5C09&quot;/&gt;&lt;wsp:rsid wsp:val=&quot;322E5C7B&quot;/&gt;&lt;wsp:rsid wsp:val=&quot;322E7A29&quot;/&gt;&lt;wsp:rsid wsp:val=&quot;322F1F88&quot;/&gt;&lt;wsp:rsid wsp:val=&quot;323112C7&quot;/&gt;&lt;wsp:rsid wsp:val=&quot;32317519&quot;/&gt;&lt;wsp:rsid wsp:val=&quot;32333292&quot;/&gt;&lt;wsp:rsid wsp:val=&quot;323365A6&quot;/&gt;&lt;wsp:rsid wsp:val=&quot;3234700A&quot;/&gt;&lt;wsp:rsid wsp:val=&quot;32353BD1&quot;/&gt;&lt;wsp:rsid wsp:val=&quot;3236068C&quot;/&gt;&lt;wsp:rsid wsp:val=&quot;323808A8&quot;/&gt;&lt;wsp:rsid wsp:val=&quot;323A1AE2&quot;/&gt;&lt;wsp:rsid wsp:val=&quot;323B0398&quot;/&gt;&lt;wsp:rsid wsp:val=&quot;323B2146&quot;/&gt;&lt;wsp:rsid wsp:val=&quot;323B45CD&quot;/&gt;&lt;wsp:rsid wsp:val=&quot;323D7C6C&quot;/&gt;&lt;wsp:rsid wsp:val=&quot;323E39E4&quot;/&gt;&lt;wsp:rsid wsp:val=&quot;323F1C36&quot;/&gt;&lt;wsp:rsid wsp:val=&quot;32400B34&quot;/&gt;&lt;wsp:rsid wsp:val=&quot;3240150B&quot;/&gt;&lt;wsp:rsid wsp:val=&quot;3240775C&quot;/&gt;&lt;wsp:rsid wsp:val=&quot;32427031&quot;/&gt;&lt;wsp:rsid wsp:val=&quot;324541CB&quot;/&gt;&lt;wsp:rsid wsp:val=&quot;32456B21&quot;/&gt;&lt;wsp:rsid wsp:val=&quot;324845D6&quot;/&gt;&lt;wsp:rsid wsp:val=&quot;32496611&quot;/&gt;&lt;wsp:rsid wsp:val=&quot;324A05DB&quot;/&gt;&lt;wsp:rsid wsp:val=&quot;324A2389&quot;/&gt;&lt;wsp:rsid wsp:val=&quot;324D2CF5&quot;/&gt;&lt;wsp:rsid wsp:val=&quot;324E1D3A&quot;/&gt;&lt;wsp:rsid wsp:val=&quot;324E3C27&quot;/&gt;&lt;wsp:rsid wsp:val=&quot;32513718&quot;/&gt;&lt;wsp:rsid wsp:val=&quot;32536FBE&quot;/&gt;&lt;wsp:rsid wsp:val=&quot;32537490&quot;/&gt;&lt;wsp:rsid wsp:val=&quot;32543208&quot;/&gt;&lt;wsp:rsid wsp:val=&quot;32544FB6&quot;/&gt;&lt;wsp:rsid wsp:val=&quot;32546D64&quot;/&gt;&lt;wsp:rsid wsp:val=&quot;3256215C&quot;/&gt;&lt;wsp:rsid wsp:val=&quot;32566F80&quot;/&gt;&lt;wsp:rsid wsp:val=&quot;325717F3&quot;/&gt;&lt;wsp:rsid wsp:val=&quot;325B4596&quot;/&gt;&lt;wsp:rsid wsp:val=&quot;325D20BC&quot;/&gt;&lt;wsp:rsid wsp:val=&quot;326150E4&quot;/&gt;&lt;wsp:rsid wsp:val=&quot;326162E8&quot;/&gt;&lt;wsp:rsid wsp:val=&quot;32617E42&quot;/&gt;&lt;wsp:rsid wsp:val=&quot;32621481&quot;/&gt;&lt;wsp:rsid wsp:val=&quot;32622D33&quot;/&gt;&lt;wsp:rsid wsp:val=&quot;32625925&quot;/&gt;&lt;wsp:rsid wsp:val=&quot;32630FC4&quot;/&gt;&lt;wsp:rsid wsp:val=&quot;3263498F&quot;/&gt;&lt;wsp:rsid wsp:val=&quot;3264344B&quot;/&gt;&lt;wsp:rsid wsp:val=&quot;32655415&quot;/&gt;&lt;wsp:rsid wsp:val=&quot;326571C3&quot;/&gt;&lt;wsp:rsid wsp:val=&quot;32696CB3&quot;/&gt;&lt;wsp:rsid wsp:val=&quot;326A6587&quot;/&gt;&lt;wsp:rsid wsp:val=&quot;326B00AC&quot;/&gt;&lt;wsp:rsid wsp:val=&quot;326E42CA&quot;/&gt;&lt;wsp:rsid wsp:val=&quot;326E7E26&quot;/&gt;&lt;wsp:rsid wsp:val=&quot;326F3B9E&quot;/&gt;&lt;wsp:rsid wsp:val=&quot;32700F83&quot;/&gt;&lt;wsp:rsid wsp:val=&quot;32701D7C&quot;/&gt;&lt;wsp:rsid wsp:val=&quot;32715B68&quot;/&gt;&lt;wsp:rsid wsp:val=&quot;32717916&quot;/&gt;&lt;wsp:rsid wsp:val=&quot;32735E3B&quot;/&gt;&lt;wsp:rsid wsp:val=&quot;32764F2C&quot;/&gt;&lt;wsp:rsid wsp:val=&quot;32780935&quot;/&gt;&lt;wsp:rsid wsp:val=&quot;3278199E&quot;/&gt;&lt;wsp:rsid wsp:val=&quot;32786EF6&quot;/&gt;&lt;wsp:rsid wsp:val=&quot;32794A1C&quot;/&gt;&lt;wsp:rsid wsp:val=&quot;327A0EC0&quot;/&gt;&lt;wsp:rsid wsp:val=&quot;327A2C6E&quot;/&gt;&lt;wsp:rsid wsp:val=&quot;327B0795&quot;/&gt;&lt;wsp:rsid wsp:val=&quot;327B2096&quot;/&gt;&lt;wsp:rsid wsp:val=&quot;327B2543&quot;/&gt;&lt;wsp:rsid wsp:val=&quot;327C031F&quot;/&gt;&lt;wsp:rsid wsp:val=&quot;327C2EF0&quot;/&gt;&lt;wsp:rsid wsp:val=&quot;327D37D4&quot;/&gt;&lt;wsp:rsid wsp:val=&quot;327D62BB&quot;/&gt;&lt;wsp:rsid wsp:val=&quot;327D63F4&quot;/&gt;&lt;wsp:rsid wsp:val=&quot;327E018E&quot;/&gt;&lt;wsp:rsid wsp:val=&quot;327F0285&quot;/&gt;&lt;wsp:rsid wsp:val=&quot;32803FFD&quot;/&gt;&lt;wsp:rsid wsp:val=&quot;328210D9&quot;/&gt;&lt;wsp:rsid wsp:val=&quot;32821B23&quot;/&gt;&lt;wsp:rsid wsp:val=&quot;328238D1&quot;/&gt;&lt;wsp:rsid wsp:val=&quot;32841682&quot;/&gt;&lt;wsp:rsid wsp:val=&quot;32847649&quot;/&gt;&lt;wsp:rsid wsp:val=&quot;32870EE7&quot;/&gt;&lt;wsp:rsid wsp:val=&quot;32875432&quot;/&gt;&lt;wsp:rsid wsp:val=&quot;328E3BC4&quot;/&gt;&lt;wsp:rsid wsp:val=&quot;328F43F1&quot;/&gt;&lt;wsp:rsid wsp:val=&quot;328F5FEE&quot;/&gt;&lt;wsp:rsid wsp:val=&quot;32902492&quot;/&gt;&lt;wsp:rsid wsp:val=&quot;32911D66&quot;/&gt;&lt;wsp:rsid wsp:val=&quot;3291620A&quot;/&gt;&lt;wsp:rsid wsp:val=&quot;32917FB8&quot;/&gt;&lt;wsp:rsid wsp:val=&quot;32935A2E&quot;/&gt;&lt;wsp:rsid wsp:val=&quot;32935ADE&quot;/&gt;&lt;wsp:rsid wsp:val=&quot;32957AA8&quot;/&gt;&lt;wsp:rsid wsp:val=&quot;329655CE&quot;/&gt;&lt;wsp:rsid wsp:val=&quot;32981347&quot;/&gt;&lt;wsp:rsid wsp:val=&quot;329A4CFF&quot;/&gt;&lt;wsp:rsid wsp:val=&quot;329D070B&quot;/&gt;&lt;wsp:rsid wsp:val=&quot;329E6876&quot;/&gt;&lt;wsp:rsid wsp:val=&quot;329F26D5&quot;/&gt;&lt;wsp:rsid wsp:val=&quot;329F4483&quot;/&gt;&lt;wsp:rsid wsp:val=&quot;32A221C5&quot;/&gt;&lt;wsp:rsid wsp:val=&quot;32A23F73&quot;/&gt;&lt;wsp:rsid wsp:val=&quot;32A777DC&quot;/&gt;&lt;wsp:rsid wsp:val=&quot;32A93554&quot;/&gt;&lt;wsp:rsid wsp:val=&quot;32A95302&quot;/&gt;&lt;wsp:rsid wsp:val=&quot;32A970B0&quot;/&gt;&lt;wsp:rsid wsp:val=&quot;32A97B09&quot;/&gt;&lt;wsp:rsid wsp:val=&quot;32AB107A&quot;/&gt;&lt;wsp:rsid wsp:val=&quot;32AB72CC&quot;/&gt;&lt;wsp:rsid wsp:val=&quot;32AC094E&quot;/&gt;&lt;wsp:rsid wsp:val=&quot;32AD73EA&quot;/&gt;&lt;wsp:rsid wsp:val=&quot;32B048E2&quot;/&gt;&lt;wsp:rsid wsp:val=&quot;32B141B6&quot;/&gt;&lt;wsp:rsid wsp:val=&quot;32B31CDC&quot;/&gt;&lt;wsp:rsid wsp:val=&quot;32B35B90&quot;/&gt;&lt;wsp:rsid wsp:val=&quot;32B37F2E&quot;/&gt;&lt;wsp:rsid wsp:val=&quot;32B47B52&quot;/&gt;&lt;wsp:rsid wsp:val=&quot;32B53CA7&quot;/&gt;&lt;wsp:rsid wsp:val=&quot;32B67A1F&quot;/&gt;&lt;wsp:rsid wsp:val=&quot;32B8116A&quot;/&gt;&lt;wsp:rsid wsp:val=&quot;32B85545&quot;/&gt;&lt;wsp:rsid wsp:val=&quot;32B86E31&quot;/&gt;&lt;wsp:rsid wsp:val=&quot;32BA1751&quot;/&gt;&lt;wsp:rsid wsp:val=&quot;32BB6DE3&quot;/&gt;&lt;wsp:rsid wsp:val=&quot;32BD2B5B&quot;/&gt;&lt;wsp:rsid wsp:val=&quot;32BF0681&quot;/&gt;&lt;wsp:rsid wsp:val=&quot;32C043F9&quot;/&gt;&lt;wsp:rsid wsp:val=&quot;32C073EC&quot;/&gt;&lt;wsp:rsid wsp:val=&quot;32C12BB8&quot;/&gt;&lt;wsp:rsid wsp:val=&quot;32C51A10&quot;/&gt;&lt;wsp:rsid wsp:val=&quot;32C65507&quot;/&gt;&lt;wsp:rsid wsp:val=&quot;32C65EB4&quot;/&gt;&lt;wsp:rsid wsp:val=&quot;32C75788&quot;/&gt;&lt;wsp:rsid wsp:val=&quot;32C959A4&quot;/&gt;&lt;wsp:rsid wsp:val=&quot;32C97752&quot;/&gt;&lt;wsp:rsid wsp:val=&quot;32CA1246&quot;/&gt;&lt;wsp:rsid wsp:val=&quot;32CB5278&quot;/&gt;&lt;wsp:rsid wsp:val=&quot;32CD3EEF&quot;/&gt;&lt;wsp:rsid wsp:val=&quot;32D00AE0&quot;/&gt;&lt;wsp:rsid wsp:val=&quot;32D00F65&quot;/&gt;&lt;wsp:rsid wsp:val=&quot;32D020E4&quot;/&gt;&lt;wsp:rsid wsp:val=&quot;32D103B5&quot;/&gt;&lt;wsp:rsid wsp:val=&quot;32D22AAA&quot;/&gt;&lt;wsp:rsid wsp:val=&quot;32D3237F&quot;/&gt;&lt;wsp:rsid wsp:val=&quot;32D33A39&quot;/&gt;&lt;wsp:rsid wsp:val=&quot;32D3412D&quot;/&gt;&lt;wsp:rsid wsp:val=&quot;32D50A2F&quot;/&gt;&lt;wsp:rsid wsp:val=&quot;32D54F54&quot;/&gt;&lt;wsp:rsid wsp:val=&quot;32D560F7&quot;/&gt;&lt;wsp:rsid wsp:val=&quot;32D61E6F&quot;/&gt;&lt;wsp:rsid wsp:val=&quot;32D64894&quot;/&gt;&lt;wsp:rsid wsp:val=&quot;32D87995&quot;/&gt;&lt;wsp:rsid wsp:val=&quot;32D978AB&quot;/&gt;&lt;wsp:rsid wsp:val=&quot;32DA370D&quot;/&gt;&lt;wsp:rsid wsp:val=&quot;32DC622C&quot;/&gt;&lt;wsp:rsid wsp:val=&quot;32DC7485&quot;/&gt;&lt;wsp:rsid wsp:val=&quot;32DC7BA4&quot;/&gt;&lt;wsp:rsid wsp:val=&quot;32DD4FAB&quot;/&gt;&lt;wsp:rsid wsp:val=&quot;32DD69CE&quot;/&gt;&lt;wsp:rsid wsp:val=&quot;32DF0D23&quot;/&gt;&lt;wsp:rsid wsp:val=&quot;32DF371D&quot;/&gt;&lt;wsp:rsid wsp:val=&quot;32E14A9C&quot;/&gt;&lt;wsp:rsid wsp:val=&quot;32E20814&quot;/&gt;&lt;wsp:rsid wsp:val=&quot;32E34B0D&quot;/&gt;&lt;wsp:rsid wsp:val=&quot;32E4458C&quot;/&gt;&lt;wsp:rsid wsp:val=&quot;32E60304&quot;/&gt;&lt;wsp:rsid wsp:val=&quot;32E620B2&quot;/&gt;&lt;wsp:rsid wsp:val=&quot;32E77BD8&quot;/&gt;&lt;wsp:rsid wsp:val=&quot;32EB1CC0&quot;/&gt;&lt;wsp:rsid wsp:val=&quot;32EB3B6C&quot;/&gt;&lt;wsp:rsid wsp:val=&quot;32EB76C8&quot;/&gt;&lt;wsp:rsid wsp:val=&quot;32EC3440&quot;/&gt;&lt;wsp:rsid wsp:val=&quot;32EC51EE&quot;/&gt;&lt;wsp:rsid wsp:val=&quot;32EE71B8&quot;/&gt;&lt;wsp:rsid wsp:val=&quot;32EF5865&quot;/&gt;&lt;wsp:rsid wsp:val=&quot;32F02F31&quot;/&gt;&lt;wsp:rsid wsp:val=&quot;32F12805&quot;/&gt;&lt;wsp:rsid wsp:val=&quot;32F15B31&quot;/&gt;&lt;wsp:rsid wsp:val=&quot;32F26CA9&quot;/&gt;&lt;wsp:rsid wsp:val=&quot;32F43417&quot;/&gt;&lt;wsp:rsid wsp:val=&quot;32F50547&quot;/&gt;&lt;wsp:rsid wsp:val=&quot;32F6606D&quot;/&gt;&lt;wsp:rsid wsp:val=&quot;32F66DD2&quot;/&gt;&lt;wsp:rsid wsp:val=&quot;32F95AD3&quot;/&gt;&lt;wsp:rsid wsp:val=&quot;32FA3DAF&quot;/&gt;&lt;wsp:rsid wsp:val=&quot;32FB467E&quot;/&gt;&lt;wsp:rsid wsp:val=&quot;32FC18D5&quot;/&gt;&lt;wsp:rsid wsp:val=&quot;32FD05B3&quot;/&gt;&lt;wsp:rsid wsp:val=&quot;32FE0135&quot;/&gt;&lt;wsp:rsid wsp:val=&quot;32FF13C6&quot;/&gt;&lt;wsp:rsid wsp:val=&quot;32FF69F4&quot;/&gt;&lt;wsp:rsid wsp:val=&quot;3300527E&quot;/&gt;&lt;wsp:rsid wsp:val=&quot;3300608A&quot;/&gt;&lt;wsp:rsid wsp:val=&quot;330144FD&quot;/&gt;&lt;wsp:rsid wsp:val=&quot;3301513E&quot;/&gt;&lt;wsp:rsid wsp:val=&quot;33016EEC&quot;/&gt;&lt;wsp:rsid wsp:val=&quot;33022C64&quot;/&gt;&lt;wsp:rsid wsp:val=&quot;33024A12&quot;/&gt;&lt;wsp:rsid wsp:val=&quot;33027F46&quot;/&gt;&lt;wsp:rsid wsp:val=&quot;33055437&quot;/&gt;&lt;wsp:rsid wsp:val=&quot;33063E70&quot;/&gt;&lt;wsp:rsid wsp:val=&quot;33072028&quot;/&gt;&lt;wsp:rsid wsp:val=&quot;33072578&quot;/&gt;&lt;wsp:rsid wsp:val=&quot;33092244&quot;/&gt;&lt;wsp:rsid wsp:val=&quot;33097BA2&quot;/&gt;&lt;wsp:rsid wsp:val=&quot;330A66D8&quot;/&gt;&lt;wsp:rsid wsp:val=&quot;330E33B7&quot;/&gt;&lt;wsp:rsid wsp:val=&quot;33134E71&quot;/&gt;&lt;wsp:rsid wsp:val=&quot;33154745&quot;/&gt;&lt;wsp:rsid wsp:val=&quot;3317670F&quot;/&gt;&lt;wsp:rsid wsp:val=&quot;33185FE3&quot;/&gt;&lt;wsp:rsid wsp:val=&quot;3319216C&quot;/&gt;&lt;wsp:rsid wsp:val=&quot;331A61FF&quot;/&gt;&lt;wsp:rsid wsp:val=&quot;331C3D26&quot;/&gt;&lt;wsp:rsid wsp:val=&quot;331D184C&quot;/&gt;&lt;wsp:rsid wsp:val=&quot;331D35FA&quot;/&gt;&lt;wsp:rsid wsp:val=&quot;332008FE&quot;/&gt;&lt;wsp:rsid wsp:val=&quot;332115EC&quot;/&gt;&lt;wsp:rsid wsp:val=&quot;3321758E&quot;/&gt;&lt;wsp:rsid wsp:val=&quot;3322087E&quot;/&gt;&lt;wsp:rsid wsp:val=&quot;33227393&quot;/&gt;&lt;wsp:rsid wsp:val=&quot;332350B4&quot;/&gt;&lt;wsp:rsid wsp:val=&quot;33242BDA&quot;/&gt;&lt;wsp:rsid wsp:val=&quot;33244988&quot;/&gt;&lt;wsp:rsid wsp:val=&quot;33260700&quot;/&gt;&lt;wsp:rsid wsp:val=&quot;33264BA4&quot;/&gt;&lt;wsp:rsid wsp:val=&quot;33265787&quot;/&gt;&lt;wsp:rsid wsp:val=&quot;33266952&quot;/&gt;&lt;wsp:rsid wsp:val=&quot;3328091C&quot;/&gt;&lt;wsp:rsid wsp:val=&quot;332901F1&quot;/&gt;&lt;wsp:rsid wsp:val=&quot;33292712&quot;/&gt;&lt;wsp:rsid wsp:val=&quot;332B1C2F&quot;/&gt;&lt;wsp:rsid wsp:val=&quot;332C1A8F&quot;/&gt;&lt;wsp:rsid wsp:val=&quot;332D7CE1&quot;/&gt;&lt;wsp:rsid wsp:val=&quot;332E5807&quot;/&gt;&lt;wsp:rsid wsp:val=&quot;3330157F&quot;/&gt;&lt;wsp:rsid wsp:val=&quot;333015F2&quot;/&gt;&lt;wsp:rsid wsp:val=&quot;33332E1D&quot;/&gt;&lt;wsp:rsid wsp:val=&quot;33352DD5&quot;/&gt;&lt;wsp:rsid wsp:val=&quot;33353039&quot;/&gt;&lt;wsp:rsid wsp:val=&quot;33371083&quot;/&gt;&lt;wsp:rsid wsp:val=&quot;333756F5&quot;/&gt;&lt;wsp:rsid wsp:val=&quot;33386686&quot;/&gt;&lt;wsp:rsid wsp:val=&quot;333A0650&quot;/&gt;&lt;wsp:rsid wsp:val=&quot;333C2987&quot;/&gt;&lt;wsp:rsid wsp:val=&quot;333C6176&quot;/&gt;&lt;wsp:rsid wsp:val=&quot;333F7A14&quot;/&gt;&lt;wsp:rsid wsp:val=&quot;334109B7&quot;/&gt;&lt;wsp:rsid wsp:val=&quot;334119DE&quot;/&gt;&lt;wsp:rsid wsp:val=&quot;33412F5E&quot;/&gt;&lt;wsp:rsid wsp:val=&quot;33423060&quot;/&gt;&lt;wsp:rsid wsp:val=&quot;33435756&quot;/&gt;&lt;wsp:rsid wsp:val=&quot;33466FF4&quot;/&gt;&lt;wsp:rsid wsp:val=&quot;33482D6D&quot;/&gt;&lt;wsp:rsid wsp:val=&quot;33492641&quot;/&gt;&lt;wsp:rsid wsp:val=&quot;334943EF&quot;/&gt;&lt;wsp:rsid wsp:val=&quot;334B6320&quot;/&gt;&lt;wsp:rsid wsp:val=&quot;334C6678&quot;/&gt;&lt;wsp:rsid wsp:val=&quot;3353526D&quot;/&gt;&lt;wsp:rsid wsp:val=&quot;33550C7E&quot;/&gt;&lt;wsp:rsid wsp:val=&quot;33550FE6&quot;/&gt;&lt;wsp:rsid wsp:val=&quot;33557238&quot;/&gt;&lt;wsp:rsid wsp:val=&quot;33572FB0&quot;/&gt;&lt;wsp:rsid wsp:val=&quot;33582884&quot;/&gt;&lt;wsp:rsid wsp:val=&quot;335A2AA0&quot;/&gt;&lt;wsp:rsid wsp:val=&quot;335A65FC&quot;/&gt;&lt;wsp:rsid wsp:val=&quot;335C5F80&quot;/&gt;&lt;wsp:rsid wsp:val=&quot;335C671B&quot;/&gt;&lt;wsp:rsid wsp:val=&quot;335D7EF6&quot;/&gt;&lt;wsp:rsid wsp:val=&quot;335F1E64&quot;/&gt;&lt;wsp:rsid wsp:val=&quot;335F3C12&quot;/&gt;&lt;wsp:rsid wsp:val=&quot;33613D3A&quot;/&gt;&lt;wsp:rsid wsp:val=&quot;3361798A&quot;/&gt;&lt;wsp:rsid wsp:val=&quot;33621533&quot;/&gt;&lt;wsp:rsid wsp:val=&quot;33623A54&quot;/&gt;&lt;wsp:rsid wsp:val=&quot;33661445&quot;/&gt;&lt;wsp:rsid wsp:val=&quot;3366334E&quot;/&gt;&lt;wsp:rsid wsp:val=&quot;336851BD&quot;/&gt;&lt;wsp:rsid wsp:val=&quot;33686F6B&quot;/&gt;&lt;wsp:rsid wsp:val=&quot;33694A91&quot;/&gt;&lt;wsp:rsid wsp:val=&quot;3369683F&quot;/&gt;&lt;wsp:rsid wsp:val=&quot;336A463A&quot;/&gt;&lt;wsp:rsid wsp:val=&quot;336B6A5B&quot;/&gt;&lt;wsp:rsid wsp:val=&quot;336F654B&quot;/&gt;&lt;wsp:rsid wsp:val=&quot;33705886&quot;/&gt;&lt;wsp:rsid wsp:val=&quot;33707BCD&quot;/&gt;&lt;wsp:rsid wsp:val=&quot;33723946&quot;/&gt;&lt;wsp:rsid wsp:val=&quot;33727DEA&quot;/&gt;&lt;wsp:rsid wsp:val=&quot;33753436&quot;/&gt;&lt;wsp:rsid wsp:val=&quot;33753AAD&quot;/&gt;&lt;wsp:rsid wsp:val=&quot;337551E4&quot;/&gt;&lt;wsp:rsid wsp:val=&quot;33770F5C&quot;/&gt;&lt;wsp:rsid wsp:val=&quot;33775400&quot;/&gt;&lt;wsp:rsid wsp:val=&quot;337771AE&quot;/&gt;&lt;wsp:rsid wsp:val=&quot;33784CD4&quot;/&gt;&lt;wsp:rsid wsp:val=&quot;33785759&quot;/&gt;&lt;wsp:rsid wsp:val=&quot;33791178&quot;/&gt;&lt;wsp:rsid wsp:val=&quot;337A0A4C&quot;/&gt;&lt;wsp:rsid wsp:val=&quot;337E053C&quot;/&gt;&lt;wsp:rsid wsp:val=&quot;337E678E&quot;/&gt;&lt;wsp:rsid wsp:val=&quot;337E715C&quot;/&gt;&lt;wsp:rsid wsp:val=&quot;33802506&quot;/&gt;&lt;wsp:rsid wsp:val=&quot;33813B89&quot;/&gt;&lt;wsp:rsid wsp:val=&quot;33833DA5&quot;/&gt;&lt;wsp:rsid wsp:val=&quot;33835B53&quot;/&gt;&lt;wsp:rsid wsp:val=&quot;33837C74&quot;/&gt;&lt;wsp:rsid wsp:val=&quot;33843121&quot;/&gt;&lt;wsp:rsid wsp:val=&quot;33843679&quot;/&gt;&lt;wsp:rsid wsp:val=&quot;338611ED&quot;/&gt;&lt;wsp:rsid wsp:val=&quot;338701BF&quot;/&gt;&lt;wsp:rsid wsp:val=&quot;33872D14&quot;/&gt;&lt;wsp:rsid wsp:val=&quot;33890C8F&quot;/&gt;&lt;wsp:rsid wsp:val=&quot;338A5133&quot;/&gt;&lt;wsp:rsid wsp:val=&quot;338B2C59&quot;/&gt;&lt;wsp:rsid wsp:val=&quot;338B3428&quot;/&gt;&lt;wsp:rsid wsp:val=&quot;338B4A07&quot;/&gt;&lt;wsp:rsid wsp:val=&quot;338C2B83&quot;/&gt;&lt;wsp:rsid wsp:val=&quot;338F44F8&quot;/&gt;&lt;wsp:rsid wsp:val=&quot;339064C2&quot;/&gt;&lt;wsp:rsid wsp:val=&quot;33945FB2&quot;/&gt;&lt;wsp:rsid wsp:val=&quot;33955886&quot;/&gt;&lt;wsp:rsid wsp:val=&quot;33957634&quot;/&gt;&lt;wsp:rsid wsp:val=&quot;33977850&quot;/&gt;&lt;wsp:rsid wsp:val=&quot;339A10EE&quot;/&gt;&lt;wsp:rsid wsp:val=&quot;339C2DF7&quot;/&gt;&lt;wsp:rsid wsp:val=&quot;339C6C14&quot;/&gt;&lt;wsp:rsid wsp:val=&quot;339F04B3&quot;/&gt;&lt;wsp:rsid wsp:val=&quot;33A04957&quot;/&gt;&lt;wsp:rsid wsp:val=&quot;33A1422B&quot;/&gt;&lt;wsp:rsid wsp:val=&quot;33A146B4&quot;/&gt;&lt;wsp:rsid wsp:val=&quot;33A15FD9&quot;/&gt;&lt;wsp:rsid wsp:val=&quot;33A3249C&quot;/&gt;&lt;wsp:rsid wsp:val=&quot;33A45AC9&quot;/&gt;&lt;wsp:rsid wsp:val=&quot;33A51F6D&quot;/&gt;&lt;wsp:rsid wsp:val=&quot;33A65CE5&quot;/&gt;&lt;wsp:rsid wsp:val=&quot;33A70526&quot;/&gt;&lt;wsp:rsid wsp:val=&quot;33A855B9&quot;/&gt;&lt;wsp:rsid wsp:val=&quot;33A871B4&quot;/&gt;&lt;wsp:rsid wsp:val=&quot;33AA3B64&quot;/&gt;&lt;wsp:rsid wsp:val=&quot;33AB50A9&quot;/&gt;&lt;wsp:rsid wsp:val=&quot;33AD0E22&quot;/&gt;&lt;wsp:rsid wsp:val=&quot;33AD2D2F&quot;/&gt;&lt;wsp:rsid wsp:val=&quot;33AD7074&quot;/&gt;&lt;wsp:rsid wsp:val=&quot;33AF0D6E&quot;/&gt;&lt;wsp:rsid wsp:val=&quot;33AF6948&quot;/&gt;&lt;wsp:rsid wsp:val=&quot;33B026C0&quot;/&gt;&lt;wsp:rsid wsp:val=&quot;33B0446E&quot;/&gt;&lt;wsp:rsid wsp:val=&quot;33B15C85&quot;/&gt;&lt;wsp:rsid wsp:val=&quot;33B26438&quot;/&gt;&lt;wsp:rsid wsp:val=&quot;33B3020A&quot;/&gt;&lt;wsp:rsid wsp:val=&quot;33B421B0&quot;/&gt;&lt;wsp:rsid wsp:val=&quot;33B51A84&quot;/&gt;&lt;wsp:rsid wsp:val=&quot;33B73A4E&quot;/&gt;&lt;wsp:rsid wsp:val=&quot;33B757FC&quot;/&gt;&lt;wsp:rsid wsp:val=&quot;33B95A18&quot;/&gt;&lt;wsp:rsid wsp:val=&quot;33BC2E13&quot;/&gt;&lt;wsp:rsid wsp:val=&quot;33BC72B7&quot;/&gt;&lt;wsp:rsid wsp:val=&quot;33BF4552&quot;/&gt;&lt;wsp:rsid wsp:val=&quot;33C300CE&quot;/&gt;&lt;wsp:rsid wsp:val=&quot;33C47F8B&quot;/&gt;&lt;wsp:rsid wsp:val=&quot;33C543BD&quot;/&gt;&lt;wsp:rsid wsp:val=&quot;33C63C91&quot;/&gt;&lt;wsp:rsid wsp:val=&quot;33C77B10&quot;/&gt;&lt;wsp:rsid wsp:val=&quot;33CA19D4&quot;/&gt;&lt;wsp:rsid wsp:val=&quot;33CB48B5&quot;/&gt;&lt;wsp:rsid wsp:val=&quot;33CC574C&quot;/&gt;&lt;wsp:rsid wsp:val=&quot;33CD6DCE&quot;/&gt;&lt;wsp:rsid wsp:val=&quot;33CF73DF&quot;/&gt;&lt;wsp:rsid wsp:val=&quot;33D01842&quot;/&gt;&lt;wsp:rsid wsp:val=&quot;33D01E45&quot;/&gt;&lt;wsp:rsid wsp:val=&quot;33D068BE&quot;/&gt;&lt;wsp:rsid wsp:val=&quot;33D12D62&quot;/&gt;&lt;wsp:rsid wsp:val=&quot;33D22636&quot;/&gt;&lt;wsp:rsid wsp:val=&quot;33D4015C&quot;/&gt;&lt;wsp:rsid wsp:val=&quot;33D535A4&quot;/&gt;&lt;wsp:rsid wsp:val=&quot;33D60378&quot;/&gt;&lt;wsp:rsid wsp:val=&quot;33D740F0&quot;/&gt;&lt;wsp:rsid wsp:val=&quot;33D75E9F&quot;/&gt;&lt;wsp:rsid wsp:val=&quot;33D75EC4&quot;/&gt;&lt;wsp:rsid wsp:val=&quot;33D77C4D&quot;/&gt;&lt;wsp:rsid wsp:val=&quot;33D87354&quot;/&gt;&lt;wsp:rsid wsp:val=&quot;33D87904&quot;/&gt;&lt;wsp:rsid wsp:val=&quot;33D934D4&quot;/&gt;&lt;wsp:rsid wsp:val=&quot;33D97E69&quot;/&gt;&lt;wsp:rsid wsp:val=&quot;33DC1707&quot;/&gt;&lt;wsp:rsid wsp:val=&quot;33DC34B5&quot;/&gt;&lt;wsp:rsid wsp:val=&quot;33DD2188&quot;/&gt;&lt;wsp:rsid wsp:val=&quot;33DE0FDB&quot;/&gt;&lt;wsp:rsid wsp:val=&quot;33DE23AA&quot;/&gt;&lt;wsp:rsid wsp:val=&quot;33E0214E&quot;/&gt;&lt;wsp:rsid wsp:val=&quot;33E04D53&quot;/&gt;&lt;wsp:rsid wsp:val=&quot;33E2081F&quot;/&gt;&lt;wsp:rsid wsp:val=&quot;33E273C6&quot;/&gt;&lt;wsp:rsid wsp:val=&quot;33E34843&quot;/&gt;&lt;wsp:rsid wsp:val=&quot;33E5680D&quot;/&gt;&lt;wsp:rsid wsp:val=&quot;33E660E2&quot;/&gt;&lt;wsp:rsid wsp:val=&quot;33E8451E&quot;/&gt;&lt;wsp:rsid wsp:val=&quot;33EA060C&quot;/&gt;&lt;wsp:rsid wsp:val=&quot;33EC2188&quot;/&gt;&lt;wsp:rsid wsp:val=&quot;33EC2A6C&quot;/&gt;&lt;wsp:rsid wsp:val=&quot;33EC6C5A&quot;/&gt;&lt;wsp:rsid wsp:val=&quot;33F16241&quot;/&gt;&lt;wsp:rsid wsp:val=&quot;33F26834&quot;/&gt;&lt;wsp:rsid wsp:val=&quot;33F46A50&quot;/&gt;&lt;wsp:rsid wsp:val=&quot;33F56325&quot;/&gt;&lt;wsp:rsid wsp:val=&quot;33FA125E&quot;/&gt;&lt;wsp:rsid wsp:val=&quot;33FB393B&quot;/&gt;&lt;wsp:rsid wsp:val=&quot;33FB7DDF&quot;/&gt;&lt;wsp:rsid wsp:val=&quot;33FD3B57&quot;/&gt;&lt;wsp:rsid wsp:val=&quot;33FE2F6A&quot;/&gt;&lt;wsp:rsid wsp:val=&quot;33FE342B&quot;/&gt;&lt;wsp:rsid wsp:val=&quot;34000F51&quot;/&gt;&lt;wsp:rsid wsp:val=&quot;34001345&quot;/&gt;&lt;wsp:rsid wsp:val=&quot;34034EE6&quot;/&gt;&lt;wsp:rsid wsp:val=&quot;34043352&quot;/&gt;&lt;wsp:rsid wsp:val=&quot;34044EE1&quot;/&gt;&lt;wsp:rsid wsp:val=&quot;34052A0C&quot;/&gt;&lt;wsp:rsid wsp:val=&quot;340547BA&quot;/&gt;&lt;wsp:rsid wsp:val=&quot;34060532&quot;/&gt;&lt;wsp:rsid wsp:val=&quot;34076784&quot;/&gt;&lt;wsp:rsid wsp:val=&quot;34081665&quot;/&gt;&lt;wsp:rsid wsp:val=&quot;340A0022&quot;/&gt;&lt;wsp:rsid wsp:val=&quot;340A1DD0&quot;/&gt;&lt;wsp:rsid wsp:val=&quot;340A6274&quot;/&gt;&lt;wsp:rsid wsp:val=&quot;340B78F6&quot;/&gt;&lt;wsp:rsid wsp:val=&quot;340E07E5&quot;/&gt;&lt;wsp:rsid wsp:val=&quot;340F388A&quot;/&gt;&lt;wsp:rsid wsp:val=&quot;340F5638&quot;/&gt;&lt;wsp:rsid wsp:val=&quot;34104BC5&quot;/&gt;&lt;wsp:rsid wsp:val=&quot;34110C26&quot;/&gt;&lt;wsp:rsid wsp:val=&quot;3411315F&quot;/&gt;&lt;wsp:rsid wsp:val=&quot;34117602&quot;/&gt;&lt;wsp:rsid wsp:val=&quot;34122977&quot;/&gt;&lt;wsp:rsid wsp:val=&quot;34140EA1&quot;/&gt;&lt;wsp:rsid wsp:val=&quot;34173357&quot;/&gt;&lt;wsp:rsid wsp:val=&quot;34180991&quot;/&gt;&lt;wsp:rsid wsp:val=&quot;34183C16&quot;/&gt;&lt;wsp:rsid wsp:val=&quot;341964B7&quot;/&gt;&lt;wsp:rsid wsp:val=&quot;341A0848&quot;/&gt;&lt;wsp:rsid wsp:val=&quot;341A39D8&quot;/&gt;&lt;wsp:rsid wsp:val=&quot;341D6847&quot;/&gt;&lt;wsp:rsid wsp:val=&quot;341E1D1F&quot;/&gt;&lt;wsp:rsid wsp:val=&quot;341F4EED&quot;/&gt;&lt;wsp:rsid wsp:val=&quot;342033A2&quot;/&gt;&lt;wsp:rsid wsp:val=&quot;34204CF4&quot;/&gt;&lt;wsp:rsid wsp:val=&quot;342127BC&quot;/&gt;&lt;wsp:rsid wsp:val=&quot;342310E4&quot;/&gt;&lt;wsp:rsid wsp:val=&quot;34235B30&quot;/&gt;&lt;wsp:rsid wsp:val=&quot;34235BF7&quot;/&gt;&lt;wsp:rsid wsp:val=&quot;342509B8&quot;/&gt;&lt;wsp:rsid wsp:val=&quot;34254E5C&quot;/&gt;&lt;wsp:rsid wsp:val=&quot;3425595B&quot;/&gt;&lt;wsp:rsid wsp:val=&quot;34270BD4&quot;/&gt;&lt;wsp:rsid wsp:val=&quot;342819A5&quot;/&gt;&lt;wsp:rsid wsp:val=&quot;342829A7&quot;/&gt;&lt;wsp:rsid wsp:val=&quot;3428494C&quot;/&gt;&lt;wsp:rsid wsp:val=&quot;3428577F&quot;/&gt;&lt;wsp:rsid wsp:val=&quot;342A2472&quot;/&gt;&lt;wsp:rsid wsp:val=&quot;342A4220&quot;/&gt;&lt;wsp:rsid wsp:val=&quot;342B407E&quot;/&gt;&lt;wsp:rsid wsp:val=&quot;342B71E2&quot;/&gt;&lt;wsp:rsid wsp:val=&quot;342C0EC1&quot;/&gt;&lt;wsp:rsid wsp:val=&quot;342D3D10&quot;/&gt;&lt;wsp:rsid wsp:val=&quot;342D5ABF&quot;/&gt;&lt;wsp:rsid wsp:val=&quot;342D6CBE&quot;/&gt;&lt;wsp:rsid wsp:val=&quot;34311A53&quot;/&gt;&lt;wsp:rsid wsp:val=&quot;34313801&quot;/&gt;&lt;wsp:rsid wsp:val=&quot;34321327&quot;/&gt;&lt;wsp:rsid wsp:val=&quot;34360E17&quot;/&gt;&lt;wsp:rsid wsp:val=&quot;34362BC5&quot;/&gt;&lt;wsp:rsid wsp:val=&quot;343668E0&quot;/&gt;&lt;wsp:rsid wsp:val=&quot;34390907&quot;/&gt;&lt;wsp:rsid wsp:val=&quot;343B467F&quot;/&gt;&lt;wsp:rsid wsp:val=&quot;343B642D&quot;/&gt;&lt;wsp:rsid wsp:val=&quot;343B6886&quot;/&gt;&lt;wsp:rsid wsp:val=&quot;343C1A77&quot;/&gt;&lt;wsp:rsid wsp:val=&quot;343C4012&quot;/&gt;&lt;wsp:rsid wsp:val=&quot;343D21A6&quot;/&gt;&lt;wsp:rsid wsp:val=&quot;343E1A7A&quot;/&gt;&lt;wsp:rsid wsp:val=&quot;343F3CA4&quot;/&gt;&lt;wsp:rsid wsp:val=&quot;34433534&quot;/&gt;&lt;wsp:rsid wsp:val=&quot;3445105A&quot;/&gt;&lt;wsp:rsid wsp:val=&quot;34474DD2&quot;/&gt;&lt;wsp:rsid wsp:val=&quot;34476B80&quot;/&gt;&lt;wsp:rsid wsp:val=&quot;34480B4A&quot;/&gt;&lt;wsp:rsid wsp:val=&quot;344828F8&quot;/&gt;&lt;wsp:rsid wsp:val=&quot;34494D56&quot;/&gt;&lt;wsp:rsid wsp:val=&quot;344A2B14&quot;/&gt;&lt;wsp:rsid wsp:val=&quot;344C063B&quot;/&gt;&lt;wsp:rsid wsp:val=&quot;344D3C74&quot;/&gt;&lt;wsp:rsid wsp:val=&quot;344D6161&quot;/&gt;&lt;wsp:rsid wsp:val=&quot;344D6FBB&quot;/&gt;&lt;wsp:rsid wsp:val=&quot;344E43B3&quot;/&gt;&lt;wsp:rsid wsp:val=&quot;344F012B&quot;/&gt;&lt;wsp:rsid wsp:val=&quot;344F0BC8&quot;/&gt;&lt;wsp:rsid wsp:val=&quot;344F3C87&quot;/&gt;&lt;wsp:rsid wsp:val=&quot;34513182&quot;/&gt;&lt;wsp:rsid wsp:val=&quot;345179FF&quot;/&gt;&lt;wsp:rsid wsp:val=&quot;34525525&quot;/&gt;&lt;wsp:rsid wsp:val=&quot;345319C9&quot;/&gt;&lt;wsp:rsid wsp:val=&quot;34533777&quot;/&gt;&lt;wsp:rsid wsp:val=&quot;34544A3A&quot;/&gt;&lt;wsp:rsid wsp:val=&quot;34576638&quot;/&gt;&lt;wsp:rsid wsp:val=&quot;34592D57&quot;/&gt;&lt;wsp:rsid wsp:val=&quot;345968B4&quot;/&gt;&lt;wsp:rsid wsp:val=&quot;345A624E&quot;/&gt;&lt;wsp:rsid wsp:val=&quot;345B6AD0&quot;/&gt;&lt;wsp:rsid wsp:val=&quot;345D3948&quot;/&gt;&lt;wsp:rsid wsp:val=&quot;345E3ECA&quot;/&gt;&lt;wsp:rsid wsp:val=&quot;34607C42&quot;/&gt;&lt;wsp:rsid wsp:val=&quot;3461254A&quot;/&gt;&lt;wsp:rsid wsp:val=&quot;34613160&quot;/&gt;&lt;wsp:rsid wsp:val=&quot;34621C0C&quot;/&gt;&lt;wsp:rsid wsp:val=&quot;346239BA&quot;/&gt;&lt;wsp:rsid wsp:val=&quot;34627E5E&quot;/&gt;&lt;wsp:rsid wsp:val=&quot;3464452F&quot;/&gt;&lt;wsp:rsid wsp:val=&quot;34645984&quot;/&gt;&lt;wsp:rsid wsp:val=&quot;34655258&quot;/&gt;&lt;wsp:rsid wsp:val=&quot;34670FD0&quot;/&gt;&lt;wsp:rsid wsp:val=&quot;34675474&quot;/&gt;&lt;wsp:rsid wsp:val=&quot;34677222&quot;/&gt;&lt;wsp:rsid wsp:val=&quot;34684D49&quot;/&gt;&lt;wsp:rsid wsp:val=&quot;346A0AC1&quot;/&gt;&lt;wsp:rsid wsp:val=&quot;346B6CBF&quot;/&gt;&lt;wsp:rsid wsp:val=&quot;346C4839&quot;/&gt;&lt;wsp:rsid wsp:val=&quot;346E05B1&quot;/&gt;&lt;wsp:rsid wsp:val=&quot;346E6803&quot;/&gt;&lt;wsp:rsid wsp:val=&quot;34711E4F&quot;/&gt;&lt;wsp:rsid wsp:val=&quot;34714439&quot;/&gt;&lt;wsp:rsid wsp:val=&quot;34717457&quot;/&gt;&lt;wsp:rsid wsp:val=&quot;347559B3&quot;/&gt;&lt;wsp:rsid wsp:val=&quot;34763D72&quot;/&gt;&lt;wsp:rsid wsp:val=&quot;347676D7&quot;/&gt;&lt;wsp:rsid wsp:val=&quot;347831DE&quot;/&gt;&lt;wsp:rsid wsp:val=&quot;34790D04&quot;/&gt;&lt;wsp:rsid wsp:val=&quot;347B4A7C&quot;/&gt;&lt;wsp:rsid wsp:val=&quot;347D25A2&quot;/&gt;&lt;wsp:rsid wsp:val=&quot;34806536&quot;/&gt;&lt;wsp:rsid wsp:val=&quot;3482405C&quot;/&gt;&lt;wsp:rsid wsp:val=&quot;34853B4C&quot;/&gt;&lt;wsp:rsid wsp:val=&quot;348558FB&quot;/&gt;&lt;wsp:rsid wsp:val=&quot;34863867&quot;/&gt;&lt;wsp:rsid wsp:val=&quot;34872C8E&quot;/&gt;&lt;wsp:rsid wsp:val=&quot;34880F47&quot;/&gt;&lt;wsp:rsid wsp:val=&quot;34894B89&quot;/&gt;&lt;wsp:rsid wsp:val=&quot;348A2F11&quot;/&gt;&lt;wsp:rsid wsp:val=&quot;348A4CBF&quot;/&gt;&lt;wsp:rsid wsp:val=&quot;348A615B&quot;/&gt;&lt;wsp:rsid wsp:val=&quot;348C4BEA&quot;/&gt;&lt;wsp:rsid wsp:val=&quot;348C4EDB&quot;/&gt;&lt;wsp:rsid wsp:val=&quot;348C6C89&quot;/&gt;&lt;wsp:rsid wsp:val=&quot;348E2A01&quot;/&gt;&lt;wsp:rsid wsp:val=&quot;348F22D5&quot;/&gt;&lt;wsp:rsid wsp:val=&quot;3490732E&quot;/&gt;&lt;wsp:rsid wsp:val=&quot;34911E0A&quot;/&gt;&lt;wsp:rsid wsp:val=&quot;3491429F&quot;/&gt;&lt;wsp:rsid wsp:val=&quot;3492329A&quot;/&gt;&lt;wsp:rsid wsp:val=&quot;34931DC5&quot;/&gt;&lt;wsp:rsid wsp:val=&quot;34945B3E&quot;/&gt;&lt;wsp:rsid wsp:val=&quot;349670D1&quot;/&gt;&lt;wsp:rsid wsp:val=&quot;34983880&quot;/&gt;&lt;wsp:rsid wsp:val=&quot;3498562E&quot;/&gt;&lt;wsp:rsid wsp:val=&quot;349A13A6&quot;/&gt;&lt;wsp:rsid wsp:val=&quot;349A586E&quot;/&gt;&lt;wsp:rsid wsp:val=&quot;349B3370&quot;/&gt;&lt;wsp:rsid wsp:val=&quot;349B6ECC&quot;/&gt;&lt;wsp:rsid wsp:val=&quot;349D2C44&quot;/&gt;&lt;wsp:rsid wsp:val=&quot;349D49F2&quot;/&gt;&lt;wsp:rsid wsp:val=&quot;349E076A&quot;/&gt;&lt;wsp:rsid wsp:val=&quot;349E64E4&quot;/&gt;&lt;wsp:rsid wsp:val=&quot;34A00986&quot;/&gt;&lt;wsp:rsid wsp:val=&quot;34A044E2&quot;/&gt;&lt;wsp:rsid wsp:val=&quot;34A23D01&quot;/&gt;&lt;wsp:rsid wsp:val=&quot;34A2408A&quot;/&gt;&lt;wsp:rsid wsp:val=&quot;34A35D81&quot;/&gt;&lt;wsp:rsid wsp:val=&quot;34A405FC&quot;/&gt;&lt;wsp:rsid wsp:val=&quot;34A43FD3&quot;/&gt;&lt;wsp:rsid wsp:val=&quot;34A51AF9&quot;/&gt;&lt;wsp:rsid wsp:val=&quot;34A55F9D&quot;/&gt;&lt;wsp:rsid wsp:val=&quot;34A6665F&quot;/&gt;&lt;wsp:rsid wsp:val=&quot;34AA5361&quot;/&gt;&lt;wsp:rsid wsp:val=&quot;34AB35B3&quot;/&gt;&lt;wsp:rsid wsp:val=&quot;34AC10D9&quot;/&gt;&lt;wsp:rsid wsp:val=&quot;34AC2E87&quot;/&gt;&lt;wsp:rsid wsp:val=&quot;34AE2A73&quot;/&gt;&lt;wsp:rsid wsp:val=&quot;34AF4725&quot;/&gt;&lt;wsp:rsid wsp:val=&quot;34B04487&quot;/&gt;&lt;wsp:rsid wsp:val=&quot;34B166F0&quot;/&gt;&lt;wsp:rsid wsp:val=&quot;34B26104&quot;/&gt;&lt;wsp:rsid wsp:val=&quot;34B32468&quot;/&gt;&lt;wsp:rsid wsp:val=&quot;34B47F8E&quot;/&gt;&lt;wsp:rsid wsp:val=&quot;34B561E0&quot;/&gt;&lt;wsp:rsid wsp:val=&quot;34B61205&quot;/&gt;&lt;wsp:rsid wsp:val=&quot;34B8182C&quot;/&gt;&lt;wsp:rsid wsp:val=&quot;34B87A7E&quot;/&gt;&lt;wsp:rsid wsp:val=&quot;34BA1A48&quot;/&gt;&lt;wsp:rsid wsp:val=&quot;34BA2757&quot;/&gt;&lt;wsp:rsid wsp:val=&quot;34BC4A49&quot;/&gt;&lt;wsp:rsid wsp:val=&quot;34BD32E6&quot;/&gt;&lt;wsp:rsid wsp:val=&quot;34BD62A8&quot;/&gt;&lt;wsp:rsid wsp:val=&quot;34BE0E27&quot;/&gt;&lt;wsp:rsid wsp:val=&quot;34C12DD7&quot;/&gt;&lt;wsp:rsid wsp:val=&quot;34C226AB&quot;/&gt;&lt;wsp:rsid wsp:val=&quot;34C27960&quot;/&gt;&lt;wsp:rsid wsp:val=&quot;34C401D1&quot;/&gt;&lt;wsp:rsid wsp:val=&quot;34C44675&quot;/&gt;&lt;wsp:rsid wsp:val=&quot;34C46423&quot;/&gt;&lt;wsp:rsid wsp:val=&quot;34C56129&quot;/&gt;&lt;wsp:rsid wsp:val=&quot;34C6218A&quot;/&gt;&lt;wsp:rsid wsp:val=&quot;34CA0B0B&quot;/&gt;&lt;wsp:rsid wsp:val=&quot;34CB5A03&quot;/&gt;&lt;wsp:rsid wsp:val=&quot;34CC4428&quot;/&gt;&lt;wsp:rsid wsp:val=&quot;34CC52D7&quot;/&gt;&lt;wsp:rsid wsp:val=&quot;34CE091C&quot;/&gt;&lt;wsp:rsid wsp:val=&quot;34CE1050&quot;/&gt;&lt;wsp:rsid wsp:val=&quot;34CE2DFE&quot;/&gt;&lt;wsp:rsid wsp:val=&quot;34CE72A2&quot;/&gt;&lt;wsp:rsid wsp:val=&quot;34D10B40&quot;/&gt;&lt;wsp:rsid wsp:val=&quot;34D32B0A&quot;/&gt;&lt;wsp:rsid wsp:val=&quot;34D36666&quot;/&gt;&lt;wsp:rsid wsp:val=&quot;34D412B5&quot;/&gt;&lt;wsp:rsid wsp:val=&quot;34D67F04&quot;/&gt;&lt;wsp:rsid wsp:val=&quot;34D81ECE&quot;/&gt;&lt;wsp:rsid wsp:val=&quot;34D97104&quot;/&gt;&lt;wsp:rsid wsp:val=&quot;34DA3E98&quot;/&gt;&lt;wsp:rsid wsp:val=&quot;34DA5C46&quot;/&gt;&lt;wsp:rsid wsp:val=&quot;34DC2F20&quot;/&gt;&lt;wsp:rsid wsp:val=&quot;34DD74E5&quot;/&gt;&lt;wsp:rsid wsp:val=&quot;34DF500B&quot;/&gt;&lt;wsp:rsid wsp:val=&quot;34E00D83&quot;/&gt;&lt;wsp:rsid wsp:val=&quot;34E15813&quot;/&gt;&lt;wsp:rsid wsp:val=&quot;34E22105&quot;/&gt;&lt;wsp:rsid wsp:val=&quot;34E22D4D&quot;/&gt;&lt;wsp:rsid wsp:val=&quot;34E23F87&quot;/&gt;&lt;wsp:rsid wsp:val=&quot;34E40873&quot;/&gt;&lt;wsp:rsid wsp:val=&quot;34E46AC5&quot;/&gt;&lt;wsp:rsid wsp:val=&quot;34E940DB&quot;/&gt;&lt;wsp:rsid wsp:val=&quot;34EA39B0&quot;/&gt;&lt;wsp:rsid wsp:val=&quot;34EB1585&quot;/&gt;&lt;wsp:rsid wsp:val=&quot;34EB1C02&quot;/&gt;&lt;wsp:rsid wsp:val=&quot;34EB7E44&quot;/&gt;&lt;wsp:rsid wsp:val=&quot;34EC3231&quot;/&gt;&lt;wsp:rsid wsp:val=&quot;34EC3BCC&quot;/&gt;&lt;wsp:rsid wsp:val=&quot;34EC7728&quot;/&gt;&lt;wsp:rsid wsp:val=&quot;34EE7F06&quot;/&gt;&lt;wsp:rsid wsp:val=&quot;34F01FCB&quot;/&gt;&lt;wsp:rsid wsp:val=&quot;34F14D3E&quot;/&gt;&lt;wsp:rsid wsp:val=&quot;34F27F15&quot;/&gt;&lt;wsp:rsid wsp:val=&quot;34F32864&quot;/&gt;&lt;wsp:rsid wsp:val=&quot;34F32E56&quot;/&gt;&lt;wsp:rsid wsp:val=&quot;34F462AA&quot;/&gt;&lt;wsp:rsid wsp:val=&quot;34F5482E&quot;/&gt;&lt;wsp:rsid wsp:val=&quot;34F74B86&quot;/&gt;&lt;wsp:rsid wsp:val=&quot;34F767F8&quot;/&gt;&lt;wsp:rsid wsp:val=&quot;34FA1E45&quot;/&gt;&lt;wsp:rsid wsp:val=&quot;34FB796B&quot;/&gt;&lt;wsp:rsid wsp:val=&quot;34FD7B87&quot;/&gt;&lt;wsp:rsid wsp:val=&quot;34FF38FF&quot;/&gt;&lt;wsp:rsid wsp:val=&quot;350031D3&quot;/&gt;&lt;wsp:rsid wsp:val=&quot;35011425&quot;/&gt;&lt;wsp:rsid wsp:val=&quot;35026F4B&quot;/&gt;&lt;wsp:rsid wsp:val=&quot;35042CC3&quot;/&gt;&lt;wsp:rsid wsp:val=&quot;35066A3B&quot;/&gt;&lt;wsp:rsid wsp:val=&quot;35076034&quot;/&gt;&lt;wsp:rsid wsp:val=&quot;35085F28&quot;/&gt;&lt;wsp:rsid wsp:val=&quot;350A6CA2&quot;/&gt;&lt;wsp:rsid wsp:val=&quot;350B22A4&quot;/&gt;&lt;wsp:rsid wsp:val=&quot;350E58F0&quot;/&gt;&lt;wsp:rsid wsp:val=&quot;350E769E&quot;/&gt;&lt;wsp:rsid wsp:val=&quot;35101D41&quot;/&gt;&lt;wsp:rsid wsp:val=&quot;351078BA&quot;/&gt;&lt;wsp:rsid wsp:val=&quot;351142FA&quot;/&gt;&lt;wsp:rsid wsp:val=&quot;35125950&quot;/&gt;&lt;wsp:rsid wsp:val=&quot;35151850&quot;/&gt;&lt;wsp:rsid wsp:val=&quot;35154ED0&quot;/&gt;&lt;wsp:rsid wsp:val=&quot;35166D02&quot;/&gt;&lt;wsp:rsid wsp:val=&quot;351729F7&quot;/&gt;&lt;wsp:rsid wsp:val=&quot;3518051D&quot;/&gt;&lt;wsp:rsid wsp:val=&quot;351849C1&quot;/&gt;&lt;wsp:rsid wsp:val=&quot;351A24E7&quot;/&gt;&lt;wsp:rsid wsp:val=&quot;351A4352&quot;/&gt;&lt;wsp:rsid wsp:val=&quot;351A5A93&quot;/&gt;&lt;wsp:rsid wsp:val=&quot;351B6F23&quot;/&gt;&lt;wsp:rsid wsp:val=&quot;351C03B3&quot;/&gt;&lt;wsp:rsid wsp:val=&quot;351C625F&quot;/&gt;&lt;wsp:rsid wsp:val=&quot;351E44B9&quot;/&gt;&lt;wsp:rsid wsp:val=&quot;351F18AB&quot;/&gt;&lt;wsp:rsid wsp:val=&quot;351F7AFD&quot;/&gt;&lt;wsp:rsid wsp:val=&quot;35203BE3&quot;/&gt;&lt;wsp:rsid wsp:val=&quot;35230286&quot;/&gt;&lt;wsp:rsid wsp:val=&quot;352549E8&quot;/&gt;&lt;wsp:rsid wsp:val=&quot;35264036&quot;/&gt;&lt;wsp:rsid wsp:val=&quot;35264236&quot;/&gt;&lt;wsp:rsid wsp:val=&quot;35270760&quot;/&gt;&lt;wsp:rsid wsp:val=&quot;352A3E47&quot;/&gt;&lt;wsp:rsid wsp:val=&quot;352A5588&quot;/&gt;&lt;wsp:rsid wsp:val=&quot;352B0250&quot;/&gt;&lt;wsp:rsid wsp:val=&quot;352B04F3&quot;/&gt;&lt;wsp:rsid wsp:val=&quot;352B70C1&quot;/&gt;&lt;wsp:rsid wsp:val=&quot;352C5D76&quot;/&gt;&lt;wsp:rsid wsp:val=&quot;35303AB8&quot;/&gt;&lt;wsp:rsid wsp:val=&quot;35307911&quot;/&gt;&lt;wsp:rsid wsp:val=&quot;35313D1A&quot;/&gt;&lt;wsp:rsid wsp:val=&quot;35374790&quot;/&gt;&lt;wsp:rsid wsp:val=&quot;35382942&quot;/&gt;&lt;wsp:rsid wsp:val=&quot;353978DB&quot;/&gt;&lt;wsp:rsid wsp:val=&quot;353A0493&quot;/&gt;&lt;wsp:rsid wsp:val=&quot;353A3B27&quot;/&gt;&lt;wsp:rsid wsp:val=&quot;353A66E5&quot;/&gt;&lt;wsp:rsid wsp:val=&quot;353A782C&quot;/&gt;&lt;wsp:rsid wsp:val=&quot;353C06AF&quot;/&gt;&lt;wsp:rsid wsp:val=&quot;353F42E9&quot;/&gt;&lt;wsp:rsid wsp:val=&quot;3542559A&quot;/&gt;&lt;wsp:rsid wsp:val=&quot;3543355E&quot;/&gt;&lt;wsp:rsid wsp:val=&quot;35447E07&quot;/&gt;&lt;wsp:rsid wsp:val=&quot;3545606E&quot;/&gt;&lt;wsp:rsid wsp:val=&quot;35457D22&quot;/&gt;&lt;wsp:rsid wsp:val=&quot;35470E02&quot;/&gt;&lt;wsp:rsid wsp:val=&quot;35492DCC&quot;/&gt;&lt;wsp:rsid wsp:val=&quot;35494B7A&quot;/&gt;&lt;wsp:rsid wsp:val=&quot;35496928&quot;/&gt;&lt;wsp:rsid wsp:val=&quot;354B5DA0&quot;/&gt;&lt;wsp:rsid wsp:val=&quot;354E2190&quot;/&gt;&lt;wsp:rsid wsp:val=&quot;354F21C3&quot;/&gt;&lt;wsp:rsid wsp:val=&quot;35527ED3&quot;/&gt;&lt;wsp:rsid wsp:val=&quot;35531555&quot;/&gt;&lt;wsp:rsid wsp:val=&quot;355359F9&quot;/&gt;&lt;wsp:rsid wsp:val=&quot;35560E8C&quot;/&gt;&lt;wsp:rsid wsp:val=&quot;35572E64&quot;/&gt;&lt;wsp:rsid wsp:val=&quot;355754E9&quot;/&gt;&lt;wsp:rsid wsp:val=&quot;35577297&quot;/&gt;&lt;wsp:rsid wsp:val=&quot;355808F5&quot;/&gt;&lt;wsp:rsid wsp:val=&quot;355A0B35&quot;/&gt;&lt;wsp:rsid wsp:val=&quot;355B7EB7&quot;/&gt;&lt;wsp:rsid wsp:val=&quot;355C665B&quot;/&gt;&lt;wsp:rsid wsp:val=&quot;355D4A8E&quot;/&gt;&lt;wsp:rsid wsp:val=&quot;355E0625&quot;/&gt;&lt;wsp:rsid wsp:val=&quot;355E12E1&quot;/&gt;&lt;wsp:rsid wsp:val=&quot;355E7296&quot;/&gt;&lt;wsp:rsid wsp:val=&quot;355F614C&quot;/&gt;&lt;wsp:rsid wsp:val=&quot;355F7EFA&quot;/&gt;&lt;wsp:rsid wsp:val=&quot;3562552D&quot;/&gt;&lt;wsp:rsid wsp:val=&quot;356279A2&quot;/&gt;&lt;wsp:rsid wsp:val=&quot;35633E8E&quot;/&gt;&lt;wsp:rsid wsp:val=&quot;35661288&quot;/&gt;&lt;wsp:rsid wsp:val=&quot;3566572C&quot;/&gt;&lt;wsp:rsid wsp:val=&quot;35675000&quot;/&gt;&lt;wsp:rsid wsp:val=&quot;356822B0&quot;/&gt;&lt;wsp:rsid wsp:val=&quot;35683252&quot;/&gt;&lt;wsp:rsid wsp:val=&quot;356833E9&quot;/&gt;&lt;wsp:rsid wsp:val=&quot;356B689E&quot;/&gt;&lt;wsp:rsid wsp:val=&quot;356C2617&quot;/&gt;&lt;wsp:rsid wsp:val=&quot;356D0868&quot;/&gt;&lt;wsp:rsid wsp:val=&quot;356D6ABA&quot;/&gt;&lt;wsp:rsid wsp:val=&quot;356E2833&quot;/&gt;&lt;wsp:rsid wsp:val=&quot;356E45E1&quot;/&gt;&lt;wsp:rsid wsp:val=&quot;356E638F&quot;/&gt;&lt;wsp:rsid wsp:val=&quot;35704BDF&quot;/&gt;&lt;wsp:rsid wsp:val=&quot;357339A5&quot;/&gt;&lt;wsp:rsid wsp:val=&quot;35773495&quot;/&gt;&lt;wsp:rsid wsp:val=&quot;35777939&quot;/&gt;&lt;wsp:rsid wsp:val=&quot;35792986&quot;/&gt;&lt;wsp:rsid wsp:val=&quot;35795557&quot;/&gt;&lt;wsp:rsid wsp:val=&quot;35796F70&quot;/&gt;&lt;wsp:rsid wsp:val=&quot;357C36EF&quot;/&gt;&lt;wsp:rsid wsp:val=&quot;357C4F4F&quot;/&gt;&lt;wsp:rsid wsp:val=&quot;357C6CFE&quot;/&gt;&lt;wsp:rsid wsp:val=&quot;357D4824&quot;/&gt;&lt;wsp:rsid wsp:val=&quot;357F059C&quot;/&gt;&lt;wsp:rsid wsp:val=&quot;357F234A&quot;/&gt;&lt;wsp:rsid wsp:val=&quot;35815504&quot;/&gt;&lt;wsp:rsid wsp:val=&quot;35845BB2&quot;/&gt;&lt;wsp:rsid wsp:val=&quot;3586192A&quot;/&gt;&lt;wsp:rsid wsp:val=&quot;358833D3&quot;/&gt;&lt;wsp:rsid wsp:val=&quot;3588605C&quot;/&gt;&lt;wsp:rsid wsp:val=&quot;358A766C&quot;/&gt;&lt;wsp:rsid wsp:val=&quot;358B6DBD&quot;/&gt;&lt;wsp:rsid wsp:val=&quot;358C5FA8&quot;/&gt;&lt;wsp:rsid wsp:val=&quot;358E07DF&quot;/&gt;&lt;wsp:rsid wsp:val=&quot;358F1B65&quot;/&gt;&lt;wsp:rsid wsp:val=&quot;358F4C83&quot;/&gt;&lt;wsp:rsid wsp:val=&quot;359009FB&quot;/&gt;&lt;wsp:rsid wsp:val=&quot;35906305&quot;/&gt;&lt;wsp:rsid wsp:val=&quot;359202CF&quot;/&gt;&lt;wsp:rsid wsp:val=&quot;35942299&quot;/&gt;&lt;wsp:rsid wsp:val=&quot;35977693&quot;/&gt;&lt;wsp:rsid wsp:val=&quot;359823FA&quot;/&gt;&lt;wsp:rsid wsp:val=&quot;3598340C&quot;/&gt;&lt;wsp:rsid wsp:val=&quot;359A3628&quot;/&gt;&lt;wsp:rsid wsp:val=&quot;359A53D6&quot;/&gt;&lt;wsp:rsid wsp:val=&quot;359A7184&quot;/&gt;&lt;wsp:rsid wsp:val=&quot;359D6D3A&quot;/&gt;&lt;wsp:rsid wsp:val=&quot;359E4EC6&quot;/&gt;&lt;wsp:rsid wsp:val=&quot;359E55F9&quot;/&gt;&lt;wsp:rsid wsp:val=&quot;359E6C74&quot;/&gt;&lt;wsp:rsid wsp:val=&quot;35A10512&quot;/&gt;&lt;wsp:rsid wsp:val=&quot;35A324DC&quot;/&gt;&lt;wsp:rsid wsp:val=&quot;35A46254&quot;/&gt;&lt;wsp:rsid wsp:val=&quot;35A61FCC&quot;/&gt;&lt;wsp:rsid wsp:val=&quot;35A65B28&quot;/&gt;&lt;wsp:rsid wsp:val=&quot;35A71D1B&quot;/&gt;&lt;wsp:rsid wsp:val=&quot;35A7240B&quot;/&gt;&lt;wsp:rsid wsp:val=&quot;35A77DEC&quot;/&gt;&lt;wsp:rsid wsp:val=&quot;35A818A1&quot;/&gt;&lt;wsp:rsid wsp:val=&quot;35A973C7&quot;/&gt;&lt;wsp:rsid wsp:val=&quot;35AC2828&quot;/&gt;&lt;wsp:rsid wsp:val=&quot;35AE2B8C&quot;/&gt;&lt;wsp:rsid wsp:val=&quot;35AE68B5&quot;/&gt;&lt;wsp:rsid wsp:val=&quot;35B45823&quot;/&gt;&lt;wsp:rsid wsp:val=&quot;35B46497&quot;/&gt;&lt;wsp:rsid wsp:val=&quot;35B50461&quot;/&gt;&lt;wsp:rsid wsp:val=&quot;35B53880&quot;/&gt;&lt;wsp:rsid wsp:val=&quot;35B778E1&quot;/&gt;&lt;wsp:rsid wsp:val=&quot;35B93AAE&quot;/&gt;&lt;wsp:rsid wsp:val=&quot;35B9585C&quot;/&gt;&lt;wsp:rsid wsp:val=&quot;35BB1907&quot;/&gt;&lt;wsp:rsid wsp:val=&quot;35BC359E&quot;/&gt;&lt;wsp:rsid wsp:val=&quot;35BC534C&quot;/&gt;&lt;wsp:rsid wsp:val=&quot;35BF6BEA&quot;/&gt;&lt;wsp:rsid wsp:val=&quot;35C15DF1&quot;/&gt;&lt;wsp:rsid wsp:val=&quot;35C16E06&quot;/&gt;&lt;wsp:rsid wsp:val=&quot;35C30488&quot;/&gt;&lt;wsp:rsid wsp:val=&quot;35C42453&quot;/&gt;&lt;wsp:rsid wsp:val=&quot;35C44201&quot;/&gt;&lt;wsp:rsid wsp:val=&quot;35C6441D&quot;/&gt;&lt;wsp:rsid wsp:val=&quot;35C80195&quot;/&gt;&lt;wsp:rsid wsp:val=&quot;35C80866&quot;/&gt;&lt;wsp:rsid wsp:val=&quot;35C96E26&quot;/&gt;&lt;wsp:rsid wsp:val=&quot;35CA5CBB&quot;/&gt;&lt;wsp:rsid wsp:val=&quot;35CB1ADD&quot;/&gt;&lt;wsp:rsid wsp:val=&quot;35CC3248&quot;/&gt;&lt;wsp:rsid wsp:val=&quot;35CD57AB&quot;/&gt;&lt;wsp:rsid wsp:val=&quot;35CE2F97&quot;/&gt;&lt;wsp:rsid wsp:val=&quot;35D02BA5&quot;/&gt;&lt;wsp:rsid wsp:val=&quot;35D244E9&quot;/&gt;&lt;wsp:rsid wsp:val=&quot;35D40299&quot;/&gt;&lt;wsp:rsid wsp:val=&quot;35D408E8&quot;/&gt;&lt;wsp:rsid wsp:val=&quot;35D42696&quot;/&gt;&lt;wsp:rsid wsp:val=&quot;35D45AC1&quot;/&gt;&lt;wsp:rsid wsp:val=&quot;35D46C6E&quot;/&gt;&lt;wsp:rsid wsp:val=&quot;35D54660&quot;/&gt;&lt;wsp:rsid wsp:val=&quot;35D5640E&quot;/&gt;&lt;wsp:rsid wsp:val=&quot;35D703D8&quot;/&gt;&lt;wsp:rsid wsp:val=&quot;35D73F34&quot;/&gt;&lt;wsp:rsid wsp:val=&quot;35D77BA3&quot;/&gt;&lt;wsp:rsid wsp:val=&quot;35D8035B&quot;/&gt;&lt;wsp:rsid wsp:val=&quot;35D94150&quot;/&gt;&lt;wsp:rsid wsp:val=&quot;35DC59EE&quot;/&gt;&lt;wsp:rsid wsp:val=&quot;35DC779C&quot;/&gt;&lt;wsp:rsid wsp:val=&quot;35DF717A&quot;/&gt;&lt;wsp:rsid wsp:val=&quot;35E0728C&quot;/&gt;&lt;wsp:rsid wsp:val=&quot;35E07D68&quot;/&gt;&lt;wsp:rsid wsp:val=&quot;35E13004&quot;/&gt;&lt;wsp:rsid wsp:val=&quot;35E21E89&quot;/&gt;&lt;wsp:rsid wsp:val=&quot;35E228B3&quot;/&gt;&lt;wsp:rsid wsp:val=&quot;35E25ABC&quot;/&gt;&lt;wsp:rsid wsp:val=&quot;35E34738&quot;/&gt;&lt;wsp:rsid wsp:val=&quot;35E36D7D&quot;/&gt;&lt;wsp:rsid wsp:val=&quot;35E62D20&quot;/&gt;&lt;wsp:rsid wsp:val=&quot;35E825E5&quot;/&gt;&lt;wsp:rsid wsp:val=&quot;35E84393&quot;/&gt;&lt;wsp:rsid wsp:val=&quot;35EA664E&quot;/&gt;&lt;wsp:rsid wsp:val=&quot;35EA79B1&quot;/&gt;&lt;wsp:rsid wsp:val=&quot;35EB5C31&quot;/&gt;&lt;wsp:rsid wsp:val=&quot;35EB7B67&quot;/&gt;&lt;wsp:rsid wsp:val=&quot;35ED19A9&quot;/&gt;&lt;wsp:rsid wsp:val=&quot;35ED7BFB&quot;/&gt;&lt;wsp:rsid wsp:val=&quot;35EF3A10&quot;/&gt;&lt;wsp:rsid wsp:val=&quot;35EF5721&quot;/&gt;&lt;wsp:rsid wsp:val=&quot;35F434A9&quot;/&gt;&lt;wsp:rsid wsp:val=&quot;35F5085E&quot;/&gt;&lt;wsp:rsid wsp:val=&quot;35F54B06&quot;/&gt;&lt;wsp:rsid wsp:val=&quot;35F745D6&quot;/&gt;&lt;wsp:rsid wsp:val=&quot;35F80DD4&quot;/&gt;&lt;wsp:rsid wsp:val=&quot;35F9034E&quot;/&gt;&lt;wsp:rsid wsp:val=&quot;35F90AD9&quot;/&gt;&lt;wsp:rsid wsp:val=&quot;35F920FC&quot;/&gt;&lt;wsp:rsid wsp:val=&quot;35F93D60&quot;/&gt;&lt;wsp:rsid wsp:val=&quot;35F965A0&quot;/&gt;&lt;wsp:rsid wsp:val=&quot;35FC1BEC&quot;/&gt;&lt;wsp:rsid wsp:val=&quot;35FD36D6&quot;/&gt;&lt;wsp:rsid wsp:val=&quot;36010FB1&quot;/&gt;&lt;wsp:rsid wsp:val=&quot;36017203&quot;/&gt;&lt;wsp:rsid wsp:val=&quot;36024A57&quot;/&gt;&lt;wsp:rsid wsp:val=&quot;360311CD&quot;/&gt;&lt;wsp:rsid wsp:val=&quot;36035EE7&quot;/&gt;&lt;wsp:rsid wsp:val=&quot;36050807&quot;/&gt;&lt;wsp:rsid wsp:val=&quot;36050AA1&quot;/&gt;&lt;wsp:rsid wsp:val=&quot;36054F45&quot;/&gt;&lt;wsp:rsid wsp:val=&quot;36074A7F&quot;/&gt;&lt;wsp:rsid wsp:val=&quot;360867E3&quot;/&gt;&lt;wsp:rsid wsp:val=&quot;360A255B&quot;/&gt;&lt;wsp:rsid wsp:val=&quot;360B0081&quot;/&gt;&lt;wsp:rsid wsp:val=&quot;360B1E2F&quot;/&gt;&lt;wsp:rsid wsp:val=&quot;360D3DFA&quot;/&gt;&lt;wsp:rsid wsp:val=&quot;360F37B0&quot;/&gt;&lt;wsp:rsid wsp:val=&quot;360F461D&quot;/&gt;&lt;wsp:rsid wsp:val=&quot;3611037B&quot;/&gt;&lt;wsp:rsid wsp:val=&quot;36136865&quot;/&gt;&lt;wsp:rsid wsp:val=&quot;36136ED2&quot;/&gt;&lt;wsp:rsid wsp:val=&quot;36145188&quot;/&gt;&lt;wsp:rsid wsp:val=&quot;36154A5C&quot;/&gt;&lt;wsp:rsid wsp:val=&quot;36160F00&quot;/&gt;&lt;wsp:rsid wsp:val=&quot;36174C78&quot;/&gt;&lt;wsp:rsid wsp:val=&quot;36176A26&quot;/&gt;&lt;wsp:rsid wsp:val=&quot;3619279E&quot;/&gt;&lt;wsp:rsid wsp:val=&quot;36192E2B&quot;/&gt;&lt;wsp:rsid wsp:val=&quot;361B6516&quot;/&gt;&lt;wsp:rsid wsp:val=&quot;361C228F&quot;/&gt;&lt;wsp:rsid wsp:val=&quot;361C5DEB&quot;/&gt;&lt;wsp:rsid wsp:val=&quot;361D1957&quot;/&gt;&lt;wsp:rsid wsp:val=&quot;361E1B63&quot;/&gt;&lt;wsp:rsid wsp:val=&quot;361E7DB5&quot;/&gt;&lt;wsp:rsid wsp:val=&quot;362058DB&quot;/&gt;&lt;wsp:rsid wsp:val=&quot;36215DD4&quot;/&gt;&lt;wsp:rsid wsp:val=&quot;36252EF1&quot;/&gt;&lt;wsp:rsid wsp:val=&quot;36280AEC&quot;/&gt;&lt;wsp:rsid wsp:val=&quot;362829E1&quot;/&gt;&lt;wsp:rsid wsp:val=&quot;3628478F&quot;/&gt;&lt;wsp:rsid wsp:val=&quot;362941D9&quot;/&gt;&lt;wsp:rsid wsp:val=&quot;362C0487&quot;/&gt;&lt;wsp:rsid wsp:val=&quot;362C0724&quot;/&gt;&lt;wsp:rsid wsp:val=&quot;362C4585&quot;/&gt;&lt;wsp:rsid wsp:val=&quot;362D7FF8&quot;/&gt;&lt;wsp:rsid wsp:val=&quot;362F1394&quot;/&gt;&lt;wsp:rsid wsp:val=&quot;362F3A74&quot;/&gt;&lt;wsp:rsid wsp:val=&quot;362F3D70&quot;/&gt;&lt;wsp:rsid wsp:val=&quot;36317AE8&quot;/&gt;&lt;wsp:rsid wsp:val=&quot;36341386&quot;/&gt;&lt;wsp:rsid wsp:val=&quot;363475D8&quot;/&gt;&lt;wsp:rsid wsp:val=&quot;363870C8&quot;/&gt;&lt;wsp:rsid wsp:val=&quot;36394BEF&quot;/&gt;&lt;wsp:rsid wsp:val=&quot;363B2715&quot;/&gt;&lt;wsp:rsid wsp:val=&quot;363B44C3&quot;/&gt;&lt;wsp:rsid wsp:val=&quot;363C023B&quot;/&gt;&lt;wsp:rsid wsp:val=&quot;363E0457&quot;/&gt;&lt;wsp:rsid wsp:val=&quot;363E2205&quot;/&gt;&lt;wsp:rsid wsp:val=&quot;36402219&quot;/&gt;&lt;wsp:rsid wsp:val=&quot;364041CF&quot;/&gt;&lt;wsp:rsid wsp:val=&quot;36414748&quot;/&gt;&lt;wsp:rsid wsp:val=&quot;36415851&quot;/&gt;&lt;wsp:rsid wsp:val=&quot;36416B0C&quot;/&gt;&lt;wsp:rsid wsp:val=&quot;364315C9&quot;/&gt;&lt;wsp:rsid wsp:val=&quot;3644480A&quot;/&gt;&lt;wsp:rsid wsp:val=&quot;364517E5&quot;/&gt;&lt;wsp:rsid wsp:val=&quot;364610BA&quot;/&gt;&lt;wsp:rsid wsp:val=&quot;364705BA&quot;/&gt;&lt;wsp:rsid wsp:val=&quot;36485A5A&quot;/&gt;&lt;wsp:rsid wsp:val=&quot;364C2B74&quot;/&gt;&lt;wsp:rsid wsp:val=&quot;364D46C5&quot;/&gt;&lt;wsp:rsid wsp:val=&quot;364F50F5&quot;/&gt;&lt;wsp:rsid wsp:val=&quot;36525CB0&quot;/&gt;&lt;wsp:rsid wsp:val=&quot;36564428&quot;/&gt;&lt;wsp:rsid wsp:val=&quot;365657A0&quot;/&gt;&lt;wsp:rsid wsp:val=&quot;36581519&quot;/&gt;&lt;wsp:rsid wsp:val=&quot;36590DED&quot;/&gt;&lt;wsp:rsid wsp:val=&quot;36592B9B&quot;/&gt;&lt;wsp:rsid wsp:val=&quot;365B2DB7&quot;/&gt;&lt;wsp:rsid wsp:val=&quot;365D08DD&quot;/&gt;&lt;wsp:rsid wsp:val=&quot;365E4655&quot;/&gt;&lt;wsp:rsid wsp:val=&quot;365E6403&quot;/&gt;&lt;wsp:rsid wsp:val=&quot;3661600C&quot;/&gt;&lt;wsp:rsid wsp:val=&quot;36617B8A&quot;/&gt;&lt;wsp:rsid wsp:val=&quot;36620180&quot;/&gt;&lt;wsp:rsid wsp:val=&quot;36624145&quot;/&gt;&lt;wsp:rsid wsp:val=&quot;36632CA7&quot;/&gt;&lt;wsp:rsid wsp:val=&quot;36633A19&quot;/&gt;&lt;wsp:rsid wsp:val=&quot;36637EBD&quot;/&gt;&lt;wsp:rsid wsp:val=&quot;366539A2&quot;/&gt;&lt;wsp:rsid wsp:val=&quot;36657792&quot;/&gt;&lt;wsp:rsid wsp:val=&quot;3667350A&quot;/&gt;&lt;wsp:rsid wsp:val=&quot;36681030&quot;/&gt;&lt;wsp:rsid wsp:val=&quot;3669402C&quot;/&gt;&lt;wsp:rsid wsp:val=&quot;366B28CE&quot;/&gt;&lt;wsp:rsid wsp:val=&quot;366C4FC4&quot;/&gt;&lt;wsp:rsid wsp:val=&quot;366D4898&quot;/&gt;&lt;wsp:rsid wsp:val=&quot;366D6646&quot;/&gt;&lt;wsp:rsid wsp:val=&quot;366F23BE&quot;/&gt;&lt;wsp:rsid wsp:val=&quot;366F6862&quot;/&gt;&lt;wsp:rsid wsp:val=&quot;367125DA&quot;/&gt;&lt;wsp:rsid wsp:val=&quot;36721EAF&quot;/&gt;&lt;wsp:rsid wsp:val=&quot;36731F4F&quot;/&gt;&lt;wsp:rsid wsp:val=&quot;36745C27&quot;/&gt;&lt;wsp:rsid wsp:val=&quot;367479D5&quot;/&gt;&lt;wsp:rsid wsp:val=&quot;367774C5&quot;/&gt;&lt;wsp:rsid wsp:val=&quot;36783969&quot;/&gt;&lt;wsp:rsid wsp:val=&quot;36787A25&quot;/&gt;&lt;wsp:rsid wsp:val=&quot;36794FEB&quot;/&gt;&lt;wsp:rsid wsp:val=&quot;367B0D63&quot;/&gt;&lt;wsp:rsid wsp:val=&quot;367B26F5&quot;/&gt;&lt;wsp:rsid wsp:val=&quot;367E0853&quot;/&gt;&lt;wsp:rsid wsp:val=&quot;367E2601&quot;/&gt;&lt;wsp:rsid wsp:val=&quot;367F1E99&quot;/&gt;&lt;wsp:rsid wsp:val=&quot;3680281D&quot;/&gt;&lt;wsp:rsid wsp:val=&quot;36820344&quot;/&gt;&lt;wsp:rsid wsp:val=&quot;36841C9D&quot;/&gt;&lt;wsp:rsid wsp:val=&quot;36851BE2&quot;/&gt;&lt;wsp:rsid wsp:val=&quot;36877708&quot;/&gt;&lt;wsp:rsid wsp:val=&quot;368816D2&quot;/&gt;&lt;wsp:rsid wsp:val=&quot;36883480&quot;/&gt;&lt;wsp:rsid wsp:val=&quot;36884365&quot;/&gt;&lt;wsp:rsid wsp:val=&quot;368A369C&quot;/&gt;&lt;wsp:rsid wsp:val=&quot;368C11C2&quot;/&gt;&lt;wsp:rsid wsp:val=&quot;368D7DBF&quot;/&gt;&lt;wsp:rsid wsp:val=&quot;368E4F3A&quot;/&gt;&lt;wsp:rsid wsp:val=&quot;368E6085&quot;/&gt;&lt;wsp:rsid wsp:val=&quot;36906B2F&quot;/&gt;&lt;wsp:rsid wsp:val=&quot;369167D9&quot;/&gt;&lt;wsp:rsid wsp:val=&quot;36922B60&quot;/&gt;&lt;wsp:rsid wsp:val=&quot;36923549&quot;/&gt;&lt;wsp:rsid wsp:val=&quot;36952C22&quot;/&gt;&lt;wsp:rsid wsp:val=&quot;36956164&quot;/&gt;&lt;wsp:rsid wsp:val=&quot;36962041&quot;/&gt;&lt;wsp:rsid wsp:val=&quot;36963DEF&quot;/&gt;&lt;wsp:rsid wsp:val=&quot;36977DA8&quot;/&gt;&lt;wsp:rsid wsp:val=&quot;3699568D&quot;/&gt;&lt;wsp:rsid wsp:val=&quot;369E0EF6&quot;/&gt;&lt;wsp:rsid wsp:val=&quot;369E310A&quot;/&gt;&lt;wsp:rsid wsp:val=&quot;369F3478&quot;/&gt;&lt;wsp:rsid wsp:val=&quot;36A007CA&quot;/&gt;&lt;wsp:rsid wsp:val=&quot;36A07989&quot;/&gt;&lt;wsp:rsid wsp:val=&quot;36A24542&quot;/&gt;&lt;wsp:rsid wsp:val=&quot;36A3230F&quot;/&gt;&lt;wsp:rsid wsp:val=&quot;36A36510&quot;/&gt;&lt;wsp:rsid wsp:val=&quot;36A4650C&quot;/&gt;&lt;wsp:rsid wsp:val=&quot;36A55DE0&quot;/&gt;&lt;wsp:rsid wsp:val=&quot;36A738F6&quot;/&gt;&lt;wsp:rsid wsp:val=&quot;36AA1648&quot;/&gt;&lt;wsp:rsid wsp:val=&quot;36AA5156&quot;/&gt;&lt;wsp:rsid wsp:val=&quot;36AA5AEC&quot;/&gt;&lt;wsp:rsid wsp:val=&quot;36AA64F4&quot;/&gt;&lt;wsp:rsid wsp:val=&quot;36AA789A&quot;/&gt;&lt;wsp:rsid wsp:val=&quot;36AC3612&quot;/&gt;&lt;wsp:rsid wsp:val=&quot;36AC53C0&quot;/&gt;&lt;wsp:rsid wsp:val=&quot;36AE1139&quot;/&gt;&lt;wsp:rsid wsp:val=&quot;36AE40D9&quot;/&gt;&lt;wsp:rsid wsp:val=&quot;36AF3103&quot;/&gt;&lt;wsp:rsid wsp:val=&quot;36AF37C9&quot;/&gt;&lt;wsp:rsid wsp:val=&quot;36AF4EB1&quot;/&gt;&lt;wsp:rsid wsp:val=&quot;36B14785&quot;/&gt;&lt;wsp:rsid wsp:val=&quot;36B2214A&quot;/&gt;&lt;wsp:rsid wsp:val=&quot;36B349A1&quot;/&gt;&lt;wsp:rsid wsp:val=&quot;36B424C7&quot;/&gt;&lt;wsp:rsid wsp:val=&quot;36B64491&quot;/&gt;&lt;wsp:rsid wsp:val=&quot;36B67FED&quot;/&gt;&lt;wsp:rsid wsp:val=&quot;36B75FBF&quot;/&gt;&lt;wsp:rsid wsp:val=&quot;36B81FB7&quot;/&gt;&lt;wsp:rsid wsp:val=&quot;36B85FBC&quot;/&gt;&lt;wsp:rsid wsp:val=&quot;36B9188B&quot;/&gt;&lt;wsp:rsid wsp:val=&quot;36BB1AA7&quot;/&gt;&lt;wsp:rsid wsp:val=&quot;36BB3856&quot;/&gt;&lt;wsp:rsid wsp:val=&quot;36BD0C45&quot;/&gt;&lt;wsp:rsid wsp:val=&quot;36BD137C&quot;/&gt;&lt;wsp:rsid wsp:val=&quot;36BD5820&quot;/&gt;&lt;wsp:rsid wsp:val=&quot;36BE50F4&quot;/&gt;&lt;wsp:rsid wsp:val=&quot;36BE6EA2&quot;/&gt;&lt;wsp:rsid wsp:val=&quot;36BF32BE&quot;/&gt;&lt;wsp:rsid wsp:val=&quot;36BF3346&quot;/&gt;&lt;wsp:rsid wsp:val=&quot;36C02C1A&quot;/&gt;&lt;wsp:rsid wsp:val=&quot;36C13652&quot;/&gt;&lt;wsp:rsid wsp:val=&quot;36C26992&quot;/&gt;&lt;wsp:rsid wsp:val=&quot;36C344B8&quot;/&gt;&lt;wsp:rsid wsp:val=&quot;36C50230&quot;/&gt;&lt;wsp:rsid wsp:val=&quot;36C7044C&quot;/&gt;&lt;wsp:rsid wsp:val=&quot;36C73FA8&quot;/&gt;&lt;wsp:rsid wsp:val=&quot;36C928B7&quot;/&gt;&lt;wsp:rsid wsp:val=&quot;36C95800&quot;/&gt;&lt;wsp:rsid wsp:val=&quot;36C96F41&quot;/&gt;&lt;wsp:rsid wsp:val=&quot;36C97D20&quot;/&gt;&lt;wsp:rsid wsp:val=&quot;36CB0232&quot;/&gt;&lt;wsp:rsid wsp:val=&quot;36CB1861&quot;/&gt;&lt;wsp:rsid wsp:val=&quot;36CD2B09&quot;/&gt;&lt;wsp:rsid wsp:val=&quot;36D44B31&quot;/&gt;&lt;wsp:rsid wsp:val=&quot;36D474BE&quot;/&gt;&lt;wsp:rsid wsp:val=&quot;36D6243D&quot;/&gt;&lt;wsp:rsid wsp:val=&quot;36D641EB&quot;/&gt;&lt;wsp:rsid wsp:val=&quot;36D668E1&quot;/&gt;&lt;wsp:rsid wsp:val=&quot;36D81F7B&quot;/&gt;&lt;wsp:rsid wsp:val=&quot;36D84407&quot;/&gt;&lt;wsp:rsid wsp:val=&quot;36D94C2F&quot;/&gt;&lt;wsp:rsid wsp:val=&quot;36DB7A54&quot;/&gt;&lt;wsp:rsid wsp:val=&quot;36DD37CC&quot;/&gt;&lt;wsp:rsid wsp:val=&quot;36DD6847&quot;/&gt;&lt;wsp:rsid wsp:val=&quot;36E060E6&quot;/&gt;&lt;wsp:rsid wsp:val=&quot;36E42DAC&quot;/&gt;&lt;wsp:rsid wsp:val=&quot;36E508D2&quot;/&gt;&lt;wsp:rsid wsp:val=&quot;36E56B24&quot;/&gt;&lt;wsp:rsid wsp:val=&quot;36E763F9&quot;/&gt;&lt;wsp:rsid wsp:val=&quot;36E81A0D&quot;/&gt;&lt;wsp:rsid wsp:val=&quot;36E87269&quot;/&gt;&lt;wsp:rsid wsp:val=&quot;36E903C3&quot;/&gt;&lt;wsp:rsid wsp:val=&quot;36E94DEA&quot;/&gt;&lt;wsp:rsid wsp:val=&quot;36EA5EE9&quot;/&gt;&lt;wsp:rsid wsp:val=&quot;36EA7C97&quot;/&gt;&lt;wsp:rsid wsp:val=&quot;36EB413B&quot;/&gt;&lt;wsp:rsid wsp:val=&quot;36EB5449&quot;/&gt;&lt;wsp:rsid wsp:val=&quot;36EB70D6&quot;/&gt;&lt;wsp:rsid wsp:val=&quot;36F01751&quot;/&gt;&lt;wsp:rsid wsp:val=&quot;36F17277&quot;/&gt;&lt;wsp:rsid wsp:val=&quot;36F26843&quot;/&gt;&lt;wsp:rsid wsp:val=&quot;36F80606&quot;/&gt;&lt;wsp:rsid wsp:val=&quot;36F9612C&quot;/&gt;&lt;wsp:rsid wsp:val=&quot;36FA002A&quot;/&gt;&lt;wsp:rsid wsp:val=&quot;36FA437E&quot;/&gt;&lt;wsp:rsid wsp:val=&quot;36FC6348&quot;/&gt;&lt;wsp:rsid wsp:val=&quot;3701395E&quot;/&gt;&lt;wsp:rsid wsp:val=&quot;37021484&quot;/&gt;&lt;wsp:rsid wsp:val=&quot;37024FE0&quot;/&gt;&lt;wsp:rsid wsp:val=&quot;37030562&quot;/&gt;&lt;wsp:rsid wsp:val=&quot;370451FC&quot;/&gt;&lt;wsp:rsid wsp:val=&quot;37060F75&quot;/&gt;&lt;wsp:rsid wsp:val=&quot;37092813&quot;/&gt;&lt;wsp:rsid wsp:val=&quot;370945C1&quot;/&gt;&lt;wsp:rsid wsp:val=&quot;3709636F&quot;/&gt;&lt;wsp:rsid wsp:val=&quot;370A0339&quot;/&gt;&lt;wsp:rsid wsp:val=&quot;370A4123&quot;/&gt;&lt;wsp:rsid wsp:val=&quot;370C2303&quot;/&gt;&lt;wsp:rsid wsp:val=&quot;370E607B&quot;/&gt;&lt;wsp:rsid wsp:val=&quot;370F0072&quot;/&gt;&lt;wsp:rsid wsp:val=&quot;37102B66&quot;/&gt;&lt;wsp:rsid wsp:val=&quot;37113FF6&quot;/&gt;&lt;wsp:rsid wsp:val=&quot;37117919&quot;/&gt;&lt;wsp:rsid wsp:val=&quot;37117D67&quot;/&gt;&lt;wsp:rsid wsp:val=&quot;37135440&quot;/&gt;&lt;wsp:rsid wsp:val=&quot;37136916&quot;/&gt;&lt;wsp:rsid wsp:val=&quot;37152F66&quot;/&gt;&lt;wsp:rsid wsp:val=&quot;37160A8C&quot;/&gt;&lt;wsp:rsid wsp:val=&quot;37164F30&quot;/&gt;&lt;wsp:rsid wsp:val=&quot;37166CDE&quot;/&gt;&lt;wsp:rsid wsp:val=&quot;37171BA5&quot;/&gt;&lt;wsp:rsid wsp:val=&quot;3718034F&quot;/&gt;&lt;wsp:rsid wsp:val=&quot;37182A56&quot;/&gt;&lt;wsp:rsid wsp:val=&quot;371A057C&quot;/&gt;&lt;wsp:rsid wsp:val=&quot;371B42F4&quot;/&gt;&lt;wsp:rsid wsp:val=&quot;371B6954&quot;/&gt;&lt;wsp:rsid wsp:val=&quot;371F2036&quot;/&gt;&lt;wsp:rsid wsp:val=&quot;37205A14&quot;/&gt;&lt;wsp:rsid wsp:val=&quot;37223D14&quot;/&gt;&lt;wsp:rsid wsp:val=&quot;372638FC&quot;/&gt;&lt;wsp:rsid wsp:val=&quot;37265173&quot;/&gt;&lt;wsp:rsid wsp:val=&quot;37270EEB&quot;/&gt;&lt;wsp:rsid wsp:val=&quot;37272C99&quot;/&gt;&lt;wsp:rsid wsp:val=&quot;37275389&quot;/&gt;&lt;wsp:rsid wsp:val=&quot;372A45A8&quot;/&gt;&lt;wsp:rsid wsp:val=&quot;372B2789&quot;/&gt;&lt;wsp:rsid wsp:val=&quot;372C6501&quot;/&gt;&lt;wsp:rsid wsp:val=&quot;372D208E&quot;/&gt;&lt;wsp:rsid wsp:val=&quot;372E15D9&quot;/&gt;&lt;wsp:rsid wsp:val=&quot;372E2279&quot;/&gt;&lt;wsp:rsid wsp:val=&quot;372E4027&quot;/&gt;&lt;wsp:rsid wsp:val=&quot;372F1B4E&quot;/&gt;&lt;wsp:rsid wsp:val=&quot;37302B91&quot;/&gt;&lt;wsp:rsid wsp:val=&quot;37313B18&quot;/&gt;&lt;wsp:rsid wsp:val=&quot;3733163E&quot;/&gt;&lt;wsp:rsid wsp:val=&quot;37337890&quot;/&gt;&lt;wsp:rsid wsp:val=&quot;3736112E&quot;/&gt;&lt;wsp:rsid wsp:val=&quot;37362EDC&quot;/&gt;&lt;wsp:rsid wsp:val=&quot;37390D45&quot;/&gt;&lt;wsp:rsid wsp:val=&quot;373945F7&quot;/&gt;&lt;wsp:rsid wsp:val=&quot;373A0C1E&quot;/&gt;&lt;wsp:rsid wsp:val=&quot;373B1ADF&quot;/&gt;&lt;wsp:rsid wsp:val=&quot;373B4692&quot;/&gt;&lt;wsp:rsid wsp:val=&quot;373C0021&quot;/&gt;&lt;wsp:rsid wsp:val=&quot;373C4996&quot;/&gt;&lt;wsp:rsid wsp:val=&quot;373D24BC&quot;/&gt;&lt;wsp:rsid wsp:val=&quot;373D426B&quot;/&gt;&lt;wsp:rsid wsp:val=&quot;373E3439&quot;/&gt;&lt;wsp:rsid wsp:val=&quot;373F6235&quot;/&gt;&lt;wsp:rsid wsp:val=&quot;373F7FE3&quot;/&gt;&lt;wsp:rsid wsp:val=&quot;374101FF&quot;/&gt;&lt;wsp:rsid wsp:val=&quot;374126E0&quot;/&gt;&lt;wsp:rsid wsp:val=&quot;37425D25&quot;/&gt;&lt;wsp:rsid wsp:val=&quot;37427AD3&quot;/&gt;&lt;wsp:rsid wsp:val=&quot;37450315&quot;/&gt;&lt;wsp:rsid wsp:val=&quot;37461371&quot;/&gt;&lt;wsp:rsid wsp:val=&quot;374750E9&quot;/&gt;&lt;wsp:rsid wsp:val=&quot;37475D5C&quot;/&gt;&lt;wsp:rsid wsp:val=&quot;37490E61&quot;/&gt;&lt;wsp:rsid wsp:val=&quot;37492C8F&quot;/&gt;&lt;wsp:rsid wsp:val=&quot;374B4BD9&quot;/&gt;&lt;wsp:rsid wsp:val=&quot;374C5617&quot;/&gt;&lt;wsp:rsid wsp:val=&quot;374E0226&quot;/&gt;&lt;wsp:rsid wsp:val=&quot;374F3F98&quot;/&gt;&lt;wsp:rsid wsp:val=&quot;37503F9E&quot;/&gt;&lt;wsp:rsid wsp:val=&quot;37517D16&quot;/&gt;&lt;wsp:rsid wsp:val=&quot;375241BA&quot;/&gt;&lt;wsp:rsid wsp:val=&quot;37537F32&quot;/&gt;&lt;wsp:rsid wsp:val=&quot;375515B4&quot;/&gt;&lt;wsp:rsid wsp:val=&quot;37555A58&quot;/&gt;&lt;wsp:rsid wsp:val=&quot;37557806&quot;/&gt;&lt;wsp:rsid wsp:val=&quot;37570D4C&quot;/&gt;&lt;wsp:rsid wsp:val=&quot;375712CB&quot;/&gt;&lt;wsp:rsid wsp:val=&quot;375810A4&quot;/&gt;&lt;wsp:rsid wsp:val=&quot;375872F6&quot;/&gt;&lt;wsp:rsid wsp:val=&quot;375A12C0&quot;/&gt;&lt;wsp:rsid wsp:val=&quot;375C0B95&quot;/&gt;&lt;wsp:rsid wsp:val=&quot;375C6DE7&quot;/&gt;&lt;wsp:rsid wsp:val=&quot;375D490D&quot;/&gt;&lt;wsp:rsid wsp:val=&quot;375D66BB&quot;/&gt;&lt;wsp:rsid wsp:val=&quot;37607F59&quot;/&gt;&lt;wsp:rsid wsp:val=&quot;37621F23&quot;/&gt;&lt;wsp:rsid wsp:val=&quot;37636BC6&quot;/&gt;&lt;wsp:rsid wsp:val=&quot;37643EED&quot;/&gt;&lt;wsp:rsid wsp:val=&quot;37660868&quot;/&gt;&lt;wsp:rsid wsp:val=&quot;3768578B&quot;/&gt;&lt;wsp:rsid wsp:val=&quot;37695060&quot;/&gt;&lt;wsp:rsid wsp:val=&quot;376E08C8&quot;/&gt;&lt;wsp:rsid wsp:val=&quot;376E7052&quot;/&gt;&lt;wsp:rsid wsp:val=&quot;37702892&quot;/&gt;&lt;wsp:rsid wsp:val=&quot;37721F02&quot;/&gt;&lt;wsp:rsid wsp:val=&quot;37724BC9&quot;/&gt;&lt;wsp:rsid wsp:val=&quot;37733392&quot;/&gt;&lt;wsp:rsid wsp:val=&quot;3776777C&quot;/&gt;&lt;wsp:rsid wsp:val=&quot;37773C20&quot;/&gt;&lt;wsp:rsid wsp:val=&quot;377A488F&quot;/&gt;&lt;wsp:rsid wsp:val=&quot;377A726D&quot;/&gt;&lt;wsp:rsid wsp:val=&quot;377C1237&quot;/&gt;&lt;wsp:rsid wsp:val=&quot;377F0D27&quot;/&gt;&lt;wsp:rsid wsp:val=&quot;37804506&quot;/&gt;&lt;wsp:rsid wsp:val=&quot;378105FB&quot;/&gt;&lt;wsp:rsid wsp:val=&quot;378202B6&quot;/&gt;&lt;wsp:rsid wsp:val=&quot;37824373&quot;/&gt;&lt;wsp:rsid wsp:val=&quot;378404AE&quot;/&gt;&lt;wsp:rsid wsp:val=&quot;37865C12&quot;/&gt;&lt;wsp:rsid wsp:val=&quot;37873738&quot;/&gt;&lt;wsp:rsid wsp:val=&quot;37893954&quot;/&gt;&lt;wsp:rsid wsp:val=&quot;37895702&quot;/&gt;&lt;wsp:rsid wsp:val=&quot;37896CF9&quot;/&gt;&lt;wsp:rsid wsp:val=&quot;378974B0&quot;/&gt;&lt;wsp:rsid wsp:val=&quot;378B3228&quot;/&gt;&lt;wsp:rsid wsp:val=&quot;37920A5A&quot;/&gt;&lt;wsp:rsid wsp:val=&quot;3793032E&quot;/&gt;&lt;wsp:rsid wsp:val=&quot;37943E0C&quot;/&gt;&lt;wsp:rsid wsp:val=&quot;379522F8&quot;/&gt;&lt;wsp:rsid wsp:val=&quot;379540A7&quot;/&gt;&lt;wsp:rsid wsp:val=&quot;37963D3E&quot;/&gt;&lt;wsp:rsid wsp:val=&quot;37971BCD&quot;/&gt;&lt;wsp:rsid wsp:val=&quot;37991DE9&quot;/&gt;&lt;wsp:rsid wsp:val=&quot;379A44BE&quot;/&gt;&lt;wsp:rsid wsp:val=&quot;379A790F&quot;/&gt;&lt;wsp:rsid wsp:val=&quot;379B110E&quot;/&gt;&lt;wsp:rsid wsp:val=&quot;379B425F&quot;/&gt;&lt;wsp:rsid wsp:val=&quot;379C0E5D&quot;/&gt;&lt;wsp:rsid wsp:val=&quot;379D2F5B&quot;/&gt;&lt;wsp:rsid wsp:val=&quot;379D5254&quot;/&gt;&lt;wsp:rsid wsp:val=&quot;379D5444&quot;/&gt;&lt;wsp:rsid wsp:val=&quot;379E11AD&quot;/&gt;&lt;wsp:rsid wsp:val=&quot;379E73FF&quot;/&gt;&lt;wsp:rsid wsp:val=&quot;37A03134&quot;/&gt;&lt;wsp:rsid wsp:val=&quot;37A147F9&quot;/&gt;&lt;wsp:rsid wsp:val=&quot;37A34A15&quot;/&gt;&lt;wsp:rsid wsp:val=&quot;37A4078E&quot;/&gt;&lt;wsp:rsid wsp:val=&quot;37A4253C&quot;/&gt;&lt;wsp:rsid wsp:val=&quot;37A442EA&quot;/&gt;&lt;wsp:rsid wsp:val=&quot;37A464EF&quot;/&gt;&lt;wsp:rsid wsp:val=&quot;37A47026&quot;/&gt;&lt;wsp:rsid wsp:val=&quot;37A662B4&quot;/&gt;&lt;wsp:rsid wsp:val=&quot;37A9436D&quot;/&gt;&lt;wsp:rsid wsp:val=&quot;37A95DA4&quot;/&gt;&lt;wsp:rsid wsp:val=&quot;37AC319E&quot;/&gt;&lt;wsp:rsid wsp:val=&quot;37AC3523&quot;/&gt;&lt;wsp:rsid wsp:val=&quot;37AE5168&quot;/&gt;&lt;wsp:rsid wsp:val=&quot;37AE5E43&quot;/&gt;&lt;wsp:rsid wsp:val=&quot;37AF7904&quot;/&gt;&lt;wsp:rsid wsp:val=&quot;37B00763&quot;/&gt;&lt;wsp:rsid wsp:val=&quot;37B22EAA&quot;/&gt;&lt;wsp:rsid wsp:val=&quot;37B24C58&quot;/&gt;&lt;wsp:rsid wsp:val=&quot;37B46AF7&quot;/&gt;&lt;wsp:rsid wsp:val=&quot;37B47EDC&quot;/&gt;&lt;wsp:rsid wsp:val=&quot;37B66669&quot;/&gt;&lt;wsp:rsid wsp:val=&quot;37B704C1&quot;/&gt;&lt;wsp:rsid wsp:val=&quot;37BA5308&quot;/&gt;&lt;wsp:rsid wsp:val=&quot;37BA58BB&quot;/&gt;&lt;wsp:rsid wsp:val=&quot;37BA70D1&quot;/&gt;&lt;wsp:rsid wsp:val=&quot;37BC7885&quot;/&gt;&lt;wsp:rsid wsp:val=&quot;37BD53AB&quot;/&gt;&lt;wsp:rsid wsp:val=&quot;37BE184F&quot;/&gt;&lt;wsp:rsid wsp:val=&quot;37BF0F9F&quot;/&gt;&lt;wsp:rsid wsp:val=&quot;37C31F61&quot;/&gt;&lt;wsp:rsid wsp:val=&quot;37C41F7E&quot;/&gt;&lt;wsp:rsid wsp:val=&quot;37C4498C&quot;/&gt;&lt;wsp:rsid wsp:val=&quot;37C63D34&quot;/&gt;&lt;wsp:rsid wsp:val=&quot;37C8622A&quot;/&gt;&lt;wsp:rsid wsp:val=&quot;37C9041E&quot;/&gt;&lt;wsp:rsid wsp:val=&quot;37C92A4B&quot;/&gt;&lt;wsp:rsid wsp:val=&quot;37CB536B&quot;/&gt;&lt;wsp:rsid wsp:val=&quot;37CD1A92&quot;/&gt;&lt;wsp:rsid wsp:val=&quot;37CE2D3B&quot;/&gt;&lt;wsp:rsid wsp:val=&quot;37CF74A2&quot;/&gt;&lt;wsp:rsid wsp:val=&quot;37D2266D&quot;/&gt;&lt;wsp:rsid wsp:val=&quot;37D4129F&quot;/&gt;&lt;wsp:rsid wsp:val=&quot;37D42E21&quot;/&gt;&lt;wsp:rsid wsp:val=&quot;37D44BCF&quot;/&gt;&lt;wsp:rsid wsp:val=&quot;37D63BBF&quot;/&gt;&lt;wsp:rsid wsp:val=&quot;37D72911&quot;/&gt;&lt;wsp:rsid wsp:val=&quot;37D848AC&quot;/&gt;&lt;wsp:rsid wsp:val=&quot;37D864DF&quot;/&gt;&lt;wsp:rsid wsp:val=&quot;37D921E5&quot;/&gt;&lt;wsp:rsid wsp:val=&quot;37DA41AF&quot;/&gt;&lt;wsp:rsid wsp:val=&quot;37DC1CD5&quot;/&gt;&lt;wsp:rsid wsp:val=&quot;37DF17C6&quot;/&gt;&lt;wsp:rsid wsp:val=&quot;37DF3574&quot;/&gt;&lt;wsp:rsid wsp:val=&quot;37DF63B2&quot;/&gt;&lt;wsp:rsid wsp:val=&quot;37E00298&quot;/&gt;&lt;wsp:rsid wsp:val=&quot;37E04580&quot;/&gt;&lt;wsp:rsid wsp:val=&quot;37E172EC&quot;/&gt;&lt;wsp:rsid wsp:val=&quot;37E33064&quot;/&gt;&lt;wsp:rsid wsp:val=&quot;37E42938&quot;/&gt;&lt;wsp:rsid wsp:val=&quot;37E64902&quot;/&gt;&lt;wsp:rsid wsp:val=&quot;37E666B0&quot;/&gt;&lt;wsp:rsid wsp:val=&quot;37E908F4&quot;/&gt;&lt;wsp:rsid wsp:val=&quot;37EB23AA&quot;/&gt;&lt;wsp:rsid wsp:val=&quot;37ED3EE3&quot;/&gt;&lt;wsp:rsid wsp:val=&quot;37ED7A3F&quot;/&gt;&lt;wsp:rsid wsp:val=&quot;37EE37B7&quot;/&gt;&lt;wsp:rsid wsp:val=&quot;37EF1A09&quot;/&gt;&lt;wsp:rsid wsp:val=&quot;37EF5EA7&quot;/&gt;&lt;wsp:rsid wsp:val=&quot;37F039D3&quot;/&gt;&lt;wsp:rsid wsp:val=&quot;37F214F9&quot;/&gt;&lt;wsp:rsid wsp:val=&quot;37F25055&quot;/&gt;&lt;wsp:rsid wsp:val=&quot;37F330E7&quot;/&gt;&lt;wsp:rsid wsp:val=&quot;37F45271&quot;/&gt;&lt;wsp:rsid wsp:val=&quot;37F4701F&quot;/&gt;&lt;wsp:rsid wsp:val=&quot;37F52D97&quot;/&gt;&lt;wsp:rsid wsp:val=&quot;37F54EF7&quot;/&gt;&lt;wsp:rsid wsp:val=&quot;37F65BD2&quot;/&gt;&lt;wsp:rsid wsp:val=&quot;37F7266B&quot;/&gt;&lt;wsp:rsid wsp:val=&quot;37F83D4F&quot;/&gt;&lt;wsp:rsid wsp:val=&quot;37F871F5&quot;/&gt;&lt;wsp:rsid wsp:val=&quot;37FA0E55&quot;/&gt;&lt;wsp:rsid wsp:val=&quot;37FB65FF&quot;/&gt;&lt;wsp:rsid wsp:val=&quot;37FC4126&quot;/&gt;&lt;wsp:rsid wsp:val=&quot;37FC58DA&quot;/&gt;&lt;wsp:rsid wsp:val=&quot;37FC5ED4&quot;/&gt;&lt;wsp:rsid wsp:val=&quot;37FE39FA&quot;/&gt;&lt;wsp:rsid wsp:val=&quot;38001AA6&quot;/&gt;&lt;wsp:rsid wsp:val=&quot;38012567&quot;/&gt;&lt;wsp:rsid wsp:val=&quot;380134EA&quot;/&gt;&lt;wsp:rsid wsp:val=&quot;38037262&quot;/&gt;&lt;wsp:rsid wsp:val=&quot;38064FA4&quot;/&gt;&lt;wsp:rsid wsp:val=&quot;38084878&quot;/&gt;&lt;wsp:rsid wsp:val=&quot;380A30F5&quot;/&gt;&lt;wsp:rsid wsp:val=&quot;380B25BB&quot;/&gt;&lt;wsp:rsid wsp:val=&quot;380B6117&quot;/&gt;&lt;wsp:rsid wsp:val=&quot;380B6EA8&quot;/&gt;&lt;wsp:rsid wsp:val=&quot;380D685F&quot;/&gt;&lt;wsp:rsid wsp:val=&quot;380F7A5F&quot;/&gt;&lt;wsp:rsid wsp:val=&quot;3810197F&quot;/&gt;&lt;wsp:rsid wsp:val=&quot;38142318&quot;/&gt;&lt;wsp:rsid wsp:val=&quot;38156F95&quot;/&gt;&lt;wsp:rsid wsp:val=&quot;38163439&quot;/&gt;&lt;wsp:rsid wsp:val=&quot;38172D0E&quot;/&gt;&lt;wsp:rsid wsp:val=&quot;38174ABC&quot;/&gt;&lt;wsp:rsid wsp:val=&quot;381B3A34&quot;/&gt;&lt;wsp:rsid wsp:val=&quot;381C0324&quot;/&gt;&lt;wsp:rsid wsp:val=&quot;381F1BC2&quot;/&gt;&lt;wsp:rsid wsp:val=&quot;3821593A&quot;/&gt;&lt;wsp:rsid wsp:val=&quot;382316B2&quot;/&gt;&lt;wsp:rsid wsp:val=&quot;38233460&quot;/&gt;&lt;wsp:rsid wsp:val=&quot;3825644C&quot;/&gt;&lt;wsp:rsid wsp:val=&quot;38272B03&quot;/&gt;&lt;wsp:rsid wsp:val=&quot;38283467&quot;/&gt;&lt;wsp:rsid wsp:val=&quot;38286CC9&quot;/&gt;&lt;wsp:rsid wsp:val=&quot;38287B99&quot;/&gt;&lt;wsp:rsid wsp:val=&quot;382B3BE6&quot;/&gt;&lt;wsp:rsid wsp:val=&quot;382B67B9&quot;/&gt;&lt;wsp:rsid wsp:val=&quot;382C4A0B&quot;/&gt;&lt;wsp:rsid wsp:val=&quot;382C5E49&quot;/&gt;&lt;wsp:rsid wsp:val=&quot;382F0057&quot;/&gt;&lt;wsp:rsid wsp:val=&quot;38303DCF&quot;/&gt;&lt;wsp:rsid wsp:val=&quot;38312021&quot;/&gt;&lt;wsp:rsid wsp:val=&quot;38327B47&quot;/&gt;&lt;wsp:rsid wsp:val=&quot;3833774F&quot;/&gt;&lt;wsp:rsid wsp:val=&quot;3836588A&quot;/&gt;&lt;wsp:rsid wsp:val=&quot;38366EFB&quot;/&gt;&lt;wsp:rsid wsp:val=&quot;38390ED6&quot;/&gt;&lt;wsp:rsid wsp:val=&quot;383C4522&quot;/&gt;&lt;wsp:rsid wsp:val=&quot;383D6DCE&quot;/&gt;&lt;wsp:rsid wsp:val=&quot;383E473E&quot;/&gt;&lt;wsp:rsid wsp:val=&quot;383E64EC&quot;/&gt;&lt;wsp:rsid wsp:val=&quot;383F6DF1&quot;/&gt;&lt;wsp:rsid wsp:val=&quot;38402B7E&quot;/&gt;&lt;wsp:rsid wsp:val=&quot;38415ABB&quot;/&gt;&lt;wsp:rsid wsp:val=&quot;384348A8&quot;/&gt;&lt;wsp:rsid wsp:val=&quot;384358B1&quot;/&gt;&lt;wsp:rsid wsp:val=&quot;38463A7C&quot;/&gt;&lt;wsp:rsid wsp:val=&quot;38472A51&quot;/&gt;&lt;wsp:rsid wsp:val=&quot;38481119&quot;/&gt;&lt;wsp:rsid wsp:val=&quot;384A6C3F&quot;/&gt;&lt;wsp:rsid wsp:val=&quot;384B0C09&quot;/&gt;&lt;wsp:rsid wsp:val=&quot;384D4981&quot;/&gt;&lt;wsp:rsid wsp:val=&quot;384D672F&quot;/&gt;&lt;wsp:rsid wsp:val=&quot;384F06F9&quot;/&gt;&lt;wsp:rsid wsp:val=&quot;38507FCD&quot;/&gt;&lt;wsp:rsid wsp:val=&quot;38513DBE&quot;/&gt;&lt;wsp:rsid wsp:val=&quot;38521E38&quot;/&gt;&lt;wsp:rsid wsp:val=&quot;38521F98&quot;/&gt;&lt;wsp:rsid wsp:val=&quot;38523D46&quot;/&gt;&lt;wsp:rsid wsp:val=&quot;385351A0&quot;/&gt;&lt;wsp:rsid wsp:val=&quot;38543F62&quot;/&gt;&lt;wsp:rsid wsp:val=&quot;38545D10&quot;/&gt;&lt;wsp:rsid wsp:val=&quot;385555E4&quot;/&gt;&lt;wsp:rsid wsp:val=&quot;38575800&quot;/&gt;&lt;wsp:rsid wsp:val=&quot;385775AE&quot;/&gt;&lt;wsp:rsid wsp:val=&quot;385B43FD&quot;/&gt;&lt;wsp:rsid wsp:val=&quot;385B709E&quot;/&gt;&lt;wsp:rsid wsp:val=&quot;385C2E16&quot;/&gt;&lt;wsp:rsid wsp:val=&quot;385D255A&quot;/&gt;&lt;wsp:rsid wsp:val=&quot;385F1B63&quot;/&gt;&lt;wsp:rsid wsp:val=&quot;386121DB&quot;/&gt;&lt;wsp:rsid wsp:val=&quot;3862042D&quot;/&gt;&lt;wsp:rsid wsp:val=&quot;38621BE4&quot;/&gt;&lt;wsp:rsid wsp:val=&quot;38635F53&quot;/&gt;&lt;wsp:rsid wsp:val=&quot;38637D01&quot;/&gt;&lt;wsp:rsid wsp:val=&quot;38673C95&quot;/&gt;&lt;wsp:rsid wsp:val=&quot;38680BB0&quot;/&gt;&lt;wsp:rsid wsp:val=&quot;386817BB&quot;/&gt;&lt;wsp:rsid wsp:val=&quot;38683569&quot;/&gt;&lt;wsp:rsid wsp:val=&quot;386D5023&quot;/&gt;&lt;wsp:rsid wsp:val=&quot;386F47D8&quot;/&gt;&lt;wsp:rsid wsp:val=&quot;38710670&quot;/&gt;&lt;wsp:rsid wsp:val=&quot;387129B4&quot;/&gt;&lt;wsp:rsid wsp:val=&quot;387168C2&quot;/&gt;&lt;wsp:rsid wsp:val=&quot;3872263A&quot;/&gt;&lt;wsp:rsid wsp:val=&quot;38741A6E&quot;/&gt;&lt;wsp:rsid wsp:val=&quot;387719FE&quot;/&gt;&lt;wsp:rsid wsp:val=&quot;387839B1&quot;/&gt;&lt;wsp:rsid wsp:val=&quot;38795776&quot;/&gt;&lt;wsp:rsid wsp:val=&quot;387B329C&quot;/&gt;&lt;wsp:rsid wsp:val=&quot;387C0DC3&quot;/&gt;&lt;wsp:rsid wsp:val=&quot;387C7014&quot;/&gt;&lt;wsp:rsid wsp:val=&quot;387D5266&quot;/&gt;&lt;wsp:rsid wsp:val=&quot;387E1DB5&quot;/&gt;&lt;wsp:rsid wsp:val=&quot;387E4B3B&quot;/&gt;&lt;wsp:rsid wsp:val=&quot;387E56F1&quot;/&gt;&lt;wsp:rsid wsp:val=&quot;38804D57&quot;/&gt;&lt;wsp:rsid wsp:val=&quot;38822931&quot;/&gt;&lt;wsp:rsid wsp:val=&quot;38860C60&quot;/&gt;&lt;wsp:rsid wsp:val=&quot;38874CB5&quot;/&gt;&lt;wsp:rsid wsp:val=&quot;388760E5&quot;/&gt;&lt;wsp:rsid wsp:val=&quot;38883C0B&quot;/&gt;&lt;wsp:rsid wsp:val=&quot;388872E7&quot;/&gt;&lt;wsp:rsid wsp:val=&quot;38887767&quot;/&gt;&lt;wsp:rsid wsp:val=&quot;388A1731&quot;/&gt;&lt;wsp:rsid wsp:val=&quot;388A7983&quot;/&gt;&lt;wsp:rsid wsp:val=&quot;388B6865&quot;/&gt;&lt;wsp:rsid wsp:val=&quot;388C54AA&quot;/&gt;&lt;wsp:rsid wsp:val=&quot;388C7258&quot;/&gt;&lt;wsp:rsid wsp:val=&quot;388D2FD0&quot;/&gt;&lt;wsp:rsid wsp:val=&quot;38910D12&quot;/&gt;&lt;wsp:rsid wsp:val=&quot;38912AC0&quot;/&gt;&lt;wsp:rsid wsp:val=&quot;38924FF7&quot;/&gt;&lt;wsp:rsid wsp:val=&quot;38926838&quot;/&gt;&lt;wsp:rsid wsp:val=&quot;38932E51&quot;/&gt;&lt;wsp:rsid wsp:val=&quot;389425B0&quot;/&gt;&lt;wsp:rsid wsp:val=&quot;3894610C&quot;/&gt;&lt;wsp:rsid wsp:val=&quot;389600D6&quot;/&gt;&lt;wsp:rsid wsp:val=&quot;38966328&quot;/&gt;&lt;wsp:rsid wsp:val=&quot;38983E4E&quot;/&gt;&lt;wsp:rsid wsp:val=&quot;38991974&quot;/&gt;&lt;wsp:rsid wsp:val=&quot;389A7B4F&quot;/&gt;&lt;wsp:rsid wsp:val=&quot;389B393F&quot;/&gt;&lt;wsp:rsid wsp:val=&quot;389D76B7&quot;/&gt;&lt;wsp:rsid wsp:val=&quot;389E09C9&quot;/&gt;&lt;wsp:rsid wsp:val=&quot;389E6F8B&quot;/&gt;&lt;wsp:rsid wsp:val=&quot;38A00F55&quot;/&gt;&lt;wsp:rsid wsp:val=&quot;38A24CCD&quot;/&gt;&lt;wsp:rsid wsp:val=&quot;38A345A1&quot;/&gt;&lt;wsp:rsid wsp:val=&quot;38A4740C&quot;/&gt;&lt;wsp:rsid wsp:val=&quot;38A547BD&quot;/&gt;&lt;wsp:rsid wsp:val=&quot;38A5656B&quot;/&gt;&lt;wsp:rsid wsp:val=&quot;38A65E3F&quot;/&gt;&lt;wsp:rsid wsp:val=&quot;38A87E0A&quot;/&gt;&lt;wsp:rsid wsp:val=&quot;38AA1DD4&quot;/&gt;&lt;wsp:rsid wsp:val=&quot;38AB2FCD&quot;/&gt;&lt;wsp:rsid wsp:val=&quot;38AC5B4C&quot;/&gt;&lt;wsp:rsid wsp:val=&quot;38AD5420&quot;/&gt;&lt;wsp:rsid wsp:val=&quot;38AD71CE&quot;/&gt;&lt;wsp:rsid wsp:val=&quot;38AE3672&quot;/&gt;&lt;wsp:rsid wsp:val=&quot;38AF194E&quot;/&gt;&lt;wsp:rsid wsp:val=&quot;38AF451F&quot;/&gt;&lt;wsp:rsid wsp:val=&quot;38B042E6&quot;/&gt;&lt;wsp:rsid wsp:val=&quot;38B13162&quot;/&gt;&lt;wsp:rsid wsp:val=&quot;38B14F10&quot;/&gt;&lt;wsp:rsid wsp:val=&quot;38B302F9&quot;/&gt;&lt;wsp:rsid wsp:val=&quot;38B4055C&quot;/&gt;&lt;wsp:rsid wsp:val=&quot;38B62526&quot;/&gt;&lt;wsp:rsid wsp:val=&quot;38B8629F&quot;/&gt;&lt;wsp:rsid wsp:val=&quot;38B95B73&quot;/&gt;&lt;wsp:rsid wsp:val=&quot;38BA2A4A&quot;/&gt;&lt;wsp:rsid wsp:val=&quot;38BB5D8F&quot;/&gt;&lt;wsp:rsid wsp:val=&quot;38BE13DB&quot;/&gt;&lt;wsp:rsid wsp:val=&quot;38BF587F&quot;/&gt;&lt;wsp:rsid wsp:val=&quot;38C20ECB&quot;/&gt;&lt;wsp:rsid wsp:val=&quot;38C22C79&quot;/&gt;&lt;wsp:rsid wsp:val=&quot;38C42E95&quot;/&gt;&lt;wsp:rsid wsp:val=&quot;38C5276A&quot;/&gt;&lt;wsp:rsid wsp:val=&quot;38C57E86&quot;/&gt;&lt;wsp:rsid wsp:val=&quot;38C67BD5&quot;/&gt;&lt;wsp:rsid wsp:val=&quot;38C74734&quot;/&gt;&lt;wsp:rsid wsp:val=&quot;38C764E2&quot;/&gt;&lt;wsp:rsid wsp:val=&quot;38CA3FBC&quot;/&gt;&lt;wsp:rsid wsp:val=&quot;38CC7FAC&quot;/&gt;&lt;wsp:rsid wsp:val=&quot;38CD7870&quot;/&gt;&lt;wsp:rsid wsp:val=&quot;38CF183A&quot;/&gt;&lt;wsp:rsid wsp:val=&quot;38CF5396&quot;/&gt;&lt;wsp:rsid wsp:val=&quot;38D155B2&quot;/&gt;&lt;wsp:rsid wsp:val=&quot;38D34E86&quot;/&gt;&lt;wsp:rsid wsp:val=&quot;38D44DA9&quot;/&gt;&lt;wsp:rsid wsp:val=&quot;38D46E50&quot;/&gt;&lt;wsp:rsid wsp:val=&quot;38D56239&quot;/&gt;&lt;wsp:rsid wsp:val=&quot;38D62BC9&quot;/&gt;&lt;wsp:rsid wsp:val=&quot;38D86941&quot;/&gt;&lt;wsp:rsid wsp:val=&quot;38D94467&quot;/&gt;&lt;wsp:rsid wsp:val=&quot;38DB1F8D&quot;/&gt;&lt;wsp:rsid wsp:val=&quot;38DD5D05&quot;/&gt;&lt;wsp:rsid wsp:val=&quot;38E075A3&quot;/&gt;&lt;wsp:rsid wsp:val=&quot;38E2156D&quot;/&gt;&lt;wsp:rsid wsp:val=&quot;38E2331B&quot;/&gt;&lt;wsp:rsid wsp:val=&quot;38E250CA&quot;/&gt;&lt;wsp:rsid wsp:val=&quot;38E67EE2&quot;/&gt;&lt;wsp:rsid wsp:val=&quot;38E86458&quot;/&gt;&lt;wsp:rsid wsp:val=&quot;38EC7CF6&quot;/&gt;&lt;wsp:rsid wsp:val=&quot;38F06B94&quot;/&gt;&lt;wsp:rsid wsp:val=&quot;38F10544&quot;/&gt;&lt;wsp:rsid wsp:val=&quot;38F12CD3&quot;/&gt;&lt;wsp:rsid wsp:val=&quot;38F372D7&quot;/&gt;&lt;wsp:rsid wsp:val=&quot;38F4304F&quot;/&gt;&lt;wsp:rsid wsp:val=&quot;38F60B75&quot;/&gt;&lt;wsp:rsid wsp:val=&quot;38F7443E&quot;/&gt;&lt;wsp:rsid wsp:val=&quot;38F82D14&quot;/&gt;&lt;wsp:rsid wsp:val=&quot;38F94775&quot;/&gt;&lt;wsp:rsid wsp:val=&quot;38FA0FB5&quot;/&gt;&lt;wsp:rsid wsp:val=&quot;38FA41FB&quot;/&gt;&lt;wsp:rsid wsp:val=&quot;38FB43DD&quot;/&gt;&lt;wsp:rsid wsp:val=&quot;38FC13E4&quot;/&gt;&lt;wsp:rsid wsp:val=&quot;38FE0016&quot;/&gt;&lt;wsp:rsid wsp:val=&quot;38FE686D&quot;/&gt;&lt;wsp:rsid wsp:val=&quot;390019F4&quot;/&gt;&lt;wsp:rsid wsp:val=&quot;390239BE&quot;/&gt;&lt;wsp:rsid wsp:val=&quot;3905525C&quot;/&gt;&lt;wsp:rsid wsp:val=&quot;39060070&quot;/&gt;&lt;wsp:rsid wsp:val=&quot;39062BB4&quot;/&gt;&lt;wsp:rsid wsp:val=&quot;39094D4C&quot;/&gt;&lt;wsp:rsid wsp:val=&quot;390A4523&quot;/&gt;&lt;wsp:rsid wsp:val=&quot;390B7A49&quot;/&gt;&lt;wsp:rsid wsp:val=&quot;390E4110&quot;/&gt;&lt;wsp:rsid wsp:val=&quot;390F0F9B&quot;/&gt;&lt;wsp:rsid wsp:val=&quot;390F4B3F&quot;/&gt;&lt;wsp:rsid wsp:val=&quot;39111E53&quot;/&gt;&lt;wsp:rsid wsp:val=&quot;391159AF&quot;/&gt;&lt;wsp:rsid wsp:val=&quot;3914724D&quot;/&gt;&lt;wsp:rsid wsp:val=&quot;391835B0&quot;/&gt;&lt;wsp:rsid wsp:val=&quot;39191B60&quot;/&gt;&lt;wsp:rsid wsp:val=&quot;39195BD6&quot;/&gt;&lt;wsp:rsid wsp:val=&quot;391B04A7&quot;/&gt;&lt;wsp:rsid wsp:val=&quot;391B05DB&quot;/&gt;&lt;wsp:rsid wsp:val=&quot;391D1E5E&quot;/&gt;&lt;wsp:rsid wsp:val=&quot;391D4354&quot;/&gt;&lt;wsp:rsid wsp:val=&quot;391F2DAA&quot;/&gt;&lt;wsp:rsid wsp:val=&quot;39205BF2&quot;/&gt;&lt;wsp:rsid wsp:val=&quot;392334FC&quot;/&gt;&lt;wsp:rsid wsp:val=&quot;39241B86&quot;/&gt;&lt;wsp:rsid wsp:val=&quot;392576AC&quot;/&gt;&lt;wsp:rsid wsp:val=&quot;392751D2&quot;/&gt;&lt;wsp:rsid wsp:val=&quot;392971ED&quot;/&gt;&lt;wsp:rsid wsp:val=&quot;392B4462&quot;/&gt;&lt;wsp:rsid wsp:val=&quot;392F4087&quot;/&gt;&lt;wsp:rsid wsp:val=&quot;39306E52&quot;/&gt;&lt;wsp:rsid wsp:val=&quot;39307317&quot;/&gt;&lt;wsp:rsid wsp:val=&quot;39311BAD&quot;/&gt;&lt;wsp:rsid wsp:val=&quot;39316051&quot;/&gt;&lt;wsp:rsid wsp:val=&quot;39316DD0&quot;/&gt;&lt;wsp:rsid wsp:val=&quot;39325651&quot;/&gt;&lt;wsp:rsid wsp:val=&quot;39335925&quot;/&gt;&lt;wsp:rsid wsp:val=&quot;39341601&quot;/&gt;&lt;wsp:rsid wsp:val=&quot;3934169D&quot;/&gt;&lt;wsp:rsid wsp:val=&quot;393578EF&quot;/&gt;&lt;wsp:rsid wsp:val=&quot;393671C3&quot;/&gt;&lt;wsp:rsid wsp:val=&quot;39382F3B&quot;/&gt;&lt;wsp:rsid wsp:val=&quot;39383970&quot;/&gt;&lt;wsp:rsid wsp:val=&quot;3939544D&quot;/&gt;&lt;wsp:rsid wsp:val=&quot;393A3157&quot;/&gt;&lt;wsp:rsid wsp:val=&quot;393A4F06&quot;/&gt;&lt;wsp:rsid wsp:val=&quot;393D0C91&quot;/&gt;&lt;wsp:rsid wsp:val=&quot;393D49F6&quot;/&gt;&lt;wsp:rsid wsp:val=&quot;393D67A4&quot;/&gt;&lt;wsp:rsid wsp:val=&quot;393F251C&quot;/&gt;&lt;wsp:rsid wsp:val=&quot;39404092&quot;/&gt;&lt;wsp:rsid wsp:val=&quot;39406294&quot;/&gt;&lt;wsp:rsid wsp:val=&quot;394151DB&quot;/&gt;&lt;wsp:rsid wsp:val=&quot;39423DBA&quot;/&gt;&lt;wsp:rsid wsp:val=&quot;39427A81&quot;/&gt;&lt;wsp:rsid wsp:val=&quot;39445009&quot;/&gt;&lt;wsp:rsid wsp:val=&quot;39445D84&quot;/&gt;&lt;wsp:rsid wsp:val=&quot;39455658&quot;/&gt;&lt;wsp:rsid wsp:val=&quot;39475A91&quot;/&gt;&lt;wsp:rsid wsp:val=&quot;39477622&quot;/&gt;&lt;wsp:rsid wsp:val=&quot;39484534&quot;/&gt;&lt;wsp:rsid wsp:val=&quot;394915ED&quot;/&gt;&lt;wsp:rsid wsp:val=&quot;394A0EC1&quot;/&gt;&lt;wsp:rsid wsp:val=&quot;394A3540&quot;/&gt;&lt;wsp:rsid wsp:val=&quot;394C4C39&quot;/&gt;&lt;wsp:rsid wsp:val=&quot;394F0285&quot;/&gt;&lt;wsp:rsid wsp:val=&quot;395104A1&quot;/&gt;&lt;wsp:rsid wsp:val=&quot;395313F4&quot;/&gt;&lt;wsp:rsid wsp:val=&quot;39535FC7&quot;/&gt;&lt;wsp:rsid wsp:val=&quot;39551D3F&quot;/&gt;&lt;wsp:rsid wsp:val=&quot;39553AED&quot;/&gt;&lt;wsp:rsid wsp:val=&quot;39557F91&quot;/&gt;&lt;wsp:rsid wsp:val=&quot;39561614&quot;/&gt;&lt;wsp:rsid wsp:val=&quot;395D6E46&quot;/&gt;&lt;wsp:rsid wsp:val=&quot;39643D30&quot;/&gt;&lt;wsp:rsid wsp:val=&quot;39650654&quot;/&gt;&lt;wsp:rsid wsp:val=&quot;39656F67&quot;/&gt;&lt;wsp:rsid wsp:val=&quot;39665CFB&quot;/&gt;&lt;wsp:rsid wsp:val=&quot;39667EF3&quot;/&gt;&lt;wsp:rsid wsp:val=&quot;39673821&quot;/&gt;&lt;wsp:rsid wsp:val=&quot;39677CC5&quot;/&gt;&lt;wsp:rsid wsp:val=&quot;396957EB&quot;/&gt;&lt;wsp:rsid wsp:val=&quot;396A50BF&quot;/&gt;&lt;wsp:rsid wsp:val=&quot;396C0E37&quot;/&gt;&lt;wsp:rsid wsp:val=&quot;396F26D5&quot;/&gt;&lt;wsp:rsid wsp:val=&quot;39700927&quot;/&gt;&lt;wsp:rsid wsp:val=&quot;39702384&quot;/&gt;&lt;wsp:rsid wsp:val=&quot;3971644D&quot;/&gt;&lt;wsp:rsid wsp:val=&quot;397228F1&quot;/&gt;&lt;wsp:rsid wsp:val=&quot;39736669&quot;/&gt;&lt;wsp:rsid wsp:val=&quot;39761CC4&quot;/&gt;&lt;wsp:rsid wsp:val=&quot;39777F08&quot;/&gt;&lt;wsp:rsid wsp:val=&quot;397A3554&quot;/&gt;&lt;wsp:rsid wsp:val=&quot;397A79F8&quot;/&gt;&lt;wsp:rsid wsp:val=&quot;397C1E1E&quot;/&gt;&lt;wsp:rsid wsp:val=&quot;397C551E&quot;/&gt;&lt;wsp:rsid wsp:val=&quot;397D1296&quot;/&gt;&lt;wsp:rsid wsp:val=&quot;397D3044&quot;/&gt;&lt;wsp:rsid wsp:val=&quot;397D5501&quot;/&gt;&lt;wsp:rsid wsp:val=&quot;397E6971&quot;/&gt;&lt;wsp:rsid wsp:val=&quot;397E7B4D&quot;/&gt;&lt;wsp:rsid wsp:val=&quot;397F6DBC&quot;/&gt;&lt;wsp:rsid wsp:val=&quot;39803F30&quot;/&gt;&lt;wsp:rsid wsp:val=&quot;39842625&quot;/&gt;&lt;wsp:rsid wsp:val=&quot;3986014B&quot;/&gt;&lt;wsp:rsid wsp:val=&quot;398610CE&quot;/&gt;&lt;wsp:rsid wsp:val=&quot;39872A47&quot;/&gt;&lt;wsp:rsid wsp:val=&quot;398B750F&quot;/&gt;&lt;wsp:rsid wsp:val=&quot;398D1190&quot;/&gt;&lt;wsp:rsid wsp:val=&quot;398E34A3&quot;/&gt;&lt;wsp:rsid wsp:val=&quot;398E7860&quot;/&gt;&lt;wsp:rsid wsp:val=&quot;39902D77&quot;/&gt;&lt;wsp:rsid wsp:val=&quot;39904B26&quot;/&gt;&lt;wsp:rsid wsp:val=&quot;39916AF0&quot;/&gt;&lt;wsp:rsid wsp:val=&quot;399239C7&quot;/&gt;&lt;wsp:rsid wsp:val=&quot;39927671&quot;/&gt;&lt;wsp:rsid wsp:val=&quot;39930ABA&quot;/&gt;&lt;wsp:rsid wsp:val=&quot;399436D2&quot;/&gt;&lt;wsp:rsid wsp:val=&quot;399565E0&quot;/&gt;&lt;wsp:rsid wsp:val=&quot;39964993&quot;/&gt;&lt;wsp:rsid wsp:val=&quot;3996700F&quot;/&gt;&lt;wsp:rsid wsp:val=&quot;39970912&quot;/&gt;&lt;wsp:rsid wsp:val=&quot;39972358&quot;/&gt;&lt;wsp:rsid wsp:val=&quot;39990BFA&quot;/&gt;&lt;wsp:rsid wsp:val=&quot;399B34CA&quot;/&gt;&lt;wsp:rsid wsp:val=&quot;399C171C&quot;/&gt;&lt;wsp:rsid wsp:val=&quot;399E6185&quot;/&gt;&lt;wsp:rsid wsp:val=&quot;399F745E&quot;/&gt;&lt;wsp:rsid wsp:val=&quot;39A131D7&quot;/&gt;&lt;wsp:rsid wsp:val=&quot;39A14595&quot;/&gt;&lt;wsp:rsid wsp:val=&quot;39A14F85&quot;/&gt;&lt;wsp:rsid wsp:val=&quot;39A30504&quot;/&gt;&lt;wsp:rsid wsp:val=&quot;39A44657&quot;/&gt;&lt;wsp:rsid wsp:val=&quot;39A46823&quot;/&gt;&lt;wsp:rsid wsp:val=&quot;39A607ED&quot;/&gt;&lt;wsp:rsid wsp:val=&quot;39A9208B&quot;/&gt;&lt;wsp:rsid wsp:val=&quot;39A95BE7&quot;/&gt;&lt;wsp:rsid wsp:val=&quot;39AB195F&quot;/&gt;&lt;wsp:rsid wsp:val=&quot;39AF63D9&quot;/&gt;&lt;wsp:rsid wsp:val=&quot;39B051C8&quot;/&gt;&lt;wsp:rsid wsp:val=&quot;39B12CEE&quot;/&gt;&lt;wsp:rsid wsp:val=&quot;39B20F40&quot;/&gt;&lt;wsp:rsid wsp:val=&quot;39B27192&quot;/&gt;&lt;wsp:rsid wsp:val=&quot;39B742F7&quot;/&gt;&lt;wsp:rsid wsp:val=&quot;39B8138C&quot;/&gt;&lt;wsp:rsid wsp:val=&quot;39B8407C&quot;/&gt;&lt;wsp:rsid wsp:val=&quot;39B90520&quot;/&gt;&lt;wsp:rsid wsp:val=&quot;39BA4298&quot;/&gt;&lt;wsp:rsid wsp:val=&quot;39BA7DF4&quot;/&gt;&lt;wsp:rsid wsp:val=&quot;39BC591B&quot;/&gt;&lt;wsp:rsid wsp:val=&quot;39BD78E5&quot;/&gt;&lt;wsp:rsid wsp:val=&quot;39BF18AF&quot;/&gt;&lt;wsp:rsid wsp:val=&quot;39C173D5&quot;/&gt;&lt;wsp:rsid wsp:val=&quot;39C3314D&quot;/&gt;&lt;wsp:rsid wsp:val=&quot;39C4792F&quot;/&gt;&lt;wsp:rsid wsp:val=&quot;39C62C3D&quot;/&gt;&lt;wsp:rsid wsp:val=&quot;39C63F54&quot;/&gt;&lt;wsp:rsid wsp:val=&quot;39C80763&quot;/&gt;&lt;wsp:rsid wsp:val=&quot;39C87DCA&quot;/&gt;&lt;wsp:rsid wsp:val=&quot;39CE38A0&quot;/&gt;&lt;wsp:rsid wsp:val=&quot;39CE564E&quot;/&gt;&lt;wsp:rsid wsp:val=&quot;39D013C6&quot;/&gt;&lt;wsp:rsid wsp:val=&quot;39D07618&quot;/&gt;&lt;wsp:rsid wsp:val=&quot;39D215E2&quot;/&gt;&lt;wsp:rsid wsp:val=&quot;39D2513E&quot;/&gt;&lt;wsp:rsid wsp:val=&quot;39D76BF8&quot;/&gt;&lt;wsp:rsid wsp:val=&quot;39DA2245&quot;/&gt;&lt;wsp:rsid wsp:val=&quot;39DC420F&quot;/&gt;&lt;wsp:rsid wsp:val=&quot;39DC5FBD&quot;/&gt;&lt;wsp:rsid wsp:val=&quot;39DE7F87&quot;/&gt;&lt;wsp:rsid wsp:val=&quot;39DF3CFF&quot;/&gt;&lt;wsp:rsid wsp:val=&quot;39DF5C78&quot;/&gt;&lt;wsp:rsid wsp:val=&quot;39DF785B&quot;/&gt;&lt;wsp:rsid wsp:val=&quot;39E15381&quot;/&gt;&lt;wsp:rsid wsp:val=&quot;39E3574B&quot;/&gt;&lt;wsp:rsid wsp:val=&quot;39E3734B&quot;/&gt;&lt;wsp:rsid wsp:val=&quot;39E60BE9&quot;/&gt;&lt;wsp:rsid wsp:val=&quot;39E62997&quot;/&gt;&lt;wsp:rsid wsp:val=&quot;39E6440A&quot;/&gt;&lt;wsp:rsid wsp:val=&quot;39E6508D&quot;/&gt;&lt;wsp:rsid wsp:val=&quot;39E76710&quot;/&gt;&lt;wsp:rsid wsp:val=&quot;39E84962&quot;/&gt;&lt;wsp:rsid wsp:val=&quot;39E906DA&quot;/&gt;&lt;wsp:rsid wsp:val=&quot;39EB091C&quot;/&gt;&lt;wsp:rsid wsp:val=&quot;39ED01CA&quot;/&gt;&lt;wsp:rsid wsp:val=&quot;39EE7A9E&quot;/&gt;&lt;wsp:rsid wsp:val=&quot;39EF3F42&quot;/&gt;&lt;wsp:rsid wsp:val=&quot;39F01A68&quot;/&gt;&lt;wsp:rsid wsp:val=&quot;39F257E0&quot;/&gt;&lt;wsp:rsid wsp:val=&quot;39F2758E&quot;/&gt;&lt;wsp:rsid wsp:val=&quot;39F32179&quot;/&gt;&lt;wsp:rsid wsp:val=&quot;39F33306&quot;/&gt;&lt;wsp:rsid wsp:val=&quot;39F477B4&quot;/&gt;&lt;wsp:rsid wsp:val=&quot;39F71049&quot;/&gt;&lt;wsp:rsid wsp:val=&quot;39F74BA5&quot;/&gt;&lt;wsp:rsid wsp:val=&quot;39F83C4E&quot;/&gt;&lt;wsp:rsid wsp:val=&quot;39F94DC1&quot;/&gt;&lt;wsp:rsid wsp:val=&quot;39F96B6F&quot;/&gt;&lt;wsp:rsid wsp:val=&quot;39FA28E7&quot;/&gt;&lt;wsp:rsid wsp:val=&quot;39FE0F50&quot;/&gt;&lt;wsp:rsid wsp:val=&quot;39FE4185&quot;/&gt;&lt;wsp:rsid wsp:val=&quot;39FF3A59&quot;/&gt;&lt;wsp:rsid wsp:val=&quot;3A013C75&quot;/&gt;&lt;wsp:rsid wsp:val=&quot;3A033549&quot;/&gt;&lt;wsp:rsid wsp:val=&quot;3A0472C2&quot;/&gt;&lt;wsp:rsid wsp:val=&quot;3A06303A&quot;/&gt;&lt;wsp:rsid wsp:val=&quot;3A064DE8&quot;/&gt;&lt;wsp:rsid wsp:val=&quot;3A07786C&quot;/&gt;&lt;wsp:rsid wsp:val=&quot;3A080B60&quot;/&gt;&lt;wsp:rsid wsp:val=&quot;3A0B0650&quot;/&gt;&lt;wsp:rsid wsp:val=&quot;3A0B1FE4&quot;/&gt;&lt;wsp:rsid wsp:val=&quot;3A0D43C8&quot;/&gt;&lt;wsp:rsid wsp:val=&quot;3A10210A&quot;/&gt;&lt;wsp:rsid wsp:val=&quot;3A103EB8&quot;/&gt;&lt;wsp:rsid wsp:val=&quot;3A12378C&quot;/&gt;&lt;wsp:rsid wsp:val=&quot;3A127C30&quot;/&gt;&lt;wsp:rsid wsp:val=&quot;3A137505&quot;/&gt;&lt;wsp:rsid wsp:val=&quot;3A1439A9&quot;/&gt;&lt;wsp:rsid wsp:val=&quot;3A1514CF&quot;/&gt;&lt;wsp:rsid wsp:val=&quot;3A15327D&quot;/&gt;&lt;wsp:rsid wsp:val=&quot;3A155D47&quot;/&gt;&lt;wsp:rsid wsp:val=&quot;3A173499&quot;/&gt;&lt;wsp:rsid wsp:val=&quot;3A175247&quot;/&gt;&lt;wsp:rsid wsp:val=&quot;3A176FF5&quot;/&gt;&lt;wsp:rsid wsp:val=&quot;3A185C7A&quot;/&gt;&lt;wsp:rsid wsp:val=&quot;3A1A0893&quot;/&gt;&lt;wsp:rsid wsp:val=&quot;3A1A679C&quot;/&gt;&lt;wsp:rsid wsp:val=&quot;3A1B1BB9&quot;/&gt;&lt;wsp:rsid wsp:val=&quot;3A1C460B&quot;/&gt;&lt;wsp:rsid wsp:val=&quot;3A1D44D9&quot;/&gt;&lt;wsp:rsid wsp:val=&quot;3A233BEC&quot;/&gt;&lt;wsp:rsid wsp:val=&quot;3A241712&quot;/&gt;&lt;wsp:rsid wsp:val=&quot;3A245469&quot;/&gt;&lt;wsp:rsid wsp:val=&quot;3A25040D&quot;/&gt;&lt;wsp:rsid wsp:val=&quot;3A255BB6&quot;/&gt;&lt;wsp:rsid wsp:val=&quot;3A2619FB&quot;/&gt;&lt;wsp:rsid wsp:val=&quot;3A26548A&quot;/&gt;&lt;wsp:rsid wsp:val=&quot;3A282FB0&quot;/&gt;&lt;wsp:rsid wsp:val=&quot;3A296D28&quot;/&gt;&lt;wsp:rsid wsp:val=&quot;3A2A31CC&quot;/&gt;&lt;wsp:rsid wsp:val=&quot;3A2A4F7A&quot;/&gt;&lt;wsp:rsid wsp:val=&quot;3A2B2AA0&quot;/&gt;&lt;wsp:rsid wsp:val=&quot;3A2C570F&quot;/&gt;&lt;wsp:rsid wsp:val=&quot;3A2E2C61&quot;/&gt;&lt;wsp:rsid wsp:val=&quot;3A2F07E2&quot;/&gt;&lt;wsp:rsid wsp:val=&quot;3A2F2590&quot;/&gt;&lt;wsp:rsid wsp:val=&quot;3A2F25D4&quot;/&gt;&lt;wsp:rsid wsp:val=&quot;3A2F628B&quot;/&gt;&lt;wsp:rsid wsp:val=&quot;3A311201&quot;/&gt;&lt;wsp:rsid wsp:val=&quot;3A323FC3&quot;/&gt;&lt;wsp:rsid wsp:val=&quot;3A331955&quot;/&gt;&lt;wsp:rsid wsp:val=&quot;3A347BA7&quot;/&gt;&lt;wsp:rsid wsp:val=&quot;3A355331&quot;/&gt;&lt;wsp:rsid wsp:val=&quot;3A3556CD&quot;/&gt;&lt;wsp:rsid wsp:val=&quot;3A361B71&quot;/&gt;&lt;wsp:rsid wsp:val=&quot;3A3A2CE3&quot;/&gt;&lt;wsp:rsid wsp:val=&quot;3A3C2EFF&quot;/&gt;&lt;wsp:rsid wsp:val=&quot;3A4019E9&quot;/&gt;&lt;wsp:rsid wsp:val=&quot;3A410DCE&quot;/&gt;&lt;wsp:rsid wsp:val=&quot;3A4122C4&quot;/&gt;&lt;wsp:rsid wsp:val=&quot;3A414072&quot;/&gt;&lt;wsp:rsid wsp:val=&quot;3A437DEA&quot;/&gt;&lt;wsp:rsid wsp:val=&quot;3A44036E&quot;/&gt;&lt;wsp:rsid wsp:val=&quot;3A461688&quot;/&gt;&lt;wsp:rsid wsp:val=&quot;3A465B2C&quot;/&gt;&lt;wsp:rsid wsp:val=&quot;3A466755&quot;/&gt;&lt;wsp:rsid wsp:val=&quot;3A4818A4&quot;/&gt;&lt;wsp:rsid wsp:val=&quot;3A4A73CA&quot;/&gt;&lt;wsp:rsid wsp:val=&quot;3A4B4EF0&quot;/&gt;&lt;wsp:rsid wsp:val=&quot;3A4C3887&quot;/&gt;&lt;wsp:rsid wsp:val=&quot;3A4D4A47&quot;/&gt;&lt;wsp:rsid wsp:val=&quot;3A4F4F2D&quot;/&gt;&lt;wsp:rsid wsp:val=&quot;3A5169AB&quot;/&gt;&lt;wsp:rsid wsp:val=&quot;3A51788C&quot;/&gt;&lt;wsp:rsid wsp:val=&quot;3A541FF7&quot;/&gt;&lt;wsp:rsid wsp:val=&quot;3A543DA5&quot;/&gt;&lt;wsp:rsid wsp:val=&quot;3A575643&quot;/&gt;&lt;wsp:rsid wsp:val=&quot;3A5913BB&quot;/&gt;&lt;wsp:rsid wsp:val=&quot;3A5A447A&quot;/&gt;&lt;wsp:rsid wsp:val=&quot;3A5B3385&quot;/&gt;&lt;wsp:rsid wsp:val=&quot;3A5B574A&quot;/&gt;&lt;wsp:rsid wsp:val=&quot;3A5D6AE5&quot;/&gt;&lt;wsp:rsid wsp:val=&quot;3A5E4C24&quot;/&gt;&lt;wsp:rsid wsp:val=&quot;3A5E69D2&quot;/&gt;&lt;wsp:rsid wsp:val=&quot;3A5F274A&quot;/&gt;&lt;wsp:rsid wsp:val=&quot;3A606BEE&quot;/&gt;&lt;wsp:rsid wsp:val=&quot;3A612966&quot;/&gt;&lt;wsp:rsid wsp:val=&quot;3A63223A&quot;/&gt;&lt;wsp:rsid wsp:val=&quot;3A636C6D&quot;/&gt;&lt;wsp:rsid wsp:val=&quot;3A647D60&quot;/&gt;&lt;wsp:rsid wsp:val=&quot;3A663EE1&quot;/&gt;&lt;wsp:rsid wsp:val=&quot;3A667F7C&quot;/&gt;&lt;wsp:rsid wsp:val=&quot;3A687850&quot;/&gt;&lt;wsp:rsid wsp:val=&quot;3A6A35C8&quot;/&gt;&lt;wsp:rsid wsp:val=&quot;3A6B24B9&quot;/&gt;&lt;wsp:rsid wsp:val=&quot;3A6B5F4D&quot;/&gt;&lt;wsp:rsid wsp:val=&quot;3A6B7341&quot;/&gt;&lt;wsp:rsid wsp:val=&quot;3A6C5593&quot;/&gt;&lt;wsp:rsid wsp:val=&quot;3A707DE1&quot;/&gt;&lt;wsp:rsid wsp:val=&quot;3A72452B&quot;/&gt;&lt;wsp:rsid wsp:val=&quot;3A757B75&quot;/&gt;&lt;wsp:rsid wsp:val=&quot;3A763C53&quot;/&gt;&lt;wsp:rsid wsp:val=&quot;3A784304&quot;/&gt;&lt;wsp:rsid wsp:val=&quot;3A79202A&quot;/&gt;&lt;wsp:rsid wsp:val=&quot;3A79380C&quot;/&gt;&lt;wsp:rsid wsp:val=&quot;3A7A3A64&quot;/&gt;&lt;wsp:rsid wsp:val=&quot;3A7E7074&quot;/&gt;&lt;wsp:rsid wsp:val=&quot;3A7E7310&quot;/&gt;&lt;wsp:rsid wsp:val=&quot;3A802DEC&quot;/&gt;&lt;wsp:rsid wsp:val=&quot;3A810912&quot;/&gt;&lt;wsp:rsid wsp:val=&quot;3A816B64&quot;/&gt;&lt;wsp:rsid wsp:val=&quot;3A8328DC&quot;/&gt;&lt;wsp:rsid wsp:val=&quot;3A856654&quot;/&gt;&lt;wsp:rsid wsp:val=&quot;3A86417A&quot;/&gt;&lt;wsp:rsid wsp:val=&quot;3A872856&quot;/&gt;&lt;wsp:rsid wsp:val=&quot;3A884996&quot;/&gt;&lt;wsp:rsid wsp:val=&quot;3A8A77C7&quot;/&gt;&lt;wsp:rsid wsp:val=&quot;3A8B75BA&quot;/&gt;&lt;wsp:rsid wsp:val=&quot;3A8F74D3&quot;/&gt;&lt;wsp:rsid wsp:val=&quot;3A9028D6&quot;/&gt;&lt;wsp:rsid wsp:val=&quot;3A914FF9&quot;/&gt;&lt;wsp:rsid wsp:val=&quot;3A9248CD&quot;/&gt;&lt;wsp:rsid wsp:val=&quot;3A941DDB&quot;/&gt;&lt;wsp:rsid wsp:val=&quot;3A943F6D&quot;/&gt;&lt;wsp:rsid wsp:val=&quot;3A9643BE&quot;/&gt;&lt;wsp:rsid wsp:val=&quot;3A976388&quot;/&gt;&lt;wsp:rsid wsp:val=&quot;3A992100&quot;/&gt;&lt;wsp:rsid wsp:val=&quot;3A9B5E78&quot;/&gt;&lt;wsp:rsid wsp:val=&quot;3A9B7C26&quot;/&gt;&lt;wsp:rsid wsp:val=&quot;3A9C574C&quot;/&gt;&lt;wsp:rsid wsp:val=&quot;3A9E028E&quot;/&gt;&lt;wsp:rsid wsp:val=&quot;3AA30888&quot;/&gt;&lt;wsp:rsid wsp:val=&quot;3AA33889&quot;/&gt;&lt;wsp:rsid wsp:val=&quot;3AA34D2C&quot;/&gt;&lt;wsp:rsid wsp:val=&quot;3AA54601&quot;/&gt;&lt;wsp:rsid wsp:val=&quot;3AA80595&quot;/&gt;&lt;wsp:rsid wsp:val=&quot;3AA84F4E&quot;/&gt;&lt;wsp:rsid wsp:val=&quot;3AAA60BB&quot;/&gt;&lt;wsp:rsid wsp:val=&quot;3AAD14C4&quot;/&gt;&lt;wsp:rsid wsp:val=&quot;3AB02FA5&quot;/&gt;&lt;wsp:rsid wsp:val=&quot;3AB115D7&quot;/&gt;&lt;wsp:rsid wsp:val=&quot;3AB24F6F&quot;/&gt;&lt;wsp:rsid wsp:val=&quot;3AB4781F&quot;/&gt;&lt;wsp:rsid wsp:val=&quot;3AB64A60&quot;/&gt;&lt;wsp:rsid wsp:val=&quot;3AB6680E&quot;/&gt;&lt;wsp:rsid wsp:val=&quot;3AB962FE&quot;/&gt;&lt;wsp:rsid wsp:val=&quot;3ABB2076&quot;/&gt;&lt;wsp:rsid wsp:val=&quot;3ABB3E24&quot;/&gt;&lt;wsp:rsid wsp:val=&quot;3AC0143A&quot;/&gt;&lt;wsp:rsid wsp:val=&quot;3AC0768C&quot;/&gt;&lt;wsp:rsid wsp:val=&quot;3AC132B4&quot;/&gt;&lt;wsp:rsid wsp:val=&quot;3AC25823&quot;/&gt;&lt;wsp:rsid wsp:val=&quot;3AC30F2B&quot;/&gt;&lt;wsp:rsid wsp:val=&quot;3AC3717D&quot;/&gt;&lt;wsp:rsid wsp:val=&quot;3AC54CA3&quot;/&gt;&lt;wsp:rsid wsp:val=&quot;3AC834FB&quot;/&gt;&lt;wsp:rsid wsp:val=&quot;3AC86541&quot;/&gt;&lt;wsp:rsid wsp:val=&quot;3AC96ADB&quot;/&gt;&lt;wsp:rsid wsp:val=&quot;3ACA4067&quot;/&gt;&lt;wsp:rsid wsp:val=&quot;3ACB24DB&quot;/&gt;&lt;wsp:rsid wsp:val=&quot;3ACC4283&quot;/&gt;&lt;wsp:rsid wsp:val=&quot;3ACC6031&quot;/&gt;&lt;wsp:rsid wsp:val=&quot;3ACC7DDF&quot;/&gt;&lt;wsp:rsid wsp:val=&quot;3ACF167E&quot;/&gt;&lt;wsp:rsid wsp:val=&quot;3ACF78CF&quot;/&gt;&lt;wsp:rsid wsp:val=&quot;3AD35612&quot;/&gt;&lt;wsp:rsid wsp:val=&quot;3AD71C07&quot;/&gt;&lt;wsp:rsid wsp:val=&quot;3AD76784&quot;/&gt;&lt;wsp:rsid wsp:val=&quot;3AD818AF&quot;/&gt;&lt;wsp:rsid wsp:val=&quot;3AD82C28&quot;/&gt;&lt;wsp:rsid wsp:val=&quot;3ADC3D9A&quot;/&gt;&lt;wsp:rsid wsp:val=&quot;3ADD023E&quot;/&gt;&lt;wsp:rsid wsp:val=&quot;3ADD1FEC&quot;/&gt;&lt;wsp:rsid wsp:val=&quot;3ADE3FB6&quot;/&gt;&lt;wsp:rsid wsp:val=&quot;3ADE5D64&quot;/&gt;&lt;wsp:rsid wsp:val=&quot;3AE0388B&quot;/&gt;&lt;wsp:rsid wsp:val=&quot;3AE2555B&quot;/&gt;&lt;wsp:rsid wsp:val=&quot;3AE31593&quot;/&gt;&lt;wsp:rsid wsp:val=&quot;3AE35129&quot;/&gt;&lt;wsp:rsid wsp:val=&quot;3AE461D5&quot;/&gt;&lt;wsp:rsid wsp:val=&quot;3AE52BFA&quot;/&gt;&lt;wsp:rsid wsp:val=&quot;3AE71BE5&quot;/&gt;&lt;wsp:rsid wsp:val=&quot;3AE84EDD&quot;/&gt;&lt;wsp:rsid wsp:val=&quot;3AE96BE3&quot;/&gt;&lt;wsp:rsid wsp:val=&quot;3AEA295B&quot;/&gt;&lt;wsp:rsid wsp:val=&quot;3AEA40B8&quot;/&gt;&lt;wsp:rsid wsp:val=&quot;3AEA64B7&quot;/&gt;&lt;wsp:rsid wsp:val=&quot;3AEC0481&quot;/&gt;&lt;wsp:rsid wsp:val=&quot;3AEC7B7A&quot;/&gt;&lt;wsp:rsid wsp:val=&quot;3AED5FA8&quot;/&gt;&lt;wsp:rsid wsp:val=&quot;3AEE244B&quot;/&gt;&lt;wsp:rsid wsp:val=&quot;3AEF7F72&quot;/&gt;&lt;wsp:rsid wsp:val=&quot;3AF02707&quot;/&gt;&lt;wsp:rsid wsp:val=&quot;3AF25027&quot;/&gt;&lt;wsp:rsid wsp:val=&quot;3AF410E4&quot;/&gt;&lt;wsp:rsid wsp:val=&quot;3AF61300&quot;/&gt;&lt;wsp:rsid wsp:val=&quot;3AF64E5C&quot;/&gt;&lt;wsp:rsid wsp:val=&quot;3AF70BD4&quot;/&gt;&lt;wsp:rsid wsp:val=&quot;3AF76FF8&quot;/&gt;&lt;wsp:rsid wsp:val=&quot;3AFA0DF0&quot;/&gt;&lt;wsp:rsid wsp:val=&quot;3AFC23EB&quot;/&gt;&lt;wsp:rsid wsp:val=&quot;3AFD4CED&quot;/&gt;&lt;wsp:rsid wsp:val=&quot;3AFF0E7D&quot;/&gt;&lt;wsp:rsid wsp:val=&quot;3AFF6407&quot;/&gt;&lt;wsp:rsid wsp:val=&quot;3B007A89&quot;/&gt;&lt;wsp:rsid wsp:val=&quot;3B021A53&quot;/&gt;&lt;wsp:rsid wsp:val=&quot;3B051543&quot;/&gt;&lt;wsp:rsid wsp:val=&quot;3B053A83&quot;/&gt;&lt;wsp:rsid wsp:val=&quot;3B057795&quot;/&gt;&lt;wsp:rsid wsp:val=&quot;3B084B8F&quot;/&gt;&lt;wsp:rsid wsp:val=&quot;3B091033&quot;/&gt;&lt;wsp:rsid wsp:val=&quot;3B0A1C96&quot;/&gt;&lt;wsp:rsid wsp:val=&quot;3B0A2042&quot;/&gt;&lt;wsp:rsid wsp:val=&quot;3B0A5E7F&quot;/&gt;&lt;wsp:rsid wsp:val=&quot;3B0A6C5F&quot;/&gt;&lt;wsp:rsid wsp:val=&quot;3B0C4680&quot;/&gt;&lt;wsp:rsid wsp:val=&quot;3B0D1C2F&quot;/&gt;&lt;wsp:rsid wsp:val=&quot;3B0E03F8&quot;/&gt;&lt;wsp:rsid wsp:val=&quot;3B0E263C&quot;/&gt;&lt;wsp:rsid wsp:val=&quot;3B141B02&quot;/&gt;&lt;wsp:rsid wsp:val=&quot;3B143534&quot;/&gt;&lt;wsp:rsid wsp:val=&quot;3B1479D8&quot;/&gt;&lt;wsp:rsid wsp:val=&quot;3B196D9D&quot;/&gt;&lt;wsp:rsid wsp:val=&quot;3B1B2B15&quot;/&gt;&lt;wsp:rsid wsp:val=&quot;3B1B48C3&quot;/&gt;&lt;wsp:rsid wsp:val=&quot;3B1B6E04&quot;/&gt;&lt;wsp:rsid wsp:val=&quot;3B1D1699&quot;/&gt;&lt;wsp:rsid wsp:val=&quot;3B1D688D&quot;/&gt;&lt;wsp:rsid wsp:val=&quot;3B1E43B3&quot;/&gt;&lt;wsp:rsid wsp:val=&quot;3B20637D&quot;/&gt;&lt;wsp:rsid wsp:val=&quot;3B211535&quot;/&gt;&lt;wsp:rsid wsp:val=&quot;3B2229C5&quot;/&gt;&lt;wsp:rsid wsp:val=&quot;3B2306F7&quot;/&gt;&lt;wsp:rsid wsp:val=&quot;3B2319C9&quot;/&gt;&lt;wsp:rsid wsp:val=&quot;3B24625C&quot;/&gt;&lt;wsp:rsid wsp:val=&quot;3B29048F&quot;/&gt;&lt;wsp:rsid wsp:val=&quot;3B2A2D58&quot;/&gt;&lt;wsp:rsid wsp:val=&quot;3B2C2F74&quot;/&gt;&lt;wsp:rsid wsp:val=&quot;3B2E2848&quot;/&gt;&lt;wsp:rsid wsp:val=&quot;3B312338&quot;/&gt;&lt;wsp:rsid wsp:val=&quot;3B3140E6&quot;/&gt;&lt;wsp:rsid wsp:val=&quot;3B334302&quot;/&gt;&lt;wsp:rsid wsp:val=&quot;3B33508B&quot;/&gt;&lt;wsp:rsid wsp:val=&quot;3B3360B0&quot;/&gt;&lt;wsp:rsid wsp:val=&quot;3B345984&quot;/&gt;&lt;wsp:rsid wsp:val=&quot;3B347B68&quot;/&gt;&lt;wsp:rsid wsp:val=&quot;3B36794F&quot;/&gt;&lt;wsp:rsid wsp:val=&quot;3B3763D1&quot;/&gt;&lt;wsp:rsid wsp:val=&quot;3B381919&quot;/&gt;&lt;wsp:rsid wsp:val=&quot;3B3836C7&quot;/&gt;&lt;wsp:rsid wsp:val=&quot;3B385475&quot;/&gt;&lt;wsp:rsid wsp:val=&quot;3B3911ED&quot;/&gt;&lt;wsp:rsid wsp:val=&quot;3B3B31B7&quot;/&gt;&lt;wsp:rsid wsp:val=&quot;3B3B6D13&quot;/&gt;&lt;wsp:rsid wsp:val=&quot;3B3E6803&quot;/&gt;&lt;wsp:rsid wsp:val=&quot;3B40257B&quot;/&gt;&lt;wsp:rsid wsp:val=&quot;3B404329&quot;/&gt;&lt;wsp:rsid wsp:val=&quot;3B410B1F&quot;/&gt;&lt;wsp:rsid wsp:val=&quot;3B424545&quot;/&gt;&lt;wsp:rsid wsp:val=&quot;3B455DE4&quot;/&gt;&lt;wsp:rsid wsp:val=&quot;3B462D16&quot;/&gt;&lt;wsp:rsid wsp:val=&quot;3B47368F&quot;/&gt;&lt;wsp:rsid wsp:val=&quot;3B47390A&quot;/&gt;&lt;wsp:rsid wsp:val=&quot;3B491430&quot;/&gt;&lt;wsp:rsid wsp:val=&quot;3B4B758E&quot;/&gt;&lt;wsp:rsid wsp:val=&quot;3B4E0FE9&quot;/&gt;&lt;wsp:rsid wsp:val=&quot;3B4E2EEA&quot;/&gt;&lt;wsp:rsid wsp:val=&quot;3B4F6010&quot;/&gt;&lt;wsp:rsid wsp:val=&quot;3B510614&quot;/&gt;&lt;wsp:rsid wsp:val=&quot;3B512721&quot;/&gt;&lt;wsp:rsid wsp:val=&quot;3B516536&quot;/&gt;&lt;wsp:rsid wsp:val=&quot;3B530501&quot;/&gt;&lt;wsp:rsid wsp:val=&quot;3B53405D&quot;/&gt;&lt;wsp:rsid wsp:val=&quot;3B546F95&quot;/&gt;&lt;wsp:rsid wsp:val=&quot;3B547DD5&quot;/&gt;&lt;wsp:rsid wsp:val=&quot;3B572D45&quot;/&gt;&lt;wsp:rsid wsp:val=&quot;3B585B17&quot;/&gt;&lt;wsp:rsid wsp:val=&quot;3B5A16C6&quot;/&gt;&lt;wsp:rsid wsp:val=&quot;3B5A363D&quot;/&gt;&lt;wsp:rsid wsp:val=&quot;3B5B1163&quot;/&gt;&lt;wsp:rsid wsp:val=&quot;3B5B73B5&quot;/&gt;&lt;wsp:rsid wsp:val=&quot;3B5D137F&quot;/&gt;&lt;wsp:rsid wsp:val=&quot;3B5D256D&quot;/&gt;&lt;wsp:rsid wsp:val=&quot;3B5D312D&quot;/&gt;&lt;wsp:rsid wsp:val=&quot;3B5D4EDB&quot;/&gt;&lt;wsp:rsid wsp:val=&quot;3B5F0C53&quot;/&gt;&lt;wsp:rsid wsp:val=&quot;3B5F14D7&quot;/&gt;&lt;wsp:rsid wsp:val=&quot;3B5F6EA5&quot;/&gt;&lt;wsp:rsid wsp:val=&quot;3B602C1D&quot;/&gt;&lt;wsp:rsid wsp:val=&quot;3B6224F2&quot;/&gt;&lt;wsp:rsid wsp:val=&quot;3B643EB9&quot;/&gt;&lt;wsp:rsid wsp:val=&quot;3B6463EC&quot;/&gt;&lt;wsp:rsid wsp:val=&quot;3B651FE2&quot;/&gt;&lt;wsp:rsid wsp:val=&quot;3B6577A0&quot;/&gt;&lt;wsp:rsid wsp:val=&quot;3B697D24&quot;/&gt;&lt;wsp:rsid wsp:val=&quot;3B6B3A9C&quot;/&gt;&lt;wsp:rsid wsp:val=&quot;3B6B584A&quot;/&gt;&lt;wsp:rsid wsp:val=&quot;3B6C15C2&quot;/&gt;&lt;wsp:rsid wsp:val=&quot;3B6C3370&quot;/&gt;&lt;wsp:rsid wsp:val=&quot;3B6E533A&quot;/&gt;&lt;wsp:rsid wsp:val=&quot;3B710987&quot;/&gt;&lt;wsp:rsid wsp:val=&quot;3B716BD9&quot;/&gt;&lt;wsp:rsid wsp:val=&quot;3B7346FF&quot;/&gt;&lt;wsp:rsid wsp:val=&quot;3B742225&quot;/&gt;&lt;wsp:rsid wsp:val=&quot;3B744E3E&quot;/&gt;&lt;wsp:rsid wsp:val=&quot;3B7753B5&quot;/&gt;&lt;wsp:rsid wsp:val=&quot;3B792A78&quot;/&gt;&lt;wsp:rsid wsp:val=&quot;3B794C4F&quot;/&gt;&lt;wsp:rsid wsp:val=&quot;3B7A06E1&quot;/&gt;&lt;wsp:rsid wsp:val=&quot;3B7A49D5&quot;/&gt;&lt;wsp:rsid wsp:val=&quot;3B7B1805&quot;/&gt;&lt;wsp:rsid wsp:val=&quot;3B7E5BB4&quot;/&gt;&lt;wsp:rsid wsp:val=&quot;3B7F4E52&quot;/&gt;&lt;wsp:rsid wsp:val=&quot;3B805322&quot;/&gt;&lt;wsp:rsid wsp:val=&quot;3B83709F&quot;/&gt;&lt;wsp:rsid wsp:val=&quot;3B8406BA&quot;/&gt;&lt;wsp:rsid wsp:val=&quot;3B841D62&quot;/&gt;&lt;wsp:rsid wsp:val=&quot;3B842468&quot;/&gt;&lt;wsp:rsid wsp:val=&quot;3B84690C&quot;/&gt;&lt;wsp:rsid wsp:val=&quot;3B853F89&quot;/&gt;&lt;wsp:rsid wsp:val=&quot;3B893F22&quot;/&gt;&lt;wsp:rsid wsp:val=&quot;3B8A37F6&quot;/&gt;&lt;wsp:rsid wsp:val=&quot;3B8B1A48&quot;/&gt;&lt;wsp:rsid wsp:val=&quot;3B8E1539&quot;/&gt;&lt;wsp:rsid wsp:val=&quot;3B912DD7&quot;/&gt;&lt;wsp:rsid wsp:val=&quot;3B916673&quot;/&gt;&lt;wsp:rsid wsp:val=&quot;3B93199A&quot;/&gt;&lt;wsp:rsid wsp:val=&quot;3B934DA1&quot;/&gt;&lt;wsp:rsid wsp:val=&quot;3B9823B7&quot;/&gt;&lt;wsp:rsid wsp:val=&quot;3B985F13&quot;/&gt;&lt;wsp:rsid wsp:val=&quot;3B9A612F&quot;/&gt;&lt;wsp:rsid wsp:val=&quot;3B9A7EDD&quot;/&gt;&lt;wsp:rsid wsp:val=&quot;3B9B676C&quot;/&gt;&lt;wsp:rsid wsp:val=&quot;3B9C138F&quot;/&gt;&lt;wsp:rsid wsp:val=&quot;3B9C1EA7&quot;/&gt;&lt;wsp:rsid wsp:val=&quot;3B9D352A&quot;/&gt;&lt;wsp:rsid wsp:val=&quot;3B9D6381&quot;/&gt;&lt;wsp:rsid wsp:val=&quot;3B9E00AB&quot;/&gt;&lt;wsp:rsid wsp:val=&quot;3B9F72A2&quot;/&gt;&lt;wsp:rsid wsp:val=&quot;3BA23236&quot;/&gt;&lt;wsp:rsid wsp:val=&quot;3BA26D92&quot;/&gt;&lt;wsp:rsid wsp:val=&quot;3BA31EEA&quot;/&gt;&lt;wsp:rsid wsp:val=&quot;3BA40D5C&quot;/&gt;&lt;wsp:rsid wsp:val=&quot;3BA448B8&quot;/&gt;&lt;wsp:rsid wsp:val=&quot;3BA64AD4&quot;/&gt;&lt;wsp:rsid wsp:val=&quot;3BA90120&quot;/&gt;&lt;wsp:rsid wsp:val=&quot;3BA945C4&quot;/&gt;&lt;wsp:rsid wsp:val=&quot;3BAA5C47&quot;/&gt;&lt;wsp:rsid wsp:val=&quot;3BAC7C11&quot;/&gt;&lt;wsp:rsid wsp:val=&quot;3BB00B62&quot;/&gt;&lt;wsp:rsid wsp:val=&quot;3BB05953&quot;/&gt;&lt;wsp:rsid wsp:val=&quot;3BB07701&quot;/&gt;&lt;wsp:rsid wsp:val=&quot;3BB16FD5&quot;/&gt;&lt;wsp:rsid wsp:val=&quot;3BB506E3&quot;/&gt;&lt;wsp:rsid wsp:val=&quot;3BB50897&quot;/&gt;&lt;wsp:rsid wsp:val=&quot;3BB56AC5&quot;/&gt;&lt;wsp:rsid wsp:val=&quot;3BB645EB&quot;/&gt;&lt;wsp:rsid wsp:val=&quot;3BB80364&quot;/&gt;&lt;wsp:rsid wsp:val=&quot;3BB91697&quot;/&gt;&lt;wsp:rsid wsp:val=&quot;3BBA232E&quot;/&gt;&lt;wsp:rsid wsp:val=&quot;3BBC42F8&quot;/&gt;&lt;wsp:rsid wsp:val=&quot;3BBC60A6&quot;/&gt;&lt;wsp:rsid wsp:val=&quot;3BBD3BCC&quot;/&gt;&lt;wsp:rsid wsp:val=&quot;3BBD597A&quot;/&gt;&lt;wsp:rsid wsp:val=&quot;3BBF5B96&quot;/&gt;&lt;wsp:rsid wsp:val=&quot;3BC1190E&quot;/&gt;&lt;wsp:rsid wsp:val=&quot;3BC145A2&quot;/&gt;&lt;wsp:rsid wsp:val=&quot;3BC1546A&quot;/&gt;&lt;wsp:rsid wsp:val=&quot;3BC211E2&quot;/&gt;&lt;wsp:rsid wsp:val=&quot;3BC23194&quot;/&gt;&lt;wsp:rsid wsp:val=&quot;3BC27434&quot;/&gt;&lt;wsp:rsid wsp:val=&quot;3BC6195C&quot;/&gt;&lt;wsp:rsid wsp:val=&quot;3BC767F9&quot;/&gt;&lt;wsp:rsid wsp:val=&quot;3BC92571&quot;/&gt;&lt;wsp:rsid wsp:val=&quot;3BC958A8&quot;/&gt;&lt;wsp:rsid wsp:val=&quot;3BC96A15&quot;/&gt;&lt;wsp:rsid wsp:val=&quot;3BCA5C37&quot;/&gt;&lt;wsp:rsid wsp:val=&quot;3BCC0557&quot;/&gt;&lt;wsp:rsid wsp:val=&quot;3BCC2061&quot;/&gt;&lt;wsp:rsid wsp:val=&quot;3BCC3E0F&quot;/&gt;&lt;wsp:rsid wsp:val=&quot;3BCE7B87&quot;/&gt;&lt;wsp:rsid wsp:val=&quot;3BD02172&quot;/&gt;&lt;wsp:rsid wsp:val=&quot;3BD056AD&quot;/&gt;&lt;wsp:rsid wsp:val=&quot;3BD3519D&quot;/&gt;&lt;wsp:rsid wsp:val=&quot;3BD66A3C&quot;/&gt;&lt;wsp:rsid wsp:val=&quot;3BD74C8E&quot;/&gt;&lt;wsp:rsid wsp:val=&quot;3BD776DA&quot;/&gt;&lt;wsp:rsid wsp:val=&quot;3BD80A06&quot;/&gt;&lt;wsp:rsid wsp:val=&quot;3BD827B4&quot;/&gt;&lt;wsp:rsid wsp:val=&quot;3BD86C58&quot;/&gt;&lt;wsp:rsid wsp:val=&quot;3BDB4052&quot;/&gt;&lt;wsp:rsid wsp:val=&quot;3BDC04F6&quot;/&gt;&lt;wsp:rsid wsp:val=&quot;3BDD601C&quot;/&gt;&lt;wsp:rsid wsp:val=&quot;3BDD7DCA&quot;/&gt;&lt;wsp:rsid wsp:val=&quot;3BDE2AC7&quot;/&gt;&lt;wsp:rsid wsp:val=&quot;3BDF36C0&quot;/&gt;&lt;wsp:rsid wsp:val=&quot;3BE112ED&quot;/&gt;&lt;wsp:rsid wsp:val=&quot;3BE1671C&quot;/&gt;&lt;wsp:rsid wsp:val=&quot;3BE23632&quot;/&gt;&lt;wsp:rsid wsp:val=&quot;3BE334BE&quot;/&gt;&lt;wsp:rsid wsp:val=&quot;3BE349CE&quot;/&gt;&lt;wsp:rsid wsp:val=&quot;3BE41159&quot;/&gt;&lt;wsp:rsid wsp:val=&quot;3BE473AB&quot;/&gt;&lt;wsp:rsid wsp:val=&quot;3BE61375&quot;/&gt;&lt;wsp:rsid wsp:val=&quot;3BE63CCF&quot;/&gt;&lt;wsp:rsid wsp:val=&quot;3BE66FC9&quot;/&gt;&lt;wsp:rsid wsp:val=&quot;3BE7089C&quot;/&gt;&lt;wsp:rsid wsp:val=&quot;3BE70C49&quot;/&gt;&lt;wsp:rsid wsp:val=&quot;3BE92C13&quot;/&gt;&lt;wsp:rsid wsp:val=&quot;3BE9676F&quot;/&gt;&lt;wsp:rsid wsp:val=&quot;3BEB005B&quot;/&gt;&lt;wsp:rsid wsp:val=&quot;3BEC625F&quot;/&gt;&lt;wsp:rsid wsp:val=&quot;3BED2703&quot;/&gt;&lt;wsp:rsid wsp:val=&quot;3BF07AFD&quot;/&gt;&lt;wsp:rsid wsp:val=&quot;3BF21AC7&quot;/&gt;&lt;wsp:rsid wsp:val=&quot;3BF27D19&quot;/&gt;&lt;wsp:rsid wsp:val=&quot;3BF33A92&quot;/&gt;&lt;wsp:rsid wsp:val=&quot;3BF375EE&quot;/&gt;&lt;wsp:rsid wsp:val=&quot;3BF55114&quot;/&gt;&lt;wsp:rsid wsp:val=&quot;3BF62E7B&quot;/&gt;&lt;wsp:rsid wsp:val=&quot;3BF910A8&quot;/&gt;&lt;wsp:rsid wsp:val=&quot;3BFC2946&quot;/&gt;&lt;wsp:rsid wsp:val=&quot;3BFC64A2&quot;/&gt;&lt;wsp:rsid wsp:val=&quot;3BFD221A&quot;/&gt;&lt;wsp:rsid wsp:val=&quot;3BFE66BE&quot;/&gt;&lt;wsp:rsid wsp:val=&quot;3BFE7989&quot;/&gt;&lt;wsp:rsid wsp:val=&quot;3BFF237D&quot;/&gt;&lt;wsp:rsid wsp:val=&quot;3BFF33E6&quot;/&gt;&lt;wsp:rsid wsp:val=&quot;3BFF5F92&quot;/&gt;&lt;wsp:rsid wsp:val=&quot;3C0178D1&quot;/&gt;&lt;wsp:rsid wsp:val=&quot;3C026603&quot;/&gt;&lt;wsp:rsid wsp:val=&quot;3C0417FB&quot;/&gt;&lt;wsp:rsid wsp:val=&quot;3C0435A9&quot;/&gt;&lt;wsp:rsid wsp:val=&quot;3C055B17&quot;/&gt;&lt;wsp:rsid wsp:val=&quot;3C065573&quot;/&gt;&lt;wsp:rsid wsp:val=&quot;3C067321&quot;/&gt;&lt;wsp:rsid wsp:val=&quot;3C0812EB&quot;/&gt;&lt;wsp:rsid wsp:val=&quot;3C08753D&quot;/&gt;&lt;wsp:rsid wsp:val=&quot;3C0A04F9&quot;/&gt;&lt;wsp:rsid wsp:val=&quot;3C0B455A&quot;/&gt;&lt;wsp:rsid wsp:val=&quot;3C0C5463&quot;/&gt;&lt;wsp:rsid wsp:val=&quot;3C0C59EA&quot;/&gt;&lt;wsp:rsid wsp:val=&quot;3C0E28B1&quot;/&gt;&lt;wsp:rsid wsp:val=&quot;3C101F4E&quot;/&gt;&lt;wsp:rsid wsp:val=&quot;3C12157C&quot;/&gt;&lt;wsp:rsid wsp:val=&quot;3C125CC6&quot;/&gt;&lt;wsp:rsid wsp:val=&quot;3C131A3E&quot;/&gt;&lt;wsp:rsid wsp:val=&quot;3C135E94&quot;/&gt;&lt;wsp:rsid wsp:val=&quot;3C14417C&quot;/&gt;&lt;wsp:rsid wsp:val=&quot;3C145487&quot;/&gt;&lt;wsp:rsid wsp:val=&quot;3C153A08&quot;/&gt;&lt;wsp:rsid wsp:val=&quot;3C1736E3&quot;/&gt;&lt;wsp:rsid wsp:val=&quot;3C177780&quot;/&gt;&lt;wsp:rsid wsp:val=&quot;3C1852A6&quot;/&gt;&lt;wsp:rsid wsp:val=&quot;3C1A101E&quot;/&gt;&lt;wsp:rsid wsp:val=&quot;3C1A2DCC&quot;/&gt;&lt;wsp:rsid wsp:val=&quot;3C1A67DC&quot;/&gt;&lt;wsp:rsid wsp:val=&quot;3C1A68AD&quot;/&gt;&lt;wsp:rsid wsp:val=&quot;3C1A7270&quot;/&gt;&lt;wsp:rsid wsp:val=&quot;3C1C18F8&quot;/&gt;&lt;wsp:rsid wsp:val=&quot;3C1C4D96&quot;/&gt;&lt;wsp:rsid wsp:val=&quot;3C1E0B0E&quot;/&gt;&lt;wsp:rsid wsp:val=&quot;3C1E28BD&quot;/&gt;&lt;wsp:rsid wsp:val=&quot;3C1F03E3&quot;/&gt;&lt;wsp:rsid wsp:val=&quot;3C20271F&quot;/&gt;&lt;wsp:rsid wsp:val=&quot;3C210428&quot;/&gt;&lt;wsp:rsid wsp:val=&quot;3C221C81&quot;/&gt;&lt;wsp:rsid wsp:val=&quot;3C243C4B&quot;/&gt;&lt;wsp:rsid wsp:val=&quot;3C2679C3&quot;/&gt;&lt;wsp:rsid wsp:val=&quot;3C277297&quot;/&gt;&lt;wsp:rsid wsp:val=&quot;3C294F12&quot;/&gt;&lt;wsp:rsid wsp:val=&quot;3C2974B3&quot;/&gt;&lt;wsp:rsid wsp:val=&quot;3C2B6D87&quot;/&gt;&lt;wsp:rsid wsp:val=&quot;3C2B7AFE&quot;/&gt;&lt;wsp:rsid wsp:val=&quot;3C2D0D52&quot;/&gt;&lt;wsp:rsid wsp:val=&quot;3C2D2B00&quot;/&gt;&lt;wsp:rsid wsp:val=&quot;3C2D6FA3&quot;/&gt;&lt;wsp:rsid wsp:val=&quot;3C2E0626&quot;/&gt;&lt;wsp:rsid wsp:val=&quot;3C2E7589&quot;/&gt;&lt;wsp:rsid wsp:val=&quot;3C2F4ACA&quot;/&gt;&lt;wsp:rsid wsp:val=&quot;3C2F6E1E&quot;/&gt;&lt;wsp:rsid wsp:val=&quot;3C320116&quot;/&gt;&lt;wsp:rsid wsp:val=&quot;3C3224E4&quot;/&gt;&lt;wsp:rsid wsp:val=&quot;3C345DD1&quot;/&gt;&lt;wsp:rsid wsp:val=&quot;3C352F86&quot;/&gt;&lt;wsp:rsid wsp:val=&quot;3C355E58&quot;/&gt;&lt;wsp:rsid wsp:val=&quot;3C387BE8&quot;/&gt;&lt;wsp:rsid wsp:val=&quot;3C3976F6&quot;/&gt;&lt;wsp:rsid wsp:val=&quot;3C3A6FCB&quot;/&gt;&lt;wsp:rsid wsp:val=&quot;3C3C0F95&quot;/&gt;&lt;wsp:rsid wsp:val=&quot;3C3E2F5F&quot;/&gt;&lt;wsp:rsid wsp:val=&quot;3C3F0648&quot;/&gt;&lt;wsp:rsid wsp:val=&quot;3C403B27&quot;/&gt;&lt;wsp:rsid wsp:val=&quot;3C406CD7&quot;/&gt;&lt;wsp:rsid wsp:val=&quot;3C4147FD&quot;/&gt;&lt;wsp:rsid wsp:val=&quot;3C4165AB&quot;/&gt;&lt;wsp:rsid wsp:val=&quot;3C41761B&quot;/&gt;&lt;wsp:rsid wsp:val=&quot;3C420004&quot;/&gt;&lt;wsp:rsid wsp:val=&quot;3C432323&quot;/&gt;&lt;wsp:rsid wsp:val=&quot;3C447E49&quot;/&gt;&lt;wsp:rsid wsp:val=&quot;3C460065&quot;/&gt;&lt;wsp:rsid wsp:val=&quot;3C461E13&quot;/&gt;&lt;wsp:rsid wsp:val=&quot;3C46443A&quot;/&gt;&lt;wsp:rsid wsp:val=&quot;3C495460&quot;/&gt;&lt;wsp:rsid wsp:val=&quot;3C4B567C&quot;/&gt;&lt;wsp:rsid wsp:val=&quot;3C4D6CFE&quot;/&gt;&lt;wsp:rsid wsp:val=&quot;3C4E2A76&quot;/&gt;&lt;wsp:rsid wsp:val=&quot;3C4F64BA&quot;/&gt;&lt;wsp:rsid wsp:val=&quot;3C5067EE&quot;/&gt;&lt;wsp:rsid wsp:val=&quot;3C526A0A&quot;/&gt;&lt;wsp:rsid wsp:val=&quot;3C53008C&quot;/&gt;&lt;wsp:rsid wsp:val=&quot;3C530193&quot;/&gt;&lt;wsp:rsid wsp:val=&quot;3C534C12&quot;/&gt;&lt;wsp:rsid wsp:val=&quot;3C544530&quot;/&gt;&lt;wsp:rsid wsp:val=&quot;3C5462DE&quot;/&gt;&lt;wsp:rsid wsp:val=&quot;3C547ECE&quot;/&gt;&lt;wsp:rsid wsp:val=&quot;3C577273&quot;/&gt;&lt;wsp:rsid wsp:val=&quot;3C591B47&quot;/&gt;&lt;wsp:rsid wsp:val=&quot;3C5938F5&quot;/&gt;&lt;wsp:rsid wsp:val=&quot;3C5C6BA4&quot;/&gt;&lt;wsp:rsid wsp:val=&quot;3C5E53AF&quot;/&gt;&lt;wsp:rsid wsp:val=&quot;3C5F2ED5&quot;/&gt;&lt;wsp:rsid wsp:val=&quot;3C5F6A31&quot;/&gt;&lt;wsp:rsid wsp:val=&quot;3C601127&quot;/&gt;&lt;wsp:rsid wsp:val=&quot;3C60496F&quot;/&gt;&lt;wsp:rsid wsp:val=&quot;3C616C4D&quot;/&gt;&lt;wsp:rsid wsp:val=&quot;3C6224D2&quot;/&gt;&lt;wsp:rsid wsp:val=&quot;3C6329C5&quot;/&gt;&lt;wsp:rsid wsp:val=&quot;3C636521&quot;/&gt;&lt;wsp:rsid wsp:val=&quot;3C642299&quot;/&gt;&lt;wsp:rsid wsp:val=&quot;3C6504EB&quot;/&gt;&lt;wsp:rsid wsp:val=&quot;3C666012&quot;/&gt;&lt;wsp:rsid wsp:val=&quot;3C680BB5&quot;/&gt;&lt;wsp:rsid wsp:val=&quot;3C683B38&quot;/&gt;&lt;wsp:rsid wsp:val=&quot;3C6D114E&quot;/&gt;&lt;wsp:rsid wsp:val=&quot;3C6D2D06&quot;/&gt;&lt;wsp:rsid wsp:val=&quot;3C6E4B61&quot;/&gt;&lt;wsp:rsid wsp:val=&quot;3C6F136A&quot;/&gt;&lt;wsp:rsid wsp:val=&quot;3C6F2411&quot;/&gt;&lt;wsp:rsid wsp:val=&quot;3C6F26D5&quot;/&gt;&lt;wsp:rsid wsp:val=&quot;3C6F3118&quot;/&gt;&lt;wsp:rsid wsp:val=&quot;3C723457&quot;/&gt;&lt;wsp:rsid wsp:val=&quot;3C752089&quot;/&gt;&lt;wsp:rsid wsp:val=&quot;3C77021F&quot;/&gt;&lt;wsp:rsid wsp:val=&quot;3C771FCD&quot;/&gt;&lt;wsp:rsid wsp:val=&quot;3C793F97&quot;/&gt;&lt;wsp:rsid wsp:val=&quot;3C795D45&quot;/&gt;&lt;wsp:rsid wsp:val=&quot;3C7E15AD&quot;/&gt;&lt;wsp:rsid wsp:val=&quot;3C7E335B&quot;/&gt;&lt;wsp:rsid wsp:val=&quot;3C7F0E81&quot;/&gt;&lt;wsp:rsid wsp:val=&quot;3C805325&quot;/&gt;&lt;wsp:rsid wsp:val=&quot;3C822F4C&quot;/&gt;&lt;wsp:rsid wsp:val=&quot;3C834E15&quot;/&gt;&lt;wsp:rsid wsp:val=&quot;3C835B1D&quot;/&gt;&lt;wsp:rsid wsp:val=&quot;3C8446EA&quot;/&gt;&lt;wsp:rsid wsp:val=&quot;3C88242C&quot;/&gt;&lt;wsp:rsid wsp:val=&quot;3C8A61A4&quot;/&gt;&lt;wsp:rsid wsp:val=&quot;3C8B4AF4&quot;/&gt;&lt;wsp:rsid wsp:val=&quot;3C8C1F1C&quot;/&gt;&lt;wsp:rsid wsp:val=&quot;3C8D56E2&quot;/&gt;&lt;wsp:rsid wsp:val=&quot;3C8F37BA&quot;/&gt;&lt;wsp:rsid wsp:val=&quot;3C8F7316&quot;/&gt;&lt;wsp:rsid wsp:val=&quot;3C9012E0&quot;/&gt;&lt;wsp:rsid wsp:val=&quot;3C90308E&quot;/&gt;&lt;wsp:rsid wsp:val=&quot;3C917532&quot;/&gt;&lt;wsp:rsid wsp:val=&quot;3C925059&quot;/&gt;&lt;wsp:rsid wsp:val=&quot;3C942B7F&quot;/&gt;&lt;wsp:rsid wsp:val=&quot;3C94492D&quot;/&gt;&lt;wsp:rsid wsp:val=&quot;3C9506A5&quot;/&gt;&lt;wsp:rsid wsp:val=&quot;3C964B49&quot;/&gt;&lt;wsp:rsid wsp:val=&quot;3C9708C1&quot;/&gt;&lt;wsp:rsid wsp:val=&quot;3C97266F&quot;/&gt;&lt;wsp:rsid wsp:val=&quot;3C991F43&quot;/&gt;&lt;wsp:rsid wsp:val=&quot;3C9B215F&quot;/&gt;&lt;wsp:rsid wsp:val=&quot;3C9B3F0D&quot;/&gt;&lt;wsp:rsid wsp:val=&quot;3C9C5234&quot;/&gt;&lt;wsp:rsid wsp:val=&quot;3C9E39FD&quot;/&gt;&lt;wsp:rsid wsp:val=&quot;3CA01523&quot;/&gt;&lt;wsp:rsid wsp:val=&quot;3CA07775&quot;/&gt;&lt;wsp:rsid wsp:val=&quot;3CA1704A&quot;/&gt;&lt;wsp:rsid wsp:val=&quot;3CA562E6&quot;/&gt;&lt;wsp:rsid wsp:val=&quot;3CA56B3A&quot;/&gt;&lt;wsp:rsid wsp:val=&quot;3CA628B2&quot;/&gt;&lt;wsp:rsid wsp:val=&quot;3CA8662A&quot;/&gt;&lt;wsp:rsid wsp:val=&quot;3CAA05F4&quot;/&gt;&lt;wsp:rsid wsp:val=&quot;3CAB1C76&quot;/&gt;&lt;wsp:rsid wsp:val=&quot;3CAB4D29&quot;/&gt;&lt;wsp:rsid wsp:val=&quot;3CAC35E8&quot;/&gt;&lt;wsp:rsid wsp:val=&quot;3CAD1E92&quot;/&gt;&lt;wsp:rsid wsp:val=&quot;3CAD3C40&quot;/&gt;&lt;wsp:rsid wsp:val=&quot;3CAE221A&quot;/&gt;&lt;wsp:rsid wsp:val=&quot;3CAE25AF&quot;/&gt;&lt;wsp:rsid wsp:val=&quot;3CAF1767&quot;/&gt;&lt;wsp:rsid wsp:val=&quot;3CB11983&quot;/&gt;&lt;wsp:rsid wsp:val=&quot;3CB2733A&quot;/&gt;&lt;wsp:rsid wsp:val=&quot;3CB2745A&quot;/&gt;&lt;wsp:rsid wsp:val=&quot;3CB274A9&quot;/&gt;&lt;wsp:rsid wsp:val=&quot;3CB44FCF&quot;/&gt;&lt;wsp:rsid wsp:val=&quot;3CB52AF5&quot;/&gt;&lt;wsp:rsid wsp:val=&quot;3CB72D11&quot;/&gt;&lt;wsp:rsid wsp:val=&quot;3CB732CC&quot;/&gt;&lt;wsp:rsid wsp:val=&quot;3CB76A42&quot;/&gt;&lt;wsp:rsid wsp:val=&quot;3CB837AC&quot;/&gt;&lt;wsp:rsid wsp:val=&quot;3CB90837&quot;/&gt;&lt;wsp:rsid wsp:val=&quot;3CBA010B&quot;/&gt;&lt;wsp:rsid wsp:val=&quot;3CBB630E&quot;/&gt;&lt;wsp:rsid wsp:val=&quot;3CBD0327&quot;/&gt;&lt;wsp:rsid wsp:val=&quot;3CBE19AA&quot;/&gt;&lt;wsp:rsid wsp:val=&quot;3CC176EC&quot;/&gt;&lt;wsp:rsid wsp:val=&quot;3CC316B6&quot;/&gt;&lt;wsp:rsid wsp:val=&quot;3CC33464&quot;/&gt;&lt;wsp:rsid wsp:val=&quot;3CC571DC&quot;/&gt;&lt;wsp:rsid wsp:val=&quot;3CC57E27&quot;/&gt;&lt;wsp:rsid wsp:val=&quot;3CC66AB0&quot;/&gt;&lt;wsp:rsid wsp:val=&quot;3CCA034E&quot;/&gt;&lt;wsp:rsid wsp:val=&quot;3CCA2A44&quot;/&gt;&lt;wsp:rsid wsp:val=&quot;3CCA65A0&quot;/&gt;&lt;wsp:rsid wsp:val=&quot;3CCB2319&quot;/&gt;&lt;wsp:rsid wsp:val=&quot;3CCB40C7&quot;/&gt;&lt;wsp:rsid wsp:val=&quot;3CCC056A&quot;/&gt;&lt;wsp:rsid wsp:val=&quot;3CCC471E&quot;/&gt;&lt;wsp:rsid wsp:val=&quot;3CCD14F4&quot;/&gt;&lt;wsp:rsid wsp:val=&quot;3CCD42E3&quot;/&gt;&lt;wsp:rsid wsp:val=&quot;3CCD7E3F&quot;/&gt;&lt;wsp:rsid wsp:val=&quot;3CCF1E09&quot;/&gt;&lt;wsp:rsid wsp:val=&quot;3CCF3BB7&quot;/&gt;&lt;wsp:rsid wsp:val=&quot;3CD13DD3&quot;/&gt;&lt;wsp:rsid wsp:val=&quot;3CD1792F&quot;/&gt;&lt;wsp:rsid wsp:val=&quot;3CD218F9&quot;/&gt;&lt;wsp:rsid wsp:val=&quot;3CD25455&quot;/&gt;&lt;wsp:rsid wsp:val=&quot;3CD270CE&quot;/&gt;&lt;wsp:rsid wsp:val=&quot;3CD27ED4&quot;/&gt;&lt;wsp:rsid wsp:val=&quot;3CD53C84&quot;/&gt;&lt;wsp:rsid wsp:val=&quot;3CD70CBD&quot;/&gt;&lt;wsp:rsid wsp:val=&quot;3CD92C87&quot;/&gt;&lt;wsp:rsid wsp:val=&quot;3CD94A35&quot;/&gt;&lt;wsp:rsid wsp:val=&quot;3CDA245A&quot;/&gt;&lt;wsp:rsid wsp:val=&quot;3CDA2E38&quot;/&gt;&lt;wsp:rsid wsp:val=&quot;3CDC0F86&quot;/&gt;&lt;wsp:rsid wsp:val=&quot;3CDE4963&quot;/&gt;&lt;wsp:rsid wsp:val=&quot;3CE04016&quot;/&gt;&lt;wsp:rsid wsp:val=&quot;3CE07B72&quot;/&gt;&lt;wsp:rsid wsp:val=&quot;3CE2168B&quot;/&gt;&lt;wsp:rsid wsp:val=&quot;3CE27D8E&quot;/&gt;&lt;wsp:rsid wsp:val=&quot;3CE358B4&quot;/&gt;&lt;wsp:rsid wsp:val=&quot;3CE47E75&quot;/&gt;&lt;wsp:rsid wsp:val=&quot;3CE533DA&quot;/&gt;&lt;wsp:rsid wsp:val=&quot;3CE60A40&quot;/&gt;&lt;wsp:rsid wsp:val=&quot;3CE82ECA&quot;/&gt;&lt;wsp:rsid wsp:val=&quot;3CE8383B&quot;/&gt;&lt;wsp:rsid wsp:val=&quot;3CEB3763&quot;/&gt;&lt;wsp:rsid wsp:val=&quot;3CED04E1&quot;/&gt;&lt;wsp:rsid wsp:val=&quot;3CED6733&quot;/&gt;&lt;wsp:rsid wsp:val=&quot;3CEE4EEF&quot;/&gt;&lt;wsp:rsid wsp:val=&quot;3CEF4259&quot;/&gt;&lt;wsp:rsid wsp:val=&quot;3CF03B2D&quot;/&gt;&lt;wsp:rsid wsp:val=&quot;3CF11D7F&quot;/&gt;&lt;wsp:rsid wsp:val=&quot;3CF17FD1&quot;/&gt;&lt;wsp:rsid wsp:val=&quot;3CF30BDC&quot;/&gt;&lt;wsp:rsid wsp:val=&quot;3CF4361D&quot;/&gt;&lt;wsp:rsid wsp:val=&quot;3CF61143&quot;/&gt;&lt;wsp:rsid wsp:val=&quot;3CF655E7&quot;/&gt;&lt;wsp:rsid wsp:val=&quot;3CF8135F&quot;/&gt;&lt;wsp:rsid wsp:val=&quot;3CFC0724&quot;/&gt;&lt;wsp:rsid wsp:val=&quot;3CFC24D2&quot;/&gt;&lt;wsp:rsid wsp:val=&quot;3CFC7B86&quot;/&gt;&lt;wsp:rsid wsp:val=&quot;3CFD6976&quot;/&gt;&lt;wsp:rsid wsp:val=&quot;3D015D3A&quot;/&gt;&lt;wsp:rsid wsp:val=&quot;3D031AB2&quot;/&gt;&lt;wsp:rsid wsp:val=&quot;3D033860&quot;/&gt;&lt;wsp:rsid wsp:val=&quot;3D053A7C&quot;/&gt;&lt;wsp:rsid wsp:val=&quot;3D053AAD&quot;/&gt;&lt;wsp:rsid wsp:val=&quot;3D08531B&quot;/&gt;&lt;wsp:rsid wsp:val=&quot;3D0A1093&quot;/&gt;&lt;wsp:rsid wsp:val=&quot;3D0A4BEF&quot;/&gt;&lt;wsp:rsid wsp:val=&quot;3D0C0967&quot;/&gt;&lt;wsp:rsid wsp:val=&quot;3D0E0B83&quot;/&gt;&lt;wsp:rsid wsp:val=&quot;3D0E5E2B&quot;/&gt;&lt;wsp:rsid wsp:val=&quot;3D0F66A9&quot;/&gt;&lt;wsp:rsid wsp:val=&quot;3D112421&quot;/&gt;&lt;wsp:rsid wsp:val=&quot;3D141F11&quot;/&gt;&lt;wsp:rsid wsp:val=&quot;3D143CBF&quot;/&gt;&lt;wsp:rsid wsp:val=&quot;3D145A6E&quot;/&gt;&lt;wsp:rsid wsp:val=&quot;3D147979&quot;/&gt;&lt;wsp:rsid wsp:val=&quot;3D1579D1&quot;/&gt;&lt;wsp:rsid wsp:val=&quot;3D167A38&quot;/&gt;&lt;wsp:rsid wsp:val=&quot;3D1811D9&quot;/&gt;&lt;wsp:rsid wsp:val=&quot;3D197528&quot;/&gt;&lt;wsp:rsid wsp:val=&quot;3D1C4922&quot;/&gt;&lt;wsp:rsid wsp:val=&quot;3D1C7B5A&quot;/&gt;&lt;wsp:rsid wsp:val=&quot;3D1D0FEA&quot;/&gt;&lt;wsp:rsid wsp:val=&quot;3D1E06B7&quot;/&gt;&lt;wsp:rsid wsp:val=&quot;3D1E68EC&quot;/&gt;&lt;wsp:rsid wsp:val=&quot;3D1F4D9A&quot;/&gt;&lt;wsp:rsid wsp:val=&quot;3D204412&quot;/&gt;&lt;wsp:rsid wsp:val=&quot;3D211F38&quot;/&gt;&lt;wsp:rsid wsp:val=&quot;3D22228B&quot;/&gt;&lt;wsp:rsid wsp:val=&quot;3D233F03&quot;/&gt;&lt;wsp:rsid wsp:val=&quot;3D243E9C&quot;/&gt;&lt;wsp:rsid wsp:val=&quot;3D247E6C&quot;/&gt;&lt;wsp:rsid wsp:val=&quot;3D251A29&quot;/&gt;&lt;wsp:rsid wsp:val=&quot;3D255ECD&quot;/&gt;&lt;wsp:rsid wsp:val=&quot;3D2757A1&quot;/&gt;&lt;wsp:rsid wsp:val=&quot;3D2832C7&quot;/&gt;&lt;wsp:rsid wsp:val=&quot;3D2860FD&quot;/&gt;&lt;wsp:rsid wsp:val=&quot;3D2A703F&quot;/&gt;&lt;wsp:rsid wsp:val=&quot;3D2C2DB7&quot;/&gt;&lt;wsp:rsid wsp:val=&quot;3D2E2FD3&quot;/&gt;&lt;wsp:rsid wsp:val=&quot;3D2F0AF9&quot;/&gt;&lt;wsp:rsid wsp:val=&quot;3D31661F&quot;/&gt;&lt;wsp:rsid wsp:val=&quot;3D324146&quot;/&gt;&lt;wsp:rsid wsp:val=&quot;3D332398&quot;/&gt;&lt;wsp:rsid wsp:val=&quot;3D34205A&quot;/&gt;&lt;wsp:rsid wsp:val=&quot;3D343F2F&quot;/&gt;&lt;wsp:rsid wsp:val=&quot;3D346110&quot;/&gt;&lt;wsp:rsid wsp:val=&quot;3D3632D2&quot;/&gt;&lt;wsp:rsid wsp:val=&quot;3D371E6A&quot;/&gt;&lt;wsp:rsid wsp:val=&quot;3D3A1978&quot;/&gt;&lt;wsp:rsid wsp:val=&quot;3D3A19A2&quot;/&gt;&lt;wsp:rsid wsp:val=&quot;3D3B2FFA&quot;/&gt;&lt;wsp:rsid wsp:val=&quot;3D3D3216&quot;/&gt;&lt;wsp:rsid wsp:val=&quot;3D404AB5&quot;/&gt;&lt;wsp:rsid wsp:val=&quot;3D406863&quot;/&gt;&lt;wsp:rsid wsp:val=&quot;3D417AC7&quot;/&gt;&lt;wsp:rsid wsp:val=&quot;3D4225DB&quot;/&gt;&lt;wsp:rsid wsp:val=&quot;3D424389&quot;/&gt;&lt;wsp:rsid wsp:val=&quot;3D4520CB&quot;/&gt;&lt;wsp:rsid wsp:val=&quot;3D474095&quot;/&gt;&lt;wsp:rsid wsp:val=&quot;3D485717&quot;/&gt;&lt;wsp:rsid wsp:val=&quot;3D493D04&quot;/&gt;&lt;wsp:rsid wsp:val=&quot;3D4A5933&quot;/&gt;&lt;wsp:rsid wsp:val=&quot;3D4A76E1&quot;/&gt;&lt;wsp:rsid wsp:val=&quot;3D4B2926&quot;/&gt;&lt;wsp:rsid wsp:val=&quot;3D4E5423&quot;/&gt;&lt;wsp:rsid wsp:val=&quot;3D4F2F4A&quot;/&gt;&lt;wsp:rsid wsp:val=&quot;3D4F6AA6&quot;/&gt;&lt;wsp:rsid wsp:val=&quot;3D513F0C&quot;/&gt;&lt;wsp:rsid wsp:val=&quot;3D5347E8&quot;/&gt;&lt;wsp:rsid wsp:val=&quot;3D5356C5&quot;/&gt;&lt;wsp:rsid wsp:val=&quot;3D5440BC&quot;/&gt;&lt;wsp:rsid wsp:val=&quot;3D5565A9&quot;/&gt;&lt;wsp:rsid wsp:val=&quot;3D567E34&quot;/&gt;&lt;wsp:rsid wsp:val=&quot;3D5800D7&quot;/&gt;&lt;wsp:rsid wsp:val=&quot;3D583BAC&quot;/&gt;&lt;wsp:rsid wsp:val=&quot;3D58755E&quot;/&gt;&lt;wsp:rsid wsp:val=&quot;3D5A3DC8&quot;/&gt;&lt;wsp:rsid wsp:val=&quot;3D5D28F2&quot;/&gt;&lt;wsp:rsid wsp:val=&quot;3D5F3856&quot;/&gt;&lt;wsp:rsid wsp:val=&quot;3D600CB3&quot;/&gt;&lt;wsp:rsid wsp:val=&quot;3D605157&quot;/&gt;&lt;wsp:rsid wsp:val=&quot;3D6108B8&quot;/&gt;&lt;wsp:rsid wsp:val=&quot;3D624A2B&quot;/&gt;&lt;wsp:rsid wsp:val=&quot;3D633921&quot;/&gt;&lt;wsp:rsid wsp:val=&quot;3D65276D&quot;/&gt;&lt;wsp:rsid wsp:val=&quot;3D667A0D&quot;/&gt;&lt;wsp:rsid wsp:val=&quot;3D670293&quot;/&gt;&lt;wsp:rsid wsp:val=&quot;3D687B67&quot;/&gt;&lt;wsp:rsid wsp:val=&quot;3D69400B&quot;/&gt;&lt;wsp:rsid wsp:val=&quot;3D6C33A0&quot;/&gt;&lt;wsp:rsid wsp:val=&quot;3D6C3AFB&quot;/&gt;&lt;wsp:rsid wsp:val=&quot;3D6D4830&quot;/&gt;&lt;wsp:rsid wsp:val=&quot;3D70539A&quot;/&gt;&lt;wsp:rsid wsp:val=&quot;3D711112&quot;/&gt;&lt;wsp:rsid wsp:val=&quot;3D714641&quot;/&gt;&lt;wsp:rsid wsp:val=&quot;3D7164C9&quot;/&gt;&lt;wsp:rsid wsp:val=&quot;3D732013&quot;/&gt;&lt;wsp:rsid wsp:val=&quot;3D74475E&quot;/&gt;&lt;wsp:rsid wsp:val=&quot;3D74650C&quot;/&gt;&lt;wsp:rsid wsp:val=&quot;3D7529B0&quot;/&gt;&lt;wsp:rsid wsp:val=&quot;3D7604D6&quot;/&gt;&lt;wsp:rsid wsp:val=&quot;3D766728&quot;/&gt;&lt;wsp:rsid wsp:val=&quot;3D781943&quot;/&gt;&lt;wsp:rsid wsp:val=&quot;3D7824A0&quot;/&gt;&lt;wsp:rsid wsp:val=&quot;3D785FFC&quot;/&gt;&lt;wsp:rsid wsp:val=&quot;3D791D75&quot;/&gt;&lt;wsp:rsid wsp:val=&quot;3D7B789B&quot;/&gt;&lt;wsp:rsid wsp:val=&quot;3D7D3613&quot;/&gt;&lt;wsp:rsid wsp:val=&quot;3D7F382F&quot;/&gt;&lt;wsp:rsid wsp:val=&quot;3D802CA6&quot;/&gt;&lt;wsp:rsid wsp:val=&quot;3D846F19&quot;/&gt;&lt;wsp:rsid wsp:val=&quot;3D853F47&quot;/&gt;&lt;wsp:rsid wsp:val=&quot;3D855688&quot;/&gt;&lt;wsp:rsid wsp:val=&quot;3D8726E3&quot;/&gt;&lt;wsp:rsid wsp:val=&quot;3D8C7CFA&quot;/&gt;&lt;wsp:rsid wsp:val=&quot;3D8D3E1A&quot;/&gt;&lt;wsp:rsid wsp:val=&quot;3D8D44B9&quot;/&gt;&lt;wsp:rsid wsp:val=&quot;3D8F1598&quot;/&gt;&lt;wsp:rsid wsp:val=&quot;3D913562&quot;/&gt;&lt;wsp:rsid wsp:val=&quot;3D915310&quot;/&gt;&lt;wsp:rsid wsp:val=&quot;3D9170BE&quot;/&gt;&lt;wsp:rsid wsp:val=&quot;3D931088&quot;/&gt;&lt;wsp:rsid wsp:val=&quot;3D934583&quot;/&gt;&lt;wsp:rsid wsp:val=&quot;3D9372DA&quot;/&gt;&lt;wsp:rsid wsp:val=&quot;3D946844&quot;/&gt;&lt;wsp:rsid wsp:val=&quot;3D962926&quot;/&gt;&lt;wsp:rsid wsp:val=&quot;3D9A41C5&quot;/&gt;&lt;wsp:rsid wsp:val=&quot;3D9A641E&quot;/&gt;&lt;wsp:rsid wsp:val=&quot;3D9B1CEB&quot;/&gt;&lt;wsp:rsid wsp:val=&quot;3D9E65F4&quot;/&gt;&lt;wsp:rsid wsp:val=&quot;3DA0319B&quot;/&gt;&lt;wsp:rsid wsp:val=&quot;3DA037A5&quot;/&gt;&lt;wsp:rsid wsp:val=&quot;3DA2751D&quot;/&gt;&lt;wsp:rsid wsp:val=&quot;3DA54918&quot;/&gt;&lt;wsp:rsid wsp:val=&quot;3DA6700D&quot;/&gt;&lt;wsp:rsid wsp:val=&quot;3DA74B34&quot;/&gt;&lt;wsp:rsid wsp:val=&quot;3DA768E2&quot;/&gt;&lt;wsp:rsid wsp:val=&quot;3DA8670D&quot;/&gt;&lt;wsp:rsid wsp:val=&quot;3DA94A83&quot;/&gt;&lt;wsp:rsid wsp:val=&quot;3DA950AA&quot;/&gt;&lt;wsp:rsid wsp:val=&quot;3DAA64A0&quot;/&gt;&lt;wsp:rsid wsp:val=&quot;3DAA6CF2&quot;/&gt;&lt;wsp:rsid wsp:val=&quot;3DAB4624&quot;/&gt;&lt;wsp:rsid wsp:val=&quot;3DAB63D2&quot;/&gt;&lt;wsp:rsid wsp:val=&quot;3DAE1A1E&quot;/&gt;&lt;wsp:rsid wsp:val=&quot;3DAE7C70&quot;/&gt;&lt;wsp:rsid wsp:val=&quot;3DAF26F9&quot;/&gt;&lt;wsp:rsid wsp:val=&quot;3DB0660E&quot;/&gt;&lt;wsp:rsid wsp:val=&quot;3DB1150E&quot;/&gt;&lt;wsp:rsid wsp:val=&quot;3DB35B35&quot;/&gt;&lt;wsp:rsid wsp:val=&quot;3DB549D1&quot;/&gt;&lt;wsp:rsid wsp:val=&quot;3DB57B1A&quot;/&gt;&lt;wsp:rsid wsp:val=&quot;3DB645BB&quot;/&gt;&lt;wsp:rsid wsp:val=&quot;3DB64D77&quot;/&gt;&lt;wsp:rsid wsp:val=&quot;3DB66B25&quot;/&gt;&lt;wsp:rsid wsp:val=&quot;3DB70C61&quot;/&gt;&lt;wsp:rsid wsp:val=&quot;3DB72FC9&quot;/&gt;&lt;wsp:rsid wsp:val=&quot;3DB76351&quot;/&gt;&lt;wsp:rsid wsp:val=&quot;3DB80AEF&quot;/&gt;&lt;wsp:rsid wsp:val=&quot;3DB8289D&quot;/&gt;&lt;wsp:rsid wsp:val=&quot;3DB861BE&quot;/&gt;&lt;wsp:rsid wsp:val=&quot;3DB86D41&quot;/&gt;&lt;wsp:rsid wsp:val=&quot;3DBA21C5&quot;/&gt;&lt;wsp:rsid wsp:val=&quot;3DBB4109&quot;/&gt;&lt;wsp:rsid wsp:val=&quot;3DBB413B&quot;/&gt;&lt;wsp:rsid wsp:val=&quot;3DBB5757&quot;/&gt;&lt;wsp:rsid wsp:val=&quot;3DBC05DF&quot;/&gt;&lt;wsp:rsid wsp:val=&quot;3DBD7EB3&quot;/&gt;&lt;wsp:rsid wsp:val=&quot;3DC01751&quot;/&gt;&lt;wsp:rsid wsp:val=&quot;3DC079A3&quot;/&gt;&lt;wsp:rsid wsp:val=&quot;3DC1717A&quot;/&gt;&lt;wsp:rsid wsp:val=&quot;3DC2371B&quot;/&gt;&lt;wsp:rsid wsp:val=&quot;3DC4168B&quot;/&gt;&lt;wsp:rsid wsp:val=&quot;3DC54F0A&quot;/&gt;&lt;wsp:rsid wsp:val=&quot;3DC56D68&quot;/&gt;&lt;wsp:rsid wsp:val=&quot;3DC76F84&quot;/&gt;&lt;wsp:rsid wsp:val=&quot;3DCB25D0&quot;/&gt;&lt;wsp:rsid wsp:val=&quot;3DCC459A&quot;/&gt;&lt;wsp:rsid wsp:val=&quot;3DCC6348&quot;/&gt;&lt;wsp:rsid wsp:val=&quot;3DCF3BCD&quot;/&gt;&lt;wsp:rsid wsp:val=&quot;3DCF679E&quot;/&gt;&lt;wsp:rsid wsp:val=&quot;3DD0408A&quot;/&gt;&lt;wsp:rsid wsp:val=&quot;3DD0505D&quot;/&gt;&lt;wsp:rsid wsp:val=&quot;3DD07BE6&quot;/&gt;&lt;wsp:rsid wsp:val=&quot;3DD11BB1&quot;/&gt;&lt;wsp:rsid wsp:val=&quot;3DD220DA&quot;/&gt;&lt;wsp:rsid wsp:val=&quot;3DD516A1&quot;/&gt;&lt;wsp:rsid wsp:val=&quot;3DD5344F&quot;/&gt;&lt;wsp:rsid wsp:val=&quot;3DD65008&quot;/&gt;&lt;wsp:rsid wsp:val=&quot;3DD86A9B&quot;/&gt;&lt;wsp:rsid wsp:val=&quot;3DDA38B1&quot;/&gt;&lt;wsp:rsid wsp:val=&quot;3DDA6CB7&quot;/&gt;&lt;wsp:rsid wsp:val=&quot;3DDC47DD&quot;/&gt;&lt;wsp:rsid wsp:val=&quot;3DDD20DC&quot;/&gt;&lt;wsp:rsid wsp:val=&quot;3DDD2303&quot;/&gt;&lt;wsp:rsid wsp:val=&quot;3DDD67A7&quot;/&gt;&lt;wsp:rsid wsp:val=&quot;3DDF607B&quot;/&gt;&lt;wsp:rsid wsp:val=&quot;3DE06F26&quot;/&gt;&lt;wsp:rsid wsp:val=&quot;3DE11DF4&quot;/&gt;&lt;wsp:rsid wsp:val=&quot;3DE25B6C&quot;/&gt;&lt;wsp:rsid wsp:val=&quot;3DE33297&quot;/&gt;&lt;wsp:rsid wsp:val=&quot;3DE6565C&quot;/&gt;&lt;wsp:rsid wsp:val=&quot;3DE6740A&quot;/&gt;&lt;wsp:rsid wsp:val=&quot;3DE713D4&quot;/&gt;&lt;wsp:rsid wsp:val=&quot;3DE73182&quot;/&gt;&lt;wsp:rsid wsp:val=&quot;3DE90CA8&quot;/&gt;&lt;wsp:rsid wsp:val=&quot;3DEA2D86&quot;/&gt;&lt;wsp:rsid wsp:val=&quot;3DEA4138&quot;/&gt;&lt;wsp:rsid wsp:val=&quot;3DEA67CE&quot;/&gt;&lt;wsp:rsid wsp:val=&quot;3DEB0EC4&quot;/&gt;&lt;wsp:rsid wsp:val=&quot;3DEB4A20&quot;/&gt;&lt;wsp:rsid wsp:val=&quot;3DEC0798&quot;/&gt;&lt;wsp:rsid wsp:val=&quot;3DEC2546&quot;/&gt;&lt;wsp:rsid wsp:val=&quot;3DEF6791&quot;/&gt;&lt;wsp:rsid wsp:val=&quot;3DF07218&quot;/&gt;&lt;wsp:rsid wsp:val=&quot;3DF15DAF&quot;/&gt;&lt;wsp:rsid wsp:val=&quot;3DF245B0&quot;/&gt;&lt;wsp:rsid wsp:val=&quot;3DF338D5&quot;/&gt;&lt;wsp:rsid wsp:val=&quot;3DF37D79&quot;/&gt;&lt;wsp:rsid wsp:val=&quot;3DF5589F&quot;/&gt;&lt;wsp:rsid wsp:val=&quot;3DF77869&quot;/&gt;&lt;wsp:rsid wsp:val=&quot;3DF8538F&quot;/&gt;&lt;wsp:rsid wsp:val=&quot;3DFA2EB5&quot;/&gt;&lt;wsp:rsid wsp:val=&quot;3DFA4C63&quot;/&gt;&lt;wsp:rsid wsp:val=&quot;3DFB09DB&quot;/&gt;&lt;wsp:rsid wsp:val=&quot;3DFB2BEA&quot;/&gt;&lt;wsp:rsid wsp:val=&quot;3DFB393E&quot;/&gt;&lt;wsp:rsid wsp:val=&quot;3DFC5847&quot;/&gt;&lt;wsp:rsid wsp:val=&quot;3DFD4754&quot;/&gt;&lt;wsp:rsid wsp:val=&quot;3DFD6502&quot;/&gt;&lt;wsp:rsid wsp:val=&quot;3DFE0BF8&quot;/&gt;&lt;wsp:rsid wsp:val=&quot;3E012FF6&quot;/&gt;&lt;wsp:rsid wsp:val=&quot;3E04123E&quot;/&gt;&lt;wsp:rsid wsp:val=&quot;3E06185A&quot;/&gt;&lt;wsp:rsid wsp:val=&quot;3E0755D2&quot;/&gt;&lt;wsp:rsid wsp:val=&quot;3E0930F8&quot;/&gt;&lt;wsp:rsid wsp:val=&quot;3E0B50C2&quot;/&gt;&lt;wsp:rsid wsp:val=&quot;3E0B6E71&quot;/&gt;&lt;wsp:rsid wsp:val=&quot;3E0D0E3B&quot;/&gt;&lt;wsp:rsid wsp:val=&quot;3E122832&quot;/&gt;&lt;wsp:rsid wsp:val=&quot;3E1321C9&quot;/&gt;&lt;wsp:rsid wsp:val=&quot;3E160F33&quot;/&gt;&lt;wsp:rsid wsp:val=&quot;3E171CB9&quot;/&gt;&lt;wsp:rsid wsp:val=&quot;3E173A67&quot;/&gt;&lt;wsp:rsid wsp:val=&quot;3E18333B&quot;/&gt;&lt;wsp:rsid wsp:val=&quot;3E194160&quot;/&gt;&lt;wsp:rsid wsp:val=&quot;3E1A5306&quot;/&gt;&lt;wsp:rsid wsp:val=&quot;3E1B0A01&quot;/&gt;&lt;wsp:rsid wsp:val=&quot;3E1C107E&quot;/&gt;&lt;wsp:rsid wsp:val=&quot;3E1C72D0&quot;/&gt;&lt;wsp:rsid wsp:val=&quot;3E1D35CC&quot;/&gt;&lt;wsp:rsid wsp:val=&quot;3E1D4DF6&quot;/&gt;&lt;wsp:rsid wsp:val=&quot;3E1F13B5&quot;/&gt;&lt;wsp:rsid wsp:val=&quot;3E2066E9&quot;/&gt;&lt;wsp:rsid wsp:val=&quot;3E23097A&quot;/&gt;&lt;wsp:rsid wsp:val=&quot;3E246184&quot;/&gt;&lt;wsp:rsid wsp:val=&quot;3E281C07&quot;/&gt;&lt;wsp:rsid wsp:val=&quot;3E285C74&quot;/&gt;&lt;wsp:rsid wsp:val=&quot;3E2972F7&quot;/&gt;&lt;wsp:rsid wsp:val=&quot;3E2B12C1&quot;/&gt;&lt;wsp:rsid wsp:val=&quot;3E2B7513&quot;/&gt;&lt;wsp:rsid wsp:val=&quot;3E2C6DE7&quot;/&gt;&lt;wsp:rsid wsp:val=&quot;3E2D5039&quot;/&gt;&lt;wsp:rsid wsp:val=&quot;3E304B29&quot;/&gt;&lt;wsp:rsid wsp:val=&quot;3E3143FD&quot;/&gt;&lt;wsp:rsid wsp:val=&quot;3E330175&quot;/&gt;&lt;wsp:rsid wsp:val=&quot;3E3363C7&quot;/&gt;&lt;wsp:rsid wsp:val=&quot;3E342474&quot;/&gt;&lt;wsp:rsid wsp:val=&quot;3E375EB7&quot;/&gt;&lt;wsp:rsid wsp:val=&quot;3E3839DE&quot;/&gt;&lt;wsp:rsid wsp:val=&quot;3E3A59A8&quot;/&gt;&lt;wsp:rsid wsp:val=&quot;3E3A7756&quot;/&gt;&lt;wsp:rsid wsp:val=&quot;3E3B3C99&quot;/&gt;&lt;wsp:rsid wsp:val=&quot;3E3C1720&quot;/&gt;&lt;wsp:rsid wsp:val=&quot;3E3C34CE&quot;/&gt;&lt;wsp:rsid wsp:val=&quot;3E3C527C&quot;/&gt;&lt;wsp:rsid wsp:val=&quot;3E400AD9&quot;/&gt;&lt;wsp:rsid wsp:val=&quot;3E416D36&quot;/&gt;&lt;wsp:rsid wsp:val=&quot;3E4203B8&quot;/&gt;&lt;wsp:rsid wsp:val=&quot;3E42660A&quot;/&gt;&lt;wsp:rsid wsp:val=&quot;3E4800C5&quot;/&gt;&lt;wsp:rsid wsp:val=&quot;3E483C21&quot;/&gt;&lt;wsp:rsid wsp:val=&quot;3E491066&quot;/&gt;&lt;wsp:rsid wsp:val=&quot;3E493DC2&quot;/&gt;&lt;wsp:rsid wsp:val=&quot;3E495BEB&quot;/&gt;&lt;wsp:rsid wsp:val=&quot;3E497999&quot;/&gt;&lt;wsp:rsid wsp:val=&quot;3E4C733C&quot;/&gt;&lt;wsp:rsid wsp:val=&quot;3E4E4FAF&quot;/&gt;&lt;wsp:rsid wsp:val=&quot;3E511B77&quot;/&gt;&lt;wsp:rsid wsp:val=&quot;3E522CF1&quot;/&gt;&lt;wsp:rsid wsp:val=&quot;3E524A9F&quot;/&gt;&lt;wsp:rsid wsp:val=&quot;3E55633E&quot;/&gt;&lt;wsp:rsid wsp:val=&quot;3E570308&quot;/&gt;&lt;wsp:rsid wsp:val=&quot;3E5720B6&quot;/&gt;&lt;wsp:rsid wsp:val=&quot;3E5C1230&quot;/&gt;&lt;wsp:rsid wsp:val=&quot;3E5D51F2&quot;/&gt;&lt;wsp:rsid wsp:val=&quot;3E5E3444&quot;/&gt;&lt;wsp:rsid wsp:val=&quot;3E5F71BC&quot;/&gt;&lt;wsp:rsid wsp:val=&quot;3E675C0A&quot;/&gt;&lt;wsp:rsid wsp:val=&quot;3E676FF3&quot;/&gt;&lt;wsp:rsid wsp:val=&quot;3E68709A&quot;/&gt;&lt;wsp:rsid wsp:val=&quot;3E6A1E9A&quot;/&gt;&lt;wsp:rsid wsp:val=&quot;3E6B5B61&quot;/&gt;&lt;wsp:rsid wsp:val=&quot;3E6D1CF6&quot;/&gt;&lt;wsp:rsid wsp:val=&quot;3E6D3687&quot;/&gt;&lt;wsp:rsid wsp:val=&quot;3E6E2F0C&quot;/&gt;&lt;wsp:rsid wsp:val=&quot;3E6F38A3&quot;/&gt;&lt;wsp:rsid wsp:val=&quot;3E6F5651&quot;/&gt;&lt;wsp:rsid wsp:val=&quot;3E7013C9&quot;/&gt;&lt;wsp:rsid wsp:val=&quot;3E704F26&quot;/&gt;&lt;wsp:rsid wsp:val=&quot;3E70582C&quot;/&gt;&lt;wsp:rsid wsp:val=&quot;3E726EF0&quot;/&gt;&lt;wsp:rsid wsp:val=&quot;3E75253C&quot;/&gt;&lt;wsp:rsid wsp:val=&quot;3E7569E0&quot;/&gt;&lt;wsp:rsid wsp:val=&quot;3E767A52&quot;/&gt;&lt;wsp:rsid wsp:val=&quot;3E774506&quot;/&gt;&lt;wsp:rsid wsp:val=&quot;3E7802D0&quot;/&gt;&lt;wsp:rsid wsp:val=&quot;3E7964D0&quot;/&gt;&lt;wsp:rsid wsp:val=&quot;3E7A14AF&quot;/&gt;&lt;wsp:rsid wsp:val=&quot;3E7A3FF6&quot;/&gt;&lt;wsp:rsid wsp:val=&quot;3E7D16CC&quot;/&gt;&lt;wsp:rsid wsp:val=&quot;3E7E7642&quot;/&gt;&lt;wsp:rsid wsp:val=&quot;3E7F160D&quot;/&gt;&lt;wsp:rsid wsp:val=&quot;3E7F33BB&quot;/&gt;&lt;wsp:rsid wsp:val=&quot;3E8135D7&quot;/&gt;&lt;wsp:rsid wsp:val=&quot;3E815385&quot;/&gt;&lt;wsp:rsid wsp:val=&quot;3E833CA2&quot;/&gt;&lt;wsp:rsid wsp:val=&quot;3E834C59&quot;/&gt;&lt;wsp:rsid wsp:val=&quot;3E835462&quot;/&gt;&lt;wsp:rsid wsp:val=&quot;3E8409D1&quot;/&gt;&lt;wsp:rsid wsp:val=&quot;3E844547&quot;/&gt;&lt;wsp:rsid wsp:val=&quot;3E854E75&quot;/&gt;&lt;wsp:rsid wsp:val=&quot;3E857D03&quot;/&gt;&lt;wsp:rsid wsp:val=&quot;3E862AE7&quot;/&gt;&lt;wsp:rsid wsp:val=&quot;3E88226F&quot;/&gt;&lt;wsp:rsid wsp:val=&quot;3E895FE7&quot;/&gt;&lt;wsp:rsid wsp:val=&quot;3E8A248B&quot;/&gt;&lt;wsp:rsid wsp:val=&quot;3E8B6203&quot;/&gt;&lt;wsp:rsid wsp:val=&quot;3E8B7FB1&quot;/&gt;&lt;wsp:rsid wsp:val=&quot;3E8F1850&quot;/&gt;&lt;wsp:rsid wsp:val=&quot;3E90381A&quot;/&gt;&lt;wsp:rsid wsp:val=&quot;3E904E16&quot;/&gt;&lt;wsp:rsid wsp:val=&quot;3E907376&quot;/&gt;&lt;wsp:rsid wsp:val=&quot;3E921340&quot;/&gt;&lt;wsp:rsid wsp:val=&quot;3E946E66&quot;/&gt;&lt;wsp:rsid wsp:val=&quot;3E952BDE&quot;/&gt;&lt;wsp:rsid wsp:val=&quot;3E971F32&quot;/&gt;&lt;wsp:rsid wsp:val=&quot;3E974BA8&quot;/&gt;&lt;wsp:rsid wsp:val=&quot;3E984202&quot;/&gt;&lt;wsp:rsid wsp:val=&quot;3E990920&quot;/&gt;&lt;wsp:rsid wsp:val=&quot;3E9924C6&quot;/&gt;&lt;wsp:rsid wsp:val=&quot;3E9926CE&quot;/&gt;&lt;wsp:rsid wsp:val=&quot;3E9B4698&quot;/&gt;&lt;wsp:rsid wsp:val=&quot;3E9C21BE&quot;/&gt;&lt;wsp:rsid wsp:val=&quot;3E9C6F27&quot;/&gt;&lt;wsp:rsid wsp:val=&quot;3E9F580B&quot;/&gt;&lt;wsp:rsid wsp:val=&quot;3EA6303D&quot;/&gt;&lt;wsp:rsid wsp:val=&quot;3EAA48DB&quot;/&gt;&lt;wsp:rsid wsp:val=&quot;3EAA6689&quot;/&gt;&lt;wsp:rsid wsp:val=&quot;3EAC5A7F&quot;/&gt;&lt;wsp:rsid wsp:val=&quot;3EB07A18&quot;/&gt;&lt;wsp:rsid wsp:val=&quot;3EB219E2&quot;/&gt;&lt;wsp:rsid wsp:val=&quot;3EB2553E&quot;/&gt;&lt;wsp:rsid wsp:val=&quot;3EB42D77&quot;/&gt;&lt;wsp:rsid wsp:val=&quot;3EB45120&quot;/&gt;&lt;wsp:rsid wsp:val=&quot;3EB5502E&quot;/&gt;&lt;wsp:rsid wsp:val=&quot;3EB575B7&quot;/&gt;&lt;wsp:rsid wsp:val=&quot;3EB94B1E&quot;/&gt;&lt;wsp:rsid wsp:val=&quot;3EBC63BD&quot;/&gt;&lt;wsp:rsid wsp:val=&quot;3EBC717B&quot;/&gt;&lt;wsp:rsid wsp:val=&quot;3EBD6A03&quot;/&gt;&lt;wsp:rsid wsp:val=&quot;3EBE3EE3&quot;/&gt;&lt;wsp:rsid wsp:val=&quot;3EC05384&quot;/&gt;&lt;wsp:rsid wsp:val=&quot;3EC1316A&quot;/&gt;&lt;wsp:rsid wsp:val=&quot;3EC14F2B&quot;/&gt;&lt;wsp:rsid wsp:val=&quot;3EC31134&quot;/&gt;&lt;wsp:rsid wsp:val=&quot;3EC3599D&quot;/&gt;&lt;wsp:rsid wsp:val=&quot;3EC425C4&quot;/&gt;&lt;wsp:rsid wsp:val=&quot;3EC62D97&quot;/&gt;&lt;wsp:rsid wsp:val=&quot;3EC66625&quot;/&gt;&lt;wsp:rsid wsp:val=&quot;3EC6723B&quot;/&gt;&lt;wsp:rsid wsp:val=&quot;3ECB31D6&quot;/&gt;&lt;wsp:rsid wsp:val=&quot;3ECB4852&quot;/&gt;&lt;wsp:rsid wsp:val=&quot;3ECB5140&quot;/&gt;&lt;wsp:rsid wsp:val=&quot;3ECB6600&quot;/&gt;&lt;wsp:rsid wsp:val=&quot;3ED0310B&quot;/&gt;&lt;wsp:rsid wsp:val=&quot;3ED03C16&quot;/&gt;&lt;wsp:rsid wsp:val=&quot;3ED25BE0&quot;/&gt;&lt;wsp:rsid wsp:val=&quot;3ED659B2&quot;/&gt;&lt;wsp:rsid wsp:val=&quot;3ED6747E&quot;/&gt;&lt;wsp:rsid wsp:val=&quot;3ED71449&quot;/&gt;&lt;wsp:rsid wsp:val=&quot;3ED74FA5&quot;/&gt;&lt;wsp:rsid wsp:val=&quot;3ED81ECA&quot;/&gt;&lt;wsp:rsid wsp:val=&quot;3ED90D1D&quot;/&gt;&lt;wsp:rsid wsp:val=&quot;3ED92ACB&quot;/&gt;&lt;wsp:rsid wsp:val=&quot;3ED970E3&quot;/&gt;&lt;wsp:rsid wsp:val=&quot;3EDA0523&quot;/&gt;&lt;wsp:rsid wsp:val=&quot;3EDC34CD&quot;/&gt;&lt;wsp:rsid wsp:val=&quot;3EDC6A5F&quot;/&gt;&lt;wsp:rsid wsp:val=&quot;3EDE4585&quot;/&gt;&lt;wsp:rsid wsp:val=&quot;3EDE6333&quot;/&gt;&lt;wsp:rsid wsp:val=&quot;3EDF3E59&quot;/&gt;&lt;wsp:rsid wsp:val=&quot;3EE020AB&quot;/&gt;&lt;wsp:rsid wsp:val=&quot;3EE02D96&quot;/&gt;&lt;wsp:rsid wsp:val=&quot;3EE1322D&quot;/&gt;&lt;wsp:rsid wsp:val=&quot;3EE14075&quot;/&gt;&lt;wsp:rsid wsp:val=&quot;3EE6168C&quot;/&gt;&lt;wsp:rsid wsp:val=&quot;3EE62B3C&quot;/&gt;&lt;wsp:rsid wsp:val=&quot;3EE85404&quot;/&gt;&lt;wsp:rsid wsp:val=&quot;3EE87078&quot;/&gt;&lt;wsp:rsid wsp:val=&quot;3EE9077A&quot;/&gt;&lt;wsp:rsid wsp:val=&quot;3EEA4CD8&quot;/&gt;&lt;wsp:rsid wsp:val=&quot;3EEC4EF4&quot;/&gt;&lt;wsp:rsid wsp:val=&quot;3EED17D0&quot;/&gt;&lt;wsp:rsid wsp:val=&quot;3EED47C8&quot;/&gt;&lt;wsp:rsid wsp:val=&quot;3EED6576&quot;/&gt;&lt;wsp:rsid wsp:val=&quot;3EEF0540&quot;/&gt;&lt;wsp:rsid wsp:val=&quot;3EEF22EE&quot;/&gt;&lt;wsp:rsid wsp:val=&quot;3EF1250A&quot;/&gt;&lt;wsp:rsid wsp:val=&quot;3EF142B8&quot;/&gt;&lt;wsp:rsid wsp:val=&quot;3EF20030&quot;/&gt;&lt;wsp:rsid wsp:val=&quot;3EF23B8C&quot;/&gt;&lt;wsp:rsid wsp:val=&quot;3EF26282&quot;/&gt;&lt;wsp:rsid wsp:val=&quot;3EF43DA9&quot;/&gt;&lt;wsp:rsid wsp:val=&quot;3EF47905&quot;/&gt;&lt;wsp:rsid wsp:val=&quot;3EF618CF&quot;/&gt;&lt;wsp:rsid wsp:val=&quot;3EF66BFC&quot;/&gt;&lt;wsp:rsid wsp:val=&quot;3EF73899&quot;/&gt;&lt;wsp:rsid wsp:val=&quot;3EF75453&quot;/&gt;&lt;wsp:rsid wsp:val=&quot;3EF773F5&quot;/&gt;&lt;wsp:rsid wsp:val=&quot;3EFB78C3&quot;/&gt;&lt;wsp:rsid wsp:val=&quot;3EFE4C27&quot;/&gt;&lt;wsp:rsid wsp:val=&quot;3F0044FB&quot;/&gt;&lt;wsp:rsid wsp:val=&quot;3F0062A9&quot;/&gt;&lt;wsp:rsid wsp:val=&quot;3F010273&quot;/&gt;&lt;wsp:rsid wsp:val=&quot;3F03223E&quot;/&gt;&lt;wsp:rsid wsp:val=&quot;3F051B12&quot;/&gt;&lt;wsp:rsid wsp:val=&quot;3F06588A&quot;/&gt;&lt;wsp:rsid wsp:val=&quot;3F081602&quot;/&gt;&lt;wsp:rsid wsp:val=&quot;3F0833B0&quot;/&gt;&lt;wsp:rsid wsp:val=&quot;3F0A537A&quot;/&gt;&lt;wsp:rsid wsp:val=&quot;3F0A7128&quot;/&gt;&lt;wsp:rsid wsp:val=&quot;3F0B7B87&quot;/&gt;&lt;wsp:rsid wsp:val=&quot;3F0D09C6&quot;/&gt;&lt;wsp:rsid wsp:val=&quot;3F0D6C18&quot;/&gt;&lt;wsp:rsid wsp:val=&quot;3F1461F9&quot;/&gt;&lt;wsp:rsid wsp:val=&quot;3F161F71&quot;/&gt;&lt;wsp:rsid wsp:val=&quot;3F163D1F&quot;/&gt;&lt;wsp:rsid wsp:val=&quot;3F1735F3&quot;/&gt;&lt;wsp:rsid wsp:val=&quot;3F177A97&quot;/&gt;&lt;wsp:rsid wsp:val=&quot;3F185CE9&quot;/&gt;&lt;wsp:rsid wsp:val=&quot;3F191F2E&quot;/&gt;&lt;wsp:rsid wsp:val=&quot;3F1A0730&quot;/&gt;&lt;wsp:rsid wsp:val=&quot;3F1B1335&quot;/&gt;&lt;wsp:rsid wsp:val=&quot;3F1B30E3&quot;/&gt;&lt;wsp:rsid wsp:val=&quot;3F1C70CA&quot;/&gt;&lt;wsp:rsid wsp:val=&quot;3F1D32FF&quot;/&gt;&lt;wsp:rsid wsp:val=&quot;3F1F465F&quot;/&gt;&lt;wsp:rsid wsp:val=&quot;3F204B9E&quot;/&gt;&lt;wsp:rsid wsp:val=&quot;3F23468E&quot;/&gt;&lt;wsp:rsid wsp:val=&quot;3F253530&quot;/&gt;&lt;wsp:rsid wsp:val=&quot;3F253F62&quot;/&gt;&lt;wsp:rsid wsp:val=&quot;3F261A88&quot;/&gt;&lt;wsp:rsid wsp:val=&quot;3F264532&quot;/&gt;&lt;wsp:rsid wsp:val=&quot;3F2759C2&quot;/&gt;&lt;wsp:rsid wsp:val=&quot;3F277CDA&quot;/&gt;&lt;wsp:rsid wsp:val=&quot;3F281CA4&quot;/&gt;&lt;wsp:rsid wsp:val=&quot;3F283A52&quot;/&gt;&lt;wsp:rsid wsp:val=&quot;3F2A5A1C&quot;/&gt;&lt;wsp:rsid wsp:val=&quot;3F2B709E&quot;/&gt;&lt;wsp:rsid wsp:val=&quot;3F2B7833&quot;/&gt;&lt;wsp:rsid wsp:val=&quot;3F2F1E2C&quot;/&gt;&lt;wsp:rsid wsp:val=&quot;3F2F3033&quot;/&gt;&lt;wsp:rsid wsp:val=&quot;3F2F4154&quot;/&gt;&lt;wsp:rsid wsp:val=&quot;3F3101B5&quot;/&gt;&lt;wsp:rsid wsp:val=&quot;3F312907&quot;/&gt;&lt;wsp:rsid wsp:val=&quot;3F32667F&quot;/&gt;&lt;wsp:rsid wsp:val=&quot;3F3348D1&quot;/&gt;&lt;wsp:rsid wsp:val=&quot;3F3423F7&quot;/&gt;&lt;wsp:rsid wsp:val=&quot;3F3643C1&quot;/&gt;&lt;wsp:rsid wsp:val=&quot;3F36616F&quot;/&gt;&lt;wsp:rsid wsp:val=&quot;3F373C95&quot;/&gt;&lt;wsp:rsid wsp:val=&quot;3F375A43&quot;/&gt;&lt;wsp:rsid wsp:val=&quot;3F381EE7&quot;/&gt;&lt;wsp:rsid wsp:val=&quot;3F397A0D&quot;/&gt;&lt;wsp:rsid wsp:val=&quot;3F3B5533&quot;/&gt;&lt;wsp:rsid wsp:val=&quot;3F400D9C&quot;/&gt;&lt;wsp:rsid wsp:val=&quot;3F43263A&quot;/&gt;&lt;wsp:rsid wsp:val=&quot;3F450160&quot;/&gt;&lt;wsp:rsid wsp:val=&quot;3F454604&quot;/&gt;&lt;wsp:rsid wsp:val=&quot;3F473ED8&quot;/&gt;&lt;wsp:rsid wsp:val=&quot;3F485EA2&quot;/&gt;&lt;wsp:rsid wsp:val=&quot;3F4A05F9&quot;/&gt;&lt;wsp:rsid wsp:val=&quot;3F4A7E6C&quot;/&gt;&lt;wsp:rsid wsp:val=&quot;3F4C5993&quot;/&gt;&lt;wsp:rsid wsp:val=&quot;3F4E170B&quot;/&gt;&lt;wsp:rsid wsp:val=&quot;3F4E4CB5&quot;/&gt;&lt;wsp:rsid wsp:val=&quot;3F4F0FDF&quot;/&gt;&lt;wsp:rsid wsp:val=&quot;3F5465F5&quot;/&gt;&lt;wsp:rsid wsp:val=&quot;3F56236D&quot;/&gt;&lt;wsp:rsid wsp:val=&quot;3F573EC4&quot;/&gt;&lt;wsp:rsid wsp:val=&quot;3F584337&quot;/&gt;&lt;wsp:rsid wsp:val=&quot;3F5860E5&quot;/&gt;&lt;wsp:rsid wsp:val=&quot;3F5B3E28&quot;/&gt;&lt;wsp:rsid wsp:val=&quot;3F5C6486&quot;/&gt;&lt;wsp:rsid wsp:val=&quot;3F5D194E&quot;/&gt;&lt;wsp:rsid wsp:val=&quot;3F5D2714&quot;/&gt;&lt;wsp:rsid wsp:val=&quot;3F5E1222&quot;/&gt;&lt;wsp:rsid wsp:val=&quot;3F5E56C6&quot;/&gt;&lt;wsp:rsid wsp:val=&quot;3F6060F9&quot;/&gt;&lt;wsp:rsid wsp:val=&quot;3F620FE1&quot;/&gt;&lt;wsp:rsid wsp:val=&quot;3F64674D&quot;/&gt;&lt;wsp:rsid wsp:val=&quot;3F655847&quot;/&gt;&lt;wsp:rsid wsp:val=&quot;3F677B8D&quot;/&gt;&lt;wsp:rsid wsp:val=&quot;3F6852B6&quot;/&gt;&lt;wsp:rsid wsp:val=&quot;3F6A406B&quot;/&gt;&lt;wsp:rsid wsp:val=&quot;3F6A6C05&quot;/&gt;&lt;wsp:rsid wsp:val=&quot;3F6E3B5B&quot;/&gt;&lt;wsp:rsid wsp:val=&quot;3F6F342F&quot;/&gt;&lt;wsp:rsid wsp:val=&quot;3F6F78D3&quot;/&gt;&lt;wsp:rsid wsp:val=&quot;3F715648&quot;/&gt;&lt;wsp:rsid wsp:val=&quot;3F7171A7&quot;/&gt;&lt;wsp:rsid wsp:val=&quot;3F740A45&quot;/&gt;&lt;wsp:rsid wsp:val=&quot;3F760C61&quot;/&gt;&lt;wsp:rsid wsp:val=&quot;3F76656C&quot;/&gt;&lt;wsp:rsid wsp:val=&quot;3F786788&quot;/&gt;&lt;wsp:rsid wsp:val=&quot;3F7A2500&quot;/&gt;&lt;wsp:rsid wsp:val=&quot;3F7B12CB&quot;/&gt;&lt;wsp:rsid wsp:val=&quot;3F7B6278&quot;/&gt;&lt;wsp:rsid wsp:val=&quot;3F7E25E7&quot;/&gt;&lt;wsp:rsid wsp:val=&quot;3F7E3672&quot;/&gt;&lt;wsp:rsid wsp:val=&quot;3F7F7B16&quot;/&gt;&lt;wsp:rsid wsp:val=&quot;3F80388E&quot;/&gt;&lt;wsp:rsid wsp:val=&quot;3F80563C&quot;/&gt;&lt;wsp:rsid wsp:val=&quot;3F823162&quot;/&gt;&lt;wsp:rsid wsp:val=&quot;3F827606&quot;/&gt;&lt;wsp:rsid wsp:val=&quot;3F836EDA&quot;/&gt;&lt;wsp:rsid wsp:val=&quot;3F84512C&quot;/&gt;&lt;wsp:rsid wsp:val=&quot;3F854A01&quot;/&gt;&lt;wsp:rsid wsp:val=&quot;3F8663DE&quot;/&gt;&lt;wsp:rsid wsp:val=&quot;3F8838CF&quot;/&gt;&lt;wsp:rsid wsp:val=&quot;3F8A61EF&quot;/&gt;&lt;wsp:rsid wsp:val=&quot;3F8A64BB&quot;/&gt;&lt;wsp:rsid wsp:val=&quot;3F8F43F6&quot;/&gt;&lt;wsp:rsid wsp:val=&quot;3F900156&quot;/&gt;&lt;wsp:rsid wsp:val=&quot;3F9229DB&quot;/&gt;&lt;wsp:rsid wsp:val=&quot;3F927552&quot;/&gt;&lt;wsp:rsid wsp:val=&quot;3F93536F&quot;/&gt;&lt;wsp:rsid wsp:val=&quot;3F9410E8&quot;/&gt;&lt;wsp:rsid wsp:val=&quot;3F946844&quot;/&gt;&lt;wsp:rsid wsp:val=&quot;3F95733A&quot;/&gt;&lt;wsp:rsid wsp:val=&quot;3F960C3F&quot;/&gt;&lt;wsp:rsid wsp:val=&quot;3F9614BE&quot;/&gt;&lt;wsp:rsid wsp:val=&quot;3F964E60&quot;/&gt;&lt;wsp:rsid wsp:val=&quot;3F965ED3&quot;/&gt;&lt;wsp:rsid wsp:val=&quot;3F9707F3&quot;/&gt;&lt;wsp:rsid wsp:val=&quot;3F982986&quot;/&gt;&lt;wsp:rsid wsp:val=&quot;3F984734&quot;/&gt;&lt;wsp:rsid wsp:val=&quot;3F9A5CE4&quot;/&gt;&lt;wsp:rsid wsp:val=&quot;3F9B2476&quot;/&gt;&lt;wsp:rsid wsp:val=&quot;3F9C6DE5&quot;/&gt;&lt;wsp:rsid wsp:val=&quot;3F9D1D4A&quot;/&gt;&lt;wsp:rsid wsp:val=&quot;3F9D4665&quot;/&gt;&lt;wsp:rsid wsp:val=&quot;3F9F3D14&quot;/&gt;&lt;wsp:rsid wsp:val=&quot;3F9F5D8E&quot;/&gt;&lt;wsp:rsid wsp:val=&quot;3FA27361&quot;/&gt;&lt;wsp:rsid wsp:val=&quot;3FA304D7&quot;/&gt;&lt;wsp:rsid wsp:val=&quot;3FA4757D&quot;/&gt;&lt;wsp:rsid wsp:val=&quot;3FA52DF7&quot;/&gt;&lt;wsp:rsid wsp:val=&quot;3FA532F5&quot;/&gt;&lt;wsp:rsid wsp:val=&quot;3FA62817&quot;/&gt;&lt;wsp:rsid wsp:val=&quot;3FA70E1B&quot;/&gt;&lt;wsp:rsid wsp:val=&quot;3FA73DCB&quot;/&gt;&lt;wsp:rsid wsp:val=&quot;3FA7706D&quot;/&gt;&lt;wsp:rsid wsp:val=&quot;3FA96941&quot;/&gt;&lt;wsp:rsid wsp:val=&quot;3FAA090B&quot;/&gt;&lt;wsp:rsid wsp:val=&quot;3FAC01DF&quot;/&gt;&lt;wsp:rsid wsp:val=&quot;3FAD7FFA&quot;/&gt;&lt;wsp:rsid wsp:val=&quot;3FAE03FB&quot;/&gt;&lt;wsp:rsid wsp:val=&quot;3FAE6512&quot;/&gt;&lt;wsp:rsid wsp:val=&quot;3FAE7465&quot;/&gt;&lt;wsp:rsid wsp:val=&quot;3FB05F21&quot;/&gt;&lt;wsp:rsid wsp:val=&quot;3FB1139A&quot;/&gt;&lt;wsp:rsid wsp:val=&quot;3FB13A48&quot;/&gt;&lt;wsp:rsid wsp:val=&quot;3FB35A12&quot;/&gt;&lt;wsp:rsid wsp:val=&quot;3FB452E6&quot;/&gt;&lt;wsp:rsid wsp:val=&quot;3FB5178A&quot;/&gt;&lt;wsp:rsid wsp:val=&quot;3FB62E0C&quot;/&gt;&lt;wsp:rsid wsp:val=&quot;3FB672B0&quot;/&gt;&lt;wsp:rsid wsp:val=&quot;3FB67B17&quot;/&gt;&lt;wsp:rsid wsp:val=&quot;3FBA0B4E&quot;/&gt;&lt;wsp:rsid wsp:val=&quot;3FBB48C6&quot;/&gt;&lt;wsp:rsid wsp:val=&quot;3FBD23EC&quot;/&gt;&lt;wsp:rsid wsp:val=&quot;3FBF6165&quot;/&gt;&lt;wsp:rsid wsp:val=&quot;3FC1012F&quot;/&gt;&lt;wsp:rsid wsp:val=&quot;3FC276C7&quot;/&gt;&lt;wsp:rsid wsp:val=&quot;3FC74906&quot;/&gt;&lt;wsp:rsid wsp:val=&quot;3FC76DC7&quot;/&gt;&lt;wsp:rsid wsp:val=&quot;3FC912A2&quot;/&gt;&lt;wsp:rsid wsp:val=&quot;3FC921F2&quot;/&gt;&lt;wsp:rsid wsp:val=&quot;3FC96FE3&quot;/&gt;&lt;wsp:rsid wsp:val=&quot;3FCA68B7&quot;/&gt;&lt;wsp:rsid wsp:val=&quot;3FCB4B12&quot;/&gt;&lt;wsp:rsid wsp:val=&quot;3FCC262F&quot;/&gt;&lt;wsp:rsid wsp:val=&quot;3FCE0156&quot;/&gt;&lt;wsp:rsid wsp:val=&quot;3FCF3ECE&quot;/&gt;&lt;wsp:rsid wsp:val=&quot;3FD140EA&quot;/&gt;&lt;wsp:rsid wsp:val=&quot;3FD15E98&quot;/&gt;&lt;wsp:rsid wsp:val=&quot;3FD17C46&quot;/&gt;&lt;wsp:rsid wsp:val=&quot;3FD20CE1&quot;/&gt;&lt;wsp:rsid wsp:val=&quot;3FD27F37&quot;/&gt;&lt;wsp:rsid wsp:val=&quot;3FD31C10&quot;/&gt;&lt;wsp:rsid wsp:val=&quot;3FD40488&quot;/&gt;&lt;wsp:rsid wsp:val=&quot;3FD451F4&quot;/&gt;&lt;wsp:rsid wsp:val=&quot;3FD80FD4&quot;/&gt;&lt;wsp:rsid wsp:val=&quot;3FD83D14&quot;/&gt;&lt;wsp:rsid wsp:val=&quot;3FD85478&quot;/&gt;&lt;wsp:rsid wsp:val=&quot;3FD87226&quot;/&gt;&lt;wsp:rsid wsp:val=&quot;3FDA2F9E&quot;/&gt;&lt;wsp:rsid wsp:val=&quot;3FDB0AC5&quot;/&gt;&lt;wsp:rsid wsp:val=&quot;3FDC40F2&quot;/&gt;&lt;wsp:rsid wsp:val=&quot;3FDD3EA9&quot;/&gt;&lt;wsp:rsid wsp:val=&quot;3FDD483D&quot;/&gt;&lt;wsp:rsid wsp:val=&quot;3FE06A38&quot;/&gt;&lt;wsp:rsid wsp:val=&quot;3FE536F1&quot;/&gt;&lt;wsp:rsid wsp:val=&quot;3FE77469&quot;/&gt;&lt;wsp:rsid wsp:val=&quot;3FEE07F8&quot;/&gt;&lt;wsp:rsid wsp:val=&quot;3FEE6A4A&quot;/&gt;&lt;wsp:rsid wsp:val=&quot;3FF35E0E&quot;/&gt;&lt;wsp:rsid wsp:val=&quot;3FF43934&quot;/&gt;&lt;wsp:rsid wsp:val=&quot;3FF676AC&quot;/&gt;&lt;wsp:rsid wsp:val=&quot;3FF81676&quot;/&gt;&lt;wsp:rsid wsp:val=&quot;3FF878C8&quot;/&gt;&lt;wsp:rsid wsp:val=&quot;3FF87DF8&quot;/&gt;&lt;wsp:rsid wsp:val=&quot;3FF9723B&quot;/&gt;&lt;wsp:rsid wsp:val=&quot;3FFA0F4B&quot;/&gt;&lt;wsp:rsid wsp:val=&quot;3FFA719D&quot;/&gt;&lt;wsp:rsid wsp:val=&quot;3FFB2F15&quot;/&gt;&lt;wsp:rsid wsp:val=&quot;3FFB4CC3&quot;/&gt;&lt;wsp:rsid wsp:val=&quot;3FFC1167&quot;/&gt;&lt;wsp:rsid wsp:val=&quot;3FFD062E&quot;/&gt;&lt;wsp:rsid wsp:val=&quot;3FFE24A3&quot;/&gt;&lt;wsp:rsid wsp:val=&quot;3FFE2572&quot;/&gt;&lt;wsp:rsid wsp:val=&quot;3FFE7AE4&quot;/&gt;&lt;wsp:rsid wsp:val=&quot;3FFF47B3&quot;/&gt;&lt;wsp:rsid wsp:val=&quot;4000052B&quot;/&gt;&lt;wsp:rsid wsp:val=&quot;40003751&quot;/&gt;&lt;wsp:rsid wsp:val=&quot;40061FE5&quot;/&gt;&lt;wsp:rsid wsp:val=&quot;400718BA&quot;/&gt;&lt;wsp:rsid wsp:val=&quot;40092389&quot;/&gt;&lt;wsp:rsid wsp:val=&quot;40095632&quot;/&gt;&lt;wsp:rsid wsp:val=&quot;400B13AA&quot;/&gt;&lt;wsp:rsid wsp:val=&quot;400C0C7E&quot;/&gt;&lt;wsp:rsid wsp:val=&quot;400D3374&quot;/&gt;&lt;wsp:rsid wsp:val=&quot;400E0E9A&quot;/&gt;&lt;wsp:rsid wsp:val=&quot;4010076E&quot;/&gt;&lt;wsp:rsid wsp:val=&quot;40104C12&quot;/&gt;&lt;wsp:rsid wsp:val=&quot;401144E6&quot;/&gt;&lt;wsp:rsid wsp:val=&quot;4015509C&quot;/&gt;&lt;wsp:rsid wsp:val=&quot;40161AFD&quot;/&gt;&lt;wsp:rsid wsp:val=&quot;401819D8&quot;/&gt;&lt;wsp:rsid wsp:val=&quot;401A15ED&quot;/&gt;&lt;wsp:rsid wsp:val=&quot;401A783F&quot;/&gt;&lt;wsp:rsid wsp:val=&quot;401F09B1&quot;/&gt;&lt;wsp:rsid wsp:val=&quot;401F4E55&quot;/&gt;&lt;wsp:rsid wsp:val=&quot;4021297B&quot;/&gt;&lt;wsp:rsid wsp:val=&quot;40214F87&quot;/&gt;&lt;wsp:rsid wsp:val=&quot;40216C59&quot;/&gt;&lt;wsp:rsid wsp:val=&quot;402204A1&quot;/&gt;&lt;wsp:rsid wsp:val=&quot;4024421A&quot;/&gt;&lt;wsp:rsid wsp:val=&quot;40244D12&quot;/&gt;&lt;wsp:rsid wsp:val=&quot;40271F5C&quot;/&gt;&lt;wsp:rsid wsp:val=&quot;40275AB8&quot;/&gt;&lt;wsp:rsid wsp:val=&quot;40295CD4&quot;/&gt;&lt;wsp:rsid wsp:val=&quot;402B37FA&quot;/&gt;&lt;wsp:rsid wsp:val=&quot;402B6F93&quot;/&gt;&lt;wsp:rsid wsp:val=&quot;402E32EA&quot;/&gt;&lt;wsp:rsid wsp:val=&quot;402E5098&quot;/&gt;&lt;wsp:rsid wsp:val=&quot;402E6E46&quot;/&gt;&lt;wsp:rsid wsp:val=&quot;402E7F0F&quot;/&gt;&lt;wsp:rsid wsp:val=&quot;402F139F&quot;/&gt;&lt;wsp:rsid wsp:val=&quot;40302BBE&quot;/&gt;&lt;wsp:rsid wsp:val=&quot;40307062&quot;/&gt;&lt;wsp:rsid wsp:val=&quot;4030764C&quot;/&gt;&lt;wsp:rsid wsp:val=&quot;40324B88&quot;/&gt;&lt;wsp:rsid wsp:val=&quot;4033025F&quot;/&gt;&lt;wsp:rsid wsp:val=&quot;4033445D&quot;/&gt;&lt;wsp:rsid wsp:val=&quot;4033696F&quot;/&gt;&lt;wsp:rsid wsp:val=&quot;40363F4D&quot;/&gt;&lt;wsp:rsid wsp:val=&quot;40381640&quot;/&gt;&lt;wsp:rsid wsp:val=&quot;40381A73&quot;/&gt;&lt;wsp:rsid wsp:val=&quot;40387CA6&quot;/&gt;&lt;wsp:rsid wsp:val=&quot;403B0BDA&quot;/&gt;&lt;wsp:rsid wsp:val=&quot;403B1563&quot;/&gt;&lt;wsp:rsid wsp:val=&quot;403E4E33&quot;/&gt;&lt;wsp:rsid wsp:val=&quot;403F1053&quot;/&gt;&lt;wsp:rsid wsp:val=&quot;40420B44&quot;/&gt;&lt;wsp:rsid wsp:val=&quot;40442135&quot;/&gt;&lt;wsp:rsid wsp:val=&quot;404448BC&quot;/&gt;&lt;wsp:rsid wsp:val=&quot;40464190&quot;/&gt;&lt;wsp:rsid wsp:val=&quot;4047615A&quot;/&gt;&lt;wsp:rsid wsp:val=&quot;40477626&quot;/&gt;&lt;wsp:rsid wsp:val=&quot;404877E0&quot;/&gt;&lt;wsp:rsid wsp:val=&quot;40490124&quot;/&gt;&lt;wsp:rsid wsp:val=&quot;40491ED2&quot;/&gt;&lt;wsp:rsid wsp:val=&quot;40496675&quot;/&gt;&lt;wsp:rsid wsp:val=&quot;404A1AFA&quot;/&gt;&lt;wsp:rsid wsp:val=&quot;404A4866&quot;/&gt;&lt;wsp:rsid wsp:val=&quot;404B3E9C&quot;/&gt;&lt;wsp:rsid wsp:val=&quot;404B5C4A&quot;/&gt;&lt;wsp:rsid wsp:val=&quot;404B7DB0&quot;/&gt;&lt;wsp:rsid wsp:val=&quot;404F2C99&quot;/&gt;&lt;wsp:rsid wsp:val=&quot;404F7248&quot;/&gt;&lt;wsp:rsid wsp:val=&quot;405014B2&quot;/&gt;&lt;wsp:rsid wsp:val=&quot;40503261&quot;/&gt;&lt;wsp:rsid wsp:val=&quot;40520D87&quot;/&gt;&lt;wsp:rsid wsp:val=&quot;40534AFF&quot;/&gt;&lt;wsp:rsid wsp:val=&quot;40550AC4&quot;/&gt;&lt;wsp:rsid wsp:val=&quot;4055658C&quot;/&gt;&lt;wsp:rsid wsp:val=&quot;405A435B&quot;/&gt;&lt;wsp:rsid wsp:val=&quot;405A7C3B&quot;/&gt;&lt;wsp:rsid wsp:val=&quot;405C39B3&quot;/&gt;&lt;wsp:rsid wsp:val=&quot;405E3BCF&quot;/&gt;&lt;wsp:rsid wsp:val=&quot;405F34A4&quot;/&gt;&lt;wsp:rsid wsp:val=&quot;405F6D3D&quot;/&gt;&lt;wsp:rsid wsp:val=&quot;40604DF5&quot;/&gt;&lt;wsp:rsid wsp:val=&quot;40610FCA&quot;/&gt;&lt;wsp:rsid wsp:val=&quot;406311E6&quot;/&gt;&lt;wsp:rsid wsp:val=&quot;40632F94&quot;/&gt;&lt;wsp:rsid wsp:val=&quot;40640ABA&quot;/&gt;&lt;wsp:rsid wsp:val=&quot;4066101B&quot;/&gt;&lt;wsp:rsid wsp:val=&quot;40672358&quot;/&gt;&lt;wsp:rsid wsp:val=&quot;40694322&quot;/&gt;&lt;wsp:rsid wsp:val=&quot;406960D0&quot;/&gt;&lt;wsp:rsid wsp:val=&quot;406B5CB8&quot;/&gt;&lt;wsp:rsid wsp:val=&quot;406D1341&quot;/&gt;&lt;wsp:rsid wsp:val=&quot;40703903&quot;/&gt;&lt;wsp:rsid wsp:val=&quot;4070745F&quot;/&gt;&lt;wsp:rsid wsp:val=&quot;40730CFD&quot;/&gt;&lt;wsp:rsid wsp:val=&quot;40752CC7&quot;/&gt;&lt;wsp:rsid wsp:val=&quot;40754A75&quot;/&gt;&lt;wsp:rsid wsp:val=&quot;40763590&quot;/&gt;&lt;wsp:rsid wsp:val=&quot;40784565&quot;/&gt;&lt;wsp:rsid wsp:val=&quot;407A6407&quot;/&gt;&lt;wsp:rsid wsp:val=&quot;407C22A8&quot;/&gt;&lt;wsp:rsid wsp:val=&quot;407C5E04&quot;/&gt;&lt;wsp:rsid wsp:val=&quot;407D0990&quot;/&gt;&lt;wsp:rsid wsp:val=&quot;407E3106&quot;/&gt;&lt;wsp:rsid wsp:val=&quot;407E7DCE&quot;/&gt;&lt;wsp:rsid wsp:val=&quot;4081166C&quot;/&gt;&lt;wsp:rsid wsp:val=&quot;4084115C&quot;/&gt;&lt;wsp:rsid wsp:val=&quot;40860A30&quot;/&gt;&lt;wsp:rsid wsp:val=&quot;40864ED4&quot;/&gt;&lt;wsp:rsid wsp:val=&quot;40866C82&quot;/&gt;&lt;wsp:rsid wsp:val=&quot;408847A8&quot;/&gt;&lt;wsp:rsid wsp:val=&quot;40896772&quot;/&gt;&lt;wsp:rsid wsp:val=&quot;408A49C4&quot;/&gt;&lt;wsp:rsid wsp:val=&quot;408B4299&quot;/&gt;&lt;wsp:rsid wsp:val=&quot;408E3D89&quot;/&gt;&lt;wsp:rsid wsp:val=&quot;408E5559&quot;/&gt;&lt;wsp:rsid wsp:val=&quot;408E5B37&quot;/&gt;&lt;wsp:rsid wsp:val=&quot;40905D53&quot;/&gt;&lt;wsp:rsid wsp:val=&quot;40923879&quot;/&gt;&lt;wsp:rsid wsp:val=&quot;409273D5&quot;/&gt;&lt;wsp:rsid wsp:val=&quot;4093314D&quot;/&gt;&lt;wsp:rsid wsp:val=&quot;40953369&quot;/&gt;&lt;wsp:rsid wsp:val=&quot;409543AA&quot;/&gt;&lt;wsp:rsid wsp:val=&quot;40956EC5&quot;/&gt;&lt;wsp:rsid wsp:val=&quot;40972C3D&quot;/&gt;&lt;wsp:rsid wsp:val=&quot;40972E6D&quot;/&gt;&lt;wsp:rsid wsp:val=&quot;40984633&quot;/&gt;&lt;wsp:rsid wsp:val=&quot;40994C08&quot;/&gt;&lt;wsp:rsid wsp:val=&quot;40995D45&quot;/&gt;&lt;wsp:rsid wsp:val=&quot;409969B6&quot;/&gt;&lt;wsp:rsid wsp:val=&quot;409C0254&quot;/&gt;&lt;wsp:rsid wsp:val=&quot;409C645C&quot;/&gt;&lt;wsp:rsid wsp:val=&quot;409C64A6&quot;/&gt;&lt;wsp:rsid wsp:val=&quot;409E221E&quot;/&gt;&lt;wsp:rsid wsp:val=&quot;409E3FCC&quot;/&gt;&lt;wsp:rsid wsp:val=&quot;409F1AF2&quot;/&gt;&lt;wsp:rsid wsp:val=&quot;40A13ABC&quot;/&gt;&lt;wsp:rsid wsp:val=&quot;40A1586A&quot;/&gt;&lt;wsp:rsid wsp:val=&quot;40A435AC&quot;/&gt;&lt;wsp:rsid wsp:val=&quot;40A4535A&quot;/&gt;&lt;wsp:rsid wsp:val=&quot;40A47108&quot;/&gt;&lt;wsp:rsid wsp:val=&quot;40A5518D&quot;/&gt;&lt;wsp:rsid wsp:val=&quot;40A8309D&quot;/&gt;&lt;wsp:rsid wsp:val=&quot;40A84BA5&quot;/&gt;&lt;wsp:rsid wsp:val=&quot;40A84E4B&quot;/&gt;&lt;wsp:rsid wsp:val=&quot;40A86BF9&quot;/&gt;&lt;wsp:rsid wsp:val=&quot;40A92971&quot;/&gt;&lt;wsp:rsid wsp:val=&quot;40AB6559&quot;/&gt;&lt;wsp:rsid wsp:val=&quot;40AD06B3&quot;/&gt;&lt;wsp:rsid wsp:val=&quot;40B324D6&quot;/&gt;&lt;wsp:rsid wsp:val=&quot;40B437EF&quot;/&gt;&lt;wsp:rsid wsp:val=&quot;40B51316&quot;/&gt;&lt;wsp:rsid wsp:val=&quot;40B530C4&quot;/&gt;&lt;wsp:rsid wsp:val=&quot;40B557B9&quot;/&gt;&lt;wsp:rsid wsp:val=&quot;40B649A6&quot;/&gt;&lt;wsp:rsid wsp:val=&quot;40B76E3C&quot;/&gt;&lt;wsp:rsid wsp:val=&quot;40B97058&quot;/&gt;&lt;wsp:rsid wsp:val=&quot;40BA3FFA&quot;/&gt;&lt;wsp:rsid wsp:val=&quot;40BA4B7E&quot;/&gt;&lt;wsp:rsid wsp:val=&quot;40BA692C&quot;/&gt;&lt;wsp:rsid wsp:val=&quot;40BB6DF0&quot;/&gt;&lt;wsp:rsid wsp:val=&quot;40BC26A4&quot;/&gt;&lt;wsp:rsid wsp:val=&quot;40BE641C&quot;/&gt;&lt;wsp:rsid wsp:val=&quot;40BE7127&quot;/&gt;&lt;wsp:rsid wsp:val=&quot;40C003E6&quot;/&gt;&lt;wsp:rsid wsp:val=&quot;40C05AC5&quot;/&gt;&lt;wsp:rsid wsp:val=&quot;40C15F0C&quot;/&gt;&lt;wsp:rsid wsp:val=&quot;40C33A32&quot;/&gt;&lt;wsp:rsid wsp:val=&quot;40C37B63&quot;/&gt;&lt;wsp:rsid wsp:val=&quot;40C601E3&quot;/&gt;&lt;wsp:rsid wsp:val=&quot;40C61775&quot;/&gt;&lt;wsp:rsid wsp:val=&quot;40C62381&quot;/&gt;&lt;wsp:rsid wsp:val=&quot;40C63523&quot;/&gt;&lt;wsp:rsid wsp:val=&quot;40C652D1&quot;/&gt;&lt;wsp:rsid wsp:val=&quot;40C71686&quot;/&gt;&lt;wsp:rsid wsp:val=&quot;40C81049&quot;/&gt;&lt;wsp:rsid wsp:val=&quot;40CB74F6&quot;/&gt;&lt;wsp:rsid wsp:val=&quot;40D03D17&quot;/&gt;&lt;wsp:rsid wsp:val=&quot;40D0614F&quot;/&gt;&lt;wsp:rsid wsp:val=&quot;40D20119&quot;/&gt;&lt;wsp:rsid wsp:val=&quot;40D23C76&quot;/&gt;&lt;wsp:rsid wsp:val=&quot;40D4197F&quot;/&gt;&lt;wsp:rsid wsp:val=&quot;40D43E92&quot;/&gt;&lt;wsp:rsid wsp:val=&quot;40D55514&quot;/&gt;&lt;wsp:rsid wsp:val=&quot;40D616C0&quot;/&gt;&lt;wsp:rsid wsp:val=&quot;40D914A8&quot;/&gt;&lt;wsp:rsid wsp:val=&quot;40D93256&quot;/&gt;&lt;wsp:rsid wsp:val=&quot;40DB0111&quot;/&gt;&lt;wsp:rsid wsp:val=&quot;40DB1852&quot;/&gt;&lt;wsp:rsid wsp:val=&quot;40DC2D46&quot;/&gt;&lt;wsp:rsid wsp:val=&quot;40DD2E4A&quot;/&gt;&lt;wsp:rsid wsp:val=&quot;40DE01D3&quot;/&gt;&lt;wsp:rsid wsp:val=&quot;40DE6ABE&quot;/&gt;&lt;wsp:rsid wsp:val=&quot;40DF3194&quot;/&gt;&lt;wsp:rsid wsp:val=&quot;40E02836&quot;/&gt;&lt;wsp:rsid wsp:val=&quot;40E1035D&quot;/&gt;&lt;wsp:rsid wsp:val=&quot;40E20315&quot;/&gt;&lt;wsp:rsid wsp:val=&quot;40E340D5&quot;/&gt;&lt;wsp:rsid wsp:val=&quot;40E35E83&quot;/&gt;&lt;wsp:rsid wsp:val=&quot;40E57E4D&quot;/&gt;&lt;wsp:rsid wsp:val=&quot;40E63D94&quot;/&gt;&lt;wsp:rsid wsp:val=&quot;40E65973&quot;/&gt;&lt;wsp:rsid wsp:val=&quot;40E816EB&quot;/&gt;&lt;wsp:rsid wsp:val=&quot;40E83499&quot;/&gt;&lt;wsp:rsid wsp:val=&quot;40EA7211&quot;/&gt;&lt;wsp:rsid wsp:val=&quot;40ED0AAF&quot;/&gt;&lt;wsp:rsid wsp:val=&quot;40F005A0&quot;/&gt;&lt;wsp:rsid wsp:val=&quot;40F167F2&quot;/&gt;&lt;wsp:rsid wsp:val=&quot;40F2256A&quot;/&gt;&lt;wsp:rsid wsp:val=&quot;40F24318&quot;/&gt;&lt;wsp:rsid wsp:val=&quot;40F30571&quot;/&gt;&lt;wsp:rsid wsp:val=&quot;40F77B80&quot;/&gt;&lt;wsp:rsid wsp:val=&quot;40F85CD8&quot;/&gt;&lt;wsp:rsid wsp:val=&quot;40F956A6&quot;/&gt;&lt;wsp:rsid wsp:val=&quot;40F97454&quot;/&gt;&lt;wsp:rsid wsp:val=&quot;40FA31CC&quot;/&gt;&lt;wsp:rsid wsp:val=&quot;40FB141E&quot;/&gt;&lt;wsp:rsid wsp:val=&quot;40FB7670&quot;/&gt;&lt;wsp:rsid wsp:val=&quot;40FD201B&quot;/&gt;&lt;wsp:rsid wsp:val=&quot;40FE0F0E&quot;/&gt;&lt;wsp:rsid wsp:val=&quot;40FE2CBD&quot;/&gt;&lt;wsp:rsid wsp:val=&quot;410020DD&quot;/&gt;&lt;wsp:rsid wsp:val=&quot;41006A35&quot;/&gt;&lt;wsp:rsid wsp:val=&quot;410302D3&quot;/&gt;&lt;wsp:rsid wsp:val=&quot;410351C9&quot;/&gt;&lt;wsp:rsid wsp:val=&quot;410460FD&quot;/&gt;&lt;wsp:rsid wsp:val=&quot;4105404B&quot;/&gt;&lt;wsp:rsid wsp:val=&quot;41061B71&quot;/&gt;&lt;wsp:rsid wsp:val=&quot;41067DC3&quot;/&gt;&lt;wsp:rsid wsp:val=&quot;410773DF&quot;/&gt;&lt;wsp:rsid wsp:val=&quot;4108086F&quot;/&gt;&lt;wsp:rsid wsp:val=&quot;41083B3B&quot;/&gt;&lt;wsp:rsid wsp:val=&quot;4108712E&quot;/&gt;&lt;wsp:rsid wsp:val=&quot;410A78B3&quot;/&gt;&lt;wsp:rsid wsp:val=&quot;410D1152&quot;/&gt;&lt;wsp:rsid wsp:val=&quot;411029F0&quot;/&gt;&lt;wsp:rsid wsp:val=&quot;411058C0&quot;/&gt;&lt;wsp:rsid wsp:val=&quot;411249BA&quot;/&gt;&lt;wsp:rsid wsp:val=&quot;411424E0&quot;/&gt;&lt;wsp:rsid wsp:val=&quot;4114428E&quot;/&gt;&lt;wsp:rsid wsp:val=&quot;41160006&quot;/&gt;&lt;wsp:rsid wsp:val=&quot;411B561D&quot;/&gt;&lt;wsp:rsid wsp:val=&quot;411C1134&quot;/&gt;&lt;wsp:rsid wsp:val=&quot;411E510D&quot;/&gt;&lt;wsp:rsid wsp:val=&quot;411F121E&quot;/&gt;&lt;wsp:rsid wsp:val=&quot;41202C33&quot;/&gt;&lt;wsp:rsid wsp:val=&quot;41230975&quot;/&gt;&lt;wsp:rsid wsp:val=&quot;412344D1&quot;/&gt;&lt;wsp:rsid wsp:val=&quot;412626B7&quot;/&gt;&lt;wsp:rsid wsp:val=&quot;41263FC1&quot;/&gt;&lt;wsp:rsid wsp:val=&quot;41265D6F&quot;/&gt;&lt;wsp:rsid wsp:val=&quot;41272213&quot;/&gt;&lt;wsp:rsid wsp:val=&quot;412864C3&quot;/&gt;&lt;wsp:rsid wsp:val=&quot;41287BB3&quot;/&gt;&lt;wsp:rsid wsp:val=&quot;412B15D8&quot;/&gt;&lt;wsp:rsid wsp:val=&quot;412C782A&quot;/&gt;&lt;wsp:rsid wsp:val=&quot;413040D7&quot;/&gt;&lt;wsp:rsid wsp:val=&quot;41310F0B&quot;/&gt;&lt;wsp:rsid wsp:val=&quot;413349EA&quot;/&gt;&lt;wsp:rsid wsp:val=&quot;41344930&quot;/&gt;&lt;wsp:rsid wsp:val=&quot;4134662D&quot;/&gt;&lt;wsp:rsid wsp:val=&quot;41377F7D&quot;/&gt;&lt;wsp:rsid wsp:val=&quot;41393CF5&quot;/&gt;&lt;wsp:rsid wsp:val=&quot;413B181B&quot;/&gt;&lt;wsp:rsid wsp:val=&quot;413C3712&quot;/&gt;&lt;wsp:rsid wsp:val=&quot;413E130B&quot;/&gt;&lt;wsp:rsid wsp:val=&quot;413E755D&quot;/&gt;&lt;wsp:rsid wsp:val=&quot;414032D5&quot;/&gt;&lt;wsp:rsid wsp:val=&quot;41405083&quot;/&gt;&lt;wsp:rsid wsp:val=&quot;41410DFB&quot;/&gt;&lt;wsp:rsid wsp:val=&quot;41422591&quot;/&gt;&lt;wsp:rsid wsp:val=&quot;41432DC5&quot;/&gt;&lt;wsp:rsid wsp:val=&quot;41434B73&quot;/&gt;&lt;wsp:rsid wsp:val=&quot;41436921&quot;/&gt;&lt;wsp:rsid wsp:val=&quot;41456B3D&quot;/&gt;&lt;wsp:rsid wsp:val=&quot;41466412&quot;/&gt;&lt;wsp:rsid wsp:val=&quot;414803DC&quot;/&gt;&lt;wsp:rsid wsp:val=&quot;4148218A&quot;/&gt;&lt;wsp:rsid wsp:val=&quot;41483F38&quot;/&gt;&lt;wsp:rsid wsp:val=&quot;414A5F02&quot;/&gt;&lt;wsp:rsid wsp:val=&quot;414C1C7A&quot;/&gt;&lt;wsp:rsid wsp:val=&quot;414C3A28&quot;/&gt;&lt;wsp:rsid wsp:val=&quot;414D59F2&quot;/&gt;&lt;wsp:rsid wsp:val=&quot;414D77A0&quot;/&gt;&lt;wsp:rsid wsp:val=&quot;414F0FC2&quot;/&gt;&lt;wsp:rsid wsp:val=&quot;414F176A&quot;/&gt;&lt;wsp:rsid wsp:val=&quot;414F3004&quot;/&gt;&lt;wsp:rsid wsp:val=&quot;414F52C6&quot;/&gt;&lt;wsp:rsid wsp:val=&quot;41504494&quot;/&gt;&lt;wsp:rsid wsp:val=&quot;415154E2&quot;/&gt;&lt;wsp:rsid wsp:val=&quot;41516DB4&quot;/&gt;&lt;wsp:rsid wsp:val=&quot;41520244&quot;/&gt;&lt;wsp:rsid wsp:val=&quot;415428DD&quot;/&gt;&lt;wsp:rsid wsp:val=&quot;415442A5&quot;/&gt;&lt;wsp:rsid wsp:val=&quot;41550306&quot;/&gt;&lt;wsp:rsid wsp:val=&quot;41593FD6&quot;/&gt;&lt;wsp:rsid wsp:val=&quot;415B1EBD&quot;/&gt;&lt;wsp:rsid wsp:val=&quot;415B68E3&quot;/&gt;&lt;wsp:rsid wsp:val=&quot;415B7B1F&quot;/&gt;&lt;wsp:rsid wsp:val=&quot;415D5C35&quot;/&gt;&lt;wsp:rsid wsp:val=&quot;415E19AD&quot;/&gt;&lt;wsp:rsid wsp:val=&quot;41644198&quot;/&gt;&lt;wsp:rsid wsp:val=&quot;41650F8E&quot;/&gt;&lt;wsp:rsid wsp:val=&quot;41651639&quot;/&gt;&lt;wsp:rsid wsp:val=&quot;41680F39&quot;/&gt;&lt;wsp:rsid wsp:val=&quot;416A0352&quot;/&gt;&lt;wsp:rsid wsp:val=&quot;416B7C26&quot;/&gt;&lt;wsp:rsid wsp:val=&quot;416C231C&quot;/&gt;&lt;wsp:rsid wsp:val=&quot;416C5E78&quot;/&gt;&lt;wsp:rsid wsp:val=&quot;416D658D&quot;/&gt;&lt;wsp:rsid wsp:val=&quot;416F7831&quot;/&gt;&lt;wsp:rsid wsp:val=&quot;41717932&quot;/&gt;&lt;wsp:rsid wsp:val=&quot;41742F7F&quot;/&gt;&lt;wsp:rsid wsp:val=&quot;41776C90&quot;/&gt;&lt;wsp:rsid wsp:val=&quot;41790595&quot;/&gt;&lt;wsp:rsid wsp:val=&quot;41790C64&quot;/&gt;&lt;wsp:rsid wsp:val=&quot;417A0B91&quot;/&gt;&lt;wsp:rsid wsp:val=&quot;417B255F&quot;/&gt;&lt;wsp:rsid wsp:val=&quot;417C33D9&quot;/&gt;&lt;wsp:rsid wsp:val=&quot;417D0085&quot;/&gt;&lt;wsp:rsid wsp:val=&quot;417D62D7&quot;/&gt;&lt;wsp:rsid wsp:val=&quot;417E7959&quot;/&gt;&lt;wsp:rsid wsp:val=&quot;417F09A2&quot;/&gt;&lt;wsp:rsid wsp:val=&quot;41801923&quot;/&gt;&lt;wsp:rsid wsp:val=&quot;41801BCC&quot;/&gt;&lt;wsp:rsid wsp:val=&quot;41807B75&quot;/&gt;&lt;wsp:rsid wsp:val=&quot;4182569C&quot;/&gt;&lt;wsp:rsid wsp:val=&quot;41827323&quot;/&gt;&lt;wsp:rsid wsp:val=&quot;41840CDB&quot;/&gt;&lt;wsp:rsid wsp:val=&quot;41847666&quot;/&gt;&lt;wsp:rsid wsp:val=&quot;41850CE8&quot;/&gt;&lt;wsp:rsid wsp:val=&quot;41854314&quot;/&gt;&lt;wsp:rsid wsp:val=&quot;418654B8&quot;/&gt;&lt;wsp:rsid wsp:val=&quot;41870F04&quot;/&gt;&lt;wsp:rsid wsp:val=&quot;41872CB2&quot;/&gt;&lt;wsp:rsid wsp:val=&quot;41886A2A&quot;/&gt;&lt;wsp:rsid wsp:val=&quot;41892EE4&quot;/&gt;&lt;wsp:rsid wsp:val=&quot;418A09F4&quot;/&gt;&lt;wsp:rsid wsp:val=&quot;418C02C8&quot;/&gt;&lt;wsp:rsid wsp:val=&quot;418C651A&quot;/&gt;&lt;wsp:rsid wsp:val=&quot;418D5DEE&quot;/&gt;&lt;wsp:rsid wsp:val=&quot;418E2292&quot;/&gt;&lt;wsp:rsid wsp:val=&quot;418F65C9&quot;/&gt;&lt;wsp:rsid wsp:val=&quot;418F7D7F&quot;/&gt;&lt;wsp:rsid wsp:val=&quot;418F7DB9&quot;/&gt;&lt;wsp:rsid wsp:val=&quot;419378A7&quot;/&gt;&lt;wsp:rsid wsp:val=&quot;4194717D&quot;/&gt;&lt;wsp:rsid wsp:val=&quot;41952BC8&quot;/&gt;&lt;wsp:rsid wsp:val=&quot;41967399&quot;/&gt;&lt;wsp:rsid wsp:val=&quot;41986C6D&quot;/&gt;&lt;wsp:rsid wsp:val=&quot;419929E5&quot;/&gt;&lt;wsp:rsid wsp:val=&quot;419B49AF&quot;/&gt;&lt;wsp:rsid wsp:val=&quot;419D4283&quot;/&gt;&lt;wsp:rsid wsp:val=&quot;41A01FC6&quot;/&gt;&lt;wsp:rsid wsp:val=&quot;41A03D74&quot;/&gt;&lt;wsp:rsid wsp:val=&quot;41A25D3E&quot;/&gt;&lt;wsp:rsid wsp:val=&quot;41A73354&quot;/&gt;&lt;wsp:rsid wsp:val=&quot;41A75102&quot;/&gt;&lt;wsp:rsid wsp:val=&quot;41A7646C&quot;/&gt;&lt;wsp:rsid wsp:val=&quot;41A76EB0&quot;/&gt;&lt;wsp:rsid wsp:val=&quot;41A878FC&quot;/&gt;&lt;wsp:rsid wsp:val=&quot;41A90381&quot;/&gt;&lt;wsp:rsid wsp:val=&quot;41AC2719&quot;/&gt;&lt;wsp:rsid wsp:val=&quot;41AC627D&quot;/&gt;&lt;wsp:rsid wsp:val=&quot;41AD023F&quot;/&gt;&lt;wsp:rsid wsp:val=&quot;41AE46E3&quot;/&gt;&lt;wsp:rsid wsp:val=&quot;41AF045B&quot;/&gt;&lt;wsp:rsid wsp:val=&quot;41AF3FB7&quot;/&gt;&lt;wsp:rsid wsp:val=&quot;41AF7A35&quot;/&gt;&lt;wsp:rsid wsp:val=&quot;41B31CF9&quot;/&gt;&lt;wsp:rsid wsp:val=&quot;41B45A71&quot;/&gt;&lt;wsp:rsid wsp:val=&quot;41B54346&quot;/&gt;&lt;wsp:rsid wsp:val=&quot;41B63597&quot;/&gt;&lt;wsp:rsid wsp:val=&quot;41B65345&quot;/&gt;&lt;wsp:rsid wsp:val=&quot;41B82E6B&quot;/&gt;&lt;wsp:rsid wsp:val=&quot;41B8730F&quot;/&gt;&lt;wsp:rsid wsp:val=&quot;41B873F1&quot;/&gt;&lt;wsp:rsid wsp:val=&quot;41B96BE3&quot;/&gt;&lt;wsp:rsid wsp:val=&quot;41BA3087&quot;/&gt;&lt;wsp:rsid wsp:val=&quot;41BB0BAE&quot;/&gt;&lt;wsp:rsid wsp:val=&quot;41BD66D4&quot;/&gt;&lt;wsp:rsid wsp:val=&quot;41BE20FD&quot;/&gt;&lt;wsp:rsid wsp:val=&quot;41BF778A&quot;/&gt;&lt;wsp:rsid wsp:val=&quot;41C061C4&quot;/&gt;&lt;wsp:rsid wsp:val=&quot;41C06248&quot;/&gt;&lt;wsp:rsid wsp:val=&quot;41C25F88&quot;/&gt;&lt;wsp:rsid wsp:val=&quot;41C37A62&quot;/&gt;&lt;wsp:rsid wsp:val=&quot;41C46B0D&quot;/&gt;&lt;wsp:rsid wsp:val=&quot;41C47EC7&quot;/&gt;&lt;wsp:rsid wsp:val=&quot;41C55588&quot;/&gt;&lt;wsp:rsid wsp:val=&quot;41C91AB7&quot;/&gt;&lt;wsp:rsid wsp:val=&quot;41CA0DF1&quot;/&gt;&lt;wsp:rsid wsp:val=&quot;41CA2B9F&quot;/&gt;&lt;wsp:rsid wsp:val=&quot;41CA7043&quot;/&gt;&lt;wsp:rsid wsp:val=&quot;41CB43D7&quot;/&gt;&lt;wsp:rsid wsp:val=&quot;41CC4B69&quot;/&gt;&lt;wsp:rsid wsp:val=&quot;41CD5603&quot;/&gt;&lt;wsp:rsid wsp:val=&quot;41CE08E1&quot;/&gt;&lt;wsp:rsid wsp:val=&quot;41CE268F&quot;/&gt;&lt;wsp:rsid wsp:val=&quot;41D1217F&quot;/&gt;&lt;wsp:rsid wsp:val=&quot;41D135DC&quot;/&gt;&lt;wsp:rsid wsp:val=&quot;41D35EF7&quot;/&gt;&lt;wsp:rsid wsp:val=&quot;41D37CA5&quot;/&gt;&lt;wsp:rsid wsp:val=&quot;41D41C6F&quot;/&gt;&lt;wsp:rsid wsp:val=&quot;41D61543&quot;/&gt;&lt;wsp:rsid wsp:val=&quot;41D63C39&quot;/&gt;&lt;wsp:rsid wsp:val=&quot;41D81760&quot;/&gt;&lt;wsp:rsid wsp:val=&quot;41D8350E&quot;/&gt;&lt;wsp:rsid wsp:val=&quot;41D852BC&quot;/&gt;&lt;wsp:rsid wsp:val=&quot;41DA7286&quot;/&gt;&lt;wsp:rsid wsp:val=&quot;41DB2FFE&quot;/&gt;&lt;wsp:rsid wsp:val=&quot;41DD0B24&quot;/&gt;&lt;wsp:rsid wsp:val=&quot;41DD28D2&quot;/&gt;&lt;wsp:rsid wsp:val=&quot;41DF2AEE&quot;/&gt;&lt;wsp:rsid wsp:val=&quot;41DF489C&quot;/&gt;&lt;wsp:rsid wsp:val=&quot;41E023C2&quot;/&gt;&lt;wsp:rsid wsp:val=&quot;41E165FD&quot;/&gt;&lt;wsp:rsid wsp:val=&quot;41E2438C&quot;/&gt;&lt;wsp:rsid wsp:val=&quot;41E53E7C&quot;/&gt;&lt;wsp:rsid wsp:val=&quot;41E579D9&quot;/&gt;&lt;wsp:rsid wsp:val=&quot;41E67D86&quot;/&gt;&lt;wsp:rsid wsp:val=&quot;41E9396D&quot;/&gt;&lt;wsp:rsid wsp:val=&quot;41E974C9&quot;/&gt;&lt;wsp:rsid wsp:val=&quot;41EA1493&quot;/&gt;&lt;wsp:rsid wsp:val=&quot;41EA2372&quot;/&gt;&lt;wsp:rsid wsp:val=&quot;41EE0F83&quot;/&gt;&lt;wsp:rsid wsp:val=&quot;41EF2E79&quot;/&gt;&lt;wsp:rsid wsp:val=&quot;41F1637D&quot;/&gt;&lt;wsp:rsid wsp:val=&quot;41F320F5&quot;/&gt;&lt;wsp:rsid wsp:val=&quot;41F36599&quot;/&gt;&lt;wsp:rsid wsp:val=&quot;41F45E6E&quot;/&gt;&lt;wsp:rsid wsp:val=&quot;41F63994&quot;/&gt;&lt;wsp:rsid wsp:val=&quot;41F7323D&quot;/&gt;&lt;wsp:rsid wsp:val=&quot;41F83BB0&quot;/&gt;&lt;wsp:rsid wsp:val=&quot;41F8595E&quot;/&gt;&lt;wsp:rsid wsp:val=&quot;41F93484&quot;/&gt;&lt;wsp:rsid wsp:val=&quot;41FA16D6&quot;/&gt;&lt;wsp:rsid wsp:val=&quot;41FB359F&quot;/&gt;&lt;wsp:rsid wsp:val=&quot;41FB544E&quot;/&gt;&lt;wsp:rsid wsp:val=&quot;41FB703C&quot;/&gt;&lt;wsp:rsid wsp:val=&quot;41FB7347&quot;/&gt;&lt;wsp:rsid wsp:val=&quot;4200449D&quot;/&gt;&lt;wsp:rsid wsp:val=&quot;42015BE7&quot;/&gt;&lt;wsp:rsid wsp:val=&quot;4202058A&quot;/&gt;&lt;wsp:rsid wsp:val=&quot;42024A2E&quot;/&gt;&lt;wsp:rsid wsp:val=&quot;42051E29&quot;/&gt;&lt;wsp:rsid wsp:val=&quot;42063D6C&quot;/&gt;&lt;wsp:rsid wsp:val=&quot;42084D83&quot;/&gt;&lt;wsp:rsid wsp:val=&quot;420D19FA&quot;/&gt;&lt;wsp:rsid wsp:val=&quot;420D6D5B&quot;/&gt;&lt;wsp:rsid wsp:val=&quot;420E33D3&quot;/&gt;&lt;wsp:rsid wsp:val=&quot;420F167B&quot;/&gt;&lt;wsp:rsid wsp:val=&quot;42114C71&quot;/&gt;&lt;wsp:rsid wsp:val=&quot;42132798&quot;/&gt;&lt;wsp:rsid wsp:val=&quot;42156510&quot;/&gt;&lt;wsp:rsid wsp:val=&quot;42186247&quot;/&gt;&lt;wsp:rsid wsp:val=&quot;421A3DAC&quot;/&gt;&lt;wsp:rsid wsp:val=&quot;421A4923&quot;/&gt;&lt;wsp:rsid wsp:val=&quot;421A58D4&quot;/&gt;&lt;wsp:rsid wsp:val=&quot;421D1BAF&quot;/&gt;&lt;wsp:rsid wsp:val=&quot;421F113C&quot;/&gt;&lt;wsp:rsid wsp:val=&quot;421F2EEA&quot;/&gt;&lt;wsp:rsid wsp:val=&quot;421F738E&quot;/&gt;&lt;wsp:rsid wsp:val=&quot;42204702&quot;/&gt;&lt;wsp:rsid wsp:val=&quot;42204EB5&quot;/&gt;&lt;wsp:rsid wsp:val=&quot;42213106&quot;/&gt;&lt;wsp:rsid wsp:val=&quot;42220C2D&quot;/&gt;&lt;wsp:rsid wsp:val=&quot;42223ECC&quot;/&gt;&lt;wsp:rsid wsp:val=&quot;42227AF1&quot;/&gt;&lt;wsp:rsid wsp:val=&quot;42240501&quot;/&gt;&lt;wsp:rsid wsp:val=&quot;422449A5&quot;/&gt;&lt;wsp:rsid wsp:val=&quot;42254279&quot;/&gt;&lt;wsp:rsid wsp:val=&quot;42256DCB&quot;/&gt;&lt;wsp:rsid wsp:val=&quot;42274495&quot;/&gt;&lt;wsp:rsid wsp:val=&quot;42274F45&quot;/&gt;&lt;wsp:rsid wsp:val=&quot;42295B17&quot;/&gt;&lt;wsp:rsid wsp:val=&quot;422A188F&quot;/&gt;&lt;wsp:rsid wsp:val=&quot;422C084D&quot;/&gt;&lt;wsp:rsid wsp:val=&quot;422C7413&quot;/&gt;&lt;wsp:rsid wsp:val=&quot;422F6EA6&quot;/&gt;&lt;wsp:rsid wsp:val=&quot;423009B4&quot;/&gt;&lt;wsp:rsid wsp:val=&quot;4230334A&quot;/&gt;&lt;wsp:rsid wsp:val=&quot;42312C1E&quot;/&gt;&lt;wsp:rsid wsp:val=&quot;423133A5&quot;/&gt;&lt;wsp:rsid wsp:val=&quot;42332E3A&quot;/&gt;&lt;wsp:rsid wsp:val=&quot;42336996&quot;/&gt;&lt;wsp:rsid wsp:val=&quot;42336BE8&quot;/&gt;&lt;wsp:rsid wsp:val=&quot;423544BC&quot;/&gt;&lt;wsp:rsid wsp:val=&quot;42366486&quot;/&gt;&lt;wsp:rsid wsp:val=&quot;423821FE&quot;/&gt;&lt;wsp:rsid wsp:val=&quot;42383FAC&quot;/&gt;&lt;wsp:rsid wsp:val=&quot;423919E0&quot;/&gt;&lt;wsp:rsid wsp:val=&quot;423936F1&quot;/&gt;&lt;wsp:rsid wsp:val=&quot;423A3BCC&quot;/&gt;&lt;wsp:rsid wsp:val=&quot;423A5F76&quot;/&gt;&lt;wsp:rsid wsp:val=&quot;423A7D24&quot;/&gt;&lt;wsp:rsid wsp:val=&quot;423B584A&quot;/&gt;&lt;wsp:rsid wsp:val=&quot;423F0F7B&quot;/&gt;&lt;wsp:rsid wsp:val=&quot;42402E61&quot;/&gt;&lt;wsp:rsid wsp:val=&quot;42415557&quot;/&gt;&lt;wsp:rsid wsp:val=&quot;424402BA&quot;/&gt;&lt;wsp:rsid wsp:val=&quot;42440DCA&quot;/&gt;&lt;wsp:rsid wsp:val=&quot;424566C9&quot;/&gt;&lt;wsp:rsid wsp:val=&quot;42492C9C&quot;/&gt;&lt;wsp:rsid wsp:val=&quot;424961B9&quot;/&gt;&lt;wsp:rsid wsp:val=&quot;424B1F31&quot;/&gt;&lt;wsp:rsid wsp:val=&quot;424B3CDF&quot;/&gt;&lt;wsp:rsid wsp:val=&quot;424C5CAA&quot;/&gt;&lt;wsp:rsid wsp:val=&quot;424E1A22&quot;/&gt;&lt;wsp:rsid wsp:val=&quot;424E557E&quot;/&gt;&lt;wsp:rsid wsp:val=&quot;424E57D2&quot;/&gt;&lt;wsp:rsid wsp:val=&quot;42523FFF&quot;/&gt;&lt;wsp:rsid wsp:val=&quot;42524F59&quot;/&gt;&lt;wsp:rsid wsp:val=&quot;42554B5E&quot;/&gt;&lt;wsp:rsid wsp:val=&quot;4255690C&quot;/&gt;&lt;wsp:rsid wsp:val=&quot;42562684&quot;/&gt;&lt;wsp:rsid wsp:val=&quot;42577480&quot;/&gt;&lt;wsp:rsid wsp:val=&quot;42580899&quot;/&gt;&lt;wsp:rsid wsp:val=&quot;4258464E&quot;/&gt;&lt;wsp:rsid wsp:val=&quot;425A2175&quot;/&gt;&lt;wsp:rsid wsp:val=&quot;425C413F&quot;/&gt;&lt;wsp:rsid wsp:val=&quot;425D1C65&quot;/&gt;&lt;wsp:rsid wsp:val=&quot;425D3A13&quot;/&gt;&lt;wsp:rsid wsp:val=&quot;425F32CE&quot;/&gt;&lt;wsp:rsid wsp:val=&quot;425F3C2F&quot;/&gt;&lt;wsp:rsid wsp:val=&quot;425F778B&quot;/&gt;&lt;wsp:rsid wsp:val=&quot;4261734D&quot;/&gt;&lt;wsp:rsid wsp:val=&quot;42621852&quot;/&gt;&lt;wsp:rsid wsp:val=&quot;426254CD&quot;/&gt;&lt;wsp:rsid wsp:val=&quot;42642FF3&quot;/&gt;&lt;wsp:rsid wsp:val=&quot;42644DA1&quot;/&gt;&lt;wsp:rsid wsp:val=&quot;42660B19&quot;/&gt;&lt;wsp:rsid wsp:val=&quot;42670BB7&quot;/&gt;&lt;wsp:rsid wsp:val=&quot;42674891&quot;/&gt;&lt;wsp:rsid wsp:val=&quot;4268268D&quot;/&gt;&lt;wsp:rsid wsp:val=&quot;426923B8&quot;/&gt;&lt;wsp:rsid wsp:val=&quot;426B4382&quot;/&gt;&lt;wsp:rsid wsp:val=&quot;426D00FA&quot;/&gt;&lt;wsp:rsid wsp:val=&quot;426D38AF&quot;/&gt;&lt;wsp:rsid wsp:val=&quot;426E1391&quot;/&gt;&lt;wsp:rsid wsp:val=&quot;426E5C20&quot;/&gt;&lt;wsp:rsid wsp:val=&quot;426E79CE&quot;/&gt;&lt;wsp:rsid wsp:val=&quot;42701998&quot;/&gt;&lt;wsp:rsid wsp:val=&quot;4271434E&quot;/&gt;&lt;wsp:rsid wsp:val=&quot;42731488&quot;/&gt;&lt;wsp:rsid wsp:val=&quot;42736129&quot;/&gt;&lt;wsp:rsid wsp:val=&quot;42750D5C&quot;/&gt;&lt;wsp:rsid wsp:val=&quot;42770F78&quot;/&gt;&lt;wsp:rsid wsp:val=&quot;42785D1A&quot;/&gt;&lt;wsp:rsid wsp:val=&quot;42791D7B&quot;/&gt;&lt;wsp:rsid wsp:val=&quot;427C7D09&quot;/&gt;&lt;wsp:rsid wsp:val=&quot;427F1BDB&quot;/&gt;&lt;wsp:rsid wsp:val=&quot;427F607F&quot;/&gt;&lt;wsp:rsid wsp:val=&quot;42813BA5&quot;/&gt;&lt;wsp:rsid wsp:val=&quot;42814A9F&quot;/&gt;&lt;wsp:rsid wsp:val=&quot;428471F1&quot;/&gt;&lt;wsp:rsid wsp:val=&quot;428575F7&quot;/&gt;&lt;wsp:rsid wsp:val=&quot;42882069&quot;/&gt;&lt;wsp:rsid wsp:val=&quot;42892A5A&quot;/&gt;&lt;wsp:rsid wsp:val=&quot;428B0580&quot;/&gt;&lt;wsp:rsid wsp:val=&quot;428B4A24&quot;/&gt;&lt;wsp:rsid wsp:val=&quot;428D59B1&quot;/&gt;&lt;wsp:rsid wsp:val=&quot;428E62C2&quot;/&gt;&lt;wsp:rsid wsp:val=&quot;42900F05&quot;/&gt;&lt;wsp:rsid wsp:val=&quot;42903DE8&quot;/&gt;&lt;wsp:rsid wsp:val=&quot;4292190E&quot;/&gt;&lt;wsp:rsid wsp:val=&quot;42925DB2&quot;/&gt;&lt;wsp:rsid wsp:val=&quot;42927B60&quot;/&gt;&lt;wsp:rsid wsp:val=&quot;42937A5A&quot;/&gt;&lt;wsp:rsid wsp:val=&quot;429513FF&quot;/&gt;&lt;wsp:rsid wsp:val=&quot;42956073&quot;/&gt;&lt;wsp:rsid wsp:val=&quot;42957958&quot;/&gt;&lt;wsp:rsid wsp:val=&quot;429733C9&quot;/&gt;&lt;wsp:rsid wsp:val=&quot;42980EEF&quot;/&gt;&lt;wsp:rsid wsp:val=&quot;42982C9D&quot;/&gt;&lt;wsp:rsid wsp:val=&quot;429A4C67&quot;/&gt;&lt;wsp:rsid wsp:val=&quot;429D5791&quot;/&gt;&lt;wsp:rsid wsp:val=&quot;429D6505&quot;/&gt;&lt;wsp:rsid wsp:val=&quot;429F227D&quot;/&gt;&lt;wsp:rsid wsp:val=&quot;429F402B&quot;/&gt;&lt;wsp:rsid wsp:val=&quot;42A17DA3&quot;/&gt;&lt;wsp:rsid wsp:val=&quot;42A50DB4&quot;/&gt;&lt;wsp:rsid wsp:val=&quot;42A86289&quot;/&gt;&lt;wsp:rsid wsp:val=&quot;42A87384&quot;/&gt;&lt;wsp:rsid wsp:val=&quot;42A936CE&quot;/&gt;&lt;wsp:rsid wsp:val=&quot;42AA7468&quot;/&gt;&lt;wsp:rsid wsp:val=&quot;42AE24C0&quot;/&gt;&lt;wsp:rsid wsp:val=&quot;42AE426E&quot;/&gt;&lt;wsp:rsid wsp:val=&quot;42B05AC3&quot;/&gt;&lt;wsp:rsid wsp:val=&quot;42B07D4A&quot;/&gt;&lt;wsp:rsid wsp:val=&quot;42B07FBC&quot;/&gt;&lt;wsp:rsid wsp:val=&quot;42B07FE6&quot;/&gt;&lt;wsp:rsid wsp:val=&quot;42B11A4B&quot;/&gt;&lt;wsp:rsid wsp:val=&quot;42B26C49&quot;/&gt;&lt;wsp:rsid wsp:val=&quot;42B37AD7&quot;/&gt;&lt;wsp:rsid wsp:val=&quot;42B530EB&quot;/&gt;&lt;wsp:rsid wsp:val=&quot;42B5384F&quot;/&gt;&lt;wsp:rsid wsp:val=&quot;42B57B8F&quot;/&gt;&lt;wsp:rsid wsp:val=&quot;42B71375&quot;/&gt;&lt;wsp:rsid wsp:val=&quot;42BA70B7&quot;/&gt;&lt;wsp:rsid wsp:val=&quot;42BC287D&quot;/&gt;&lt;wsp:rsid wsp:val=&quot;42BE6BA7&quot;/&gt;&lt;wsp:rsid wsp:val=&quot;42BF022A&quot;/&gt;&lt;wsp:rsid wsp:val=&quot;42C10446&quot;/&gt;&lt;wsp:rsid wsp:val=&quot;42C12C8D&quot;/&gt;&lt;wsp:rsid wsp:val=&quot;42C35F6C&quot;/&gt;&lt;wsp:rsid wsp:val=&quot;42C41CE4&quot;/&gt;&lt;wsp:rsid wsp:val=&quot;42C43A92&quot;/&gt;&lt;wsp:rsid wsp:val=&quot;42C53B25&quot;/&gt;&lt;wsp:rsid wsp:val=&quot;42C6780A&quot;/&gt;&lt;wsp:rsid wsp:val=&quot;42C83582&quot;/&gt;&lt;wsp:rsid wsp:val=&quot;42C87815&quot;/&gt;&lt;wsp:rsid wsp:val=&quot;42C972FA&quot;/&gt;&lt;wsp:rsid wsp:val=&quot;42CB4E20&quot;/&gt;&lt;wsp:rsid wsp:val=&quot;42CB5600&quot;/&gt;&lt;wsp:rsid wsp:val=&quot;42CB6BCE&quot;/&gt;&lt;wsp:rsid wsp:val=&quot;42CD0B98&quot;/&gt;&lt;wsp:rsid wsp:val=&quot;42CD2946&quot;/&gt;&lt;wsp:rsid wsp:val=&quot;42CD3F43&quot;/&gt;&lt;wsp:rsid wsp:val=&quot;42CE53D3&quot;/&gt;&lt;wsp:rsid wsp:val=&quot;42D14483&quot;/&gt;&lt;wsp:rsid wsp:val=&quot;42D24401&quot;/&gt;&lt;wsp:rsid wsp:val=&quot;42D31F27&quot;/&gt;&lt;wsp:rsid wsp:val=&quot;42D40179&quot;/&gt;&lt;wsp:rsid wsp:val=&quot;42D57A4D&quot;/&gt;&lt;wsp:rsid wsp:val=&quot;42D737C5&quot;/&gt;&lt;wsp:rsid wsp:val=&quot;42D7630E&quot;/&gt;&lt;wsp:rsid wsp:val=&quot;42D80CE4&quot;/&gt;&lt;wsp:rsid wsp:val=&quot;42D9578F&quot;/&gt;&lt;wsp:rsid wsp:val=&quot;42DA5063&quot;/&gt;&lt;wsp:rsid wsp:val=&quot;42DC0DDB&quot;/&gt;&lt;wsp:rsid wsp:val=&quot;42DC527F&quot;/&gt;&lt;wsp:rsid wsp:val=&quot;42DD6902&quot;/&gt;&lt;wsp:rsid wsp:val=&quot;42E278AA&quot;/&gt;&lt;wsp:rsid wsp:val=&quot;42E3660E&quot;/&gt;&lt;wsp:rsid wsp:val=&quot;42E45EE2&quot;/&gt;&lt;wsp:rsid wsp:val=&quot;42E47C90&quot;/&gt;&lt;wsp:rsid wsp:val=&quot;42E61C5A&quot;/&gt;&lt;wsp:rsid wsp:val=&quot;42E6744A&quot;/&gt;&lt;wsp:rsid wsp:val=&quot;42E67501&quot;/&gt;&lt;wsp:rsid wsp:val=&quot;42E67EAC&quot;/&gt;&lt;wsp:rsid wsp:val=&quot;42E83C24&quot;/&gt;&lt;wsp:rsid wsp:val=&quot;42E934F8&quot;/&gt;&lt;wsp:rsid wsp:val=&quot;42EA799C&quot;/&gt;&lt;wsp:rsid wsp:val=&quot;42EB7271&quot;/&gt;&lt;wsp:rsid wsp:val=&quot;42ED2FE9&quot;/&gt;&lt;wsp:rsid wsp:val=&quot;42ED4D97&quot;/&gt;&lt;wsp:rsid wsp:val=&quot;42EE0B0F&quot;/&gt;&lt;wsp:rsid wsp:val=&quot;42EF4FB3&quot;/&gt;&lt;wsp:rsid wsp:val=&quot;42EF6D61&quot;/&gt;&lt;wsp:rsid wsp:val=&quot;42F0076D&quot;/&gt;&lt;wsp:rsid wsp:val=&quot;42F04887&quot;/&gt;&lt;wsp:rsid wsp:val=&quot;42F06635&quot;/&gt;&lt;wsp:rsid wsp:val=&quot;42F205FF&quot;/&gt;&lt;wsp:rsid wsp:val=&quot;42F2467B&quot;/&gt;&lt;wsp:rsid wsp:val=&quot;42F2592C&quot;/&gt;&lt;wsp:rsid wsp:val=&quot;42F4138D&quot;/&gt;&lt;wsp:rsid wsp:val=&quot;42F425C9&quot;/&gt;&lt;wsp:rsid wsp:val=&quot;42F44377&quot;/&gt;&lt;wsp:rsid wsp:val=&quot;42F5057E&quot;/&gt;&lt;wsp:rsid wsp:val=&quot;42F61E55&quot;/&gt;&lt;wsp:rsid wsp:val=&quot;42F70D7B&quot;/&gt;&lt;wsp:rsid wsp:val=&quot;42F80640&quot;/&gt;&lt;wsp:rsid wsp:val=&quot;42F866D9&quot;/&gt;&lt;wsp:rsid wsp:val=&quot;42FB5880&quot;/&gt;&lt;wsp:rsid wsp:val=&quot;42FC147E&quot;/&gt;&lt;wsp:rsid wsp:val=&quot;42FC322C&quot;/&gt;&lt;wsp:rsid wsp:val=&quot;42FE32FE&quot;/&gt;&lt;wsp:rsid wsp:val=&quot;43005459&quot;/&gt;&lt;wsp:rsid wsp:val=&quot;430302B3&quot;/&gt;&lt;wsp:rsid wsp:val=&quot;430345BA&quot;/&gt;&lt;wsp:rsid wsp:val=&quot;43051503&quot;/&gt;&lt;wsp:rsid wsp:val=&quot;43065E58&quot;/&gt;&lt;wsp:rsid wsp:val=&quot;43081BD1&quot;/&gt;&lt;wsp:rsid wsp:val=&quot;43087E22&quot;/&gt;&lt;wsp:rsid wsp:val=&quot;43095949&quot;/&gt;&lt;wsp:rsid wsp:val=&quot;430976F7&quot;/&gt;&lt;wsp:rsid wsp:val=&quot;430C6A87&quot;/&gt;&lt;wsp:rsid wsp:val=&quot;430D13D6&quot;/&gt;&lt;wsp:rsid wsp:val=&quot;430D5439&quot;/&gt;&lt;wsp:rsid wsp:val=&quot;430F2F5F&quot;/&gt;&lt;wsp:rsid wsp:val=&quot;43104F29&quot;/&gt;&lt;wsp:rsid wsp:val=&quot;43140575&quot;/&gt;&lt;wsp:rsid wsp:val=&quot;43144A19&quot;/&gt;&lt;wsp:rsid wsp:val=&quot;43147B68&quot;/&gt;&lt;wsp:rsid wsp:val=&quot;431542ED&quot;/&gt;&lt;wsp:rsid wsp:val=&quot;43155375&quot;/&gt;&lt;wsp:rsid wsp:val=&quot;43163EDA&quot;/&gt;&lt;wsp:rsid wsp:val=&quot;43174C28&quot;/&gt;&lt;wsp:rsid wsp:val=&quot;431762B8&quot;/&gt;&lt;wsp:rsid wsp:val=&quot;43192030&quot;/&gt;&lt;wsp:rsid wsp:val=&quot;43195B8C&quot;/&gt;&lt;wsp:rsid wsp:val=&quot;431C38CE&quot;/&gt;&lt;wsp:rsid wsp:val=&quot;431C7254&quot;/&gt;&lt;wsp:rsid wsp:val=&quot;431C742A&quot;/&gt;&lt;wsp:rsid wsp:val=&quot;431E7646&quot;/&gt;&lt;wsp:rsid wsp:val=&quot;43210EE4&quot;/&gt;&lt;wsp:rsid wsp:val=&quot;43236A0A&quot;/&gt;&lt;wsp:rsid wsp:val=&quot;43252782&quot;/&gt;&lt;wsp:rsid wsp:val=&quot;43262541&quot;/&gt;&lt;wsp:rsid wsp:val=&quot;432664FB&quot;/&gt;&lt;wsp:rsid wsp:val=&quot;432A34CE&quot;/&gt;&lt;wsp:rsid wsp:val=&quot;432D1637&quot;/&gt;&lt;wsp:rsid wsp:val=&quot;432D471E&quot;/&gt;&lt;wsp:rsid wsp:val=&quot;432D590F&quot;/&gt;&lt;wsp:rsid wsp:val=&quot;432E32DF&quot;/&gt;&lt;wsp:rsid wsp:val=&quot;432F53AF&quot;/&gt;&lt;wsp:rsid wsp:val=&quot;43317379&quot;/&gt;&lt;wsp:rsid wsp:val=&quot;4332051F&quot;/&gt;&lt;wsp:rsid wsp:val=&quot;43324E9F&quot;/&gt;&lt;wsp:rsid wsp:val=&quot;43346E69&quot;/&gt;&lt;wsp:rsid wsp:val=&quot;4335673E&quot;/&gt;&lt;wsp:rsid wsp:val=&quot;43361A71&quot;/&gt;&lt;wsp:rsid wsp:val=&quot;43362BE2&quot;/&gt;&lt;wsp:rsid wsp:val=&quot;43370708&quot;/&gt;&lt;wsp:rsid wsp:val=&quot;433901B6&quot;/&gt;&lt;wsp:rsid wsp:val=&quot;43394480&quot;/&gt;&lt;wsp:rsid wsp:val=&quot;43397FDC&quot;/&gt;&lt;wsp:rsid wsp:val=&quot;433A03F2&quot;/&gt;&lt;wsp:rsid wsp:val=&quot;433A3D54&quot;/&gt;&lt;wsp:rsid wsp:val=&quot;433A6FE6&quot;/&gt;&lt;wsp:rsid wsp:val=&quot;433B01F8&quot;/&gt;&lt;wsp:rsid wsp:val=&quot;433C187A&quot;/&gt;&lt;wsp:rsid wsp:val=&quot;433C2712&quot;/&gt;&lt;wsp:rsid wsp:val=&quot;433C5D1E&quot;/&gt;&lt;wsp:rsid wsp:val=&quot;433C7ACC&quot;/&gt;&lt;wsp:rsid wsp:val=&quot;433E1A96&quot;/&gt;&lt;wsp:rsid wsp:val=&quot;433F71CE&quot;/&gt;&lt;wsp:rsid wsp:val=&quot;4340580E&quot;/&gt;&lt;wsp:rsid wsp:val=&quot;43430E5B&quot;/&gt;&lt;wsp:rsid wsp:val=&quot;43431F81&quot;/&gt;&lt;wsp:rsid wsp:val=&quot;4346609A&quot;/&gt;&lt;wsp:rsid wsp:val=&quot;43480868&quot;/&gt;&lt;wsp:rsid wsp:val=&quot;43491CB9&quot;/&gt;&lt;wsp:rsid wsp:val=&quot;434A21E9&quot;/&gt;&lt;wsp:rsid wsp:val=&quot;434A3F97&quot;/&gt;&lt;wsp:rsid wsp:val=&quot;434B5F61&quot;/&gt;&lt;wsp:rsid wsp:val=&quot;434F15AD&quot;/&gt;&lt;wsp:rsid wsp:val=&quot;4350713C&quot;/&gt;&lt;wsp:rsid wsp:val=&quot;435117C9&quot;/&gt;&lt;wsp:rsid wsp:val=&quot;43515832&quot;/&gt;&lt;wsp:rsid wsp:val=&quot;43516679&quot;/&gt;&lt;wsp:rsid wsp:val=&quot;43525542&quot;/&gt;&lt;wsp:rsid wsp:val=&quot;43566DE0&quot;/&gt;&lt;wsp:rsid wsp:val=&quot;435C1F1C&quot;/&gt;&lt;wsp:rsid wsp:val=&quot;435E5108&quot;/&gt;&lt;wsp:rsid wsp:val=&quot;435E7A42&quot;/&gt;&lt;wsp:rsid wsp:val=&quot;435F5593&quot;/&gt;&lt;wsp:rsid wsp:val=&quot;436037BB&quot;/&gt;&lt;wsp:rsid wsp:val=&quot;43615785&quot;/&gt;&lt;wsp:rsid wsp:val=&quot;43622229&quot;/&gt;&lt;wsp:rsid wsp:val=&quot;4363278D&quot;/&gt;&lt;wsp:rsid wsp:val=&quot;436653E0&quot;/&gt;&lt;wsp:rsid wsp:val=&quot;43665464&quot;/&gt;&lt;wsp:rsid wsp:val=&quot;43670FED&quot;/&gt;&lt;wsp:rsid wsp:val=&quot;43672D9B&quot;/&gt;&lt;wsp:rsid wsp:val=&quot;436808C1&quot;/&gt;&lt;wsp:rsid wsp:val=&quot;43686B13&quot;/&gt;&lt;wsp:rsid wsp:val=&quot;4369148A&quot;/&gt;&lt;wsp:rsid wsp:val=&quot;436A0961&quot;/&gt;&lt;wsp:rsid wsp:val=&quot;436A288B&quot;/&gt;&lt;wsp:rsid wsp:val=&quot;436A63E7&quot;/&gt;&lt;wsp:rsid wsp:val=&quot;436B215F&quot;/&gt;&lt;wsp:rsid wsp:val=&quot;436F39FE&quot;/&gt;&lt;wsp:rsid wsp:val=&quot;43713C1A&quot;/&gt;&lt;wsp:rsid wsp:val=&quot;43721740&quot;/&gt;&lt;wsp:rsid wsp:val=&quot;43727992&quot;/&gt;&lt;wsp:rsid wsp:val=&quot;4374370A&quot;/&gt;&lt;wsp:rsid wsp:val=&quot;437730ED&quot;/&gt;&lt;wsp:rsid wsp:val=&quot;43776D56&quot;/&gt;&lt;wsp:rsid wsp:val=&quot;43792ACE&quot;/&gt;&lt;wsp:rsid wsp:val=&quot;437B05F4&quot;/&gt;&lt;wsp:rsid wsp:val=&quot;437B2DD9&quot;/&gt;&lt;wsp:rsid wsp:val=&quot;437C1635&quot;/&gt;&lt;wsp:rsid wsp:val=&quot;437D3114&quot;/&gt;&lt;wsp:rsid wsp:val=&quot;437E00E5&quot;/&gt;&lt;wsp:rsid wsp:val=&quot;437E1E93&quot;/&gt;&lt;wsp:rsid wsp:val=&quot;437E6337&quot;/&gt;&lt;wsp:rsid wsp:val=&quot;437F6B26&quot;/&gt;&lt;wsp:rsid wsp:val=&quot;43814017&quot;/&gt;&lt;wsp:rsid wsp:val=&quot;43826BE8&quot;/&gt;&lt;wsp:rsid wsp:val=&quot;43873032&quot;/&gt;&lt;wsp:rsid wsp:val=&quot;4387343D&quot;/&gt;&lt;wsp:rsid wsp:val=&quot;43881864&quot;/&gt;&lt;wsp:rsid wsp:val=&quot;438C45B0&quot;/&gt;&lt;wsp:rsid wsp:val=&quot;438D20D6&quot;/&gt;&lt;wsp:rsid wsp:val=&quot;43917E18&quot;/&gt;&lt;wsp:rsid wsp:val=&quot;4392593E&quot;/&gt;&lt;wsp:rsid wsp:val=&quot;4393443B&quot;/&gt;&lt;wsp:rsid wsp:val=&quot;4396542E&quot;/&gt;&lt;wsp:rsid wsp:val=&quot;439671DC&quot;/&gt;&lt;wsp:rsid wsp:val=&quot;439806F8&quot;/&gt;&lt;wsp:rsid wsp:val=&quot;439873F8&quot;/&gt;&lt;wsp:rsid wsp:val=&quot;43993170&quot;/&gt;&lt;wsp:rsid wsp:val=&quot;439B2A45&quot;/&gt;&lt;wsp:rsid wsp:val=&quot;439D07BA&quot;/&gt;&lt;wsp:rsid wsp:val=&quot;439D4A0F&quot;/&gt;&lt;wsp:rsid wsp:val=&quot;439D67BD&quot;/&gt;&lt;wsp:rsid wsp:val=&quot;439E0787&quot;/&gt;&lt;wsp:rsid wsp:val=&quot;439E41BC&quot;/&gt;&lt;wsp:rsid wsp:val=&quot;439E42E3&quot;/&gt;&lt;wsp:rsid wsp:val=&quot;43A0005B&quot;/&gt;&lt;wsp:rsid wsp:val=&quot;43A22025&quot;/&gt;&lt;wsp:rsid wsp:val=&quot;43A23DD3&quot;/&gt;&lt;wsp:rsid wsp:val=&quot;43A50841&quot;/&gt;&lt;wsp:rsid wsp:val=&quot;43A713E9&quot;/&gt;&lt;wsp:rsid wsp:val=&quot;43AA2C88&quot;/&gt;&lt;wsp:rsid wsp:val=&quot;43AC5588&quot;/&gt;&lt;wsp:rsid wsp:val=&quot;43AE7DCC&quot;/&gt;&lt;wsp:rsid wsp:val=&quot;43AF64F0&quot;/&gt;&lt;wsp:rsid wsp:val=&quot;43B65AD0&quot;/&gt;&lt;wsp:rsid wsp:val=&quot;43B7145E&quot;/&gt;&lt;wsp:rsid wsp:val=&quot;43B75827&quot;/&gt;&lt;wsp:rsid wsp:val=&quot;43B86443&quot;/&gt;&lt;wsp:rsid wsp:val=&quot;43B90147&quot;/&gt;&lt;wsp:rsid wsp:val=&quot;43B9111D&quot;/&gt;&lt;wsp:rsid wsp:val=&quot;43BB30E7&quot;/&gt;&lt;wsp:rsid wsp:val=&quot;43BC0257&quot;/&gt;&lt;wsp:rsid wsp:val=&quot;43C12833&quot;/&gt;&lt;wsp:rsid wsp:val=&quot;43C13740&quot;/&gt;&lt;wsp:rsid wsp:val=&quot;43C2414B&quot;/&gt;&lt;wsp:rsid wsp:val=&quot;43C26223&quot;/&gt;&lt;wsp:rsid wsp:val=&quot;43C337F2&quot;/&gt;&lt;wsp:rsid wsp:val=&quot;43C401ED&quot;/&gt;&lt;wsp:rsid wsp:val=&quot;43C4431A&quot;/&gt;&lt;wsp:rsid wsp:val=&quot;43C55D14&quot;/&gt;&lt;wsp:rsid wsp:val=&quot;43C57AC2&quot;/&gt;&lt;wsp:rsid wsp:val=&quot;43C62693&quot;/&gt;&lt;wsp:rsid wsp:val=&quot;43C71A8C&quot;/&gt;&lt;wsp:rsid wsp:val=&quot;43C76287&quot;/&gt;&lt;wsp:rsid wsp:val=&quot;43C81360&quot;/&gt;&lt;wsp:rsid wsp:val=&quot;43CA157C&quot;/&gt;&lt;wsp:rsid wsp:val=&quot;43CA332A&quot;/&gt;&lt;wsp:rsid wsp:val=&quot;43CB255C&quot;/&gt;&lt;wsp:rsid wsp:val=&quot;43CD6976&quot;/&gt;&lt;wsp:rsid wsp:val=&quot;43CE0EDD&quot;/&gt;&lt;wsp:rsid wsp:val=&quot;43D146B8&quot;/&gt;&lt;wsp:rsid wsp:val=&quot;43D16466&quot;/&gt;&lt;wsp:rsid wsp:val=&quot;43D31CC1&quot;/&gt;&lt;wsp:rsid wsp:val=&quot;43D321DE&quot;/&gt;&lt;wsp:rsid wsp:val=&quot;43D61CCF&quot;/&gt;&lt;wsp:rsid wsp:val=&quot;43D9356D&quot;/&gt;&lt;wsp:rsid wsp:val=&quot;43DB5537&quot;/&gt;&lt;wsp:rsid wsp:val=&quot;43DD0DFB&quot;/&gt;&lt;wsp:rsid wsp:val=&quot;43DE0B83&quot;/&gt;&lt;wsp:rsid wsp:val=&quot;43DE2931&quot;/&gt;&lt;wsp:rsid wsp:val=&quot;43DF5027&quot;/&gt;&lt;wsp:rsid wsp:val=&quot;43E02B4D&quot;/&gt;&lt;wsp:rsid wsp:val=&quot;43E066A9&quot;/&gt;&lt;wsp:rsid wsp:val=&quot;43E066F5&quot;/&gt;&lt;wsp:rsid wsp:val=&quot;43E20674&quot;/&gt;&lt;wsp:rsid wsp:val=&quot;43E3619A&quot;/&gt;&lt;wsp:rsid wsp:val=&quot;43E4263E&quot;/&gt;&lt;wsp:rsid wsp:val=&quot;43E443EC&quot;/&gt;&lt;wsp:rsid wsp:val=&quot;43E67164&quot;/&gt;&lt;wsp:rsid wsp:val=&quot;43E837B0&quot;/&gt;&lt;wsp:rsid wsp:val=&quot;43E85A19&quot;/&gt;&lt;wsp:rsid wsp:val=&quot;43E97C54&quot;/&gt;&lt;wsp:rsid wsp:val=&quot;43EA577A&quot;/&gt;&lt;wsp:rsid wsp:val=&quot;43EA7528&quot;/&gt;&lt;wsp:rsid wsp:val=&quot;43EC32A0&quot;/&gt;&lt;wsp:rsid wsp:val=&quot;43EC504E&quot;/&gt;&lt;wsp:rsid wsp:val=&quot;43EE4268&quot;/&gt;&lt;wsp:rsid wsp:val=&quot;43EE7018&quot;/&gt;&lt;wsp:rsid wsp:val=&quot;43F17E3C&quot;/&gt;&lt;wsp:rsid wsp:val=&quot;43F403A7&quot;/&gt;&lt;wsp:rsid wsp:val=&quot;43F44339&quot;/&gt;&lt;wsp:rsid wsp:val=&quot;43F62371&quot;/&gt;&lt;wsp:rsid wsp:val=&quot;43F65ECD&quot;/&gt;&lt;wsp:rsid wsp:val=&quot;43F87E97&quot;/&gt;&lt;wsp:rsid wsp:val=&quot;43F959BD&quot;/&gt;&lt;wsp:rsid wsp:val=&quot;43FB7987&quot;/&gt;&lt;wsp:rsid wsp:val=&quot;43FD36FF&quot;/&gt;&lt;wsp:rsid wsp:val=&quot;43FD725B&quot;/&gt;&lt;wsp:rsid wsp:val=&quot;43FE7FBC&quot;/&gt;&lt;wsp:rsid wsp:val=&quot;44024872&quot;/&gt;&lt;wsp:rsid wsp:val=&quot;44044DD8&quot;/&gt;&lt;wsp:rsid wsp:val=&quot;4404597E&quot;/&gt;&lt;wsp:rsid wsp:val=&quot;440B1130&quot;/&gt;&lt;wsp:rsid wsp:val=&quot;440D2D01&quot;/&gt;&lt;wsp:rsid wsp:val=&quot;440E3217&quot;/&gt;&lt;wsp:rsid wsp:val=&quot;440E76BA&quot;/&gt;&lt;wsp:rsid wsp:val=&quot;44112D07&quot;/&gt;&lt;wsp:rsid wsp:val=&quot;44136A7F&quot;/&gt;&lt;wsp:rsid wsp:val=&quot;441427F7&quot;/&gt;&lt;wsp:rsid wsp:val=&quot;441440F3&quot;/&gt;&lt;wsp:rsid wsp:val=&quot;44173EC7&quot;/&gt;&lt;wsp:rsid wsp:val=&quot;44175D2E&quot;/&gt;&lt;wsp:rsid wsp:val=&quot;44184095&quot;/&gt;&lt;wsp:rsid wsp:val=&quot;44185497&quot;/&gt;&lt;wsp:rsid wsp:val=&quot;441A605F&quot;/&gt;&lt;wsp:rsid wsp:val=&quot;441A7E0D&quot;/&gt;&lt;wsp:rsid wsp:val=&quot;441B3B85&quot;/&gt;&lt;wsp:rsid wsp:val=&quot;441B5933&quot;/&gt;&lt;wsp:rsid wsp:val=&quot;441C3545&quot;/&gt;&lt;wsp:rsid wsp:val=&quot;441F3676&quot;/&gt;&lt;wsp:rsid wsp:val=&quot;44200160&quot;/&gt;&lt;wsp:rsid wsp:val=&quot;44242A3A&quot;/&gt;&lt;wsp:rsid wsp:val=&quot;44250040&quot;/&gt;&lt;wsp:rsid wsp:val=&quot;442567B2&quot;/&gt;&lt;wsp:rsid wsp:val=&quot;442742D8&quot;/&gt;&lt;wsp:rsid wsp:val=&quot;44286D6E&quot;/&gt;&lt;wsp:rsid wsp:val=&quot;44290050&quot;/&gt;&lt;wsp:rsid wsp:val=&quot;4429137E&quot;/&gt;&lt;wsp:rsid wsp:val=&quot;442944F4&quot;/&gt;&lt;wsp:rsid wsp:val=&quot;442962A2&quot;/&gt;&lt;wsp:rsid wsp:val=&quot;44296C35&quot;/&gt;&lt;wsp:rsid wsp:val=&quot;442A3DC9&quot;/&gt;&lt;wsp:rsid wsp:val=&quot;442A5B77&quot;/&gt;&lt;wsp:rsid wsp:val=&quot;442B201A&quot;/&gt;&lt;wsp:rsid wsp:val=&quot;442B20E0&quot;/&gt;&lt;wsp:rsid wsp:val=&quot;442C2F5D&quot;/&gt;&lt;wsp:rsid wsp:val=&quot;442C7400&quot;/&gt;&lt;wsp:rsid wsp:val=&quot;442C7B41&quot;/&gt;&lt;wsp:rsid wsp:val=&quot;44304FA2&quot;/&gt;&lt;wsp:rsid wsp:val=&quot;44307631&quot;/&gt;&lt;wsp:rsid wsp:val=&quot;443133A9&quot;/&gt;&lt;wsp:rsid wsp:val=&quot;44315157&quot;/&gt;&lt;wsp:rsid wsp:val=&quot;44325CF6&quot;/&gt;&lt;wsp:rsid wsp:val=&quot;44332C7D&quot;/&gt;&lt;wsp:rsid wsp:val=&quot;443469F5&quot;/&gt;&lt;wsp:rsid wsp:val=&quot;44352E99&quot;/&gt;&lt;wsp:rsid wsp:val=&quot;44356FB8&quot;/&gt;&lt;wsp:rsid wsp:val=&quot;443A225E&quot;/&gt;&lt;wsp:rsid wsp:val=&quot;443B5FD6&quot;/&gt;&lt;wsp:rsid wsp:val=&quot;443B6DB9&quot;/&gt;&lt;wsp:rsid wsp:val=&quot;443C2C41&quot;/&gt;&lt;wsp:rsid wsp:val=&quot;443F5AC6&quot;/&gt;&lt;wsp:rsid wsp:val=&quot;443F68DF&quot;/&gt;&lt;wsp:rsid wsp:val=&quot;443F7874&quot;/&gt;&lt;wsp:rsid wsp:val=&quot;444035EC&quot;/&gt;&lt;wsp:rsid wsp:val=&quot;44404832&quot;/&gt;&lt;wsp:rsid wsp:val=&quot;4440539A&quot;/&gt;&lt;wsp:rsid wsp:val=&quot;4441183E&quot;/&gt;&lt;wsp:rsid wsp:val=&quot;44421112&quot;/&gt;&lt;wsp:rsid wsp:val=&quot;44447B80&quot;/&gt;&lt;wsp:rsid wsp:val=&quot;4445066C&quot;/&gt;&lt;wsp:rsid wsp:val=&quot;444529B0&quot;/&gt;&lt;wsp:rsid wsp:val=&quot;44463BE1&quot;/&gt;&lt;wsp:rsid wsp:val=&quot;44466E54&quot;/&gt;&lt;wsp:rsid wsp:val=&quot;44472BCC&quot;/&gt;&lt;wsp:rsid wsp:val=&quot;444906F3&quot;/&gt;&lt;wsp:rsid wsp:val=&quot;444924A1&quot;/&gt;&lt;wsp:rsid wsp:val=&quot;444A6219&quot;/&gt;&lt;wsp:rsid wsp:val=&quot;444C26C2&quot;/&gt;&lt;wsp:rsid wsp:val=&quot;444E3F5B&quot;/&gt;&lt;wsp:rsid wsp:val=&quot;444E5D09&quot;/&gt;&lt;wsp:rsid wsp:val=&quot;444F55DD&quot;/&gt;&lt;wsp:rsid wsp:val=&quot;44501A81&quot;/&gt;&lt;wsp:rsid wsp:val=&quot;4450382F&quot;/&gt;&lt;wsp:rsid wsp:val=&quot;44524D55&quot;/&gt;&lt;wsp:rsid wsp:val=&quot;445350CD&quot;/&gt;&lt;wsp:rsid wsp:val=&quot;4456696C&quot;/&gt;&lt;wsp:rsid wsp:val=&quot;445826E4&quot;/&gt;&lt;wsp:rsid wsp:val=&quot;445961A5&quot;/&gt;&lt;wsp:rsid wsp:val=&quot;445A34E7&quot;/&gt;&lt;wsp:rsid wsp:val=&quot;445B21D4&quot;/&gt;&lt;wsp:rsid wsp:val=&quot;445D419E&quot;/&gt;&lt;wsp:rsid wsp:val=&quot;445D7297&quot;/&gt;&lt;wsp:rsid wsp:val=&quot;445D7CFA&quot;/&gt;&lt;wsp:rsid wsp:val=&quot;44615A3C&quot;/&gt;&lt;wsp:rsid wsp:val=&quot;446217B4&quot;/&gt;&lt;wsp:rsid wsp:val=&quot;44625310&quot;/&gt;&lt;wsp:rsid wsp:val=&quot;44654E01&quot;/&gt;&lt;wsp:rsid wsp:val=&quot;44661A8A&quot;/&gt;&lt;wsp:rsid wsp:val=&quot;44676DCB&quot;/&gt;&lt;wsp:rsid wsp:val=&quot;446948F1&quot;/&gt;&lt;wsp:rsid wsp:val=&quot;446B68BB&quot;/&gt;&lt;wsp:rsid wsp:val=&quot;446C43E1&quot;/&gt;&lt;wsp:rsid wsp:val=&quot;446C618F&quot;/&gt;&lt;wsp:rsid wsp:val=&quot;446E0159&quot;/&gt;&lt;wsp:rsid wsp:val=&quot;446E2DED&quot;/&gt;&lt;wsp:rsid wsp:val=&quot;44703ED1&quot;/&gt;&lt;wsp:rsid wsp:val=&quot;44705C7F&quot;/&gt;&lt;wsp:rsid wsp:val=&quot;44723B6D&quot;/&gt;&lt;wsp:rsid wsp:val=&quot;447339C1&quot;/&gt;&lt;wsp:rsid wsp:val=&quot;44751723&quot;/&gt;&lt;wsp:rsid wsp:val=&quot;4476700E&quot;/&gt;&lt;wsp:rsid wsp:val=&quot;44775260&quot;/&gt;&lt;wsp:rsid wsp:val=&quot;44786ADF&quot;/&gt;&lt;wsp:rsid wsp:val=&quot;447A08AC&quot;/&gt;&lt;wsp:rsid wsp:val=&quot;447A4D50&quot;/&gt;&lt;wsp:rsid wsp:val=&quot;447D6881&quot;/&gt;&lt;wsp:rsid wsp:val=&quot;447F0234&quot;/&gt;&lt;wsp:rsid wsp:val=&quot;447F2366&quot;/&gt;&lt;wsp:rsid wsp:val=&quot;447F4114&quot;/&gt;&lt;wsp:rsid wsp:val=&quot;448160DE&quot;/&gt;&lt;wsp:rsid wsp:val=&quot;44827761&quot;/&gt;&lt;wsp:rsid wsp:val=&quot;4484172B&quot;/&gt;&lt;wsp:rsid wsp:val=&quot;448434D9&quot;/&gt;&lt;wsp:rsid wsp:val=&quot;44843C65&quot;/&gt;&lt;wsp:rsid wsp:val=&quot;4484797D&quot;/&gt;&lt;wsp:rsid wsp:val=&quot;4485521C&quot;/&gt;&lt;wsp:rsid wsp:val=&quot;448564A3&quot;/&gt;&lt;wsp:rsid wsp:val=&quot;448654A3&quot;/&gt;&lt;wsp:rsid wsp:val=&quot;44872FC9&quot;/&gt;&lt;wsp:rsid wsp:val=&quot;448C6831&quot;/&gt;&lt;wsp:rsid wsp:val=&quot;448E07FB&quot;/&gt;&lt;wsp:rsid wsp:val=&quot;448E4357&quot;/&gt;&lt;wsp:rsid wsp:val=&quot;448E6105&quot;/&gt;&lt;wsp:rsid wsp:val=&quot;449000D0&quot;/&gt;&lt;wsp:rsid wsp:val=&quot;44906FD3&quot;/&gt;&lt;wsp:rsid wsp:val=&quot;4492209A&quot;/&gt;&lt;wsp:rsid wsp:val=&quot;44944B08&quot;/&gt;&lt;wsp:rsid wsp:val=&quot;44953938&quot;/&gt;&lt;wsp:rsid wsp:val=&quot;449556E6&quot;/&gt;&lt;wsp:rsid wsp:val=&quot;44957494&quot;/&gt;&lt;wsp:rsid wsp:val=&quot;4497145E&quot;/&gt;&lt;wsp:rsid wsp:val=&quot;44983428&quot;/&gt;&lt;wsp:rsid wsp:val=&quot;449851D6&quot;/&gt;&lt;wsp:rsid wsp:val=&quot;44985A24&quot;/&gt;&lt;wsp:rsid wsp:val=&quot;449974E9&quot;/&gt;&lt;wsp:rsid wsp:val=&quot;449A38A3&quot;/&gt;&lt;wsp:rsid wsp:val=&quot;449B49DA&quot;/&gt;&lt;wsp:rsid wsp:val=&quot;449C6A74&quot;/&gt;&lt;wsp:rsid wsp:val=&quot;449D459A&quot;/&gt;&lt;wsp:rsid wsp:val=&quot;449D72FA&quot;/&gt;&lt;wsp:rsid wsp:val=&quot;44A122DD&quot;/&gt;&lt;wsp:rsid wsp:val=&quot;44A43B7B&quot;/&gt;&lt;wsp:rsid wsp:val=&quot;44A45929&quot;/&gt;&lt;wsp:rsid wsp:val=&quot;44A51CE0&quot;/&gt;&lt;wsp:rsid wsp:val=&quot;44A57004&quot;/&gt;&lt;wsp:rsid wsp:val=&quot;44A65B45&quot;/&gt;&lt;wsp:rsid wsp:val=&quot;44A733D3&quot;/&gt;&lt;wsp:rsid wsp:val=&quot;44AB4F09&quot;/&gt;&lt;wsp:rsid wsp:val=&quot;44AB6CB7&quot;/&gt;&lt;wsp:rsid wsp:val=&quot;44AD6ED3&quot;/&gt;&lt;wsp:rsid wsp:val=&quot;44B042CE&quot;/&gt;&lt;wsp:rsid wsp:val=&quot;44B10046&quot;/&gt;&lt;wsp:rsid wsp:val=&quot;44B16ADB&quot;/&gt;&lt;wsp:rsid wsp:val=&quot;44B244EA&quot;/&gt;&lt;wsp:rsid wsp:val=&quot;44B26298&quot;/&gt;&lt;wsp:rsid wsp:val=&quot;44B33DBE&quot;/&gt;&lt;wsp:rsid wsp:val=&quot;44B518E4&quot;/&gt;&lt;wsp:rsid wsp:val=&quot;44B55D88&quot;/&gt;&lt;wsp:rsid wsp:val=&quot;44B57B36&quot;/&gt;&lt;wsp:rsid wsp:val=&quot;44B813D4&quot;/&gt;&lt;wsp:rsid wsp:val=&quot;44B85878&quot;/&gt;&lt;wsp:rsid wsp:val=&quot;44B87D19&quot;/&gt;&lt;wsp:rsid wsp:val=&quot;44B951CC&quot;/&gt;&lt;wsp:rsid wsp:val=&quot;44BA339E&quot;/&gt;&lt;wsp:rsid wsp:val=&quot;44BA514C&quot;/&gt;&lt;wsp:rsid wsp:val=&quot;44BC0EC5&quot;/&gt;&lt;wsp:rsid wsp:val=&quot;44BD4C3D&quot;/&gt;&lt;wsp:rsid wsp:val=&quot;44BE2E8F&quot;/&gt;&lt;wsp:rsid wsp:val=&quot;44BF09B5&quot;/&gt;&lt;wsp:rsid wsp:val=&quot;44C22253&quot;/&gt;&lt;wsp:rsid wsp:val=&quot;44C26789&quot;/&gt;&lt;wsp:rsid wsp:val=&quot;44C4421D&quot;/&gt;&lt;wsp:rsid wsp:val=&quot;44C63AF1&quot;/&gt;&lt;wsp:rsid wsp:val=&quot;44C80E2F&quot;/&gt;&lt;wsp:rsid wsp:val=&quot;44C85ABB&quot;/&gt;&lt;wsp:rsid wsp:val=&quot;44CB1454&quot;/&gt;&lt;wsp:rsid wsp:val=&quot;44CD1324&quot;/&gt;&lt;wsp:rsid wsp:val=&quot;44CD14E0&quot;/&gt;&lt;wsp:rsid wsp:val=&quot;44CD20C7&quot;/&gt;&lt;wsp:rsid wsp:val=&quot;44CD4E80&quot;/&gt;&lt;wsp:rsid wsp:val=&quot;44CE0BF8&quot;/&gt;&lt;wsp:rsid wsp:val=&quot;44CE6128&quot;/&gt;&lt;wsp:rsid wsp:val=&quot;44D001CD&quot;/&gt;&lt;wsp:rsid wsp:val=&quot;44D04970&quot;/&gt;&lt;wsp:rsid wsp:val=&quot;44D0671E&quot;/&gt;&lt;wsp:rsid wsp:val=&quot;44D206E8&quot;/&gt;&lt;wsp:rsid wsp:val=&quot;44D34460&quot;/&gt;&lt;wsp:rsid wsp:val=&quot;44D44C11&quot;/&gt;&lt;wsp:rsid wsp:val=&quot;44D501D8&quot;/&gt;&lt;wsp:rsid wsp:val=&quot;44D53D34&quot;/&gt;&lt;wsp:rsid wsp:val=&quot;44D60D07&quot;/&gt;&lt;wsp:rsid wsp:val=&quot;44D648BA&quot;/&gt;&lt;wsp:rsid wsp:val=&quot;44D81A76&quot;/&gt;&lt;wsp:rsid wsp:val=&quot;44D83825&quot;/&gt;&lt;wsp:rsid wsp:val=&quot;44D97CC8&quot;/&gt;&lt;wsp:rsid wsp:val=&quot;44DA134B&quot;/&gt;&lt;wsp:rsid wsp:val=&quot;44DB5F34&quot;/&gt;&lt;wsp:rsid wsp:val=&quot;44DC1567&quot;/&gt;&lt;wsp:rsid wsp:val=&quot;44E1092B&quot;/&gt;&lt;wsp:rsid wsp:val=&quot;44E15337&quot;/&gt;&lt;wsp:rsid wsp:val=&quot;44E328F5&quot;/&gt;&lt;wsp:rsid wsp:val=&quot;44E4034E&quot;/&gt;&lt;wsp:rsid wsp:val=&quot;44E44A7E&quot;/&gt;&lt;wsp:rsid wsp:val=&quot;44E623E5&quot;/&gt;&lt;wsp:rsid wsp:val=&quot;44E73A68&quot;/&gt;&lt;wsp:rsid wsp:val=&quot;44E87F0C&quot;/&gt;&lt;wsp:rsid wsp:val=&quot;44E915E3&quot;/&gt;&lt;wsp:rsid wsp:val=&quot;44E95A32&quot;/&gt;&lt;wsp:rsid wsp:val=&quot;44EA5ED6&quot;/&gt;&lt;wsp:rsid wsp:val=&quot;44EC1EBA&quot;/&gt;&lt;wsp:rsid wsp:val=&quot;44F04590&quot;/&gt;&lt;wsp:rsid wsp:val=&quot;44F20B0B&quot;/&gt;&lt;wsp:rsid wsp:val=&quot;44F20D8A&quot;/&gt;&lt;wsp:rsid wsp:val=&quot;44F3240C&quot;/&gt;&lt;wsp:rsid wsp:val=&quot;44F543D6&quot;/&gt;&lt;wsp:rsid wsp:val=&quot;44F7014F&quot;/&gt;&lt;wsp:rsid wsp:val=&quot;44F92119&quot;/&gt;&lt;wsp:rsid wsp:val=&quot;44F97C54&quot;/&gt;&lt;wsp:rsid wsp:val=&quot;44FC430A&quot;/&gt;&lt;wsp:rsid wsp:val=&quot;44FC5765&quot;/&gt;&lt;wsp:rsid wsp:val=&quot;44FC7513&quot;/&gt;&lt;wsp:rsid wsp:val=&quot;44FD328B&quot;/&gt;&lt;wsp:rsid wsp:val=&quot;44FE772F&quot;/&gt;&lt;wsp:rsid wsp:val=&quot;44FF380C&quot;/&gt;&lt;wsp:rsid wsp:val=&quot;44FF7833&quot;/&gt;&lt;wsp:rsid wsp:val=&quot;45010FCD&quot;/&gt;&lt;wsp:rsid wsp:val=&quot;45013B88&quot;/&gt;&lt;wsp:rsid wsp:val=&quot;45022447&quot;/&gt;&lt;wsp:rsid wsp:val=&quot;45030A4C&quot;/&gt;&lt;wsp:rsid wsp:val=&quot;45032260&quot;/&gt;&lt;wsp:rsid wsp:val=&quot;4504286C&quot;/&gt;&lt;wsp:rsid wsp:val=&quot;45062140&quot;/&gt;&lt;wsp:rsid wsp:val=&quot;45085EB8&quot;/&gt;&lt;wsp:rsid wsp:val=&quot;450860A8&quot;/&gt;&lt;wsp:rsid wsp:val=&quot;450862B9&quot;/&gt;&lt;wsp:rsid wsp:val=&quot;450B59A8&quot;/&gt;&lt;wsp:rsid wsp:val=&quot;450D0C9B&quot;/&gt;&lt;wsp:rsid wsp:val=&quot;45132AAF&quot;/&gt;&lt;wsp:rsid wsp:val=&quot;4513485D&quot;/&gt;&lt;wsp:rsid wsp:val=&quot;45154A79&quot;/&gt;&lt;wsp:rsid wsp:val=&quot;451731DD&quot;/&gt;&lt;wsp:rsid wsp:val=&quot;451A208F&quot;/&gt;&lt;wsp:rsid wsp:val=&quot;451B472F&quot;/&gt;&lt;wsp:rsid wsp:val=&quot;451C1963&quot;/&gt;&lt;wsp:rsid wsp:val=&quot;451C5E07&quot;/&gt;&lt;wsp:rsid wsp:val=&quot;451D704F&quot;/&gt;&lt;wsp:rsid wsp:val=&quot;451E04DF&quot;/&gt;&lt;wsp:rsid wsp:val=&quot;451E56DB&quot;/&gt;&lt;wsp:rsid wsp:val=&quot;45216E60&quot;/&gt;&lt;wsp:rsid wsp:val=&quot;45230F44&quot;/&gt;&lt;wsp:rsid wsp:val=&quot;45235A92&quot;/&gt;&lt;wsp:rsid wsp:val=&quot;45246133&quot;/&gt;&lt;wsp:rsid wsp:val=&quot;45252F0E&quot;/&gt;&lt;wsp:rsid wsp:val=&quot;45277E43&quot;/&gt;&lt;wsp:rsid wsp:val=&quot;45280308&quot;/&gt;&lt;wsp:rsid wsp:val=&quot;452847AC&quot;/&gt;&lt;wsp:rsid wsp:val=&quot;452C56B4&quot;/&gt;&lt;wsp:rsid wsp:val=&quot;452D1DC2&quot;/&gt;&lt;wsp:rsid wsp:val=&quot;452D3B70&quot;/&gt;&lt;wsp:rsid wsp:val=&quot;452E5F4C&quot;/&gt;&lt;wsp:rsid wsp:val=&quot;452F78E8&quot;/&gt;&lt;wsp:rsid wsp:val=&quot;453018B3&quot;/&gt;&lt;wsp:rsid wsp:val=&quot;45317391&quot;/&gt;&lt;wsp:rsid wsp:val=&quot;45321187&quot;/&gt;&lt;wsp:rsid wsp:val=&quot;45336CAD&quot;/&gt;&lt;wsp:rsid wsp:val=&quot;45343151&quot;/&gt;&lt;wsp:rsid wsp:val=&quot;45344EFF&quot;/&gt;&lt;wsp:rsid wsp:val=&quot;45357EA7&quot;/&gt;&lt;wsp:rsid wsp:val=&quot;45372C41&quot;/&gt;&lt;wsp:rsid wsp:val=&quot;453749EF&quot;/&gt;&lt;wsp:rsid wsp:val=&quot;45386828&quot;/&gt;&lt;wsp:rsid wsp:val=&quot;4539764E&quot;/&gt;&lt;wsp:rsid wsp:val=&quot;453B44DF&quot;/&gt;&lt;wsp:rsid wsp:val=&quot;453C3DB3&quot;/&gt;&lt;wsp:rsid wsp:val=&quot;453D7240&quot;/&gt;&lt;wsp:rsid wsp:val=&quot;453E7B2C&quot;/&gt;&lt;wsp:rsid wsp:val=&quot;453F38A4&quot;/&gt;&lt;wsp:rsid wsp:val=&quot;453F5652&quot;/&gt;&lt;wsp:rsid wsp:val=&quot;454113CA&quot;/&gt;&lt;wsp:rsid wsp:val=&quot;4541761C&quot;/&gt;&lt;wsp:rsid wsp:val=&quot;45433394&quot;/&gt;&lt;wsp:rsid wsp:val=&quot;45442C68&quot;/&gt;&lt;wsp:rsid wsp:val=&quot;4545710C&quot;/&gt;&lt;wsp:rsid wsp:val=&quot;454676EB&quot;/&gt;&lt;wsp:rsid wsp:val=&quot;45485320&quot;/&gt;&lt;wsp:rsid wsp:val=&quot;454A2974&quot;/&gt;&lt;wsp:rsid wsp:val=&quot;454A41ED&quot;/&gt;&lt;wsp:rsid wsp:val=&quot;454A4722&quot;/&gt;&lt;wsp:rsid wsp:val=&quot;454C1C9B&quot;/&gt;&lt;wsp:rsid wsp:val=&quot;454D5FC1&quot;/&gt;&lt;wsp:rsid wsp:val=&quot;454F1D39&quot;/&gt;&lt;wsp:rsid wsp:val=&quot;4550160D&quot;/&gt;&lt;wsp:rsid wsp:val=&quot;4550785F&quot;/&gt;&lt;wsp:rsid wsp:val=&quot;45521829&quot;/&gt;&lt;wsp:rsid wsp:val=&quot;455235D7&quot;/&gt;&lt;wsp:rsid wsp:val=&quot;455455A1&quot;/&gt;&lt;wsp:rsid wsp:val=&quot;4557176E&quot;/&gt;&lt;wsp:rsid wsp:val=&quot;45575091&quot;/&gt;&lt;wsp:rsid wsp:val=&quot;455810A1&quot;/&gt;&lt;wsp:rsid wsp:val=&quot;45592BB7&quot;/&gt;&lt;wsp:rsid wsp:val=&quot;45594965&quot;/&gt;&lt;wsp:rsid wsp:val=&quot;455C6204&quot;/&gt;&lt;wsp:rsid wsp:val=&quot;455F7AA2&quot;/&gt;&lt;wsp:rsid wsp:val=&quot;45602E63&quot;/&gt;&lt;wsp:rsid wsp:val=&quot;45605CF4&quot;/&gt;&lt;wsp:rsid wsp:val=&quot;45612018&quot;/&gt;&lt;wsp:rsid wsp:val=&quot;4561381A&quot;/&gt;&lt;wsp:rsid wsp:val=&quot;4565155C&quot;/&gt;&lt;wsp:rsid wsp:val=&quot;4565330A&quot;/&gt;&lt;wsp:rsid wsp:val=&quot;456562D4&quot;/&gt;&lt;wsp:rsid wsp:val=&quot;45660E30&quot;/&gt;&lt;wsp:rsid wsp:val=&quot;45682D36&quot;/&gt;&lt;wsp:rsid wsp:val=&quot;456907D5&quot;/&gt;&lt;wsp:rsid wsp:val=&quot;456A6B72&quot;/&gt;&lt;wsp:rsid wsp:val=&quot;456B4699&quot;/&gt;&lt;wsp:rsid wsp:val=&quot;456B6447&quot;/&gt;&lt;wsp:rsid wsp:val=&quot;456D0411&quot;/&gt;&lt;wsp:rsid wsp:val=&quot;456D3FD7&quot;/&gt;&lt;wsp:rsid wsp:val=&quot;45701CAF&quot;/&gt;&lt;wsp:rsid wsp:val=&quot;45717F01&quot;/&gt;&lt;wsp:rsid wsp:val=&quot;45723C79&quot;/&gt;&lt;wsp:rsid wsp:val=&quot;45725A27&quot;/&gt;&lt;wsp:rsid wsp:val=&quot;45737E49&quot;/&gt;&lt;wsp:rsid wsp:val=&quot;457568B8&quot;/&gt;&lt;wsp:rsid wsp:val=&quot;45763769&quot;/&gt;&lt;wsp:rsid wsp:val=&quot;45774DEB&quot;/&gt;&lt;wsp:rsid wsp:val=&quot;45795008&quot;/&gt;&lt;wsp:rsid wsp:val=&quot;457A48DC&quot;/&gt;&lt;wsp:rsid wsp:val=&quot;457B0D80&quot;/&gt;&lt;wsp:rsid wsp:val=&quot;457C68A6&quot;/&gt;&lt;wsp:rsid wsp:val=&quot;457D65BD&quot;/&gt;&lt;wsp:rsid wsp:val=&quot;45835E86&quot;/&gt;&lt;wsp:rsid wsp:val=&quot;45836958&quot;/&gt;&lt;wsp:rsid wsp:val=&quot;45857508&quot;/&gt;&lt;wsp:rsid wsp:val=&quot;458614D2&quot;/&gt;&lt;wsp:rsid wsp:val=&quot;45877724&quot;/&gt;&lt;wsp:rsid wsp:val=&quot;45886FF9&quot;/&gt;&lt;wsp:rsid wsp:val=&quot;458946E9&quot;/&gt;&lt;wsp:rsid wsp:val=&quot;458A0FC3&quot;/&gt;&lt;wsp:rsid wsp:val=&quot;458A2B92&quot;/&gt;&lt;wsp:rsid wsp:val=&quot;458A60D0&quot;/&gt;&lt;wsp:rsid wsp:val=&quot;458D0AB3&quot;/&gt;&lt;wsp:rsid wsp:val=&quot;458F482B&quot;/&gt;&lt;wsp:rsid wsp:val=&quot;45905EAD&quot;/&gt;&lt;wsp:rsid wsp:val=&quot;459531E3&quot;/&gt;&lt;wsp:rsid wsp:val=&quot;45961716&quot;/&gt;&lt;wsp:rsid wsp:val=&quot;45965BB9&quot;/&gt;&lt;wsp:rsid wsp:val=&quot;459806D4&quot;/&gt;&lt;wsp:rsid wsp:val=&quot;45991206&quot;/&gt;&lt;wsp:rsid wsp:val=&quot;459B7055&quot;/&gt;&lt;wsp:rsid wsp:val=&quot;459C3262&quot;/&gt;&lt;wsp:rsid wsp:val=&quot;459D6114&quot;/&gt;&lt;wsp:rsid wsp:val=&quot;459E681C&quot;/&gt;&lt;wsp:rsid wsp:val=&quot;45A04342&quot;/&gt;&lt;wsp:rsid wsp:val=&quot;45A1630C&quot;/&gt;&lt;wsp:rsid wsp:val=&quot;45A2455E&quot;/&gt;&lt;wsp:rsid wsp:val=&quot;45A32084&quot;/&gt;&lt;wsp:rsid wsp:val=&quot;45A33E32&quot;/&gt;&lt;wsp:rsid wsp:val=&quot;45A47C0E&quot;/&gt;&lt;wsp:rsid wsp:val=&quot;45A51959&quot;/&gt;&lt;wsp:rsid wsp:val=&quot;45A60B18&quot;/&gt;&lt;wsp:rsid wsp:val=&quot;45A656D1&quot;/&gt;&lt;wsp:rsid wsp:val=&quot;45A73923&quot;/&gt;&lt;wsp:rsid wsp:val=&quot;45AA6F6F&quot;/&gt;&lt;wsp:rsid wsp:val=&quot;45AB103C&quot;/&gt;&lt;wsp:rsid wsp:val=&quot;45AC5076&quot;/&gt;&lt;wsp:rsid wsp:val=&quot;45AC7FDA&quot;/&gt;&lt;wsp:rsid wsp:val=&quot;45AD4CB1&quot;/&gt;&lt;wsp:rsid wsp:val=&quot;45B0521A&quot;/&gt;&lt;wsp:rsid wsp:val=&quot;45B20519&quot;/&gt;&lt;wsp:rsid wsp:val=&quot;45B253B8&quot;/&gt;&lt;wsp:rsid wsp:val=&quot;45B33B9B&quot;/&gt;&lt;wsp:rsid wsp:val=&quot;45B61DB8&quot;/&gt;&lt;wsp:rsid wsp:val=&quot;45B63C5D&quot;/&gt;&lt;wsp:rsid wsp:val=&quot;45B7168C&quot;/&gt;&lt;wsp:rsid wsp:val=&quot;45B83527&quot;/&gt;&lt;wsp:rsid wsp:val=&quot;45B93656&quot;/&gt;&lt;wsp:rsid wsp:val=&quot;45BB7506&quot;/&gt;&lt;wsp:rsid wsp:val=&quot;45BC4EF4&quot;/&gt;&lt;wsp:rsid wsp:val=&quot;45BE0C6C&quot;/&gt;&lt;wsp:rsid wsp:val=&quot;45BE1D97&quot;/&gt;&lt;wsp:rsid wsp:val=&quot;45C049E4&quot;/&gt;&lt;wsp:rsid wsp:val=&quot;45C1250B&quot;/&gt;&lt;wsp:rsid wsp:val=&quot;45C27617&quot;/&gt;&lt;wsp:rsid wsp:val=&quot;45C30031&quot;/&gt;&lt;wsp:rsid wsp:val=&quot;45C51FFB&quot;/&gt;&lt;wsp:rsid wsp:val=&quot;45C67B21&quot;/&gt;&lt;wsp:rsid wsp:val=&quot;45C74BE2&quot;/&gt;&lt;wsp:rsid wsp:val=&quot;45C85647&quot;/&gt;&lt;wsp:rsid wsp:val=&quot;45CC2A71&quot;/&gt;&lt;wsp:rsid wsp:val=&quot;45CC5137&quot;/&gt;&lt;wsp:rsid wsp:val=&quot;45CE1EE4&quot;/&gt;&lt;wsp:rsid wsp:val=&quot;45CE65E9&quot;/&gt;&lt;wsp:rsid wsp:val=&quot;45CF4C28&quot;/&gt;&lt;wsp:rsid wsp:val=&quot;45D05C94&quot;/&gt;&lt;wsp:rsid wsp:val=&quot;45D109A0&quot;/&gt;&lt;wsp:rsid wsp:val=&quot;45D11363&quot;/&gt;&lt;wsp:rsid wsp:val=&quot;45D3296A&quot;/&gt;&lt;wsp:rsid wsp:val=&quot;45D36916&quot;/&gt;&lt;wsp:rsid wsp:val=&quot;45D4223E&quot;/&gt;&lt;wsp:rsid wsp:val=&quot;45D50534&quot;/&gt;&lt;wsp:rsid wsp:val=&quot;45DB35CC&quot;/&gt;&lt;wsp:rsid wsp:val=&quot;45DC10F2&quot;/&gt;&lt;wsp:rsid wsp:val=&quot;45E00BE3&quot;/&gt;&lt;wsp:rsid wsp:val=&quot;45E05789&quot;/&gt;&lt;wsp:rsid wsp:val=&quot;45E06E35&quot;/&gt;&lt;wsp:rsid wsp:val=&quot;45E16709&quot;/&gt;&lt;wsp:rsid wsp:val=&quot;45E32481&quot;/&gt;&lt;wsp:rsid wsp:val=&quot;45E36925&quot;/&gt;&lt;wsp:rsid wsp:val=&quot;45E5269D&quot;/&gt;&lt;wsp:rsid wsp:val=&quot;45E54074&quot;/&gt;&lt;wsp:rsid wsp:val=&quot;45E66D43&quot;/&gt;&lt;wsp:rsid wsp:val=&quot;45E701C3&quot;/&gt;&lt;wsp:rsid wsp:val=&quot;45E71F71&quot;/&gt;&lt;wsp:rsid wsp:val=&quot;45E83F3B&quot;/&gt;&lt;wsp:rsid wsp:val=&quot;45E85CE9&quot;/&gt;&lt;wsp:rsid wsp:val=&quot;45EA380F&quot;/&gt;&lt;wsp:rsid wsp:val=&quot;45EC3A2B&quot;/&gt;&lt;wsp:rsid wsp:val=&quot;45EC7588&quot;/&gt;&lt;wsp:rsid wsp:val=&quot;45ED3300&quot;/&gt;&lt;wsp:rsid wsp:val=&quot;45ED50AE&quot;/&gt;&lt;wsp:rsid wsp:val=&quot;45EF6775&quot;/&gt;&lt;wsp:rsid wsp:val=&quot;45F045C8&quot;/&gt;&lt;wsp:rsid wsp:val=&quot;45F14B9E&quot;/&gt;&lt;wsp:rsid wsp:val=&quot;45F34DBA&quot;/&gt;&lt;wsp:rsid wsp:val=&quot;45F5776D&quot;/&gt;&lt;wsp:rsid wsp:val=&quot;45F60406&quot;/&gt;&lt;wsp:rsid wsp:val=&quot;45F6092E&quot;/&gt;&lt;wsp:rsid wsp:val=&quot;45F72FC7&quot;/&gt;&lt;wsp:rsid wsp:val=&quot;45F8347B&quot;/&gt;&lt;wsp:rsid wsp:val=&quot;45F94EA0&quot;/&gt;&lt;wsp:rsid wsp:val=&quot;45F96148&quot;/&gt;&lt;wsp:rsid wsp:val=&quot;45F97EF6&quot;/&gt;&lt;wsp:rsid wsp:val=&quot;45FC3543&quot;/&gt;&lt;wsp:rsid wsp:val=&quot;45FD1795&quot;/&gt;&lt;wsp:rsid wsp:val=&quot;45FD79E7&quot;/&gt;&lt;wsp:rsid wsp:val=&quot;45FE72BB&quot;/&gt;&lt;wsp:rsid wsp:val=&quot;45FF375F&quot;/&gt;&lt;wsp:rsid wsp:val=&quot;46003033&quot;/&gt;&lt;wsp:rsid wsp:val=&quot;46041FB3&quot;/&gt;&lt;wsp:rsid wsp:val=&quot;46043AE9&quot;/&gt;&lt;wsp:rsid wsp:val=&quot;46051A85&quot;/&gt;&lt;wsp:rsid wsp:val=&quot;46054AED&quot;/&gt;&lt;wsp:rsid wsp:val=&quot;46072075&quot;/&gt;&lt;wsp:rsid wsp:val=&quot;46072613&quot;/&gt;&lt;wsp:rsid wsp:val=&quot;4609638B&quot;/&gt;&lt;wsp:rsid wsp:val=&quot;460A2104&quot;/&gt;&lt;wsp:rsid wsp:val=&quot;460A3EB2&quot;/&gt;&lt;wsp:rsid wsp:val=&quot;460D5750&quot;/&gt;&lt;wsp:rsid wsp:val=&quot;460F3276&quot;/&gt;&lt;wsp:rsid wsp:val=&quot;4610515E&quot;/&gt;&lt;wsp:rsid wsp:val=&quot;46113492&quot;/&gt;&lt;wsp:rsid wsp:val=&quot;461355D4&quot;/&gt;&lt;wsp:rsid wsp:val=&quot;461455F8&quot;/&gt;&lt;wsp:rsid wsp:val=&quot;46160AA8&quot;/&gt;&lt;wsp:rsid wsp:val=&quot;46177DFD&quot;/&gt;&lt;wsp:rsid wsp:val=&quot;46182FF9&quot;/&gt;&lt;wsp:rsid wsp:val=&quot;46195EA3&quot;/&gt;&lt;wsp:rsid wsp:val=&quot;461A0599&quot;/&gt;&lt;wsp:rsid wsp:val=&quot;461B1C1B&quot;/&gt;&lt;wsp:rsid wsp:val=&quot;461B34AE&quot;/&gt;&lt;wsp:rsid wsp:val=&quot;461D098F&quot;/&gt;&lt;wsp:rsid wsp:val=&quot;461D3BE5&quot;/&gt;&lt;wsp:rsid wsp:val=&quot;461D4A77&quot;/&gt;&lt;wsp:rsid wsp:val=&quot;461E170B&quot;/&gt;&lt;wsp:rsid wsp:val=&quot;461F4288&quot;/&gt;&lt;wsp:rsid wsp:val=&quot;462036D5&quot;/&gt;&lt;wsp:rsid wsp:val=&quot;46214329&quot;/&gt;&lt;wsp:rsid wsp:val=&quot;46216A5D&quot;/&gt;&lt;wsp:rsid wsp:val=&quot;46236D21&quot;/&gt;&lt;wsp:rsid wsp:val=&quot;46237C42&quot;/&gt;&lt;wsp:rsid wsp:val=&quot;46244B90&quot;/&gt;&lt;wsp:rsid wsp:val=&quot;46244F73&quot;/&gt;&lt;wsp:rsid wsp:val=&quot;46250CEB&quot;/&gt;&lt;wsp:rsid wsp:val=&quot;46252A99&quot;/&gt;&lt;wsp:rsid wsp:val=&quot;46284338&quot;/&gt;&lt;wsp:rsid wsp:val=&quot;4629258A&quot;/&gt;&lt;wsp:rsid wsp:val=&quot;46293F7E&quot;/&gt;&lt;wsp:rsid wsp:val=&quot;462C207A&quot;/&gt;&lt;wsp:rsid wsp:val=&quot;462C3E28&quot;/&gt;&lt;wsp:rsid wsp:val=&quot;462C5651&quot;/&gt;&lt;wsp:rsid wsp:val=&quot;462E5DF2&quot;/&gt;&lt;wsp:rsid wsp:val=&quot;46326F64&quot;/&gt;&lt;wsp:rsid wsp:val=&quot;46330353&quot;/&gt;&lt;wsp:rsid wsp:val=&quot;46340F2E&quot;/&gt;&lt;wsp:rsid wsp:val=&quot;46362EF9&quot;/&gt;&lt;wsp:rsid wsp:val=&quot;463827CD&quot;/&gt;&lt;wsp:rsid wsp:val=&quot;46386C71&quot;/&gt;&lt;wsp:rsid wsp:val=&quot;463902F3&quot;/&gt;&lt;wsp:rsid wsp:val=&quot;463A66B6&quot;/&gt;&lt;wsp:rsid wsp:val=&quot;463B374C&quot;/&gt;&lt;wsp:rsid wsp:val=&quot;463D7DE3&quot;/&gt;&lt;wsp:rsid wsp:val=&quot;463F7FFF&quot;/&gt;&lt;wsp:rsid wsp:val=&quot;46401681&quot;/&gt;&lt;wsp:rsid wsp:val=&quot;464078D3&quot;/&gt;&lt;wsp:rsid wsp:val=&quot;46411F54&quot;/&gt;&lt;wsp:rsid wsp:val=&quot;4641371F&quot;/&gt;&lt;wsp:rsid wsp:val=&quot;464253F9&quot;/&gt;&lt;wsp:rsid wsp:val=&quot;46431172&quot;/&gt;&lt;wsp:rsid wsp:val=&quot;46433032&quot;/&gt;&lt;wsp:rsid wsp:val=&quot;46443C20&quot;/&gt;&lt;wsp:rsid wsp:val=&quot;464529FA&quot;/&gt;&lt;wsp:rsid wsp:val=&quot;46456690&quot;/&gt;&lt;wsp:rsid wsp:val=&quot;46456C98&quot;/&gt;&lt;wsp:rsid wsp:val=&quot;46472A10&quot;/&gt;&lt;wsp:rsid wsp:val=&quot;46491E27&quot;/&gt;&lt;wsp:rsid wsp:val=&quot;464B69A4&quot;/&gt;&lt;wsp:rsid wsp:val=&quot;464C1EC6&quot;/&gt;&lt;wsp:rsid wsp:val=&quot;464C40B9&quot;/&gt;&lt;wsp:rsid wsp:val=&quot;464C6278&quot;/&gt;&lt;wsp:rsid wsp:val=&quot;464F7B16&quot;/&gt;&lt;wsp:rsid wsp:val=&quot;4651388E&quot;/&gt;&lt;wsp:rsid wsp:val=&quot;46522ED9&quot;/&gt;&lt;wsp:rsid wsp:val=&quot;46535859&quot;/&gt;&lt;wsp:rsid wsp:val=&quot;46537607&quot;/&gt;&lt;wsp:rsid wsp:val=&quot;4654337F&quot;/&gt;&lt;wsp:rsid wsp:val=&quot;465515D1&quot;/&gt;&lt;wsp:rsid wsp:val=&quot;46560EA5&quot;/&gt;&lt;wsp:rsid wsp:val=&quot;46577FD6&quot;/&gt;&lt;wsp:rsid wsp:val=&quot;4658048C&quot;/&gt;&lt;wsp:rsid wsp:val=&quot;4658424C&quot;/&gt;&lt;wsp:rsid wsp:val=&quot;465A6BE7&quot;/&gt;&lt;wsp:rsid wsp:val=&quot;465D0485&quot;/&gt;&lt;wsp:rsid wsp:val=&quot;465D66D7&quot;/&gt;&lt;wsp:rsid wsp:val=&quot;465E7D59&quot;/&gt;&lt;wsp:rsid wsp:val=&quot;465F64D2&quot;/&gt;&lt;wsp:rsid wsp:val=&quot;466000AE&quot;/&gt;&lt;wsp:rsid wsp:val=&quot;46603AD2&quot;/&gt;&lt;wsp:rsid wsp:val=&quot;46626FDF&quot;/&gt;&lt;wsp:rsid wsp:val=&quot;4665733A&quot;/&gt;&lt;wsp:rsid wsp:val=&quot;466678B4&quot;/&gt;&lt;wsp:rsid wsp:val=&quot;466753B0&quot;/&gt;&lt;wsp:rsid wsp:val=&quot;46686E80&quot;/&gt;&lt;wsp:rsid wsp:val=&quot;4669507C&quot;/&gt;&lt;wsp:rsid wsp:val=&quot;466E4440&quot;/&gt;&lt;wsp:rsid wsp:val=&quot;466F1F67&quot;/&gt;&lt;wsp:rsid wsp:val=&quot;46713F31&quot;/&gt;&lt;wsp:rsid wsp:val=&quot;46717A8D&quot;/&gt;&lt;wsp:rsid wsp:val=&quot;46736733&quot;/&gt;&lt;wsp:rsid wsp:val=&quot;46737CA9&quot;/&gt;&lt;wsp:rsid wsp:val=&quot;46743F17&quot;/&gt;&lt;wsp:rsid wsp:val=&quot;467746C1&quot;/&gt;&lt;wsp:rsid wsp:val=&quot;4678706D&quot;/&gt;&lt;wsp:rsid wsp:val=&quot;467B090B&quot;/&gt;&lt;wsp:rsid wsp:val=&quot;467B6B5D&quot;/&gt;&lt;wsp:rsid wsp:val=&quot;467D28D5&quot;/&gt;&lt;wsp:rsid wsp:val=&quot;467D4684&quot;/&gt;&lt;wsp:rsid wsp:val=&quot;467F1EF6&quot;/&gt;&lt;wsp:rsid wsp:val=&quot;467F3895&quot;/&gt;&lt;wsp:rsid wsp:val=&quot;46821FB8&quot;/&gt;&lt;wsp:rsid wsp:val=&quot;46826B34&quot;/&gt;&lt;wsp:rsid wsp:val=&quot;46845A12&quot;/&gt;&lt;wsp:rsid wsp:val=&quot;4685178A&quot;/&gt;&lt;wsp:rsid wsp:val=&quot;46873259&quot;/&gt;&lt;wsp:rsid wsp:val=&quot;46875502&quot;/&gt;&lt;wsp:rsid wsp:val=&quot;468A0B4E&quot;/&gt;&lt;wsp:rsid wsp:val=&quot;468A6DA0&quot;/&gt;&lt;wsp:rsid wsp:val=&quot;468B4FF2&quot;/&gt;&lt;wsp:rsid wsp:val=&quot;468C0D6B&quot;/&gt;&lt;wsp:rsid wsp:val=&quot;468E26B7&quot;/&gt;&lt;wsp:rsid wsp:val=&quot;468F3F4B&quot;/&gt;&lt;wsp:rsid wsp:val=&quot;4690193B&quot;/&gt;&lt;wsp:rsid wsp:val=&quot;46911EDD&quot;/&gt;&lt;wsp:rsid wsp:val=&quot;46916381&quot;/&gt;&lt;wsp:rsid wsp:val=&quot;46924BB5&quot;/&gt;&lt;wsp:rsid wsp:val=&quot;469320F9&quot;/&gt;&lt;wsp:rsid wsp:val=&quot;46955E71&quot;/&gt;&lt;wsp:rsid wsp:val=&quot;46957C1F&quot;/&gt;&lt;wsp:rsid wsp:val=&quot;46965745&quot;/&gt;&lt;wsp:rsid wsp:val=&quot;46976FD7&quot;/&gt;&lt;wsp:rsid wsp:val=&quot;469814BD&quot;/&gt;&lt;wsp:rsid wsp:val=&quot;469A3487&quot;/&gt;&lt;wsp:rsid wsp:val=&quot;469A6FE4&quot;/&gt;&lt;wsp:rsid wsp:val=&quot;469B2D5C&quot;/&gt;&lt;wsp:rsid wsp:val=&quot;469C7200&quot;/&gt;&lt;wsp:rsid wsp:val=&quot;469D547F&quot;/&gt;&lt;wsp:rsid wsp:val=&quot;469F0A9E&quot;/&gt;&lt;wsp:rsid wsp:val=&quot;469F284C&quot;/&gt;&lt;wsp:rsid wsp:val=&quot;46A165C4&quot;/&gt;&lt;wsp:rsid wsp:val=&quot;46A2058E&quot;/&gt;&lt;wsp:rsid wsp:val=&quot;46A42781&quot;/&gt;&lt;wsp:rsid wsp:val=&quot;46A43A10&quot;/&gt;&lt;wsp:rsid wsp:val=&quot;46A460B4&quot;/&gt;&lt;wsp:rsid wsp:val=&quot;46A667E2&quot;/&gt;&lt;wsp:rsid wsp:val=&quot;46A870E2&quot;/&gt;&lt;wsp:rsid wsp:val=&quot;46AA2F9F&quot;/&gt;&lt;wsp:rsid wsp:val=&quot;46AB11F1&quot;/&gt;&lt;wsp:rsid wsp:val=&quot;46AC09B4&quot;/&gt;&lt;wsp:rsid wsp:val=&quot;46AC31BB&quot;/&gt;&lt;wsp:rsid wsp:val=&quot;46AD4F74&quot;/&gt;&lt;wsp:rsid wsp:val=&quot;46AE0CE1&quot;/&gt;&lt;wsp:rsid wsp:val=&quot;46AE6F33&quot;/&gt;&lt;wsp:rsid wsp:val=&quot;46B1432D&quot;/&gt;&lt;wsp:rsid wsp:val=&quot;46B207D1&quot;/&gt;&lt;wsp:rsid wsp:val=&quot;46B300A5&quot;/&gt;&lt;wsp:rsid wsp:val=&quot;46B30DE6&quot;/&gt;&lt;wsp:rsid wsp:val=&quot;46B502C1&quot;/&gt;&lt;wsp:rsid wsp:val=&quot;46B662D7&quot;/&gt;&lt;wsp:rsid wsp:val=&quot;46B837C8&quot;/&gt;&lt;wsp:rsid wsp:val=&quot;46B856BC&quot;/&gt;&lt;wsp:rsid wsp:val=&quot;46B97E5C&quot;/&gt;&lt;wsp:rsid wsp:val=&quot;46BA1434&quot;/&gt;&lt;wsp:rsid wsp:val=&quot;46BA7686&quot;/&gt;&lt;wsp:rsid wsp:val=&quot;46BB2149&quot;/&gt;&lt;wsp:rsid wsp:val=&quot;46BB51AC&quot;/&gt;&lt;wsp:rsid wsp:val=&quot;46BD2CD2&quot;/&gt;&lt;wsp:rsid wsp:val=&quot;46C1798A&quot;/&gt;&lt;wsp:rsid wsp:val=&quot;46C329DE&quot;/&gt;&lt;wsp:rsid wsp:val=&quot;46C44060&quot;/&gt;&lt;wsp:rsid wsp:val=&quot;46C73B51&quot;/&gt;&lt;wsp:rsid wsp:val=&quot;46C95B1B&quot;/&gt;&lt;wsp:rsid wsp:val=&quot;46CA3DCA&quot;/&gt;&lt;wsp:rsid wsp:val=&quot;46CB1C3E&quot;/&gt;&lt;wsp:rsid wsp:val=&quot;46CC73B9&quot;/&gt;&lt;wsp:rsid wsp:val=&quot;46CE59EE&quot;/&gt;&lt;wsp:rsid wsp:val=&quot;46CF7A29&quot;/&gt;&lt;wsp:rsid wsp:val=&quot;46D024D7&quot;/&gt;&lt;wsp:rsid wsp:val=&quot;46D06EA9&quot;/&gt;&lt;wsp:rsid wsp:val=&quot;46D22C21&quot;/&gt;&lt;wsp:rsid wsp:val=&quot;46D30747&quot;/&gt;&lt;wsp:rsid wsp:val=&quot;46D324F5&quot;/&gt;&lt;wsp:rsid wsp:val=&quot;46D5626E&quot;/&gt;&lt;wsp:rsid wsp:val=&quot;46D85D5E&quot;/&gt;&lt;wsp:rsid wsp:val=&quot;46D869EF&quot;/&gt;&lt;wsp:rsid wsp:val=&quot;46D955A7&quot;/&gt;&lt;wsp:rsid wsp:val=&quot;46DA56D2&quot;/&gt;&lt;wsp:rsid wsp:val=&quot;46DA7D28&quot;/&gt;&lt;wsp:rsid wsp:val=&quot;46DC75FC&quot;/&gt;&lt;wsp:rsid wsp:val=&quot;46DD15C6&quot;/&gt;&lt;wsp:rsid wsp:val=&quot;46DD3374&quot;/&gt;&lt;wsp:rsid wsp:val=&quot;46DF533E&quot;/&gt;&lt;wsp:rsid wsp:val=&quot;46E26BDC&quot;/&gt;&lt;wsp:rsid wsp:val=&quot;46E42955&quot;/&gt;&lt;wsp:rsid wsp:val=&quot;46E44703&quot;/&gt;&lt;wsp:rsid wsp:val=&quot;46E62229&quot;/&gt;&lt;wsp:rsid wsp:val=&quot;46E82445&quot;/&gt;&lt;wsp:rsid wsp:val=&quot;46E91D19&quot;/&gt;&lt;wsp:rsid wsp:val=&quot;46E97F6B&quot;/&gt;&lt;wsp:rsid wsp:val=&quot;46ED1809&quot;/&gt;&lt;wsp:rsid wsp:val=&quot;46EE37D3&quot;/&gt;&lt;wsp:rsid wsp:val=&quot;46EF3AAF&quot;/&gt;&lt;wsp:rsid wsp:val=&quot;46EF465A&quot;/&gt;&lt;wsp:rsid wsp:val=&quot;46F012F9&quot;/&gt;&lt;wsp:rsid wsp:val=&quot;46F04E55&quot;/&gt;&lt;wsp:rsid wsp:val=&quot;46F10BCE&quot;/&gt;&lt;wsp:rsid wsp:val=&quot;46F226BA&quot;/&gt;&lt;wsp:rsid wsp:val=&quot;46F25071&quot;/&gt;&lt;wsp:rsid wsp:val=&quot;46F34946&quot;/&gt;&lt;wsp:rsid wsp:val=&quot;46F414DE&quot;/&gt;&lt;wsp:rsid wsp:val=&quot;46F506BE&quot;/&gt;&lt;wsp:rsid wsp:val=&quot;46F5246C&quot;/&gt;&lt;wsp:rsid wsp:val=&quot;46F6376A&quot;/&gt;&lt;wsp:rsid wsp:val=&quot;46F929EF&quot;/&gt;&lt;wsp:rsid wsp:val=&quot;46F96531&quot;/&gt;&lt;wsp:rsid wsp:val=&quot;46FA3F26&quot;/&gt;&lt;wsp:rsid wsp:val=&quot;46FE1134&quot;/&gt;&lt;wsp:rsid wsp:val=&quot;46FF32EA&quot;/&gt;&lt;wsp:rsid wsp:val=&quot;47017063&quot;/&gt;&lt;wsp:rsid wsp:val=&quot;4702423B&quot;/&gt;&lt;wsp:rsid wsp:val=&quot;4703462D&quot;/&gt;&lt;wsp:rsid wsp:val=&quot;4708700F&quot;/&gt;&lt;wsp:rsid wsp:val=&quot;47095F17&quot;/&gt;&lt;wsp:rsid wsp:val=&quot;470C5990&quot;/&gt;&lt;wsp:rsid wsp:val=&quot;470D6698&quot;/&gt;&lt;wsp:rsid wsp:val=&quot;471072A6&quot;/&gt;&lt;wsp:rsid wsp:val=&quot;47121270&quot;/&gt;&lt;wsp:rsid wsp:val=&quot;47133957&quot;/&gt;&lt;wsp:rsid wsp:val=&quot;47152B0E&quot;/&gt;&lt;wsp:rsid wsp:val=&quot;471548BC&quot;/&gt;&lt;wsp:rsid wsp:val=&quot;471A1424&quot;/&gt;&lt;wsp:rsid wsp:val=&quot;471A6376&quot;/&gt;&lt;wsp:rsid wsp:val=&quot;471D4641&quot;/&gt;&lt;wsp:rsid wsp:val=&quot;471F573B&quot;/&gt;&lt;wsp:rsid wsp:val=&quot;47206C0E&quot;/&gt;&lt;wsp:rsid wsp:val=&quot;47215957&quot;/&gt;&lt;wsp:rsid wsp:val=&quot;47217705&quot;/&gt;&lt;wsp:rsid wsp:val=&quot;4723347D&quot;/&gt;&lt;wsp:rsid wsp:val=&quot;47264693&quot;/&gt;&lt;wsp:rsid wsp:val=&quot;47280A93&quot;/&gt;&lt;wsp:rsid wsp:val=&quot;4729480B&quot;/&gt;&lt;wsp:rsid wsp:val=&quot;472965B9&quot;/&gt;&lt;wsp:rsid wsp:val=&quot;472B2331&quot;/&gt;&lt;wsp:rsid wsp:val=&quot;472D789A&quot;/&gt;&lt;wsp:rsid wsp:val=&quot;472E1FF1&quot;/&gt;&lt;wsp:rsid wsp:val=&quot;472E3BD0&quot;/&gt;&lt;wsp:rsid wsp:val=&quot;472E597E&quot;/&gt;&lt;wsp:rsid wsp:val=&quot;472F1E22&quot;/&gt;&lt;wsp:rsid wsp:val=&quot;47322C84&quot;/&gt;&lt;wsp:rsid wsp:val=&quot;473311E6&quot;/&gt;&lt;wsp:rsid wsp:val=&quot;473342A0&quot;/&gt;&lt;wsp:rsid wsp:val=&quot;473347E2&quot;/&gt;&lt;wsp:rsid wsp:val=&quot;47370CD6&quot;/&gt;&lt;wsp:rsid wsp:val=&quot;47392CA0&quot;/&gt;&lt;wsp:rsid wsp:val=&quot;47394A4E&quot;/&gt;&lt;wsp:rsid wsp:val=&quot;473C60FA&quot;/&gt;&lt;wsp:rsid wsp:val=&quot;473C62ED&quot;/&gt;&lt;wsp:rsid wsp:val=&quot;473D3E13&quot;/&gt;&lt;wsp:rsid wsp:val=&quot;473E02B7&quot;/&gt;&lt;wsp:rsid wsp:val=&quot;473F7B8B&quot;/&gt;&lt;wsp:rsid wsp:val=&quot;47411B55&quot;/&gt;&lt;wsp:rsid wsp:val=&quot;47413903&quot;/&gt;&lt;wsp:rsid wsp:val=&quot;474170A0&quot;/&gt;&lt;wsp:rsid wsp:val=&quot;47421D71&quot;/&gt;&lt;wsp:rsid wsp:val=&quot;47431AC0&quot;/&gt;&lt;wsp:rsid wsp:val=&quot;474433F3&quot;/&gt;&lt;wsp:rsid wsp:val=&quot;47455B21&quot;/&gt;&lt;wsp:rsid wsp:val=&quot;47462CC7&quot;/&gt;&lt;wsp:rsid wsp:val=&quot;4746504B&quot;/&gt;&lt;wsp:rsid wsp:val=&quot;47484C91&quot;/&gt;&lt;wsp:rsid wsp:val=&quot;47486A40&quot;/&gt;&lt;wsp:rsid wsp:val=&quot;47493412&quot;/&gt;&lt;wsp:rsid wsp:val=&quot;474A0C9A&quot;/&gt;&lt;wsp:rsid wsp:val=&quot;474B4782&quot;/&gt;&lt;wsp:rsid wsp:val=&quot;474D04FA&quot;/&gt;&lt;wsp:rsid wsp:val=&quot;474D4056&quot;/&gt;&lt;wsp:rsid wsp:val=&quot;474D674C&quot;/&gt;&lt;wsp:rsid wsp:val=&quot;474E6020&quot;/&gt;&lt;wsp:rsid wsp:val=&quot;474E7DCE&quot;/&gt;&lt;wsp:rsid wsp:val=&quot;474F17A4&quot;/&gt;&lt;wsp:rsid wsp:val=&quot;47501D98&quot;/&gt;&lt;wsp:rsid wsp:val=&quot;475028AA&quot;/&gt;&lt;wsp:rsid wsp:val=&quot;47507FEA&quot;/&gt;&lt;wsp:rsid wsp:val=&quot;47520BF7&quot;/&gt;&lt;wsp:rsid wsp:val=&quot;47525B10&quot;/&gt;&lt;wsp:rsid wsp:val=&quot;475353E4&quot;/&gt;&lt;wsp:rsid wsp:val=&quot;47541888&quot;/&gt;&lt;wsp:rsid wsp:val=&quot;4755115C&quot;/&gt;&lt;wsp:rsid wsp:val=&quot;475573AE&quot;/&gt;&lt;wsp:rsid wsp:val=&quot;47573126&quot;/&gt;&lt;wsp:rsid wsp:val=&quot;475950F1&quot;/&gt;&lt;wsp:rsid wsp:val=&quot;475A2C17&quot;/&gt;&lt;wsp:rsid wsp:val=&quot;475A49C5&quot;/&gt;&lt;wsp:rsid wsp:val=&quot;475B3B2E&quot;/&gt;&lt;wsp:rsid wsp:val=&quot;475B4A3F&quot;/&gt;&lt;wsp:rsid wsp:val=&quot;475C073D&quot;/&gt;&lt;wsp:rsid wsp:val=&quot;475F022D&quot;/&gt;&lt;wsp:rsid wsp:val=&quot;476051A1&quot;/&gt;&lt;wsp:rsid wsp:val=&quot;47625049&quot;/&gt;&lt;wsp:rsid wsp:val=&quot;47653A95&quot;/&gt;&lt;wsp:rsid wsp:val=&quot;47655843&quot;/&gt;&lt;wsp:rsid wsp:val=&quot;47657987&quot;/&gt;&lt;wsp:rsid wsp:val=&quot;476725FC&quot;/&gt;&lt;wsp:rsid wsp:val=&quot;47677A2B&quot;/&gt;&lt;wsp:rsid wsp:val=&quot;47680E90&quot;/&gt;&lt;wsp:rsid wsp:val=&quot;476B0980&quot;/&gt;&lt;wsp:rsid wsp:val=&quot;476B6BD2&quot;/&gt;&lt;wsp:rsid wsp:val=&quot;476D64A6&quot;/&gt;&lt;wsp:rsid wsp:val=&quot;476E221E&quot;/&gt;&lt;wsp:rsid wsp:val=&quot;476F33F5&quot;/&gt;&lt;wsp:rsid wsp:val=&quot;477041E8&quot;/&gt;&lt;wsp:rsid wsp:val=&quot;47705F96&quot;/&gt;&lt;wsp:rsid wsp:val=&quot;47724B3E&quot;/&gt;&lt;wsp:rsid wsp:val=&quot;47727F60&quot;/&gt;&lt;wsp:rsid wsp:val=&quot;477305A8&quot;/&gt;&lt;wsp:rsid wsp:val=&quot;47733EF6&quot;/&gt;&lt;wsp:rsid wsp:val=&quot;47737835&quot;/&gt;&lt;wsp:rsid wsp:val=&quot;4774202F&quot;/&gt;&lt;wsp:rsid wsp:val=&quot;47745A86&quot;/&gt;&lt;wsp:rsid wsp:val=&quot;477517FF&quot;/&gt;&lt;wsp:rsid wsp:val=&quot;477737C9&quot;/&gt;&lt;wsp:rsid wsp:val=&quot;47777325&quot;/&gt;&lt;wsp:rsid wsp:val=&quot;477809B0&quot;/&gt;&lt;wsp:rsid wsp:val=&quot;477912EF&quot;/&gt;&lt;wsp:rsid wsp:val=&quot;477C0DDF&quot;/&gt;&lt;wsp:rsid wsp:val=&quot;477C4A30&quot;/&gt;&lt;wsp:rsid wsp:val=&quot;477E06B3&quot;/&gt;&lt;wsp:rsid wsp:val=&quot;477E4B57&quot;/&gt;&lt;wsp:rsid wsp:val=&quot;477E6905&quot;/&gt;&lt;wsp:rsid wsp:val=&quot;4780267D&quot;/&gt;&lt;wsp:rsid wsp:val=&quot;478101A3&quot;/&gt;&lt;wsp:rsid wsp:val=&quot;47863A0C&quot;/&gt;&lt;wsp:rsid wsp:val=&quot;47880006&quot;/&gt;&lt;wsp:rsid wsp:val=&quot;47881532&quot;/&gt;&lt;wsp:rsid wsp:val=&quot;478832E0&quot;/&gt;&lt;wsp:rsid wsp:val=&quot;47886D63&quot;/&gt;&lt;wsp:rsid wsp:val=&quot;478A7058&quot;/&gt;&lt;wsp:rsid wsp:val=&quot;478C6B89&quot;/&gt;&lt;wsp:rsid wsp:val=&quot;478C7274&quot;/&gt;&lt;wsp:rsid wsp:val=&quot;478D08F6&quot;/&gt;&lt;wsp:rsid wsp:val=&quot;478D4D9A&quot;/&gt;&lt;wsp:rsid wsp:val=&quot;478E083F&quot;/&gt;&lt;wsp:rsid wsp:val=&quot;4791016B&quot;/&gt;&lt;wsp:rsid wsp:val=&quot;4791488A&quot;/&gt;&lt;wsp:rsid wsp:val=&quot;479229E6&quot;/&gt;&lt;wsp:rsid wsp:val=&quot;47936A47&quot;/&gt;&lt;wsp:rsid wsp:val=&quot;47947ED7&quot;/&gt;&lt;wsp:rsid wsp:val=&quot;47960B0B&quot;/&gt;&lt;wsp:rsid wsp:val=&quot;479954ED&quot;/&gt;&lt;wsp:rsid wsp:val=&quot;479C4FDD&quot;/&gt;&lt;wsp:rsid wsp:val=&quot;479E6FA7&quot;/&gt;&lt;wsp:rsid wsp:val=&quot;479F21BB&quot;/&gt;&lt;wsp:rsid wsp:val=&quot;47A04ACD&quot;/&gt;&lt;wsp:rsid wsp:val=&quot;47A07767&quot;/&gt;&lt;wsp:rsid wsp:val=&quot;47A07E0C&quot;/&gt;&lt;wsp:rsid wsp:val=&quot;47A50787&quot;/&gt;&lt;wsp:rsid wsp:val=&quot;47A520E4&quot;/&gt;&lt;wsp:rsid wsp:val=&quot;47A53E92&quot;/&gt;&lt;wsp:rsid wsp:val=&quot;47A57DF6&quot;/&gt;&lt;wsp:rsid wsp:val=&quot;47A619B8&quot;/&gt;&lt;wsp:rsid wsp:val=&quot;47A67C0A&quot;/&gt;&lt;wsp:rsid wsp:val=&quot;47AC1C93&quot;/&gt;&lt;wsp:rsid wsp:val=&quot;47AD2D46&quot;/&gt;&lt;wsp:rsid wsp:val=&quot;47B10B40&quot;/&gt;&lt;wsp:rsid wsp:val=&quot;47B142B4&quot;/&gt;&lt;wsp:rsid wsp:val=&quot;47B57E4D&quot;/&gt;&lt;wsp:rsid wsp:val=&quot;47B61DE1&quot;/&gt;&lt;wsp:rsid wsp:val=&quot;47B71E17&quot;/&gt;&lt;wsp:rsid wsp:val=&quot;47B73271&quot;/&gt;&lt;wsp:rsid wsp:val=&quot;47B75973&quot;/&gt;&lt;wsp:rsid wsp:val=&quot;47B916EB&quot;/&gt;&lt;wsp:rsid wsp:val=&quot;47B91EA3&quot;/&gt;&lt;wsp:rsid wsp:val=&quot;47B95B8F&quot;/&gt;&lt;wsp:rsid wsp:val=&quot;47BA1BF2&quot;/&gt;&lt;wsp:rsid wsp:val=&quot;47BA5463&quot;/&gt;&lt;wsp:rsid wsp:val=&quot;47BB36B5&quot;/&gt;&lt;wsp:rsid wsp:val=&quot;47BE0573&quot;/&gt;&lt;wsp:rsid wsp:val=&quot;47BE31A6&quot;/&gt;&lt;wsp:rsid wsp:val=&quot;47BE4F54&quot;/&gt;&lt;wsp:rsid wsp:val=&quot;47BE6D02&quot;/&gt;&lt;wsp:rsid wsp:val=&quot;47C02A7A&quot;/&gt;&lt;wsp:rsid wsp:val=&quot;47C05087&quot;/&gt;&lt;wsp:rsid wsp:val=&quot;47C167F2&quot;/&gt;&lt;wsp:rsid wsp:val=&quot;47C22C96&quot;/&gt;&lt;wsp:rsid wsp:val=&quot;47C307BC&quot;/&gt;&lt;wsp:rsid wsp:val=&quot;47C562E2&quot;/&gt;&lt;wsp:rsid wsp:val=&quot;47C642A9&quot;/&gt;&lt;wsp:rsid wsp:val=&quot;47C85DD2&quot;/&gt;&lt;wsp:rsid wsp:val=&quot;47CA1B4A&quot;/&gt;&lt;wsp:rsid wsp:val=&quot;47CA38F8&quot;/&gt;&lt;wsp:rsid wsp:val=&quot;47CA56A6&quot;/&gt;&lt;wsp:rsid wsp:val=&quot;47CB7671&quot;/&gt;&lt;wsp:rsid wsp:val=&quot;47CD2888&quot;/&gt;&lt;wsp:rsid wsp:val=&quot;47CF7161&quot;/&gt;&lt;wsp:rsid wsp:val=&quot;47D06A35&quot;/&gt;&lt;wsp:rsid wsp:val=&quot;47D12ED9&quot;/&gt;&lt;wsp:rsid wsp:val=&quot;47D2404C&quot;/&gt;&lt;wsp:rsid wsp:val=&quot;47D260BE&quot;/&gt;&lt;wsp:rsid wsp:val=&quot;47D429C9&quot;/&gt;&lt;wsp:rsid wsp:val=&quot;47D72EE0&quot;/&gt;&lt;wsp:rsid wsp:val=&quot;47D74267&quot;/&gt;&lt;wsp:rsid wsp:val=&quot;47DA1733&quot;/&gt;&lt;wsp:rsid wsp:val=&quot;47DB78B4&quot;/&gt;&lt;wsp:rsid wsp:val=&quot;47DC187E&quot;/&gt;&lt;wsp:rsid wsp:val=&quot;47DC1884&quot;/&gt;&lt;wsp:rsid wsp:val=&quot;47DE73A4&quot;/&gt;&lt;wsp:rsid wsp:val=&quot;47E0136E&quot;/&gt;&lt;wsp:rsid wsp:val=&quot;47E515E0&quot;/&gt;&lt;wsp:rsid wsp:val=&quot;47E524E0&quot;/&gt;&lt;wsp:rsid wsp:val=&quot;47E56984&quot;/&gt;&lt;wsp:rsid wsp:val=&quot;47E66258&quot;/&gt;&lt;wsp:rsid wsp:val=&quot;47E744AA&quot;/&gt;&lt;wsp:rsid wsp:val=&quot;47E80223&quot;/&gt;&lt;wsp:rsid wsp:val=&quot;47E8349F&quot;/&gt;&lt;wsp:rsid wsp:val=&quot;47E86474&quot;/&gt;&lt;wsp:rsid wsp:val=&quot;47EA7AF7&quot;/&gt;&lt;wsp:rsid wsp:val=&quot;47EC7D13&quot;/&gt;&lt;wsp:rsid wsp:val=&quot;47ED3A8B&quot;/&gt;&lt;wsp:rsid wsp:val=&quot;47F170D7&quot;/&gt;&lt;wsp:rsid wsp:val=&quot;47F46BC7&quot;/&gt;&lt;wsp:rsid wsp:val=&quot;47F675FF&quot;/&gt;&lt;wsp:rsid wsp:val=&quot;47F866B8&quot;/&gt;&lt;wsp:rsid wsp:val=&quot;47F97B63&quot;/&gt;&lt;wsp:rsid wsp:val=&quot;47FC5A7C&quot;/&gt;&lt;wsp:rsid wsp:val=&quot;47FD1854&quot;/&gt;&lt;wsp:rsid wsp:val=&quot;47FE17F4&quot;/&gt;&lt;wsp:rsid wsp:val=&quot;47FE7A46&quot;/&gt;&lt;wsp:rsid wsp:val=&quot;47FF0411&quot;/&gt;&lt;wsp:rsid wsp:val=&quot;47FF10B4&quot;/&gt;&lt;wsp:rsid wsp:val=&quot;4800556C&quot;/&gt;&lt;wsp:rsid wsp:val=&quot;480212E4&quot;/&gt;&lt;wsp:rsid wsp:val=&quot;480300DD&quot;/&gt;&lt;wsp:rsid wsp:val=&quot;48030BB8&quot;/&gt;&lt;wsp:rsid wsp:val=&quot;48052B82&quot;/&gt;&lt;wsp:rsid wsp:val=&quot;48054198&quot;/&gt;&lt;wsp:rsid wsp:val=&quot;48054931&quot;/&gt;&lt;wsp:rsid wsp:val=&quot;480706A9&quot;/&gt;&lt;wsp:rsid wsp:val=&quot;48082673&quot;/&gt;&lt;wsp:rsid wsp:val=&quot;480A1F47&quot;/&gt;&lt;wsp:rsid wsp:val=&quot;480D0887&quot;/&gt;&lt;wsp:rsid wsp:val=&quot;480D406B&quot;/&gt;&lt;wsp:rsid wsp:val=&quot;480F3A01&quot;/&gt;&lt;wsp:rsid wsp:val=&quot;480F57AF&quot;/&gt;&lt;wsp:rsid wsp:val=&quot;48107E1B&quot;/&gt;&lt;wsp:rsid wsp:val=&quot;481132D5&quot;/&gt;&lt;wsp:rsid wsp:val=&quot;4812530C&quot;/&gt;&lt;wsp:rsid wsp:val=&quot;4812704D&quot;/&gt;&lt;wsp:rsid wsp:val=&quot;481334F1&quot;/&gt;&lt;wsp:rsid wsp:val=&quot;4813679C&quot;/&gt;&lt;wsp:rsid wsp:val=&quot;4814136D&quot;/&gt;&lt;wsp:rsid wsp:val=&quot;481427FD&quot;/&gt;&lt;wsp:rsid wsp:val=&quot;481452DA&quot;/&gt;&lt;wsp:rsid wsp:val=&quot;48147269&quot;/&gt;&lt;wsp:rsid wsp:val=&quot;4816685E&quot;/&gt;&lt;wsp:rsid wsp:val=&quot;4819260E&quot;/&gt;&lt;wsp:rsid wsp:val=&quot;4819662E&quot;/&gt;&lt;wsp:rsid wsp:val=&quot;481A3897&quot;/&gt;&lt;wsp:rsid wsp:val=&quot;481B05F8&quot;/&gt;&lt;wsp:rsid wsp:val=&quot;481B23A6&quot;/&gt;&lt;wsp:rsid wsp:val=&quot;481D7ECC&quot;/&gt;&lt;wsp:rsid wsp:val=&quot;481E3C44&quot;/&gt;&lt;wsp:rsid wsp:val=&quot;481E74AD&quot;/&gt;&lt;wsp:rsid wsp:val=&quot;48217291&quot;/&gt;&lt;wsp:rsid wsp:val=&quot;48254FD3&quot;/&gt;&lt;wsp:rsid wsp:val=&quot;48276410&quot;/&gt;&lt;wsp:rsid wsp:val=&quot;4828458E&quot;/&gt;&lt;wsp:rsid wsp:val=&quot;48286871&quot;/&gt;&lt;wsp:rsid wsp:val=&quot;482B01E3&quot;/&gt;&lt;wsp:rsid wsp:val=&quot;482B4A23&quot;/&gt;&lt;wsp:rsid wsp:val=&quot;482C010F&quot;/&gt;&lt;wsp:rsid wsp:val=&quot;482C0A84&quot;/&gt;&lt;wsp:rsid wsp:val=&quot;48300895&quot;/&gt;&lt;wsp:rsid wsp:val=&quot;48313181&quot;/&gt;&lt;wsp:rsid wsp:val=&quot;48313978&quot;/&gt;&lt;wsp:rsid wsp:val=&quot;48335942&quot;/&gt;&lt;wsp:rsid wsp:val=&quot;48345216&quot;/&gt;&lt;wsp:rsid wsp:val=&quot;483549A9&quot;/&gt;&lt;wsp:rsid wsp:val=&quot;48362D3C&quot;/&gt;&lt;wsp:rsid wsp:val=&quot;483671E0&quot;/&gt;&lt;wsp:rsid wsp:val=&quot;48370D71&quot;/&gt;&lt;wsp:rsid wsp:val=&quot;4838292E&quot;/&gt;&lt;wsp:rsid wsp:val=&quot;48384D06&quot;/&gt;&lt;wsp:rsid wsp:val=&quot;48390A7E&quot;/&gt;&lt;wsp:rsid wsp:val=&quot;483925C3&quot;/&gt;&lt;wsp:rsid wsp:val=&quot;48396CD0&quot;/&gt;&lt;wsp:rsid wsp:val=&quot;483D056E&quot;/&gt;&lt;wsp:rsid wsp:val=&quot;483D231C&quot;/&gt;&lt;wsp:rsid wsp:val=&quot;483D40CA&quot;/&gt;&lt;wsp:rsid wsp:val=&quot;483E6094&quot;/&gt;&lt;wsp:rsid wsp:val=&quot;48401E0D&quot;/&gt;&lt;wsp:rsid wsp:val=&quot;484216E1&quot;/&gt;&lt;wsp:rsid wsp:val=&quot;484336AB&quot;/&gt;&lt;wsp:rsid wsp:val=&quot;4846162B&quot;/&gt;&lt;wsp:rsid wsp:val=&quot;4846562C&quot;/&gt;&lt;wsp:rsid wsp:val=&quot;4847319B&quot;/&gt;&lt;wsp:rsid wsp:val=&quot;48474F49&quot;/&gt;&lt;wsp:rsid wsp:val=&quot;48480CC1&quot;/&gt;&lt;wsp:rsid wsp:val=&quot;484A2C8B&quot;/&gt;&lt;wsp:rsid wsp:val=&quot;484A400D&quot;/&gt;&lt;wsp:rsid wsp:val=&quot;484A5417&quot;/&gt;&lt;wsp:rsid wsp:val=&quot;484A6E97&quot;/&gt;&lt;wsp:rsid wsp:val=&quot;484C30C0&quot;/&gt;&lt;wsp:rsid wsp:val=&quot;484C6A03&quot;/&gt;&lt;wsp:rsid wsp:val=&quot;484D0086&quot;/&gt;&lt;wsp:rsid wsp:val=&quot;484E277B&quot;/&gt;&lt;wsp:rsid wsp:val=&quot;484E5CBE&quot;/&gt;&lt;wsp:rsid wsp:val=&quot;484E6913&quot;/&gt;&lt;wsp:rsid wsp:val=&quot;484F02A2&quot;/&gt;&lt;wsp:rsid wsp:val=&quot;48515DC8&quot;/&gt;&lt;wsp:rsid wsp:val=&quot;485219B1&quot;/&gt;&lt;wsp:rsid wsp:val=&quot;48537D92&quot;/&gt;&lt;wsp:rsid wsp:val=&quot;48561630&quot;/&gt;&lt;wsp:rsid wsp:val=&quot;485633DE&quot;/&gt;&lt;wsp:rsid wsp:val=&quot;48587156&quot;/&gt;&lt;wsp:rsid wsp:val=&quot;48594C7C&quot;/&gt;&lt;wsp:rsid wsp:val=&quot;485A645C&quot;/&gt;&lt;wsp:rsid wsp:val=&quot;485B27A2&quot;/&gt;&lt;wsp:rsid wsp:val=&quot;485B6C46&quot;/&gt;&lt;wsp:rsid wsp:val=&quot;485C2602&quot;/&gt;&lt;wsp:rsid wsp:val=&quot;485D29BF&quot;/&gt;&lt;wsp:rsid wsp:val=&quot;485D476D&quot;/&gt;&lt;wsp:rsid wsp:val=&quot;485F6737&quot;/&gt;&lt;wsp:rsid wsp:val=&quot;486024AF&quot;/&gt;&lt;wsp:rsid wsp:val=&quot;4860600B&quot;/&gt;&lt;wsp:rsid wsp:val=&quot;48621D83&quot;/&gt;&lt;wsp:rsid wsp:val=&quot;48623B31&quot;/&gt;&lt;wsp:rsid wsp:val=&quot;48631C4F&quot;/&gt;&lt;wsp:rsid wsp:val=&quot;486620A5&quot;/&gt;&lt;wsp:rsid wsp:val=&quot;48671147&quot;/&gt;&lt;wsp:rsid wsp:val=&quot;48677399&quot;/&gt;&lt;wsp:rsid wsp:val=&quot;48684EBF&quot;/&gt;&lt;wsp:rsid wsp:val=&quot;486A0C38&quot;/&gt;&lt;wsp:rsid wsp:val=&quot;486A50DB&quot;/&gt;&lt;wsp:rsid wsp:val=&quot;486A6E89&quot;/&gt;&lt;wsp:rsid wsp:val=&quot;486D2078&quot;/&gt;&lt;wsp:rsid wsp:val=&quot;486D6D36&quot;/&gt;&lt;wsp:rsid wsp:val=&quot;486F26F2&quot;/&gt;&lt;wsp:rsid wsp:val=&quot;4870272E&quot;/&gt;&lt;wsp:rsid wsp:val=&quot;4871646A&quot;/&gt;&lt;wsp:rsid wsp:val=&quot;48733F90&quot;/&gt;&lt;wsp:rsid wsp:val=&quot;48741AB6&quot;/&gt;&lt;wsp:rsid wsp:val=&quot;48777145&quot;/&gt;&lt;wsp:rsid wsp:val=&quot;48794FEC&quot;/&gt;&lt;wsp:rsid wsp:val=&quot;4879594A&quot;/&gt;&lt;wsp:rsid wsp:val=&quot;487970CD&quot;/&gt;&lt;wsp:rsid wsp:val=&quot;487B1097&quot;/&gt;&lt;wsp:rsid wsp:val=&quot;487B2E45&quot;/&gt;&lt;wsp:rsid wsp:val=&quot;487D6BBD&quot;/&gt;&lt;wsp:rsid wsp:val=&quot;487E032C&quot;/&gt;&lt;wsp:rsid wsp:val=&quot;4880045B&quot;/&gt;&lt;wsp:rsid wsp:val=&quot;48822425&quot;/&gt;&lt;wsp:rsid wsp:val=&quot;488231BD&quot;/&gt;&lt;wsp:rsid wsp:val=&quot;48831CF9&quot;/&gt;&lt;wsp:rsid wsp:val=&quot;48832990&quot;/&gt;&lt;wsp:rsid wsp:val=&quot;48847F4B&quot;/&gt;&lt;wsp:rsid wsp:val=&quot;488501FF&quot;/&gt;&lt;wsp:rsid wsp:val=&quot;48853CC3&quot;/&gt;&lt;wsp:rsid wsp:val=&quot;48855A71&quot;/&gt;&lt;wsp:rsid wsp:val=&quot;48895562&quot;/&gt;&lt;wsp:rsid wsp:val=&quot;488A12DA&quot;/&gt;&lt;wsp:rsid wsp:val=&quot;488A3088&quot;/&gt;&lt;wsp:rsid wsp:val=&quot;488B3A2D&quot;/&gt;&lt;wsp:rsid wsp:val=&quot;488C5052&quot;/&gt;&lt;wsp:rsid wsp:val=&quot;488D3628&quot;/&gt;&lt;wsp:rsid wsp:val=&quot;488D6991&quot;/&gt;&lt;wsp:rsid wsp:val=&quot;488E0DCA&quot;/&gt;&lt;wsp:rsid wsp:val=&quot;488E2B78&quot;/&gt;&lt;wsp:rsid wsp:val=&quot;488E4926&quot;/&gt;&lt;wsp:rsid wsp:val=&quot;488F069E&quot;/&gt;&lt;wsp:rsid wsp:val=&quot;48904B42&quot;/&gt;&lt;wsp:rsid wsp:val=&quot;48912668&quot;/&gt;&lt;wsp:rsid wsp:val=&quot;48924D18&quot;/&gt;&lt;wsp:rsid wsp:val=&quot;4893018E&quot;/&gt;&lt;wsp:rsid wsp:val=&quot;489310C2&quot;/&gt;&lt;wsp:rsid wsp:val=&quot;48931F3C&quot;/&gt;&lt;wsp:rsid wsp:val=&quot;489363E0&quot;/&gt;&lt;wsp:rsid wsp:val=&quot;48941A07&quot;/&gt;&lt;wsp:rsid wsp:val=&quot;48943C93&quot;/&gt;&lt;wsp:rsid wsp:val=&quot;48943F06&quot;/&gt;&lt;wsp:rsid wsp:val=&quot;48972614&quot;/&gt;&lt;wsp:rsid wsp:val=&quot;48982AB7&quot;/&gt;&lt;wsp:rsid wsp:val=&quot;489A776F&quot;/&gt;&lt;wsp:rsid wsp:val=&quot;489B5295&quot;/&gt;&lt;wsp:rsid wsp:val=&quot;489C39C8&quot;/&gt;&lt;wsp:rsid wsp:val=&quot;48A028AB&quot;/&gt;&lt;wsp:rsid wsp:val=&quot;48A04659&quot;/&gt;&lt;wsp:rsid wsp:val=&quot;48A115E5&quot;/&gt;&lt;wsp:rsid wsp:val=&quot;48A14B56&quot;/&gt;&lt;wsp:rsid wsp:val=&quot;48A41063&quot;/&gt;&lt;wsp:rsid wsp:val=&quot;48A4239B&quot;/&gt;&lt;wsp:rsid wsp:val=&quot;48A44149&quot;/&gt;&lt;wsp:rsid wsp:val=&quot;48A759E8&quot;/&gt;&lt;wsp:rsid wsp:val=&quot;48A979B2&quot;/&gt;&lt;wsp:rsid wsp:val=&quot;48AA0A8A&quot;/&gt;&lt;wsp:rsid wsp:val=&quot;48AA54D8&quot;/&gt;&lt;wsp:rsid wsp:val=&quot;48AB1F1A&quot;/&gt;&lt;wsp:rsid wsp:val=&quot;48AC74A2&quot;/&gt;&lt;wsp:rsid wsp:val=&quot;48AE2B74&quot;/&gt;&lt;wsp:rsid wsp:val=&quot;48AE321A&quot;/&gt;&lt;wsp:rsid wsp:val=&quot;48B12D0A&quot;/&gt;&lt;wsp:rsid wsp:val=&quot;48B14AB8&quot;/&gt;&lt;wsp:rsid wsp:val=&quot;48B1700D&quot;/&gt;&lt;wsp:rsid wsp:val=&quot;48B325DE&quot;/&gt;&lt;wsp:rsid wsp:val=&quot;48B52FCC&quot;/&gt;&lt;wsp:rsid wsp:val=&quot;48B545A9&quot;/&gt;&lt;wsp:rsid wsp:val=&quot;48B819A3&quot;/&gt;&lt;wsp:rsid wsp:val=&quot;48B87BC1&quot;/&gt;&lt;wsp:rsid wsp:val=&quot;48B9451E&quot;/&gt;&lt;wsp:rsid wsp:val=&quot;48BD16AF&quot;/&gt;&lt;wsp:rsid wsp:val=&quot;48BD520B&quot;/&gt;&lt;wsp:rsid wsp:val=&quot;48BE5843&quot;/&gt;&lt;wsp:rsid wsp:val=&quot;48BF0F83&quot;/&gt;&lt;wsp:rsid wsp:val=&quot;48BF3C4C&quot;/&gt;&lt;wsp:rsid wsp:val=&quot;48C04CFB&quot;/&gt;&lt;wsp:rsid wsp:val=&quot;48C12F4D&quot;/&gt;&lt;wsp:rsid wsp:val=&quot;48C20A74&quot;/&gt;&lt;wsp:rsid wsp:val=&quot;48C22822&quot;/&gt;&lt;wsp:rsid wsp:val=&quot;48C37620&quot;/&gt;&lt;wsp:rsid wsp:val=&quot;48C447EC&quot;/&gt;&lt;wsp:rsid wsp:val=&quot;48C479AF&quot;/&gt;&lt;wsp:rsid wsp:val=&quot;48C52AC1&quot;/&gt;&lt;wsp:rsid wsp:val=&quot;48C77E38&quot;/&gt;&lt;wsp:rsid wsp:val=&quot;48C90DA0&quot;/&gt;&lt;wsp:rsid wsp:val=&quot;48CB3DCC&quot;/&gt;&lt;wsp:rsid wsp:val=&quot;48D04F3E&quot;/&gt;&lt;wsp:rsid wsp:val=&quot;48D17946&quot;/&gt;&lt;wsp:rsid wsp:val=&quot;48D24A1A&quot;/&gt;&lt;wsp:rsid wsp:val=&quot;48D31904&quot;/&gt;&lt;wsp:rsid wsp:val=&quot;48D47FD7&quot;/&gt;&lt;wsp:rsid wsp:val=&quot;48D507A7&quot;/&gt;&lt;wsp:rsid wsp:val=&quot;48D52555&quot;/&gt;&lt;wsp:rsid wsp:val=&quot;48D53A6F&quot;/&gt;&lt;wsp:rsid wsp:val=&quot;48D569F9&quot;/&gt;&lt;wsp:rsid wsp:val=&quot;48D6451F&quot;/&gt;&lt;wsp:rsid wsp:val=&quot;48D662CD&quot;/&gt;&lt;wsp:rsid wsp:val=&quot;48D66617&quot;/&gt;&lt;wsp:rsid wsp:val=&quot;48D72771&quot;/&gt;&lt;wsp:rsid wsp:val=&quot;48D758DB&quot;/&gt;&lt;wsp:rsid wsp:val=&quot;48DA400F&quot;/&gt;&lt;wsp:rsid wsp:val=&quot;48DA5DBD&quot;/&gt;&lt;wsp:rsid wsp:val=&quot;48DD58AD&quot;/&gt;&lt;wsp:rsid wsp:val=&quot;48DE3668&quot;/&gt;&lt;wsp:rsid wsp:val=&quot;48E1539E&quot;/&gt;&lt;wsp:rsid wsp:val=&quot;48E22EC4&quot;/&gt;&lt;wsp:rsid wsp:val=&quot;48E40C1B&quot;/&gt;&lt;wsp:rsid wsp:val=&quot;48E56510&quot;/&gt;&lt;wsp:rsid wsp:val=&quot;48E704DA&quot;/&gt;&lt;wsp:rsid wsp:val=&quot;48E7672C&quot;/&gt;&lt;wsp:rsid wsp:val=&quot;48E94252&quot;/&gt;&lt;wsp:rsid wsp:val=&quot;48E97B61&quot;/&gt;&lt;wsp:rsid wsp:val=&quot;48EA3C36&quot;/&gt;&lt;wsp:rsid wsp:val=&quot;48EC3D42&quot;/&gt;&lt;wsp:rsid wsp:val=&quot;48EE3617&quot;/&gt;&lt;wsp:rsid wsp:val=&quot;48EF781D&quot;/&gt;&lt;wsp:rsid wsp:val=&quot;48F055E1&quot;/&gt;&lt;wsp:rsid wsp:val=&quot;48F350D1&quot;/&gt;&lt;wsp:rsid wsp:val=&quot;48F6071D&quot;/&gt;&lt;wsp:rsid wsp:val=&quot;48F84495&quot;/&gt;&lt;wsp:rsid wsp:val=&quot;48F84AFD&quot;/&gt;&lt;wsp:rsid wsp:val=&quot;48FA1FBB&quot;/&gt;&lt;wsp:rsid wsp:val=&quot;48FA645F&quot;/&gt;&lt;wsp:rsid wsp:val=&quot;48FD5F50&quot;/&gt;&lt;wsp:rsid wsp:val=&quot;48FD7CFE&quot;/&gt;&lt;wsp:rsid wsp:val=&quot;48FF3A76&quot;/&gt;&lt;wsp:rsid wsp:val=&quot;48FF5824&quot;/&gt;&lt;wsp:rsid wsp:val=&quot;48FF6CB3&quot;/&gt;&lt;wsp:rsid wsp:val=&quot;48FF75D2&quot;/&gt;&lt;wsp:rsid wsp:val=&quot;4901159C&quot;/&gt;&lt;wsp:rsid wsp:val=&quot;49017EAD&quot;/&gt;&lt;wsp:rsid wsp:val=&quot;490270C2&quot;/&gt;&lt;wsp:rsid wsp:val=&quot;49033566&quot;/&gt;&lt;wsp:rsid wsp:val=&quot;49042E3A&quot;/&gt;&lt;wsp:rsid wsp:val=&quot;49066BB2&quot;/&gt;&lt;wsp:rsid wsp:val=&quot;4907292A&quot;/&gt;&lt;wsp:rsid wsp:val=&quot;49075A1C&quot;/&gt;&lt;wsp:rsid wsp:val=&quot;490948F4&quot;/&gt;&lt;wsp:rsid wsp:val=&quot;490966A2&quot;/&gt;&lt;wsp:rsid wsp:val=&quot;490B241B&quot;/&gt;&lt;wsp:rsid wsp:val=&quot;490D6193&quot;/&gt;&lt;wsp:rsid wsp:val=&quot;490E5A67&quot;/&gt;&lt;wsp:rsid wsp:val=&quot;4910358D&quot;/&gt;&lt;wsp:rsid wsp:val=&quot;49105C83&quot;/&gt;&lt;wsp:rsid wsp:val=&quot;49107A31&quot;/&gt;&lt;wsp:rsid wsp:val=&quot;4913028B&quot;/&gt;&lt;wsp:rsid wsp:val=&quot;49137521&quot;/&gt;&lt;wsp:rsid wsp:val=&quot;49156DF5&quot;/&gt;&lt;wsp:rsid wsp:val=&quot;49172297&quot;/&gt;&lt;wsp:rsid wsp:val=&quot;49180694&quot;/&gt;&lt;wsp:rsid wsp:val=&quot;491A265E&quot;/&gt;&lt;wsp:rsid wsp:val=&quot;491A440C&quot;/&gt;&lt;wsp:rsid wsp:val=&quot;491D0608&quot;/&gt;&lt;wsp:rsid wsp:val=&quot;491F7C74&quot;/&gt;&lt;wsp:rsid wsp:val=&quot;49202E27&quot;/&gt;&lt;wsp:rsid wsp:val=&quot;492139EC&quot;/&gt;&lt;wsp:rsid wsp:val=&quot;49221512&quot;/&gt;&lt;wsp:rsid wsp:val=&quot;49227764&quot;/&gt;&lt;wsp:rsid wsp:val=&quot;49267254&quot;/&gt;&lt;wsp:rsid wsp:val=&quot;492774C8&quot;/&gt;&lt;wsp:rsid wsp:val=&quot;49284D7B&quot;/&gt;&lt;wsp:rsid wsp:val=&quot;492869E7&quot;/&gt;&lt;wsp:rsid wsp:val=&quot;49290AF3&quot;/&gt;&lt;wsp:rsid wsp:val=&quot;492B486B&quot;/&gt;&lt;wsp:rsid wsp:val=&quot;492D05E3&quot;/&gt;&lt;wsp:rsid wsp:val=&quot;492E7EB7&quot;/&gt;&lt;wsp:rsid wsp:val=&quot;493059DD&quot;/&gt;&lt;wsp:rsid wsp:val=&quot;4933371F&quot;/&gt;&lt;wsp:rsid wsp:val=&quot;49366D6C&quot;/&gt;&lt;wsp:rsid wsp:val=&quot;49373210&quot;/&gt;&lt;wsp:rsid wsp:val=&quot;49380D36&quot;/&gt;&lt;wsp:rsid wsp:val=&quot;49384272&quot;/&gt;&lt;wsp:rsid wsp:val=&quot;49392321&quot;/&gt;&lt;wsp:rsid wsp:val=&quot;493A685C&quot;/&gt;&lt;wsp:rsid wsp:val=&quot;493C25D4&quot;/&gt;&lt;wsp:rsid wsp:val=&quot;493D17E8&quot;/&gt;&lt;wsp:rsid wsp:val=&quot;493D634C&quot;/&gt;&lt;wsp:rsid wsp:val=&quot;493E459E&quot;/&gt;&lt;wsp:rsid wsp:val=&quot;49417BEA&quot;/&gt;&lt;wsp:rsid wsp:val=&quot;49441489&quot;/&gt;&lt;wsp:rsid wsp:val=&quot;4945669D&quot;/&gt;&lt;wsp:rsid wsp:val=&quot;494616A5&quot;/&gt;&lt;wsp:rsid wsp:val=&quot;49463453&quot;/&gt;&lt;wsp:rsid wsp:val=&quot;49465201&quot;/&gt;&lt;wsp:rsid wsp:val=&quot;49470F79&quot;/&gt;&lt;wsp:rsid wsp:val=&quot;494721F1&quot;/&gt;&lt;wsp:rsid wsp:val=&quot;494859DF&quot;/&gt;&lt;wsp:rsid wsp:val=&quot;49492F43&quot;/&gt;&lt;wsp:rsid wsp:val=&quot;494B49DC&quot;/&gt;&lt;wsp:rsid wsp:val=&quot;494D2A33&quot;/&gt;&lt;wsp:rsid wsp:val=&quot;494D47E1&quot;/&gt;&lt;wsp:rsid wsp:val=&quot;494E2307&quot;/&gt;&lt;wsp:rsid wsp:val=&quot;494F5429&quot;/&gt;&lt;wsp:rsid wsp:val=&quot;494F67AB&quot;/&gt;&lt;wsp:rsid wsp:val=&quot;4950607F&quot;/&gt;&lt;wsp:rsid wsp:val=&quot;4950709D&quot;/&gt;&lt;wsp:rsid wsp:val=&quot;49507E2D&quot;/&gt;&lt;wsp:rsid wsp:val=&quot;4951655A&quot;/&gt;&lt;wsp:rsid wsp:val=&quot;49521DF7&quot;/&gt;&lt;wsp:rsid wsp:val=&quot;49524E19&quot;/&gt;&lt;wsp:rsid wsp:val=&quot;4953791E&quot;/&gt;&lt;wsp:rsid wsp:val=&quot;495518E8&quot;/&gt;&lt;wsp:rsid wsp:val=&quot;49555444&quot;/&gt;&lt;wsp:rsid wsp:val=&quot;495711BC&quot;/&gt;&lt;wsp:rsid wsp:val=&quot;49576E8D&quot;/&gt;&lt;wsp:rsid wsp:val=&quot;49583186&quot;/&gt;&lt;wsp:rsid wsp:val=&quot;49584F34&quot;/&gt;&lt;wsp:rsid wsp:val=&quot;495E69EE&quot;/&gt;&lt;wsp:rsid wsp:val=&quot;4960389A&quot;/&gt;&lt;wsp:rsid wsp:val=&quot;496274DF&quot;/&gt;&lt;wsp:rsid wsp:val=&quot;496327E5&quot;/&gt;&lt;wsp:rsid wsp:val=&quot;49641B2B&quot;/&gt;&lt;wsp:rsid wsp:val=&quot;49663AF5&quot;/&gt;&lt;wsp:rsid wsp:val=&quot;49667651&quot;/&gt;&lt;wsp:rsid wsp:val=&quot;4967352A&quot;/&gt;&lt;wsp:rsid wsp:val=&quot;4968161B&quot;/&gt;&lt;wsp:rsid wsp:val=&quot;496833C9&quot;/&gt;&lt;wsp:rsid wsp:val=&quot;496B2EB9&quot;/&gt;&lt;wsp:rsid wsp:val=&quot;496C1203&quot;/&gt;&lt;wsp:rsid wsp:val=&quot;496D6C31&quot;/&gt;&lt;wsp:rsid wsp:val=&quot;496F0653&quot;/&gt;&lt;wsp:rsid wsp:val=&quot;496F6F12&quot;/&gt;&lt;wsp:rsid wsp:val=&quot;497163D6&quot;/&gt;&lt;wsp:rsid wsp:val=&quot;4972249A&quot;/&gt;&lt;wsp:rsid wsp:val=&quot;49724248&quot;/&gt;&lt;wsp:rsid wsp:val=&quot;49747FC0&quot;/&gt;&lt;wsp:rsid wsp:val=&quot;497513A8&quot;/&gt;&lt;wsp:rsid wsp:val=&quot;49755AE6&quot;/&gt;&lt;wsp:rsid wsp:val=&quot;49777AB0&quot;/&gt;&lt;wsp:rsid wsp:val=&quot;497A75A0&quot;/&gt;&lt;wsp:rsid wsp:val=&quot;497C0C22&quot;/&gt;&lt;wsp:rsid wsp:val=&quot;497C6E74&quot;/&gt;&lt;wsp:rsid wsp:val=&quot;497D32BF&quot;/&gt;&lt;wsp:rsid wsp:val=&quot;497F110A&quot;/&gt;&lt;wsp:rsid wsp:val=&quot;4981092F&quot;/&gt;&lt;wsp:rsid wsp:val=&quot;498505D6&quot;/&gt;&lt;wsp:rsid wsp:val=&quot;49865F45&quot;/&gt;&lt;wsp:rsid wsp:val=&quot;49877EB2&quot;/&gt;&lt;wsp:rsid wsp:val=&quot;498B355B&quot;/&gt;&lt;wsp:rsid wsp:val=&quot;498D5C45&quot;/&gt;&lt;wsp:rsid wsp:val=&quot;498E0956&quot;/&gt;&lt;wsp:rsid wsp:val=&quot;498F4DFA&quot;/&gt;&lt;wsp:rsid wsp:val=&quot;49920446&quot;/&gt;&lt;wsp:rsid wsp:val=&quot;499222AC&quot;/&gt;&lt;wsp:rsid wsp:val=&quot;49933923&quot;/&gt;&lt;wsp:rsid wsp:val=&quot;49940662&quot;/&gt;&lt;wsp:rsid wsp:val=&quot;499557A4&quot;/&gt;&lt;wsp:rsid wsp:val=&quot;49956188&quot;/&gt;&lt;wsp:rsid wsp:val=&quot;499637FE&quot;/&gt;&lt;wsp:rsid wsp:val=&quot;499917D4&quot;/&gt;&lt;wsp:rsid wsp:val=&quot;499A379E&quot;/&gt;&lt;wsp:rsid wsp:val=&quot;499B0FEA&quot;/&gt;&lt;wsp:rsid wsp:val=&quot;499C7517&quot;/&gt;&lt;wsp:rsid wsp:val=&quot;499E328F&quot;/&gt;&lt;wsp:rsid wsp:val=&quot;49A14FAF&quot;/&gt;&lt;wsp:rsid wsp:val=&quot;49A372A4&quot;/&gt;&lt;wsp:rsid wsp:val=&quot;49A60395&quot;/&gt;&lt;wsp:rsid wsp:val=&quot;49A62143&quot;/&gt;&lt;wsp:rsid wsp:val=&quot;49A65114&quot;/&gt;&lt;wsp:rsid wsp:val=&quot;49AA1C33&quot;/&gt;&lt;wsp:rsid wsp:val=&quot;49AB1508&quot;/&gt;&lt;wsp:rsid wsp:val=&quot;49AE2DA6&quot;/&gt;&lt;wsp:rsid wsp:val=&quot;49AF0FF8&quot;/&gt;&lt;wsp:rsid wsp:val=&quot;49AF724A&quot;/&gt;&lt;wsp:rsid wsp:val=&quot;49B02FC2&quot;/&gt;&lt;wsp:rsid wsp:val=&quot;49B228EB&quot;/&gt;&lt;wsp:rsid wsp:val=&quot;49B605D8&quot;/&gt;&lt;wsp:rsid wsp:val=&quot;49B86F46&quot;/&gt;&lt;wsp:rsid wsp:val=&quot;49B900C8&quot;/&gt;&lt;wsp:rsid wsp:val=&quot;49C056FE&quot;/&gt;&lt;wsp:rsid wsp:val=&quot;49C167BA&quot;/&gt;&lt;wsp:rsid wsp:val=&quot;49C34AA3&quot;/&gt;&lt;wsp:rsid wsp:val=&quot;49C36851&quot;/&gt;&lt;wsp:rsid wsp:val=&quot;49C54520&quot;/&gt;&lt;wsp:rsid wsp:val=&quot;49C564C7&quot;/&gt;&lt;wsp:rsid wsp:val=&quot;49C565CB&quot;/&gt;&lt;wsp:rsid wsp:val=&quot;49C64593&quot;/&gt;&lt;wsp:rsid wsp:val=&quot;49C66341&quot;/&gt;&lt;wsp:rsid wsp:val=&quot;49C820BA&quot;/&gt;&lt;wsp:rsid wsp:val=&quot;49CA5E32&quot;/&gt;&lt;wsp:rsid wsp:val=&quot;49CB3958&quot;/&gt;&lt;wsp:rsid wsp:val=&quot;49CD76D0&quot;/&gt;&lt;wsp:rsid wsp:val=&quot;49D2118A&quot;/&gt;&lt;wsp:rsid wsp:val=&quot;49D24CE6&quot;/&gt;&lt;wsp:rsid wsp:val=&quot;49D2773F&quot;/&gt;&lt;wsp:rsid wsp:val=&quot;49D767A1&quot;/&gt;&lt;wsp:rsid wsp:val=&quot;49D92519&quot;/&gt;&lt;wsp:rsid wsp:val=&quot;49D942C7&quot;/&gt;&lt;wsp:rsid wsp:val=&quot;49DC17D2&quot;/&gt;&lt;wsp:rsid wsp:val=&quot;49DC1EEB&quot;/&gt;&lt;wsp:rsid wsp:val=&quot;49DC429F&quot;/&gt;&lt;wsp:rsid wsp:val=&quot;49DC7715&quot;/&gt;&lt;wsp:rsid wsp:val=&quot;49DE33A1&quot;/&gt;&lt;wsp:rsid wsp:val=&quot;49DE368B&quot;/&gt;&lt;wsp:rsid wsp:val=&quot;49DE50FB&quot;/&gt;&lt;wsp:rsid wsp:val=&quot;49DF0C6F&quot;/&gt;&lt;wsp:rsid wsp:val=&quot;49DF112C&quot;/&gt;&lt;wsp:rsid wsp:val=&quot;49E05655&quot;/&gt;&lt;wsp:rsid wsp:val=&quot;49E30CA1&quot;/&gt;&lt;wsp:rsid wsp:val=&quot;49E50EBD&quot;/&gt;&lt;wsp:rsid wsp:val=&quot;49E55BB5&quot;/&gt;&lt;wsp:rsid wsp:val=&quot;49E669E4&quot;/&gt;&lt;wsp:rsid wsp:val=&quot;49E82739&quot;/&gt;&lt;wsp:rsid wsp:val=&quot;49EA0282&quot;/&gt;&lt;wsp:rsid wsp:val=&quot;49EA14A6&quot;/&gt;&lt;wsp:rsid wsp:val=&quot;49EA64D4&quot;/&gt;&lt;wsp:rsid wsp:val=&quot;49EB7B56&quot;/&gt;&lt;wsp:rsid wsp:val=&quot;49EC2039&quot;/&gt;&lt;wsp:rsid wsp:val=&quot;49EC224C&quot;/&gt;&lt;wsp:rsid wsp:val=&quot;49EC2EB7&quot;/&gt;&lt;wsp:rsid wsp:val=&quot;49ED38CE&quot;/&gt;&lt;wsp:rsid wsp:val=&quot;49ED7D72&quot;/&gt;&lt;wsp:rsid wsp:val=&quot;49EE42CC&quot;/&gt;&lt;wsp:rsid wsp:val=&quot;49EE57D7&quot;/&gt;&lt;wsp:rsid wsp:val=&quot;49F17862&quot;/&gt;&lt;wsp:rsid wsp:val=&quot;49F41101&quot;/&gt;&lt;wsp:rsid wsp:val=&quot;49F42EAF&quot;/&gt;&lt;wsp:rsid wsp:val=&quot;49F66C27&quot;/&gt;&lt;wsp:rsid wsp:val=&quot;49F7474D&quot;/&gt;&lt;wsp:rsid wsp:val=&quot;49F904C5&quot;/&gt;&lt;wsp:rsid wsp:val=&quot;49F96717&quot;/&gt;&lt;wsp:rsid wsp:val=&quot;49FB423D&quot;/&gt;&lt;wsp:rsid wsp:val=&quot;49FC7FB5&quot;/&gt;&lt;wsp:rsid wsp:val=&quot;49FD6207&quot;/&gt;&lt;wsp:rsid wsp:val=&quot;49FE1F7F&quot;/&gt;&lt;wsp:rsid wsp:val=&quot;4A023139&quot;/&gt;&lt;wsp:rsid wsp:val=&quot;4A0250DD&quot;/&gt;&lt;wsp:rsid wsp:val=&quot;4A027CAE&quot;/&gt;&lt;wsp:rsid wsp:val=&quot;4A05330E&quot;/&gt;&lt;wsp:rsid wsp:val=&quot;4A054CCD&quot;/&gt;&lt;wsp:rsid wsp:val=&quot;4A05519F&quot;/&gt;&lt;wsp:rsid wsp:val=&quot;4A064990&quot;/&gt;&lt;wsp:rsid wsp:val=&quot;4A070E34&quot;/&gt;&lt;wsp:rsid wsp:val=&quot;4A0A4480&quot;/&gt;&lt;wsp:rsid wsp:val=&quot;4A0B01F8&quot;/&gt;&lt;wsp:rsid wsp:val=&quot;4A0B1FA6&quot;/&gt;&lt;wsp:rsid wsp:val=&quot;4A0D26AD&quot;/&gt;&lt;wsp:rsid wsp:val=&quot;4A0E4DE3&quot;/&gt;&lt;wsp:rsid wsp:val=&quot;4A0F7CE8&quot;/&gt;&lt;wsp:rsid wsp:val=&quot;4A111CB3&quot;/&gt;&lt;wsp:rsid wsp:val=&quot;4A11580F&quot;/&gt;&lt;wsp:rsid wsp:val=&quot;4A161077&quot;/&gt;&lt;wsp:rsid wsp:val=&quot;4A173B7C&quot;/&gt;&lt;wsp:rsid wsp:val=&quot;4A180FB8&quot;/&gt;&lt;wsp:rsid wsp:val=&quot;4A183E49&quot;/&gt;&lt;wsp:rsid wsp:val=&quot;4A192915&quot;/&gt;&lt;wsp:rsid wsp:val=&quot;4A1B48DF&quot;/&gt;&lt;wsp:rsid wsp:val=&quot;4A1D48B6&quot;/&gt;&lt;wsp:rsid wsp:val=&quot;4A1E1CDA&quot;/&gt;&lt;wsp:rsid wsp:val=&quot;4A1E617D&quot;/&gt;&lt;wsp:rsid wsp:val=&quot;4A225C6E&quot;/&gt;&lt;wsp:rsid wsp:val=&quot;4A253068&quot;/&gt;&lt;wsp:rsid wsp:val=&quot;4A25750C&quot;/&gt;&lt;wsp:rsid wsp:val=&quot;4A260E91&quot;/&gt;&lt;wsp:rsid wsp:val=&quot;4A266DE0&quot;/&gt;&lt;wsp:rsid wsp:val=&quot;4A286FFC&quot;/&gt;&lt;wsp:rsid wsp:val=&quot;4A2A4B22&quot;/&gt;&lt;wsp:rsid wsp:val=&quot;4A2A68D0&quot;/&gt;&lt;wsp:rsid wsp:val=&quot;4A2C2648&quot;/&gt;&lt;wsp:rsid wsp:val=&quot;4A2D7761&quot;/&gt;&lt;wsp:rsid wsp:val=&quot;4A2F038B&quot;/&gt;&lt;wsp:rsid wsp:val=&quot;4A30015B&quot;/&gt;&lt;wsp:rsid wsp:val=&quot;4A315EB1&quot;/&gt;&lt;wsp:rsid wsp:val=&quot;4A3239D7&quot;/&gt;&lt;wsp:rsid wsp:val=&quot;4A325785&quot;/&gt;&lt;wsp:rsid wsp:val=&quot;4A325D14&quot;/&gt;&lt;wsp:rsid wsp:val=&quot;4A3414FD&quot;/&gt;&lt;wsp:rsid wsp:val=&quot;4A3459A1&quot;/&gt;&lt;wsp:rsid wsp:val=&quot;4A3467D2&quot;/&gt;&lt;wsp:rsid wsp:val=&quot;4A34774F&quot;/&gt;&lt;wsp:rsid wsp:val=&quot;4A3634C7&quot;/&gt;&lt;wsp:rsid wsp:val=&quot;4A372A74&quot;/&gt;&lt;wsp:rsid wsp:val=&quot;4A372D9B&quot;/&gt;&lt;wsp:rsid wsp:val=&quot;4A3868ED&quot;/&gt;&lt;wsp:rsid wsp:val=&quot;4A38723F&quot;/&gt;&lt;wsp:rsid wsp:val=&quot;4A392FB7&quot;/&gt;&lt;wsp:rsid wsp:val=&quot;4A3A62EE&quot;/&gt;&lt;wsp:rsid wsp:val=&quot;4A3B288C&quot;/&gt;&lt;wsp:rsid wsp:val=&quot;4A3C66FE&quot;/&gt;&lt;wsp:rsid wsp:val=&quot;4A3D0B99&quot;/&gt;&lt;wsp:rsid wsp:val=&quot;4A3E412A&quot;/&gt;&lt;wsp:rsid wsp:val=&quot;4A404346&quot;/&gt;&lt;wsp:rsid wsp:val=&quot;4A4060F4&quot;/&gt;&lt;wsp:rsid wsp:val=&quot;4A413C1A&quot;/&gt;&lt;wsp:rsid wsp:val=&quot;4A4200BE&quot;/&gt;&lt;wsp:rsid wsp:val=&quot;4A431740&quot;/&gt;&lt;wsp:rsid wsp:val=&quot;4A435BE4&quot;/&gt;&lt;wsp:rsid wsp:val=&quot;4A443E36&quot;/&gt;&lt;wsp:rsid wsp:val=&quot;4A45195C&quot;/&gt;&lt;wsp:rsid wsp:val=&quot;4A45370A&quot;/&gt;&lt;wsp:rsid wsp:val=&quot;4A477482&quot;/&gt;&lt;wsp:rsid wsp:val=&quot;4A497872&quot;/&gt;&lt;wsp:rsid wsp:val=&quot;4A4A0D02&quot;/&gt;&lt;wsp:rsid wsp:val=&quot;4A4D0811&quot;/&gt;&lt;wsp:rsid wsp:val=&quot;4A4E6A63&quot;/&gt;&lt;wsp:rsid wsp:val=&quot;4A4F6337&quot;/&gt;&lt;wsp:rsid wsp:val=&quot;4A504002&quot;/&gt;&lt;wsp:rsid wsp:val=&quot;4A510301&quot;/&gt;&lt;wsp:rsid wsp:val=&quot;4A513E5D&quot;/&gt;&lt;wsp:rsid wsp:val=&quot;4A534079&quot;/&gt;&lt;wsp:rsid wsp:val=&quot;4A54394D&quot;/&gt;&lt;wsp:rsid wsp:val=&quot;4A565917&quot;/&gt;&lt;wsp:rsid wsp:val=&quot;4A5673B8&quot;/&gt;&lt;wsp:rsid wsp:val=&quot;4A58168F&quot;/&gt;&lt;wsp:rsid wsp:val=&quot;4A5971B6&quot;/&gt;&lt;wsp:rsid wsp:val=&quot;4A5B4858&quot;/&gt;&lt;wsp:rsid wsp:val=&quot;4A5B4CDC&quot;/&gt;&lt;wsp:rsid wsp:val=&quot;4A5C2802&quot;/&gt;&lt;wsp:rsid wsp:val=&quot;4A5D7909&quot;/&gt;&lt;wsp:rsid wsp:val=&quot;4A5E47CC&quot;/&gt;&lt;wsp:rsid wsp:val=&quot;4A5F23F3&quot;/&gt;&lt;wsp:rsid wsp:val=&quot;4A5F4669&quot;/&gt;&lt;wsp:rsid wsp:val=&quot;4A5F7E10&quot;/&gt;&lt;wsp:rsid wsp:val=&quot;4A6022F2&quot;/&gt;&lt;wsp:rsid wsp:val=&quot;4A60274A&quot;/&gt;&lt;wsp:rsid wsp:val=&quot;4A606796&quot;/&gt;&lt;wsp:rsid wsp:val=&quot;4A616416&quot;/&gt;&lt;wsp:rsid wsp:val=&quot;4A653DAC&quot;/&gt;&lt;wsp:rsid wsp:val=&quot;4A655B5A&quot;/&gt;&lt;wsp:rsid wsp:val=&quot;4A657908&quot;/&gt;&lt;wsp:rsid wsp:val=&quot;4A6643F5&quot;/&gt;&lt;wsp:rsid wsp:val=&quot;4A680F8A&quot;/&gt;&lt;wsp:rsid wsp:val=&quot;4A6950C0&quot;/&gt;&lt;wsp:rsid wsp:val=&quot;4A6A177C&quot;/&gt;&lt;wsp:rsid wsp:val=&quot;4A6A7ED1&quot;/&gt;&lt;wsp:rsid wsp:val=&quot;4A6E2C61&quot;/&gt;&lt;wsp:rsid wsp:val=&quot;4A6F2535&quot;/&gt;&lt;wsp:rsid wsp:val=&quot;4A7144FF&quot;/&gt;&lt;wsp:rsid wsp:val=&quot;4A742241&quot;/&gt;&lt;wsp:rsid wsp:val=&quot;4A745D9D&quot;/&gt;&lt;wsp:rsid wsp:val=&quot;4A761B16&quot;/&gt;&lt;wsp:rsid wsp:val=&quot;4A77763C&quot;/&gt;&lt;wsp:rsid wsp:val=&quot;4A783AE0&quot;/&gt;&lt;wsp:rsid wsp:val=&quot;4A783D80&quot;/&gt;&lt;wsp:rsid wsp:val=&quot;4A791606&quot;/&gt;&lt;wsp:rsid wsp:val=&quot;4A7B576F&quot;/&gt;&lt;wsp:rsid wsp:val=&quot;4A7B715E&quot;/&gt;&lt;wsp:rsid wsp:val=&quot;4A7D10F6&quot;/&gt;&lt;wsp:rsid wsp:val=&quot;4A7D4C52&quot;/&gt;&lt;wsp:rsid wsp:val=&quot;4A7E09CA&quot;/&gt;&lt;wsp:rsid wsp:val=&quot;4A7E6C1C&quot;/&gt;&lt;wsp:rsid wsp:val=&quot;4A800BE6&quot;/&gt;&lt;wsp:rsid wsp:val=&quot;4A802994&quot;/&gt;&lt;wsp:rsid wsp:val=&quot;4A804742&quot;/&gt;&lt;wsp:rsid wsp:val=&quot;4A8050E2&quot;/&gt;&lt;wsp:rsid wsp:val=&quot;4A813BDE&quot;/&gt;&lt;wsp:rsid wsp:val=&quot;4A844A35&quot;/&gt;&lt;wsp:rsid wsp:val=&quot;4A867E13&quot;/&gt;&lt;wsp:rsid wsp:val=&quot;4A895CED&quot;/&gt;&lt;wsp:rsid wsp:val=&quot;4A8A3813&quot;/&gt;&lt;wsp:rsid wsp:val=&quot;4A8A55C1&quot;/&gt;&lt;wsp:rsid wsp:val=&quot;4A8A736F&quot;/&gt;&lt;wsp:rsid wsp:val=&quot;4A8B1862&quot;/&gt;&lt;wsp:rsid wsp:val=&quot;4A8B1C8F&quot;/&gt;&lt;wsp:rsid wsp:val=&quot;4A8E6E5F&quot;/&gt;&lt;wsp:rsid wsp:val=&quot;4A914BA1&quot;/&gt;&lt;wsp:rsid wsp:val=&quot;4A91694F&quot;/&gt;&lt;wsp:rsid wsp:val=&quot;4A9213FA&quot;/&gt;&lt;wsp:rsid wsp:val=&quot;4A934062&quot;/&gt;&lt;wsp:rsid wsp:val=&quot;4A934476&quot;/&gt;&lt;wsp:rsid wsp:val=&quot;4A9401EE&quot;/&gt;&lt;wsp:rsid wsp:val=&quot;4A960CB0&quot;/&gt;&lt;wsp:rsid wsp:val=&quot;4A9621B8&quot;/&gt;&lt;wsp:rsid wsp:val=&quot;4A97677A&quot;/&gt;&lt;wsp:rsid wsp:val=&quot;4A987CDE&quot;/&gt;&lt;wsp:rsid wsp:val=&quot;4A9B332A&quot;/&gt;&lt;wsp:rsid wsp:val=&quot;4A9B5A20&quot;/&gt;&lt;wsp:rsid wsp:val=&quot;4A9D460A&quot;/&gt;&lt;wsp:rsid wsp:val=&quot;4A9D518C&quot;/&gt;&lt;wsp:rsid wsp:val=&quot;4A9D52F4&quot;/&gt;&lt;wsp:rsid wsp:val=&quot;4A9F106C&quot;/&gt;&lt;wsp:rsid wsp:val=&quot;4AA07E96&quot;/&gt;&lt;wsp:rsid wsp:val=&quot;4AA85A47&quot;/&gt;&lt;wsp:rsid wsp:val=&quot;4AA91EEB&quot;/&gt;&lt;wsp:rsid wsp:val=&quot;4AAA17BF&quot;/&gt;&lt;wsp:rsid wsp:val=&quot;4AAA5C63&quot;/&gt;&lt;wsp:rsid wsp:val=&quot;4AAA7A11&quot;/&gt;&lt;wsp:rsid wsp:val=&quot;4AAF5028&quot;/&gt;&lt;wsp:rsid wsp:val=&quot;4AB12B4E&quot;/&gt;&lt;wsp:rsid wsp:val=&quot;4AB35907&quot;/&gt;&lt;wsp:rsid wsp:val=&quot;4AB44DF5&quot;/&gt;&lt;wsp:rsid wsp:val=&quot;4AB62678&quot;/&gt;&lt;wsp:rsid wsp:val=&quot;4AB750AA&quot;/&gt;&lt;wsp:rsid wsp:val=&quot;4AB8212E&quot;/&gt;&lt;wsp:rsid wsp:val=&quot;4ABB1C1E&quot;/&gt;&lt;wsp:rsid wsp:val=&quot;4ABD5996&quot;/&gt;&lt;wsp:rsid wsp:val=&quot;4ABE526B&quot;/&gt;&lt;wsp:rsid wsp:val=&quot;4AC24CA3&quot;/&gt;&lt;wsp:rsid wsp:val=&quot;4AC26B09&quot;/&gt;&lt;wsp:rsid wsp:val=&quot;4AC30B46&quot;/&gt;&lt;wsp:rsid wsp:val=&quot;4AC44249&quot;/&gt;&lt;wsp:rsid wsp:val=&quot;4AC5484B&quot;/&gt;&lt;wsp:rsid wsp:val=&quot;4AC72371&quot;/&gt;&lt;wsp:rsid wsp:val=&quot;4AC7411F&quot;/&gt;&lt;wsp:rsid wsp:val=&quot;4AC9433B&quot;/&gt;&lt;wsp:rsid wsp:val=&quot;4ACA3627&quot;/&gt;&lt;wsp:rsid wsp:val=&quot;4ACA3C0F&quot;/&gt;&lt;wsp:rsid wsp:val=&quot;4ACE54AE&quot;/&gt;&lt;wsp:rsid wsp:val=&quot;4ACE56FC&quot;/&gt;&lt;wsp:rsid wsp:val=&quot;4ACF1226&quot;/&gt;&lt;wsp:rsid wsp:val=&quot;4ACF7478&quot;/&gt;&lt;wsp:rsid wsp:val=&quot;4AD11442&quot;/&gt;&lt;wsp:rsid wsp:val=&quot;4AD131F0&quot;/&gt;&lt;wsp:rsid wsp:val=&quot;4AD36F68&quot;/&gt;&lt;wsp:rsid wsp:val=&quot;4AD4683C&quot;/&gt;&lt;wsp:rsid wsp:val=&quot;4AD52CE0&quot;/&gt;&lt;wsp:rsid wsp:val=&quot;4AD60806&quot;/&gt;&lt;wsp:rsid wsp:val=&quot;4AD66A58&quot;/&gt;&lt;wsp:rsid wsp:val=&quot;4AD93E52&quot;/&gt;&lt;wsp:rsid wsp:val=&quot;4ADA02F6&quot;/&gt;&lt;wsp:rsid wsp:val=&quot;4ADB406F&quot;/&gt;&lt;wsp:rsid wsp:val=&quot;4ADB414F&quot;/&gt;&lt;wsp:rsid wsp:val=&quot;4ADB7BCB&quot;/&gt;&lt;wsp:rsid wsp:val=&quot;4ADD7DE7&quot;/&gt;&lt;wsp:rsid wsp:val=&quot;4ADF3B5F&quot;/&gt;&lt;wsp:rsid wsp:val=&quot;4AE178D7&quot;/&gt;&lt;wsp:rsid wsp:val=&quot;4AE253FD&quot;/&gt;&lt;wsp:rsid wsp:val=&quot;4AE271AB&quot;/&gt;&lt;wsp:rsid wsp:val=&quot;4AE30FC1&quot;/&gt;&lt;wsp:rsid wsp:val=&quot;4AE3378D&quot;/&gt;&lt;wsp:rsid wsp:val=&quot;4AE42F23&quot;/&gt;&lt;wsp:rsid wsp:val=&quot;4AE46501&quot;/&gt;&lt;wsp:rsid wsp:val=&quot;4AE50A49&quot;/&gt;&lt;wsp:rsid wsp:val=&quot;4AE95F80&quot;/&gt;&lt;wsp:rsid wsp:val=&quot;4AE9678B&quot;/&gt;&lt;wsp:rsid wsp:val=&quot;4AEC002A&quot;/&gt;&lt;wsp:rsid wsp:val=&quot;4AEC627C&quot;/&gt;&lt;wsp:rsid wsp:val=&quot;4AEE3DA2&quot;/&gt;&lt;wsp:rsid wsp:val=&quot;4AF01215&quot;/&gt;&lt;wsp:rsid wsp:val=&quot;4AF02D41&quot;/&gt;&lt;wsp:rsid wsp:val=&quot;4AF15640&quot;/&gt;&lt;wsp:rsid wsp:val=&quot;4AF561A9&quot;/&gt;&lt;wsp:rsid wsp:val=&quot;4AF56EDE&quot;/&gt;&lt;wsp:rsid wsp:val=&quot;4AF6582B&quot;/&gt;&lt;wsp:rsid wsp:val=&quot;4AFC5895&quot;/&gt;&lt;wsp:rsid wsp:val=&quot;4AFC5CB6&quot;/&gt;&lt;wsp:rsid wsp:val=&quot;4AFD5D93&quot;/&gt;&lt;wsp:rsid wsp:val=&quot;4AFF7D5D&quot;/&gt;&lt;wsp:rsid wsp:val=&quot;4B00194F&quot;/&gt;&lt;wsp:rsid wsp:val=&quot;4B005883&quot;/&gt;&lt;wsp:rsid wsp:val=&quot;4B02784D&quot;/&gt;&lt;wsp:rsid wsp:val=&quot;4B040C90&quot;/&gt;&lt;wsp:rsid wsp:val=&quot;4B052E99&quot;/&gt;&lt;wsp:rsid wsp:val=&quot;4B06387A&quot;/&gt;&lt;wsp:rsid wsp:val=&quot;4B06733D&quot;/&gt;&lt;wsp:rsid wsp:val=&quot;4B07380E&quot;/&gt;&lt;wsp:rsid wsp:val=&quot;4B076C12&quot;/&gt;&lt;wsp:rsid wsp:val=&quot;4B090429&quot;/&gt;&lt;wsp:rsid wsp:val=&quot;4B094738&quot;/&gt;&lt;wsp:rsid wsp:val=&quot;4B0B1F4A&quot;/&gt;&lt;wsp:rsid wsp:val=&quot;4B0B4954&quot;/&gt;&lt;wsp:rsid wsp:val=&quot;4B0C247A&quot;/&gt;&lt;wsp:rsid wsp:val=&quot;4B0C3F0F&quot;/&gt;&lt;wsp:rsid wsp:val=&quot;4B0F492C&quot;/&gt;&lt;wsp:rsid wsp:val=&quot;4B105AC6&quot;/&gt;&lt;wsp:rsid wsp:val=&quot;4B11183E&quot;/&gt;&lt;wsp:rsid wsp:val=&quot;4B125CE2&quot;/&gt;&lt;wsp:rsid wsp:val=&quot;4B137364&quot;/&gt;&lt;wsp:rsid wsp:val=&quot;4B15132F&quot;/&gt;&lt;wsp:rsid wsp:val=&quot;4B161CE4&quot;/&gt;&lt;wsp:rsid wsp:val=&quot;4B1650A7&quot;/&gt;&lt;wsp:rsid wsp:val=&quot;4B1732F9&quot;/&gt;&lt;wsp:rsid wsp:val=&quot;4B185C8F&quot;/&gt;&lt;wsp:rsid wsp:val=&quot;4B1B446B&quot;/&gt;&lt;wsp:rsid wsp:val=&quot;4B1C090F&quot;/&gt;&lt;wsp:rsid wsp:val=&quot;4B1D6435&quot;/&gt;&lt;wsp:rsid wsp:val=&quot;4B1E1B01&quot;/&gt;&lt;wsp:rsid wsp:val=&quot;4B1F3F5B&quot;/&gt;&lt;wsp:rsid wsp:val=&quot;4B1F5D09&quot;/&gt;&lt;wsp:rsid wsp:val=&quot;4B1F69A1&quot;/&gt;&lt;wsp:rsid wsp:val=&quot;4B201A81&quot;/&gt;&lt;wsp:rsid wsp:val=&quot;4B215F25&quot;/&gt;&lt;wsp:rsid wsp:val=&quot;4B21711C&quot;/&gt;&lt;wsp:rsid wsp:val=&quot;4B217CD3&quot;/&gt;&lt;wsp:rsid wsp:val=&quot;4B2257F9&quot;/&gt;&lt;wsp:rsid wsp:val=&quot;4B245A16&quot;/&gt;&lt;wsp:rsid wsp:val=&quot;4B2477C4&quot;/&gt;&lt;wsp:rsid wsp:val=&quot;4B272E10&quot;/&gt;&lt;wsp:rsid wsp:val=&quot;4B29302C&quot;/&gt;&lt;wsp:rsid wsp:val=&quot;4B294DDA&quot;/&gt;&lt;wsp:rsid wsp:val=&quot;4B2B0B52&quot;/&gt;&lt;wsp:rsid wsp:val=&quot;4B2B6DA4&quot;/&gt;&lt;wsp:rsid wsp:val=&quot;4B2C0426&quot;/&gt;&lt;wsp:rsid wsp:val=&quot;4B2E23F0&quot;/&gt;&lt;wsp:rsid wsp:val=&quot;4B30713C&quot;/&gt;&lt;wsp:rsid wsp:val=&quot;4B3122A9&quot;/&gt;&lt;wsp:rsid wsp:val=&quot;4B325ABF&quot;/&gt;&lt;wsp:rsid wsp:val=&quot;4B3317B5&quot;/&gt;&lt;wsp:rsid wsp:val=&quot;4B33365D&quot;/&gt;&lt;wsp:rsid wsp:val=&quot;4B3519D1&quot;/&gt;&lt;wsp:rsid wsp:val=&quot;4B386DCB&quot;/&gt;&lt;wsp:rsid wsp:val=&quot;4B3A2B43&quot;/&gt;&lt;wsp:rsid wsp:val=&quot;4B3A3171&quot;/&gt;&lt;wsp:rsid wsp:val=&quot;4B3B68BB&quot;/&gt;&lt;wsp:rsid wsp:val=&quot;4B3D6AD7&quot;/&gt;&lt;wsp:rsid wsp:val=&quot;4B3F0E3A&quot;/&gt;&lt;wsp:rsid wsp:val=&quot;4B3F63AB&quot;/&gt;&lt;wsp:rsid wsp:val=&quot;4B412124&quot;/&gt;&lt;wsp:rsid wsp:val=&quot;4B413ED2&quot;/&gt;&lt;wsp:rsid wsp:val=&quot;4B4277BB&quot;/&gt;&lt;wsp:rsid wsp:val=&quot;4B4439C2&quot;/&gt;&lt;wsp:rsid wsp:val=&quot;4B45356B&quot;/&gt;&lt;wsp:rsid wsp:val=&quot;4B46773A&quot;/&gt;&lt;wsp:rsid wsp:val=&quot;4B4734B2&quot;/&gt;&lt;wsp:rsid wsp:val=&quot;4B475260&quot;/&gt;&lt;wsp:rsid wsp:val=&quot;4B4926F7&quot;/&gt;&lt;wsp:rsid wsp:val=&quot;4B49547C&quot;/&gt;&lt;wsp:rsid wsp:val=&quot;4B49722A&quot;/&gt;&lt;wsp:rsid wsp:val=&quot;4B4B2FA2&quot;/&gt;&lt;wsp:rsid wsp:val=&quot;4B4B4D50&quot;/&gt;&lt;wsp:rsid wsp:val=&quot;4B4C0598&quot;/&gt;&lt;wsp:rsid wsp:val=&quot;4B4D6D1A&quot;/&gt;&lt;wsp:rsid wsp:val=&quot;4B4E2A92&quot;/&gt;&lt;wsp:rsid wsp:val=&quot;4B4E47C2&quot;/&gt;&lt;wsp:rsid wsp:val=&quot;4B4E65EF&quot;/&gt;&lt;wsp:rsid wsp:val=&quot;4B501DBF&quot;/&gt;&lt;wsp:rsid wsp:val=&quot;4B504362&quot;/&gt;&lt;wsp:rsid wsp:val=&quot;4B5160DF&quot;/&gt;&lt;wsp:rsid wsp:val=&quot;4B517E8D&quot;/&gt;&lt;wsp:rsid wsp:val=&quot;4B553060&quot;/&gt;&lt;wsp:rsid wsp:val=&quot;4B577B99&quot;/&gt;&lt;wsp:rsid wsp:val=&quot;4B5A1437&quot;/&gt;&lt;wsp:rsid wsp:val=&quot;4B5A158C&quot;/&gt;&lt;wsp:rsid wsp:val=&quot;4B5A31E5&quot;/&gt;&lt;wsp:rsid wsp:val=&quot;4B5A4F93&quot;/&gt;&lt;wsp:rsid wsp:val=&quot;4B5C0462&quot;/&gt;&lt;wsp:rsid wsp:val=&quot;4B5D43C3&quot;/&gt;&lt;wsp:rsid wsp:val=&quot;4B5E0F27&quot;/&gt;&lt;wsp:rsid wsp:val=&quot;4B5E27BB&quot;/&gt;&lt;wsp:rsid wsp:val=&quot;4B5F07FC&quot;/&gt;&lt;wsp:rsid wsp:val=&quot;4B5F25AA&quot;/&gt;&lt;wsp:rsid wsp:val=&quot;4B5F4CCF&quot;/&gt;&lt;wsp:rsid wsp:val=&quot;4B5F6A4E&quot;/&gt;&lt;wsp:rsid wsp:val=&quot;4B6422B6&quot;/&gt;&lt;wsp:rsid wsp:val=&quot;4B645E12&quot;/&gt;&lt;wsp:rsid wsp:val=&quot;4B661B8A&quot;/&gt;&lt;wsp:rsid wsp:val=&quot;4B685902&quot;/&gt;&lt;wsp:rsid wsp:val=&quot;4B690F9E&quot;/&gt;&lt;wsp:rsid wsp:val=&quot;4B6978CC&quot;/&gt;&lt;wsp:rsid wsp:val=&quot;4B6C2A28&quot;/&gt;&lt;wsp:rsid wsp:val=&quot;4B6E6C91&quot;/&gt;&lt;wsp:rsid wsp:val=&quot;4B700C5B&quot;/&gt;&lt;wsp:rsid wsp:val=&quot;4B702839&quot;/&gt;&lt;wsp:rsid wsp:val=&quot;4B713CC9&quot;/&gt;&lt;wsp:rsid wsp:val=&quot;4B720F60&quot;/&gt;&lt;wsp:rsid wsp:val=&quot;4B726781&quot;/&gt;&lt;wsp:rsid wsp:val=&quot;4B731338&quot;/&gt;&lt;wsp:rsid wsp:val=&quot;4B75001F&quot;/&gt;&lt;wsp:rsid wsp:val=&quot;4B771FE9&quot;/&gt;&lt;wsp:rsid wsp:val=&quot;4B773D97&quot;/&gt;&lt;wsp:rsid wsp:val=&quot;4B775B45&quot;/&gt;&lt;wsp:rsid wsp:val=&quot;4B7763FA&quot;/&gt;&lt;wsp:rsid wsp:val=&quot;4B7818BD&quot;/&gt;&lt;wsp:rsid wsp:val=&quot;4B7A5635&quot;/&gt;&lt;wsp:rsid wsp:val=&quot;4B7C315C&quot;/&gt;&lt;wsp:rsid wsp:val=&quot;4B7D0C82&quot;/&gt;&lt;wsp:rsid wsp:val=&quot;4B7D6ED4&quot;/&gt;&lt;wsp:rsid wsp:val=&quot;4B7E5126&quot;/&gt;&lt;wsp:rsid wsp:val=&quot;4B7F0E9E&quot;/&gt;&lt;wsp:rsid wsp:val=&quot;4B7F49FA&quot;/&gt;&lt;wsp:rsid wsp:val=&quot;4B802B6C&quot;/&gt;&lt;wsp:rsid wsp:val=&quot;4B814C16&quot;/&gt;&lt;wsp:rsid wsp:val=&quot;4B8169C4&quot;/&gt;&lt;wsp:rsid wsp:val=&quot;4B840262&quot;/&gt;&lt;wsp:rsid wsp:val=&quot;4B840CAF&quot;/&gt;&lt;wsp:rsid wsp:val=&quot;4B865D88&quot;/&gt;&lt;wsp:rsid wsp:val=&quot;4B87246A&quot;/&gt;&lt;wsp:rsid wsp:val=&quot;4B8767C0&quot;/&gt;&lt;wsp:rsid wsp:val=&quot;4B877630&quot;/&gt;&lt;wsp:rsid wsp:val=&quot;4B885FA4&quot;/&gt;&lt;wsp:rsid wsp:val=&quot;4B887D52&quot;/&gt;&lt;wsp:rsid wsp:val=&quot;4B896A9B&quot;/&gt;&lt;wsp:rsid wsp:val=&quot;4B8A1D1C&quot;/&gt;&lt;wsp:rsid wsp:val=&quot;4B8B7843&quot;/&gt;&lt;wsp:rsid wsp:val=&quot;4B8E10E1&quot;/&gt;&lt;wsp:rsid wsp:val=&quot;4B8F4681&quot;/&gt;&lt;wsp:rsid wsp:val=&quot;4B8F7333&quot;/&gt;&lt;wsp:rsid wsp:val=&quot;4B92297F&quot;/&gt;&lt;wsp:rsid wsp:val=&quot;4B92472D&quot;/&gt;&lt;wsp:rsid wsp:val=&quot;4B9366F7&quot;/&gt;&lt;wsp:rsid wsp:val=&quot;4B941C34&quot;/&gt;&lt;wsp:rsid wsp:val=&quot;4B944949&quot;/&gt;&lt;wsp:rsid wsp:val=&quot;4B95421D&quot;/&gt;&lt;wsp:rsid wsp:val=&quot;4B971D44&quot;/&gt;&lt;wsp:rsid wsp:val=&quot;4B9761E7&quot;/&gt;&lt;wsp:rsid wsp:val=&quot;4B983D0E&quot;/&gt;&lt;wsp:rsid wsp:val=&quot;4B985ABC&quot;/&gt;&lt;wsp:rsid wsp:val=&quot;4B99071D&quot;/&gt;&lt;wsp:rsid wsp:val=&quot;4B991F60&quot;/&gt;&lt;wsp:rsid wsp:val=&quot;4B9A5CD8&quot;/&gt;&lt;wsp:rsid wsp:val=&quot;4B9C1A50&quot;/&gt;&lt;wsp:rsid wsp:val=&quot;4B9E1324&quot;/&gt;&lt;wsp:rsid wsp:val=&quot;4BA17066&quot;/&gt;&lt;wsp:rsid wsp:val=&quot;4BA206E8&quot;/&gt;&lt;wsp:rsid wsp:val=&quot;4BA21C67&quot;/&gt;&lt;wsp:rsid wsp:val=&quot;4BA33D39&quot;/&gt;&lt;wsp:rsid wsp:val=&quot;4BA40904&quot;/&gt;&lt;wsp:rsid wsp:val=&quot;4BA44460&quot;/&gt;&lt;wsp:rsid wsp:val=&quot;4BA52BB9&quot;/&gt;&lt;wsp:rsid wsp:val=&quot;4BA71C39&quot;/&gt;&lt;wsp:rsid wsp:val=&quot;4BA821A3&quot;/&gt;&lt;wsp:rsid wsp:val=&quot;4BA9153A&quot;/&gt;&lt;wsp:rsid wsp:val=&quot;4BA91A77&quot;/&gt;&lt;wsp:rsid wsp:val=&quot;4BA91AAB&quot;/&gt;&lt;wsp:rsid wsp:val=&quot;4BA970E3&quot;/&gt;&lt;wsp:rsid wsp:val=&quot;4BAD5EA2&quot;/&gt;&lt;wsp:rsid wsp:val=&quot;4BB02E05&quot;/&gt;&lt;wsp:rsid wsp:val=&quot;4BB30498&quot;/&gt;&lt;wsp:rsid wsp:val=&quot;4BB46D99&quot;/&gt;&lt;wsp:rsid wsp:val=&quot;4BB5511B&quot;/&gt;&lt;wsp:rsid wsp:val=&quot;4BB723E6&quot;/&gt;&lt;wsp:rsid wsp:val=&quot;4BB943B0&quot;/&gt;&lt;wsp:rsid wsp:val=&quot;4BBA1ED6&quot;/&gt;&lt;wsp:rsid wsp:val=&quot;4BBB2839&quot;/&gt;&lt;wsp:rsid wsp:val=&quot;4BBC369E&quot;/&gt;&lt;wsp:rsid wsp:val=&quot;4BBC79FC&quot;/&gt;&lt;wsp:rsid wsp:val=&quot;4BBF129A&quot;/&gt;&lt;wsp:rsid wsp:val=&quot;4BC114B6&quot;/&gt;&lt;wsp:rsid wsp:val=&quot;4BC13264&quot;/&gt;&lt;wsp:rsid wsp:val=&quot;4BC23325&quot;/&gt;&lt;wsp:rsid wsp:val=&quot;4BC44B03&quot;/&gt;&lt;wsp:rsid wsp:val=&quot;4BC52D55&quot;/&gt;&lt;wsp:rsid wsp:val=&quot;4BC61BE3&quot;/&gt;&lt;wsp:rsid wsp:val=&quot;4BC66ACD&quot;/&gt;&lt;wsp:rsid wsp:val=&quot;4BC82845&quot;/&gt;&lt;wsp:rsid wsp:val=&quot;4BCD39B7&quot;/&gt;&lt;wsp:rsid wsp:val=&quot;4BCE772F&quot;/&gt;&lt;wsp:rsid wsp:val=&quot;4BCF3BD3&quot;/&gt;&lt;wsp:rsid wsp:val=&quot;4BCF5981&quot;/&gt;&lt;wsp:rsid wsp:val=&quot;4BD016F9&quot;/&gt;&lt;wsp:rsid wsp:val=&quot;4BD034A7&quot;/&gt;&lt;wsp:rsid wsp:val=&quot;4BD25472&quot;/&gt;&lt;wsp:rsid wsp:val=&quot;4BD27220&quot;/&gt;&lt;wsp:rsid wsp:val=&quot;4BD411EA&quot;/&gt;&lt;wsp:rsid wsp:val=&quot;4BD55C61&quot;/&gt;&lt;wsp:rsid wsp:val=&quot;4BD72E77&quot;/&gt;&lt;wsp:rsid wsp:val=&quot;4BD76182&quot;/&gt;&lt;wsp:rsid wsp:val=&quot;4BDB2578&quot;/&gt;&lt;wsp:rsid wsp:val=&quot;4BDC1E4C&quot;/&gt;&lt;wsp:rsid wsp:val=&quot;4BDC3BFA&quot;/&gt;&lt;wsp:rsid wsp:val=&quot;4BDD789B&quot;/&gt;&lt;wsp:rsid wsp:val=&quot;4BDE0179&quot;/&gt;&lt;wsp:rsid wsp:val=&quot;4BE13124&quot;/&gt;&lt;wsp:rsid wsp:val=&quot;4BE156B5&quot;/&gt;&lt;wsp:rsid wsp:val=&quot;4BE16C8F&quot;/&gt;&lt;wsp:rsid wsp:val=&quot;4BE3142D&quot;/&gt;&lt;wsp:rsid wsp:val=&quot;4BE331DB&quot;/&gt;&lt;wsp:rsid wsp:val=&quot;4BE34F89&quot;/&gt;&lt;wsp:rsid wsp:val=&quot;4BE551A5&quot;/&gt;&lt;wsp:rsid wsp:val=&quot;4BE5547B&quot;/&gt;&lt;wsp:rsid wsp:val=&quot;4BE60F1D&quot;/&gt;&lt;wsp:rsid wsp:val=&quot;4BE807F1&quot;/&gt;&lt;wsp:rsid wsp:val=&quot;4BE8259F&quot;/&gt;&lt;wsp:rsid wsp:val=&quot;4BE86A43&quot;/&gt;&lt;wsp:rsid wsp:val=&quot;4BE965B6&quot;/&gt;&lt;wsp:rsid wsp:val=&quot;4BEA6BAD&quot;/&gt;&lt;wsp:rsid wsp:val=&quot;4BEB02E1&quot;/&gt;&lt;wsp:rsid wsp:val=&quot;4BEB208F&quot;/&gt;&lt;wsp:rsid wsp:val=&quot;4BEC2AF7&quot;/&gt;&lt;wsp:rsid wsp:val=&quot;4BED22AB&quot;/&gt;&lt;wsp:rsid wsp:val=&quot;4BED5E07&quot;/&gt;&lt;wsp:rsid wsp:val=&quot;4BEF7DD1&quot;/&gt;&lt;wsp:rsid wsp:val=&quot;4BF2341E&quot;/&gt;&lt;wsp:rsid wsp:val=&quot;4BF40CCA&quot;/&gt;&lt;wsp:rsid wsp:val=&quot;4BF43ADF&quot;/&gt;&lt;wsp:rsid wsp:val=&quot;4BF61160&quot;/&gt;&lt;wsp:rsid wsp:val=&quot;4BF663FF&quot;/&gt;&lt;wsp:rsid wsp:val=&quot;4BF70A34&quot;/&gt;&lt;wsp:rsid wsp:val=&quot;4BF9178D&quot;/&gt;&lt;wsp:rsid wsp:val=&quot;4BF929FE&quot;/&gt;&lt;wsp:rsid wsp:val=&quot;4BF947AC&quot;/&gt;&lt;wsp:rsid wsp:val=&quot;4BFA0524&quot;/&gt;&lt;wsp:rsid wsp:val=&quot;4BFA22D2&quot;/&gt;&lt;wsp:rsid wsp:val=&quot;4BFB6776&quot;/&gt;&lt;wsp:rsid wsp:val=&quot;4BFC29D2&quot;/&gt;&lt;wsp:rsid wsp:val=&quot;4BFF74B1&quot;/&gt;&lt;wsp:rsid wsp:val=&quot;4C001FDF&quot;/&gt;&lt;wsp:rsid wsp:val=&quot;4C013661&quot;/&gt;&lt;wsp:rsid wsp:val=&quot;4C017B05&quot;/&gt;&lt;wsp:rsid wsp:val=&quot;4C021DCA&quot;/&gt;&lt;wsp:rsid wsp:val=&quot;4C03387D&quot;/&gt;&lt;wsp:rsid wsp:val=&quot;4C03562B&quot;/&gt;&lt;wsp:rsid wsp:val=&quot;4C043151&quot;/&gt;&lt;wsp:rsid wsp:val=&quot;4C047F21&quot;/&gt;&lt;wsp:rsid wsp:val=&quot;4C0513A3&quot;/&gt;&lt;wsp:rsid wsp:val=&quot;4C0575F5&quot;/&gt;&lt;wsp:rsid wsp:val=&quot;4C066EC9&quot;/&gt;&lt;wsp:rsid wsp:val=&quot;4C075C03&quot;/&gt;&lt;wsp:rsid wsp:val=&quot;4C082C41&quot;/&gt;&lt;wsp:rsid wsp:val=&quot;4C0849EF&quot;/&gt;&lt;wsp:rsid wsp:val=&quot;4C0A5D05&quot;/&gt;&lt;wsp:rsid wsp:val=&quot;4C0A69B9&quot;/&gt;&lt;wsp:rsid wsp:val=&quot;4C0B44E0&quot;/&gt;&lt;wsp:rsid wsp:val=&quot;4C0D0258&quot;/&gt;&lt;wsp:rsid wsp:val=&quot;4C0D2006&quot;/&gt;&lt;wsp:rsid wsp:val=&quot;4C0F06E7&quot;/&gt;&lt;wsp:rsid wsp:val=&quot;4C1118B9&quot;/&gt;&lt;wsp:rsid wsp:val=&quot;4C123AC0&quot;/&gt;&lt;wsp:rsid wsp:val=&quot;4C15710C&quot;/&gt;&lt;wsp:rsid wsp:val=&quot;4C166E79&quot;/&gt;&lt;wsp:rsid wsp:val=&quot;4C1C493F&quot;/&gt;&lt;wsp:rsid wsp:val=&quot;4C1D417B&quot;/&gt;&lt;wsp:rsid wsp:val=&quot;4C213D03&quot;/&gt;&lt;wsp:rsid wsp:val=&quot;4C22541C&quot;/&gt;&lt;wsp:rsid wsp:val=&quot;4C231829&quot;/&gt;&lt;wsp:rsid wsp:val=&quot;4C2537F3&quot;/&gt;&lt;wsp:rsid wsp:val=&quot;4C26756B&quot;/&gt;&lt;wsp:rsid wsp:val=&quot;4C2757BD&quot;/&gt;&lt;wsp:rsid wsp:val=&quot;4C2B2638&quot;/&gt;&lt;wsp:rsid wsp:val=&quot;4C2B6930&quot;/&gt;&lt;wsp:rsid wsp:val=&quot;4C2B7D90&quot;/&gt;&lt;wsp:rsid wsp:val=&quot;4C2D08FA&quot;/&gt;&lt;wsp:rsid wsp:val=&quot;4C2D26A8&quot;/&gt;&lt;wsp:rsid wsp:val=&quot;4C2F6420&quot;/&gt;&lt;wsp:rsid wsp:val=&quot;4C312198&quot;/&gt;&lt;wsp:rsid wsp:val=&quot;4C32762D&quot;/&gt;&lt;wsp:rsid wsp:val=&quot;4C327CBE&quot;/&gt;&lt;wsp:rsid wsp:val=&quot;4C350CC1&quot;/&gt;&lt;wsp:rsid wsp:val=&quot;4C35155C&quot;/&gt;&lt;wsp:rsid wsp:val=&quot;4C386A69&quot;/&gt;&lt;wsp:rsid wsp:val=&quot;4C3954F1&quot;/&gt;&lt;wsp:rsid wsp:val=&quot;4C39729F&quot;/&gt;&lt;wsp:rsid wsp:val=&quot;4C3A4136&quot;/&gt;&lt;wsp:rsid wsp:val=&quot;4C3B4DC5&quot;/&gt;&lt;wsp:rsid wsp:val=&quot;4C3D7453&quot;/&gt;&lt;wsp:rsid wsp:val=&quot;4C3E48B5&quot;/&gt;&lt;wsp:rsid wsp:val=&quot;4C3F4944&quot;/&gt;&lt;wsp:rsid wsp:val=&quot;4C420F31&quot;/&gt;&lt;wsp:rsid wsp:val=&quot;4C4243A5&quot;/&gt;&lt;wsp:rsid wsp:val=&quot;4C42674D&quot;/&gt;&lt;wsp:rsid wsp:val=&quot;4C453E95&quot;/&gt;&lt;wsp:rsid wsp:val=&quot;4C4579F1&quot;/&gt;&lt;wsp:rsid wsp:val=&quot;4C4719BC&quot;/&gt;&lt;wsp:rsid wsp:val=&quot;4C481290&quot;/&gt;&lt;wsp:rsid wsp:val=&quot;4C487137&quot;/&gt;&lt;wsp:rsid wsp:val=&quot;4C4874E2&quot;/&gt;&lt;wsp:rsid wsp:val=&quot;4C4905C7&quot;/&gt;&lt;wsp:rsid wsp:val=&quot;4C4A0649&quot;/&gt;&lt;wsp:rsid wsp:val=&quot;4C4A5008&quot;/&gt;&lt;wsp:rsid wsp:val=&quot;4C4C4C60&quot;/&gt;&lt;wsp:rsid wsp:val=&quot;4C4C5224&quot;/&gt;&lt;wsp:rsid wsp:val=&quot;4C4C6FD2&quot;/&gt;&lt;wsp:rsid wsp:val=&quot;4C4D2D4A&quot;/&gt;&lt;wsp:rsid wsp:val=&quot;4C5145E8&quot;/&gt;&lt;wsp:rsid wsp:val=&quot;4C520360&quot;/&gt;&lt;wsp:rsid wsp:val=&quot;4C52192A&quot;/&gt;&lt;wsp:rsid wsp:val=&quot;4C545E87&quot;/&gt;&lt;wsp:rsid wsp:val=&quot;4C583BC9&quot;/&gt;&lt;wsp:rsid wsp:val=&quot;4C59524B&quot;/&gt;&lt;wsp:rsid wsp:val=&quot;4C5B0FC3&quot;/&gt;&lt;wsp:rsid wsp:val=&quot;4C5C30FA&quot;/&gt;&lt;wsp:rsid wsp:val=&quot;4C5C4D3B&quot;/&gt;&lt;wsp:rsid wsp:val=&quot;4C5D389F&quot;/&gt;&lt;wsp:rsid wsp:val=&quot;4C5E0AB3&quot;/&gt;&lt;wsp:rsid wsp:val=&quot;4C60511C&quot;/&gt;&lt;wsp:rsid wsp:val=&quot;4C612351&quot;/&gt;&lt;wsp:rsid wsp:val=&quot;4C61684E&quot;/&gt;&lt;wsp:rsid wsp:val=&quot;4C6351FA&quot;/&gt;&lt;wsp:rsid wsp:val=&quot;4C6360CA&quot;/&gt;&lt;wsp:rsid wsp:val=&quot;4C653BF0&quot;/&gt;&lt;wsp:rsid wsp:val=&quot;4C6629F9&quot;/&gt;&lt;wsp:rsid wsp:val=&quot;4C667968&quot;/&gt;&lt;wsp:rsid wsp:val=&quot;4C675BBA&quot;/&gt;&lt;wsp:rsid wsp:val=&quot;4C681932&quot;/&gt;&lt;wsp:rsid wsp:val=&quot;4C6836E0&quot;/&gt;&lt;wsp:rsid wsp:val=&quot;4C6875C8&quot;/&gt;&lt;wsp:rsid wsp:val=&quot;4C697BB1&quot;/&gt;&lt;wsp:rsid wsp:val=&quot;4C6A1A89&quot;/&gt;&lt;wsp:rsid wsp:val=&quot;4C6A38FC&quot;/&gt;&lt;wsp:rsid wsp:val=&quot;4C6A56AA&quot;/&gt;&lt;wsp:rsid wsp:val=&quot;4C6B6D2A&quot;/&gt;&lt;wsp:rsid wsp:val=&quot;4C6D6718&quot;/&gt;&lt;wsp:rsid wsp:val=&quot;4C6D75CC&quot;/&gt;&lt;wsp:rsid wsp:val=&quot;4C6F66CA&quot;/&gt;&lt;wsp:rsid wsp:val=&quot;4C7072A9&quot;/&gt;&lt;wsp:rsid wsp:val=&quot;4C7107E7&quot;/&gt;&lt;wsp:rsid wsp:val=&quot;4C716343&quot;/&gt;&lt;wsp:rsid wsp:val=&quot;4C7223A4&quot;/&gt;&lt;wsp:rsid wsp:val=&quot;4C72455F&quot;/&gt;&lt;wsp:rsid wsp:val=&quot;4C7327B1&quot;/&gt;&lt;wsp:rsid wsp:val=&quot;4C7402D7&quot;/&gt;&lt;wsp:rsid wsp:val=&quot;4C746529&quot;/&gt;&lt;wsp:rsid wsp:val=&quot;4C755810&quot;/&gt;&lt;wsp:rsid wsp:val=&quot;4C765DFD&quot;/&gt;&lt;wsp:rsid wsp:val=&quot;4C771B75&quot;/&gt;&lt;wsp:rsid wsp:val=&quot;4C787DC7&quot;/&gt;&lt;wsp:rsid wsp:val=&quot;4C7C3456&quot;/&gt;&lt;wsp:rsid wsp:val=&quot;4C7C718B&quot;/&gt;&lt;wsp:rsid wsp:val=&quot;4C7D53DD&quot;/&gt;&lt;wsp:rsid wsp:val=&quot;4C7E1155&quot;/&gt;&lt;wsp:rsid wsp:val=&quot;4C7E5ECA&quot;/&gt;&lt;wsp:rsid wsp:val=&quot;4C800A2A&quot;/&gt;&lt;wsp:rsid wsp:val=&quot;4C8229F4&quot;/&gt;&lt;wsp:rsid wsp:val=&quot;4C83051A&quot;/&gt;&lt;wsp:rsid wsp:val=&quot;4C830758&quot;/&gt;&lt;wsp:rsid wsp:val=&quot;4C83676C&quot;/&gt;&lt;wsp:rsid wsp:val=&quot;4C846497&quot;/&gt;&lt;wsp:rsid wsp:val=&quot;4C8524E4&quot;/&gt;&lt;wsp:rsid wsp:val=&quot;4C876AA5&quot;/&gt;&lt;wsp:rsid wsp:val=&quot;4C885B30&quot;/&gt;&lt;wsp:rsid wsp:val=&quot;4C8A18A8&quot;/&gt;&lt;wsp:rsid wsp:val=&quot;4C8A5D4C&quot;/&gt;&lt;wsp:rsid wsp:val=&quot;4C8C5620&quot;/&gt;&lt;wsp:rsid wsp:val=&quot;4C8C73CE&quot;/&gt;&lt;wsp:rsid wsp:val=&quot;4C8D1398&quot;/&gt;&lt;wsp:rsid wsp:val=&quot;4C8E1C01&quot;/&gt;&lt;wsp:rsid wsp:val=&quot;4C8E6385&quot;/&gt;&lt;wsp:rsid wsp:val=&quot;4C8E75EA&quot;/&gt;&lt;wsp:rsid wsp:val=&quot;4C8F3363&quot;/&gt;&lt;wsp:rsid wsp:val=&quot;4C8F5111&quot;/&gt;&lt;wsp:rsid wsp:val=&quot;4C910CDE&quot;/&gt;&lt;wsp:rsid wsp:val=&quot;4C912C37&quot;/&gt;&lt;wsp:rsid wsp:val=&quot;4C9149E5&quot;/&gt;&lt;wsp:rsid wsp:val=&quot;4C92075D&quot;/&gt;&lt;wsp:rsid wsp:val=&quot;4C96451A&quot;/&gt;&lt;wsp:rsid wsp:val=&quot;4C982217&quot;/&gt;&lt;wsp:rsid wsp:val=&quot;4C98712A&quot;/&gt;&lt;wsp:rsid wsp:val=&quot;4C9946C1&quot;/&gt;&lt;wsp:rsid wsp:val=&quot;4C9954BD&quot;/&gt;&lt;wsp:rsid wsp:val=&quot;4C995F8F&quot;/&gt;&lt;wsp:rsid wsp:val=&quot;4C9D782D&quot;/&gt;&lt;wsp:rsid wsp:val=&quot;4C9E5354&quot;/&gt;&lt;wsp:rsid wsp:val=&quot;4CA23096&quot;/&gt;&lt;wsp:rsid wsp:val=&quot;4CA3296A&quot;/&gt;&lt;wsp:rsid wsp:val=&quot;4CA46E0E&quot;/&gt;&lt;wsp:rsid wsp:val=&quot;4CA566E2&quot;/&gt;&lt;wsp:rsid wsp:val=&quot;4CA94424&quot;/&gt;&lt;wsp:rsid wsp:val=&quot;4CAA3CF8&quot;/&gt;&lt;wsp:rsid wsp:val=&quot;4CAA6CED&quot;/&gt;&lt;wsp:rsid wsp:val=&quot;4CAC1679&quot;/&gt;&lt;wsp:rsid wsp:val=&quot;4CAC7A71&quot;/&gt;&lt;wsp:rsid wsp:val=&quot;4CAF57B3&quot;/&gt;&lt;wsp:rsid wsp:val=&quot;4CB132D9&quot;/&gt;&lt;wsp:rsid wsp:val=&quot;4CB15087&quot;/&gt;&lt;wsp:rsid wsp:val=&quot;4CB16E35&quot;/&gt;&lt;wsp:rsid wsp:val=&quot;4CB22BAD&quot;/&gt;&lt;wsp:rsid wsp:val=&quot;4CB30DFF&quot;/&gt;&lt;wsp:rsid wsp:val=&quot;4CB42DC9&quot;/&gt;&lt;wsp:rsid wsp:val=&quot;4CB44B77&quot;/&gt;&lt;wsp:rsid wsp:val=&quot;4CB77211&quot;/&gt;&lt;wsp:rsid wsp:val=&quot;4CB86415&quot;/&gt;&lt;wsp:rsid wsp:val=&quot;4CB964AE&quot;/&gt;&lt;wsp:rsid wsp:val=&quot;4CBA03DF&quot;/&gt;&lt;wsp:rsid wsp:val=&quot;4CBA1E8E&quot;/&gt;&lt;wsp:rsid wsp:val=&quot;4CBB4158&quot;/&gt;&lt;wsp:rsid wsp:val=&quot;4CBB56D2&quot;/&gt;&lt;wsp:rsid wsp:val=&quot;4CBD1C7E&quot;/&gt;&lt;wsp:rsid wsp:val=&quot;4CC21042&quot;/&gt;&lt;wsp:rsid wsp:val=&quot;4CC254E6&quot;/&gt;&lt;wsp:rsid wsp:val=&quot;4CC27294&quot;/&gt;&lt;wsp:rsid wsp:val=&quot;4CC41C4C&quot;/&gt;&lt;wsp:rsid wsp:val=&quot;4CC530DC&quot;/&gt;&lt;wsp:rsid wsp:val=&quot;4CC56D84&quot;/&gt;&lt;wsp:rsid wsp:val=&quot;4CC759FC&quot;/&gt;&lt;wsp:rsid wsp:val=&quot;4CC76658&quot;/&gt;&lt;wsp:rsid wsp:val=&quot;4CCA6149&quot;/&gt;&lt;wsp:rsid wsp:val=&quot;4CCE5C39&quot;/&gt;&lt;wsp:rsid wsp:val=&quot;4CCE79E7&quot;/&gt;&lt;wsp:rsid wsp:val=&quot;4CD174D7&quot;/&gt;&lt;wsp:rsid wsp:val=&quot;4CD55219&quot;/&gt;&lt;wsp:rsid wsp:val=&quot;4CD75362&quot;/&gt;&lt;wsp:rsid wsp:val=&quot;4CD86981&quot;/&gt;&lt;wsp:rsid wsp:val=&quot;4CD945DE&quot;/&gt;&lt;wsp:rsid wsp:val=&quot;4CD9638C&quot;/&gt;&lt;wsp:rsid wsp:val=&quot;4CDA2830&quot;/&gt;&lt;wsp:rsid wsp:val=&quot;4CDB65A8&quot;/&gt;&lt;wsp:rsid wsp:val=&quot;4CDB69D9&quot;/&gt;&lt;wsp:rsid wsp:val=&quot;4CDF6854&quot;/&gt;&lt;wsp:rsid wsp:val=&quot;4CE0596C&quot;/&gt;&lt;wsp:rsid wsp:val=&quot;4CE0733C&quot;/&gt;&lt;wsp:rsid wsp:val=&quot;4CE0771A&quot;/&gt;&lt;wsp:rsid wsp:val=&quot;4CE16DED&quot;/&gt;&lt;wsp:rsid wsp:val=&quot;4CE216E4&quot;/&gt;&lt;wsp:rsid wsp:val=&quot;4CE27936&quot;/&gt;&lt;wsp:rsid wsp:val=&quot;4CE81E37&quot;/&gt;&lt;wsp:rsid wsp:val=&quot;4CE865CF&quot;/&gt;&lt;wsp:rsid wsp:val=&quot;4CE90CC5&quot;/&gt;&lt;wsp:rsid wsp:val=&quot;4CEA0599&quot;/&gt;&lt;wsp:rsid wsp:val=&quot;4CEC4311&quot;/&gt;&lt;wsp:rsid wsp:val=&quot;4CEC60BF&quot;/&gt;&lt;wsp:rsid wsp:val=&quot;4CEC79C8&quot;/&gt;&lt;wsp:rsid wsp:val=&quot;4CEE62DB&quot;/&gt;&lt;wsp:rsid wsp:val=&quot;4CEE7DBE&quot;/&gt;&lt;wsp:rsid wsp:val=&quot;4CEF795D&quot;/&gt;&lt;wsp:rsid wsp:val=&quot;4CF11927&quot;/&gt;&lt;wsp:rsid wsp:val=&quot;4CF13A14&quot;/&gt;&lt;wsp:rsid wsp:val=&quot;4CF3744D&quot;/&gt;&lt;wsp:rsid wsp:val=&quot;4CF46BEE&quot;/&gt;&lt;wsp:rsid wsp:val=&quot;4CF4713F&quot;/&gt;&lt;wsp:rsid wsp:val=&quot;4CF663D4&quot;/&gt;&lt;wsp:rsid wsp:val=&quot;4CF74ADB&quot;/&gt;&lt;wsp:rsid wsp:val=&quot;4CFB27A6&quot;/&gt;&lt;wsp:rsid wsp:val=&quot;4CFB6302&quot;/&gt;&lt;wsp:rsid wsp:val=&quot;4CFD1DDD&quot;/&gt;&lt;wsp:rsid wsp:val=&quot;4CFD720C&quot;/&gt;&lt;wsp:rsid wsp:val=&quot;4D001B6A&quot;/&gt;&lt;wsp:rsid wsp:val=&quot;4D023B34&quot;/&gt;&lt;wsp:rsid wsp:val=&quot;4D04165B&quot;/&gt;&lt;wsp:rsid wsp:val=&quot;4D04450E&quot;/&gt;&lt;wsp:rsid wsp:val=&quot;4D0478AD&quot;/&gt;&lt;wsp:rsid wsp:val=&quot;4D0A1ACF&quot;/&gt;&lt;wsp:rsid wsp:val=&quot;4D0A29E9&quot;/&gt;&lt;wsp:rsid wsp:val=&quot;4D0A5EC9&quot;/&gt;&lt;wsp:rsid wsp:val=&quot;4D0C4110&quot;/&gt;&lt;wsp:rsid wsp:val=&quot;4D0E00FB&quot;/&gt;&lt;wsp:rsid wsp:val=&quot;4D0E24D9&quot;/&gt;&lt;wsp:rsid wsp:val=&quot;4D111FCA&quot;/&gt;&lt;wsp:rsid wsp:val=&quot;4D115B26&quot;/&gt;&lt;wsp:rsid wsp:val=&quot;4D130759&quot;/&gt;&lt;wsp:rsid wsp:val=&quot;4D13189E&quot;/&gt;&lt;wsp:rsid wsp:val=&quot;4D135D42&quot;/&gt;&lt;wsp:rsid wsp:val=&quot;4D151ABA&quot;/&gt;&lt;wsp:rsid wsp:val=&quot;4D16138E&quot;/&gt;&lt;wsp:rsid wsp:val=&quot;4D16313C&quot;/&gt;&lt;wsp:rsid wsp:val=&quot;4D172984&quot;/&gt;&lt;wsp:rsid wsp:val=&quot;4D176606&quot;/&gt;&lt;wsp:rsid wsp:val=&quot;4D184E23&quot;/&gt;&lt;wsp:rsid wsp:val=&quot;4D186EB4&quot;/&gt;&lt;wsp:rsid wsp:val=&quot;4D197E75&quot;/&gt;&lt;wsp:rsid wsp:val=&quot;4D1A0E7E&quot;/&gt;&lt;wsp:rsid wsp:val=&quot;4D1B0752&quot;/&gt;&lt;wsp:rsid wsp:val=&quot;4D1B3ED6&quot;/&gt;&lt;wsp:rsid wsp:val=&quot;4D1B69A4&quot;/&gt;&lt;wsp:rsid wsp:val=&quot;4D1D271C&quot;/&gt;&lt;wsp:rsid wsp:val=&quot;4D1D44CA&quot;/&gt;&lt;wsp:rsid wsp:val=&quot;4D1E57A1&quot;/&gt;&lt;wsp:rsid wsp:val=&quot;4D225F85&quot;/&gt;&lt;wsp:rsid wsp:val=&quot;4D227D33&quot;/&gt;&lt;wsp:rsid wsp:val=&quot;4D232668&quot;/&gt;&lt;wsp:rsid wsp:val=&quot;4D241CFD&quot;/&gt;&lt;wsp:rsid wsp:val=&quot;4D243AAB&quot;/&gt;&lt;wsp:rsid wsp:val=&quot;4D2515D1&quot;/&gt;&lt;wsp:rsid wsp:val=&quot;4D27359B&quot;/&gt;&lt;wsp:rsid wsp:val=&quot;4D275349&quot;/&gt;&lt;wsp:rsid wsp:val=&quot;4D2910C1&quot;/&gt;&lt;wsp:rsid wsp:val=&quot;4D2A6BE7&quot;/&gt;&lt;wsp:rsid wsp:val=&quot;4D2C08F7&quot;/&gt;&lt;wsp:rsid wsp:val=&quot;4D2C0BB1&quot;/&gt;&lt;wsp:rsid wsp:val=&quot;4D2E2B7B&quot;/&gt;&lt;wsp:rsid wsp:val=&quot;4D2F41FE&quot;/&gt;&lt;wsp:rsid wsp:val=&quot;4D303567&quot;/&gt;&lt;wsp:rsid wsp:val=&quot;4D330192&quot;/&gt;&lt;wsp:rsid wsp:val=&quot;4D333CEE&quot;/&gt;&lt;wsp:rsid wsp:val=&quot;4D341EAC&quot;/&gt;&lt;wsp:rsid wsp:val=&quot;4D360ADE&quot;/&gt;&lt;wsp:rsid wsp:val=&quot;4D3637DE&quot;/&gt;&lt;wsp:rsid wsp:val=&quot;4D36558C&quot;/&gt;&lt;wsp:rsid wsp:val=&quot;4D371A30&quot;/&gt;&lt;wsp:rsid wsp:val=&quot;4D381304&quot;/&gt;&lt;wsp:rsid wsp:val=&quot;4D387556&quot;/&gt;&lt;wsp:rsid wsp:val=&quot;4D3A507C&quot;/&gt;&lt;wsp:rsid wsp:val=&quot;4D3A5CC6&quot;/&gt;&lt;wsp:rsid wsp:val=&quot;4D3D4B6D&quot;/&gt;&lt;wsp:rsid wsp:val=&quot;4D3F1034&quot;/&gt;&lt;wsp:rsid wsp:val=&quot;4D3F6B37&quot;/&gt;&lt;wsp:rsid wsp:val=&quot;4D4001B9&quot;/&gt;&lt;wsp:rsid wsp:val=&quot;4D41465D&quot;/&gt;&lt;wsp:rsid wsp:val=&quot;4D422183&quot;/&gt;&lt;wsp:rsid wsp:val=&quot;4D4372D2&quot;/&gt;&lt;wsp:rsid wsp:val=&quot;4D467EC5&quot;/&gt;&lt;wsp:rsid wsp:val=&quot;4D47054C&quot;/&gt;&lt;wsp:rsid wsp:val=&quot;4D471547&quot;/&gt;&lt;wsp:rsid wsp:val=&quot;4D4759EB&quot;/&gt;&lt;wsp:rsid wsp:val=&quot;4D477042&quot;/&gt;&lt;wsp:rsid wsp:val=&quot;4D482FBD&quot;/&gt;&lt;wsp:rsid wsp:val=&quot;4D493511&quot;/&gt;&lt;wsp:rsid wsp:val=&quot;4D4C15C3&quot;/&gt;&lt;wsp:rsid wsp:val=&quot;4D4C3002&quot;/&gt;&lt;wsp:rsid wsp:val=&quot;4D502B15&quot;/&gt;&lt;wsp:rsid wsp:val=&quot;4D510618&quot;/&gt;&lt;wsp:rsid wsp:val=&quot;4D5123C6&quot;/&gt;&lt;wsp:rsid wsp:val=&quot;4D5325E2&quot;/&gt;&lt;wsp:rsid wsp:val=&quot;4D534390&quot;/&gt;&lt;wsp:rsid wsp:val=&quot;4D551EB6&quot;/&gt;&lt;wsp:rsid wsp:val=&quot;4D5679DC&quot;/&gt;&lt;wsp:rsid wsp:val=&quot;4D5812A7&quot;/&gt;&lt;wsp:rsid wsp:val=&quot;4D5819A6&quot;/&gt;&lt;wsp:rsid wsp:val=&quot;4D583754&quot;/&gt;&lt;wsp:rsid wsp:val=&quot;4D595308&quot;/&gt;&lt;wsp:rsid wsp:val=&quot;4D5B4FF3&quot;/&gt;&lt;wsp:rsid wsp:val=&quot;4D5D0D6B&quot;/&gt;&lt;wsp:rsid wsp:val=&quot;4D5F4AE3&quot;/&gt;&lt;wsp:rsid wsp:val=&quot;4D602609&quot;/&gt;&lt;wsp:rsid wsp:val=&quot;4D622825&quot;/&gt;&lt;wsp:rsid wsp:val=&quot;4D6420F9&quot;/&gt;&lt;wsp:rsid wsp:val=&quot;4D64659D&quot;/&gt;&lt;wsp:rsid wsp:val=&quot;4D671BE9&quot;/&gt;&lt;wsp:rsid wsp:val=&quot;4D673998&quot;/&gt;&lt;wsp:rsid wsp:val=&quot;4D677E3B&quot;/&gt;&lt;wsp:rsid wsp:val=&quot;4D685965&quot;/&gt;&lt;wsp:rsid wsp:val=&quot;4D693BB4&quot;/&gt;&lt;wsp:rsid wsp:val=&quot;4D697710&quot;/&gt;&lt;wsp:rsid wsp:val=&quot;4D6A36BC&quot;/&gt;&lt;wsp:rsid wsp:val=&quot;4D6B16DA&quot;/&gt;&lt;wsp:rsid wsp:val=&quot;4D6B771C&quot;/&gt;&lt;wsp:rsid wsp:val=&quot;4D6C0FAE&quot;/&gt;&lt;wsp:rsid wsp:val=&quot;4D6D36A4&quot;/&gt;&lt;wsp:rsid wsp:val=&quot;4D6E34CC&quot;/&gt;&lt;wsp:rsid wsp:val=&quot;4D6E4D26&quot;/&gt;&lt;wsp:rsid wsp:val=&quot;4D6E5365&quot;/&gt;&lt;wsp:rsid wsp:val=&quot;4D6F076B&quot;/&gt;&lt;wsp:rsid wsp:val=&quot;4D6F25CD&quot;/&gt;&lt;wsp:rsid wsp:val=&quot;4D714816&quot;/&gt;&lt;wsp:rsid wsp:val=&quot;4D722A68&quot;/&gt;&lt;wsp:rsid wsp:val=&quot;4D735EAE&quot;/&gt;&lt;wsp:rsid wsp:val=&quot;4D754306&quot;/&gt;&lt;wsp:rsid wsp:val=&quot;4D761E2D&quot;/&gt;&lt;wsp:rsid wsp:val=&quot;4D7762D0&quot;/&gt;&lt;wsp:rsid wsp:val=&quot;4D782049&quot;/&gt;&lt;wsp:rsid wsp:val=&quot;4D7A31B0&quot;/&gt;&lt;wsp:rsid wsp:val=&quot;4D7A36CB&quot;/&gt;&lt;wsp:rsid wsp:val=&quot;4D7A7B6F&quot;/&gt;&lt;wsp:rsid wsp:val=&quot;4D7C5695&quot;/&gt;&lt;wsp:rsid wsp:val=&quot;4D7D1B31&quot;/&gt;&lt;wsp:rsid wsp:val=&quot;4D7E765F&quot;/&gt;&lt;wsp:rsid wsp:val=&quot;4D7F3A3B&quot;/&gt;&lt;wsp:rsid wsp:val=&quot;4D806341&quot;/&gt;&lt;wsp:rsid wsp:val=&quot;4D813481&quot;/&gt;&lt;wsp:rsid wsp:val=&quot;4D8207D1&quot;/&gt;&lt;wsp:rsid wsp:val=&quot;4D822DD2&quot;/&gt;&lt;wsp:rsid wsp:val=&quot;4D825583&quot;/&gt;&lt;wsp:rsid wsp:val=&quot;4D84279B&quot;/&gt;&lt;wsp:rsid wsp:val=&quot;4D852E94&quot;/&gt;&lt;wsp:rsid wsp:val=&quot;4D866514&quot;/&gt;&lt;wsp:rsid wsp:val=&quot;4D8B3B2A&quot;/&gt;&lt;wsp:rsid wsp:val=&quot;4D8B6D96&quot;/&gt;&lt;wsp:rsid wsp:val=&quot;4D8D78A2&quot;/&gt;&lt;wsp:rsid wsp:val=&quot;4D8E2F9D&quot;/&gt;&lt;wsp:rsid wsp:val=&quot;4D8E6015&quot;/&gt;&lt;wsp:rsid wsp:val=&quot;4D8F4CCD&quot;/&gt;&lt;wsp:rsid wsp:val=&quot;4D907392&quot;/&gt;&lt;wsp:rsid wsp:val=&quot;4D907FA7&quot;/&gt;&lt;wsp:rsid wsp:val=&quot;4D926C66&quot;/&gt;&lt;wsp:rsid wsp:val=&quot;4D970721&quot;/&gt;&lt;wsp:rsid wsp:val=&quot;4D9724CF&quot;/&gt;&lt;wsp:rsid wsp:val=&quot;4D987FF5&quot;/&gt;&lt;wsp:rsid wsp:val=&quot;4D9A1059&quot;/&gt;&lt;wsp:rsid wsp:val=&quot;4D9A1FBF&quot;/&gt;&lt;wsp:rsid wsp:val=&quot;4D9C1893&quot;/&gt;&lt;wsp:rsid wsp:val=&quot;4DA05427&quot;/&gt;&lt;wsp:rsid wsp:val=&quot;4DA10348&quot;/&gt;&lt;wsp:rsid wsp:val=&quot;4DA10F2C&quot;/&gt;&lt;wsp:rsid wsp:val=&quot;4DA1334D&quot;/&gt;&lt;wsp:rsid wsp:val=&quot;4DA347FE&quot;/&gt;&lt;wsp:rsid wsp:val=&quot;4DA42E3E&quot;/&gt;&lt;wsp:rsid wsp:val=&quot;4DA62712&quot;/&gt;&lt;wsp:rsid wsp:val=&quot;4DA8648A&quot;/&gt;&lt;wsp:rsid wsp:val=&quot;4DA90454&quot;/&gt;&lt;wsp:rsid wsp:val=&quot;4DA92202&quot;/&gt;&lt;wsp:rsid wsp:val=&quot;4DAB24E9&quot;/&gt;&lt;wsp:rsid wsp:val=&quot;4DAB7D28&quot;/&gt;&lt;wsp:rsid wsp:val=&quot;4DAE5A6A&quot;/&gt;&lt;wsp:rsid wsp:val=&quot;4DB12E65&quot;/&gt;&lt;wsp:rsid wsp:val=&quot;4DB43081&quot;/&gt;&lt;wsp:rsid wsp:val=&quot;4DB72B71&quot;/&gt;&lt;wsp:rsid wsp:val=&quot;4DB7491F&quot;/&gt;&lt;wsp:rsid wsp:val=&quot;4DB766CD&quot;/&gt;&lt;wsp:rsid wsp:val=&quot;4DBA440F&quot;/&gt;&lt;wsp:rsid wsp:val=&quot;4DBC3CE3&quot;/&gt;&lt;wsp:rsid wsp:val=&quot;4DBF37D4&quot;/&gt;&lt;wsp:rsid wsp:val=&quot;4DC02D74&quot;/&gt;&lt;wsp:rsid wsp:val=&quot;4DC1754C&quot;/&gt;&lt;wsp:rsid wsp:val=&quot;4DC40DEA&quot;/&gt;&lt;wsp:rsid wsp:val=&quot;4DC4528E&quot;/&gt;&lt;wsp:rsid wsp:val=&quot;4DC66910&quot;/&gt;&lt;wsp:rsid wsp:val=&quot;4DC808DA&quot;/&gt;&lt;wsp:rsid wsp:val=&quot;4DC87525&quot;/&gt;&lt;wsp:rsid wsp:val=&quot;4DC92B2E&quot;/&gt;&lt;wsp:rsid wsp:val=&quot;4DCA432E&quot;/&gt;&lt;wsp:rsid wsp:val=&quot;4DCB25E8&quot;/&gt;&lt;wsp:rsid wsp:val=&quot;4DCB2A58&quot;/&gt;&lt;wsp:rsid wsp:val=&quot;4DCB3F26&quot;/&gt;&lt;wsp:rsid wsp:val=&quot;4DCD4142&quot;/&gt;&lt;wsp:rsid wsp:val=&quot;4DCD5EF0&quot;/&gt;&lt;wsp:rsid wsp:val=&quot;4DCE3A17&quot;/&gt;&lt;wsp:rsid wsp:val=&quot;4DD03170&quot;/&gt;&lt;wsp:rsid wsp:val=&quot;4DD27D5A&quot;/&gt;&lt;wsp:rsid wsp:val=&quot;4DD31631&quot;/&gt;&lt;wsp:rsid wsp:val=&quot;4DD3727F&quot;/&gt;&lt;wsp:rsid wsp:val=&quot;4DD4267A&quot;/&gt;&lt;wsp:rsid wsp:val=&quot;4DD83BCC&quot;/&gt;&lt;wsp:rsid wsp:val=&quot;4DDA23BB&quot;/&gt;&lt;wsp:rsid wsp:val=&quot;4DDC6134&quot;/&gt;&lt;wsp:rsid wsp:val=&quot;4DDD390C&quot;/&gt;&lt;wsp:rsid wsp:val=&quot;4DDE00FE&quot;/&gt;&lt;wsp:rsid wsp:val=&quot;4DDE7A3E&quot;/&gt;&lt;wsp:rsid wsp:val=&quot;4DE1199C&quot;/&gt;&lt;wsp:rsid wsp:val=&quot;4DE30CDF&quot;/&gt;&lt;wsp:rsid wsp:val=&quot;4DE35714&quot;/&gt;&lt;wsp:rsid wsp:val=&quot;4DE66FB2&quot;/&gt;&lt;wsp:rsid wsp:val=&quot;4DE730E2&quot;/&gt;&lt;wsp:rsid wsp:val=&quot;4DE82D2A&quot;/&gt;&lt;wsp:rsid wsp:val=&quot;4DEA4CF4&quot;/&gt;&lt;wsp:rsid wsp:val=&quot;4DEB281B&quot;/&gt;&lt;wsp:rsid wsp:val=&quot;4DEC4FB0&quot;/&gt;&lt;wsp:rsid wsp:val=&quot;4DED6593&quot;/&gt;&lt;wsp:rsid wsp:val=&quot;4DF15EB4&quot;/&gt;&lt;wsp:rsid wsp:val=&quot;4DF257A0&quot;/&gt;&lt;wsp:rsid wsp:val=&quot;4DF55447&quot;/&gt;&lt;wsp:rsid wsp:val=&quot;4DF65033&quot;/&gt;&lt;wsp:rsid wsp:val=&quot;4DF711BF&quot;/&gt;&lt;wsp:rsid wsp:val=&quot;4DF72F6D&quot;/&gt;&lt;wsp:rsid wsp:val=&quot;4DF74D1B&quot;/&gt;&lt;wsp:rsid wsp:val=&quot;4DF94F37&quot;/&gt;&lt;wsp:rsid wsp:val=&quot;4DF96CE5&quot;/&gt;&lt;wsp:rsid wsp:val=&quot;4DF96ED8&quot;/&gt;&lt;wsp:rsid wsp:val=&quot;4DFA0CB0&quot;/&gt;&lt;wsp:rsid wsp:val=&quot;4DFE254E&quot;/&gt;&lt;wsp:rsid wsp:val=&quot;4DFE42FC&quot;/&gt;&lt;wsp:rsid wsp:val=&quot;4DFE60AA&quot;/&gt;&lt;wsp:rsid wsp:val=&quot;4E00603F&quot;/&gt;&lt;wsp:rsid wsp:val=&quot;4E0062C6&quot;/&gt;&lt;wsp:rsid wsp:val=&quot;4E01203E&quot;/&gt;&lt;wsp:rsid wsp:val=&quot;4E013DEC&quot;/&gt;&lt;wsp:rsid wsp:val=&quot;4E04568A&quot;/&gt;&lt;wsp:rsid wsp:val=&quot;4E047438&quot;/&gt;&lt;wsp:rsid wsp:val=&quot;4E05638D&quot;/&gt;&lt;wsp:rsid wsp:val=&quot;4E074D6D&quot;/&gt;&lt;wsp:rsid wsp:val=&quot;4E075D8A&quot;/&gt;&lt;wsp:rsid wsp:val=&quot;4E08517B&quot;/&gt;&lt;wsp:rsid wsp:val=&quot;4E0A0EF3&quot;/&gt;&lt;wsp:rsid wsp:val=&quot;4E0B07C7&quot;/&gt;&lt;wsp:rsid wsp:val=&quot;4E0B2B6A&quot;/&gt;&lt;wsp:rsid wsp:val=&quot;4E0B6A19&quot;/&gt;&lt;wsp:rsid wsp:val=&quot;4E102281&quot;/&gt;&lt;wsp:rsid wsp:val=&quot;4E11118C&quot;/&gt;&lt;wsp:rsid wsp:val=&quot;4E116CA7&quot;/&gt;&lt;wsp:rsid wsp:val=&quot;4E125FF9&quot;/&gt;&lt;wsp:rsid wsp:val=&quot;4E1458CD&quot;/&gt;&lt;wsp:rsid wsp:val=&quot;4E147B0D&quot;/&gt;&lt;wsp:rsid wsp:val=&quot;4E151645&quot;/&gt;&lt;wsp:rsid wsp:val=&quot;4E1526DE&quot;/&gt;&lt;wsp:rsid wsp:val=&quot;4E156373&quot;/&gt;&lt;wsp:rsid wsp:val=&quot;4E165AE9&quot;/&gt;&lt;wsp:rsid wsp:val=&quot;4E173884&quot;/&gt;&lt;wsp:rsid wsp:val=&quot;4E17716C&quot;/&gt;&lt;wsp:rsid wsp:val=&quot;4E191136&quot;/&gt;&lt;wsp:rsid wsp:val=&quot;4E192EE4&quot;/&gt;&lt;wsp:rsid wsp:val=&quot;4E1A6C5C&quot;/&gt;&lt;wsp:rsid wsp:val=&quot;4E1B3100&quot;/&gt;&lt;wsp:rsid wsp:val=&quot;4E1C0E70&quot;/&gt;&lt;wsp:rsid wsp:val=&quot;4E1C4782&quot;/&gt;&lt;wsp:rsid wsp:val=&quot;4E1D04AD&quot;/&gt;&lt;wsp:rsid wsp:val=&quot;4E1F24C4&quot;/&gt;&lt;wsp:rsid wsp:val=&quot;4E2023C2&quot;/&gt;&lt;wsp:rsid wsp:val=&quot;4E207E07&quot;/&gt;&lt;wsp:rsid wsp:val=&quot;4E217FEA&quot;/&gt;&lt;wsp:rsid wsp:val=&quot;4E231FB4&quot;/&gt;&lt;wsp:rsid wsp:val=&quot;4E24034F&quot;/&gt;&lt;wsp:rsid wsp:val=&quot;4E253FC7&quot;/&gt;&lt;wsp:rsid wsp:val=&quot;4E265601&quot;/&gt;&lt;wsp:rsid wsp:val=&quot;4E2817A0&quot;/&gt;&lt;wsp:rsid wsp:val=&quot;4E291FE4&quot;/&gt;&lt;wsp:rsid wsp:val=&quot;4E296E9F&quot;/&gt;&lt;wsp:rsid wsp:val=&quot;4E2C0965&quot;/&gt;&lt;wsp:rsid wsp:val=&quot;4E2D2E33&quot;/&gt;&lt;wsp:rsid wsp:val=&quot;4E2D4BE1&quot;/&gt;&lt;wsp:rsid wsp:val=&quot;4E2D5010&quot;/&gt;&lt;wsp:rsid wsp:val=&quot;4E2F2707&quot;/&gt;&lt;wsp:rsid wsp:val=&quot;4E2F6BAB&quot;/&gt;&lt;wsp:rsid wsp:val=&quot;4E30647F&quot;/&gt;&lt;wsp:rsid wsp:val=&quot;4E320449&quot;/&gt;&lt;wsp:rsid wsp:val=&quot;4E3247D7&quot;/&gt;&lt;wsp:rsid wsp:val=&quot;4E326481&quot;/&gt;&lt;wsp:rsid wsp:val=&quot;4E345F70&quot;/&gt;&lt;wsp:rsid wsp:val=&quot;4E3715BC&quot;/&gt;&lt;wsp:rsid wsp:val=&quot;4E375A60&quot;/&gt;&lt;wsp:rsid wsp:val=&quot;4E395334&quot;/&gt;&lt;wsp:rsid wsp:val=&quot;4E3A3A13&quot;/&gt;&lt;wsp:rsid wsp:val=&quot;4E3B5550&quot;/&gt;&lt;wsp:rsid wsp:val=&quot;4E3B72FE&quot;/&gt;&lt;wsp:rsid wsp:val=&quot;4E3C6BD2&quot;/&gt;&lt;wsp:rsid wsp:val=&quot;4E3E0B9C&quot;/&gt;&lt;wsp:rsid wsp:val=&quot;4E3E6DEE&quot;/&gt;&lt;wsp:rsid wsp:val=&quot;4E3F4E1B&quot;/&gt;&lt;wsp:rsid wsp:val=&quot;4E404914&quot;/&gt;&lt;wsp:rsid wsp:val=&quot;4E41243B&quot;/&gt;&lt;wsp:rsid wsp:val=&quot;4E453CD9&quot;/&gt;&lt;wsp:rsid wsp:val=&quot;4E473EF5&quot;/&gt;&lt;wsp:rsid wsp:val=&quot;4E4807D4&quot;/&gt;&lt;wsp:rsid wsp:val=&quot;4E4837C9&quot;/&gt;&lt;wsp:rsid wsp:val=&quot;4E4F3CFF&quot;/&gt;&lt;wsp:rsid wsp:val=&quot;4E50267E&quot;/&gt;&lt;wsp:rsid wsp:val=&quot;4E524648&quot;/&gt;&lt;wsp:rsid wsp:val=&quot;4E531F72&quot;/&gt;&lt;wsp:rsid wsp:val=&quot;4E555EE6&quot;/&gt;&lt;wsp:rsid wsp:val=&quot;4E557C94&quot;/&gt;&lt;wsp:rsid wsp:val=&quot;4E561001&quot;/&gt;&lt;wsp:rsid wsp:val=&quot;4E597982&quot;/&gt;&lt;wsp:rsid wsp:val=&quot;4E5A52AA&quot;/&gt;&lt;wsp:rsid wsp:val=&quot;4E5B34FC&quot;/&gt;&lt;wsp:rsid wsp:val=&quot;4E5E4D9B&quot;/&gt;&lt;wsp:rsid wsp:val=&quot;4E61488B&quot;/&gt;&lt;wsp:rsid wsp:val=&quot;4E637972&quot;/&gt;&lt;wsp:rsid wsp:val=&quot;4E65437B&quot;/&gt;&lt;wsp:rsid wsp:val=&quot;4E656129&quot;/&gt;&lt;wsp:rsid wsp:val=&quot;4E660AF6&quot;/&gt;&lt;wsp:rsid wsp:val=&quot;4E661EA1&quot;/&gt;&lt;wsp:rsid wsp:val=&quot;4E676345&quot;/&gt;&lt;wsp:rsid wsp:val=&quot;4E685C19&quot;/&gt;&lt;wsp:rsid wsp:val=&quot;4E695D36&quot;/&gt;&lt;wsp:rsid wsp:val=&quot;4E6B74B7&quot;/&gt;&lt;wsp:rsid wsp:val=&quot;4E6C3227&quot;/&gt;&lt;wsp:rsid wsp:val=&quot;4E704779&quot;/&gt;&lt;wsp:rsid wsp:val=&quot;4E704ACE&quot;/&gt;&lt;wsp:rsid wsp:val=&quot;4E713738&quot;/&gt;&lt;wsp:rsid wsp:val=&quot;4E720846&quot;/&gt;&lt;wsp:rsid wsp:val=&quot;4E72653C&quot;/&gt;&lt;wsp:rsid wsp:val=&quot;4E730547&quot;/&gt;&lt;wsp:rsid wsp:val=&quot;4E740A62&quot;/&gt;&lt;wsp:rsid wsp:val=&quot;4E742810&quot;/&gt;&lt;wsp:rsid wsp:val=&quot;4E7520E4&quot;/&gt;&lt;wsp:rsid wsp:val=&quot;4E766588&quot;/&gt;&lt;wsp:rsid wsp:val=&quot;4E775778&quot;/&gt;&lt;wsp:rsid wsp:val=&quot;4E797E26&quot;/&gt;&lt;wsp:rsid wsp:val=&quot;4E7B452B&quot;/&gt;&lt;wsp:rsid wsp:val=&quot;4E7E020D&quot;/&gt;&lt;wsp:rsid wsp:val=&quot;4E7E543D&quot;/&gt;&lt;wsp:rsid wsp:val=&quot;4E807407&quot;/&gt;&lt;wsp:rsid wsp:val=&quot;4E816CDB&quot;/&gt;&lt;wsp:rsid wsp:val=&quot;4E850579&quot;/&gt;&lt;wsp:rsid wsp:val=&quot;4E854A1D&quot;/&gt;&lt;wsp:rsid wsp:val=&quot;4E86139E&quot;/&gt;&lt;wsp:rsid wsp:val=&quot;4E86609F&quot;/&gt;&lt;wsp:rsid wsp:val=&quot;4E870795&quot;/&gt;&lt;wsp:rsid wsp:val=&quot;4E880069&quot;/&gt;&lt;wsp:rsid wsp:val=&quot;4E8939C6&quot;/&gt;&lt;wsp:rsid wsp:val=&quot;4E8B1908&quot;/&gt;&lt;wsp:rsid wsp:val=&quot;4E8C00BE&quot;/&gt;&lt;wsp:rsid wsp:val=&quot;4E8D38D2&quot;/&gt;&lt;wsp:rsid wsp:val=&quot;4E8D742E&quot;/&gt;&lt;wsp:rsid wsp:val=&quot;4E8E21DB&quot;/&gt;&lt;wsp:rsid wsp:val=&quot;4E8F31A6&quot;/&gt;&lt;wsp:rsid wsp:val=&quot;4E915170&quot;/&gt;&lt;wsp:rsid wsp:val=&quot;4E920EE8&quot;/&gt;&lt;wsp:rsid wsp:val=&quot;4E922C96&quot;/&gt;&lt;wsp:rsid wsp:val=&quot;4E932BF7&quot;/&gt;&lt;wsp:rsid wsp:val=&quot;4E944C60&quot;/&gt;&lt;wsp:rsid wsp:val=&quot;4E946A0E&quot;/&gt;&lt;wsp:rsid wsp:val=&quot;4E956EC4&quot;/&gt;&lt;wsp:rsid wsp:val=&quot;4E984750&quot;/&gt;&lt;wsp:rsid wsp:val=&quot;4E9904C8&quot;/&gt;&lt;wsp:rsid wsp:val=&quot;4E994E15&quot;/&gt;&lt;wsp:rsid wsp:val=&quot;4E9C3B15&quot;/&gt;&lt;wsp:rsid wsp:val=&quot;4E9D1D67&quot;/&gt;&lt;wsp:rsid wsp:val=&quot;4EA07161&quot;/&gt;&lt;wsp:rsid wsp:val=&quot;4EA2112B&quot;/&gt;&lt;wsp:rsid wsp:val=&quot;4EA330F5&quot;/&gt;&lt;wsp:rsid wsp:val=&quot;4EA36C51&quot;/&gt;&lt;wsp:rsid wsp:val=&quot;4EA74993&quot;/&gt;&lt;wsp:rsid wsp:val=&quot;4EA8070C&quot;/&gt;&lt;wsp:rsid wsp:val=&quot;4EA837C1&quot;/&gt;&lt;wsp:rsid wsp:val=&quot;4EA84268&quot;/&gt;&lt;wsp:rsid wsp:val=&quot;4EAA7FE0&quot;/&gt;&lt;wsp:rsid wsp:val=&quot;4EAB1D8D&quot;/&gt;&lt;wsp:rsid wsp:val=&quot;4EAC1FAA&quot;/&gt;&lt;wsp:rsid wsp:val=&quot;4EAC3D58&quot;/&gt;&lt;wsp:rsid wsp:val=&quot;4EAC667D&quot;/&gt;&lt;wsp:rsid wsp:val=&quot;4EAF3848&quot;/&gt;&lt;wsp:rsid wsp:val=&quot;4EAF55F6&quot;/&gt;&lt;wsp:rsid wsp:val=&quot;4EB1136E&quot;/&gt;&lt;wsp:rsid wsp:val=&quot;4EB15812&quot;/&gt;&lt;wsp:rsid wsp:val=&quot;4EB259BC&quot;/&gt;&lt;wsp:rsid wsp:val=&quot;4EB26E94&quot;/&gt;&lt;wsp:rsid wsp:val=&quot;4EB33338&quot;/&gt;&lt;wsp:rsid wsp:val=&quot;4EB470B0&quot;/&gt;&lt;wsp:rsid wsp:val=&quot;4EB66F0E&quot;/&gt;&lt;wsp:rsid wsp:val=&quot;4EB7039E&quot;/&gt;&lt;wsp:rsid wsp:val=&quot;4EB946C7&quot;/&gt;&lt;wsp:rsid wsp:val=&quot;4EBA57D9&quot;/&gt;&lt;wsp:rsid wsp:val=&quot;4EBD163F&quot;/&gt;&lt;wsp:rsid wsp:val=&quot;4EBE1CDD&quot;/&gt;&lt;wsp:rsid wsp:val=&quot;4EC00FAD&quot;/&gt;&lt;wsp:rsid wsp:val=&quot;4EC05A55&quot;/&gt;&lt;wsp:rsid wsp:val=&quot;4EC45545&quot;/&gt;&lt;wsp:rsid wsp:val=&quot;4ECA0682&quot;/&gt;&lt;wsp:rsid wsp:val=&quot;4ECA2430&quot;/&gt;&lt;wsp:rsid wsp:val=&quot;4ECA29D6&quot;/&gt;&lt;wsp:rsid wsp:val=&quot;4ECB6814&quot;/&gt;&lt;wsp:rsid wsp:val=&quot;4ECC43FA&quot;/&gt;&lt;wsp:rsid wsp:val=&quot;4ED02686&quot;/&gt;&lt;wsp:rsid wsp:val=&quot;4ED12890&quot;/&gt;&lt;wsp:rsid wsp:val=&quot;4ED137BE&quot;/&gt;&lt;wsp:rsid wsp:val=&quot;4ED201EE&quot;/&gt;&lt;wsp:rsid wsp:val=&quot;4ED27537&quot;/&gt;&lt;wsp:rsid wsp:val=&quot;4ED41501&quot;/&gt;&lt;wsp:rsid wsp:val=&quot;4ED45647&quot;/&gt;&lt;wsp:rsid wsp:val=&quot;4ED52497&quot;/&gt;&lt;wsp:rsid wsp:val=&quot;4ED67027&quot;/&gt;&lt;wsp:rsid wsp:val=&quot;4ED86EE7&quot;/&gt;&lt;wsp:rsid wsp:val=&quot;4ED908C5&quot;/&gt;&lt;wsp:rsid wsp:val=&quot;4ED90E06&quot;/&gt;&lt;wsp:rsid wsp:val=&quot;4ED92673&quot;/&gt;&lt;wsp:rsid wsp:val=&quot;4ED95B20&quot;/&gt;&lt;wsp:rsid wsp:val=&quot;4EDA44B8&quot;/&gt;&lt;wsp:rsid wsp:val=&quot;4EDB288F&quot;/&gt;&lt;wsp:rsid wsp:val=&quot;4EDE1FDD&quot;/&gt;&lt;wsp:rsid wsp:val=&quot;4EDE412D&quot;/&gt;&lt;wsp:rsid wsp:val=&quot;4EDF0835&quot;/&gt;&lt;wsp:rsid wsp:val=&quot;4EE044F1&quot;/&gt;&lt;wsp:rsid wsp:val=&quot;4EE05E69&quot;/&gt;&lt;wsp:rsid wsp:val=&quot;4EE473BA&quot;/&gt;&lt;wsp:rsid wsp:val=&quot;4EE51018&quot;/&gt;&lt;wsp:rsid wsp:val=&quot;4EE554BC&quot;/&gt;&lt;wsp:rsid wsp:val=&quot;4EE72FE2&quot;/&gt;&lt;wsp:rsid wsp:val=&quot;4EE74D90&quot;/&gt;&lt;wsp:rsid wsp:val=&quot;4EE818E9&quot;/&gt;&lt;wsp:rsid wsp:val=&quot;4EE96431&quot;/&gt;&lt;wsp:rsid wsp:val=&quot;4EE96D5A&quot;/&gt;&lt;wsp:rsid wsp:val=&quot;4EEA0D24&quot;/&gt;&lt;wsp:rsid wsp:val=&quot;4EEC4B8E&quot;/&gt;&lt;wsp:rsid wsp:val=&quot;4EEC684A&quot;/&gt;&lt;wsp:rsid wsp:val=&quot;4EEF1E97&quot;/&gt;&lt;wsp:rsid wsp:val=&quot;4EF120B3&quot;/&gt;&lt;wsp:rsid wsp:val=&quot;4EF15C0F&quot;/&gt;&lt;wsp:rsid wsp:val=&quot;4EF219BE&quot;/&gt;&lt;wsp:rsid wsp:val=&quot;4EF23735&quot;/&gt;&lt;wsp:rsid wsp:val=&quot;4EF31987&quot;/&gt;&lt;wsp:rsid wsp:val=&quot;4EF37BD9&quot;/&gt;&lt;wsp:rsid wsp:val=&quot;4EF61477&quot;/&gt;&lt;wsp:rsid wsp:val=&quot;4EFA0012&quot;/&gt;&lt;wsp:rsid wsp:val=&quot;4EFA4824&quot;/&gt;&lt;wsp:rsid wsp:val=&quot;4EFB083B&quot;/&gt;&lt;wsp:rsid wsp:val=&quot;4EFD2805&quot;/&gt;&lt;wsp:rsid wsp:val=&quot;4EFE20DA&quot;/&gt;&lt;wsp:rsid wsp:val=&quot;4EFE2B32&quot;/&gt;&lt;wsp:rsid wsp:val=&quot;4EFF657E&quot;/&gt;&lt;wsp:rsid wsp:val=&quot;4F003355&quot;/&gt;&lt;wsp:rsid wsp:val=&quot;4F02606E&quot;/&gt;&lt;wsp:rsid wsp:val=&quot;4F027E1C&quot;/&gt;&lt;wsp:rsid wsp:val=&quot;4F041DE6&quot;/&gt;&lt;wsp:rsid wsp:val=&quot;4F0516BA&quot;/&gt;&lt;wsp:rsid wsp:val=&quot;4F052BB4&quot;/&gt;&lt;wsp:rsid wsp:val=&quot;4F0A6CD0&quot;/&gt;&lt;wsp:rsid wsp:val=&quot;4F0B3174&quot;/&gt;&lt;wsp:rsid wsp:val=&quot;4F0C0C9A&quot;/&gt;&lt;wsp:rsid wsp:val=&quot;4F0C2A48&quot;/&gt;&lt;wsp:rsid wsp:val=&quot;4F0C47F7&quot;/&gt;&lt;wsp:rsid wsp:val=&quot;4F0E67C1&quot;/&gt;&lt;wsp:rsid wsp:val=&quot;4F0F101F&quot;/&gt;&lt;wsp:rsid wsp:val=&quot;4F1163D7&quot;/&gt;&lt;wsp:rsid wsp:val=&quot;4F12070E&quot;/&gt;&lt;wsp:rsid wsp:val=&quot;4F133DD7&quot;/&gt;&lt;wsp:rsid wsp:val=&quot;4F155DA1&quot;/&gt;&lt;wsp:rsid wsp:val=&quot;4F161B19&quot;/&gt;&lt;wsp:rsid wsp:val=&quot;4F194B69&quot;/&gt;&lt;wsp:rsid wsp:val=&quot;4F195165&quot;/&gt;&lt;wsp:rsid wsp:val=&quot;4F1A33B7&quot;/&gt;&lt;wsp:rsid wsp:val=&quot;4F1D07B2&quot;/&gt;&lt;wsp:rsid wsp:val=&quot;4F1D6A04&quot;/&gt;&lt;wsp:rsid wsp:val=&quot;4F1E46E2&quot;/&gt;&lt;wsp:rsid wsp:val=&quot;4F1F09CE&quot;/&gt;&lt;wsp:rsid wsp:val=&quot;4F2172E4&quot;/&gt;&lt;wsp:rsid wsp:val=&quot;4F235FB7&quot;/&gt;&lt;wsp:rsid wsp:val=&quot;4F245FE4&quot;/&gt;&lt;wsp:rsid wsp:val=&quot;4F253B0A&quot;/&gt;&lt;wsp:rsid wsp:val=&quot;4F255CDD&quot;/&gt;&lt;wsp:rsid wsp:val=&quot;4F2705FD&quot;/&gt;&lt;wsp:rsid wsp:val=&quot;4F270F69&quot;/&gt;&lt;wsp:rsid wsp:val=&quot;4F275AD4&quot;/&gt;&lt;wsp:rsid wsp:val=&quot;4F29184C&quot;/&gt;&lt;wsp:rsid wsp:val=&quot;4F2A7373&quot;/&gt;&lt;wsp:rsid wsp:val=&quot;4F2D446F&quot;/&gt;&lt;wsp:rsid wsp:val=&quot;4F2E04D0&quot;/&gt;&lt;wsp:rsid wsp:val=&quot;4F2E0C11&quot;/&gt;&lt;wsp:rsid wsp:val=&quot;4F302DF0&quot;/&gt;&lt;wsp:rsid wsp:val=&quot;4F337FD5&quot;/&gt;&lt;wsp:rsid wsp:val=&quot;4F361873&quot;/&gt;&lt;wsp:rsid wsp:val=&quot;4F365D17&quot;/&gt;&lt;wsp:rsid wsp:val=&quot;4F3673B2&quot;/&gt;&lt;wsp:rsid wsp:val=&quot;4F367AC5&quot;/&gt;&lt;wsp:rsid wsp:val=&quot;4F381582&quot;/&gt;&lt;wsp:rsid wsp:val=&quot;4F381A8F&quot;/&gt;&lt;wsp:rsid wsp:val=&quot;4F3855EC&quot;/&gt;&lt;wsp:rsid wsp:val=&quot;4F3B1580&quot;/&gt;&lt;wsp:rsid wsp:val=&quot;4F3B50DC&quot;/&gt;&lt;wsp:rsid wsp:val=&quot;4F3C4080&quot;/&gt;&lt;wsp:rsid wsp:val=&quot;4F3D70A6&quot;/&gt;&lt;wsp:rsid wsp:val=&quot;4F3E697A&quot;/&gt;&lt;wsp:rsid wsp:val=&quot;4F3F2A2A&quot;/&gt;&lt;wsp:rsid wsp:val=&quot;4F3F629F&quot;/&gt;&lt;wsp:rsid wsp:val=&quot;4F400A76&quot;/&gt;&lt;wsp:rsid wsp:val=&quot;4F402A31&quot;/&gt;&lt;wsp:rsid wsp:val=&quot;4F42290E&quot;/&gt;&lt;wsp:rsid wsp:val=&quot;4F4246BC&quot;/&gt;&lt;wsp:rsid wsp:val=&quot;4F441374&quot;/&gt;&lt;wsp:rsid wsp:val=&quot;4F4552C7&quot;/&gt;&lt;wsp:rsid wsp:val=&quot;4F4641AC&quot;/&gt;&lt;wsp:rsid wsp:val=&quot;4F473A81&quot;/&gt;&lt;wsp:rsid wsp:val=&quot;4F4A110D&quot;/&gt;&lt;wsp:rsid wsp:val=&quot;4F4A3571&quot;/&gt;&lt;wsp:rsid wsp:val=&quot;4F4A531F&quot;/&gt;&lt;wsp:rsid wsp:val=&quot;4F4C1097&quot;/&gt;&lt;wsp:rsid wsp:val=&quot;4F4F0B87&quot;/&gt;&lt;wsp:rsid wsp:val=&quot;4F506DD9&quot;/&gt;&lt;wsp:rsid wsp:val=&quot;4F5368C9&quot;/&gt;&lt;wsp:rsid wsp:val=&quot;4F552641&quot;/&gt;&lt;wsp:rsid wsp:val=&quot;4F5543EF&quot;/&gt;&lt;wsp:rsid wsp:val=&quot;4F56149D&quot;/&gt;&lt;wsp:rsid wsp:val=&quot;4F5776DC&quot;/&gt;&lt;wsp:rsid wsp:val=&quot;4F596466&quot;/&gt;&lt;wsp:rsid wsp:val=&quot;4F5B752C&quot;/&gt;&lt;wsp:rsid wsp:val=&quot;4F5C39D0&quot;/&gt;&lt;wsp:rsid wsp:val=&quot;4F5F1AFB&quot;/&gt;&lt;wsp:rsid wsp:val=&quot;4F5F526E&quot;/&gt;&lt;wsp:rsid wsp:val=&quot;4F5F701C&quot;/&gt;&lt;wsp:rsid wsp:val=&quot;4F604B42&quot;/&gt;&lt;wsp:rsid wsp:val=&quot;4F610FE6&quot;/&gt;&lt;wsp:rsid wsp:val=&quot;4F6247EF&quot;/&gt;&lt;wsp:rsid wsp:val=&quot;4F6463E1&quot;/&gt;&lt;wsp:rsid wsp:val=&quot;4F65059F&quot;/&gt;&lt;wsp:rsid wsp:val=&quot;4F665D41&quot;/&gt;&lt;wsp:rsid wsp:val=&quot;4F6771D1&quot;/&gt;&lt;wsp:rsid wsp:val=&quot;4F681AF1&quot;/&gt;&lt;wsp:rsid wsp:val=&quot;4F6B3C13&quot;/&gt;&lt;wsp:rsid wsp:val=&quot;4F6B59C1&quot;/&gt;&lt;wsp:rsid wsp:val=&quot;4F6C328C&quot;/&gt;&lt;wsp:rsid wsp:val=&quot;4F6D1960&quot;/&gt;&lt;wsp:rsid wsp:val=&quot;4F6E67C3&quot;/&gt;&lt;wsp:rsid wsp:val=&quot;4F6E725F&quot;/&gt;&lt;wsp:rsid wsp:val=&quot;4F6F6DF3&quot;/&gt;&lt;wsp:rsid wsp:val=&quot;4F702FD7&quot;/&gt;&lt;wsp:rsid wsp:val=&quot;4F716D4F&quot;/&gt;&lt;wsp:rsid wsp:val=&quot;4F72069B&quot;/&gt;&lt;wsp:rsid wsp:val=&quot;4F734876&quot;/&gt;&lt;wsp:rsid wsp:val=&quot;4F737646&quot;/&gt;&lt;wsp:rsid wsp:val=&quot;4F7505EE&quot;/&gt;&lt;wsp:rsid wsp:val=&quot;4F764366&quot;/&gt;&lt;wsp:rsid wsp:val=&quot;4F7B197C&quot;/&gt;&lt;wsp:rsid wsp:val=&quot;4F7C1DAB&quot;/&gt;&lt;wsp:rsid wsp:val=&quot;4F7C54AB&quot;/&gt;&lt;wsp:rsid wsp:val=&quot;4F7D3946&quot;/&gt;&lt;wsp:rsid wsp:val=&quot;4F7D74A2&quot;/&gt;&lt;wsp:rsid wsp:val=&quot;4F7F321A&quot;/&gt;&lt;wsp:rsid wsp:val=&quot;4F7F76BE&quot;/&gt;&lt;wsp:rsid wsp:val=&quot;4F806F93&quot;/&gt;&lt;wsp:rsid wsp:val=&quot;4F822D0B&quot;/&gt;&lt;wsp:rsid wsp:val=&quot;4F835269&quot;/&gt;&lt;wsp:rsid wsp:val=&quot;4F844CD5&quot;/&gt;&lt;wsp:rsid wsp:val=&quot;4F860A4D&quot;/&gt;&lt;wsp:rsid wsp:val=&quot;4F866437&quot;/&gt;&lt;wsp:rsid wsp:val=&quot;4F8A0E2A&quot;/&gt;&lt;wsp:rsid wsp:val=&quot;4F8B6063&quot;/&gt;&lt;wsp:rsid wsp:val=&quot;4F8C2AF0&quot;/&gt;&lt;wsp:rsid wsp:val=&quot;4F8D1DDB&quot;/&gt;&lt;wsp:rsid wsp:val=&quot;4F8D7C8F&quot;/&gt;&lt;wsp:rsid wsp:val=&quot;4F8E16AF&quot;/&gt;&lt;wsp:rsid wsp:val=&quot;4F90367A&quot;/&gt;&lt;wsp:rsid wsp:val=&quot;4F90786D&quot;/&gt;&lt;wsp:rsid wsp:val=&quot;4F9273F2&quot;/&gt;&lt;wsp:rsid wsp:val=&quot;4F9662F5&quot;/&gt;&lt;wsp:rsid wsp:val=&quot;4F980780&quot;/&gt;&lt;wsp:rsid wsp:val=&quot;4F9843DC&quot;/&gt;&lt;wsp:rsid wsp:val=&quot;4F9A0054&quot;/&gt;&lt;wsp:rsid wsp:val=&quot;4F9A091F&quot;/&gt;&lt;wsp:rsid wsp:val=&quot;4F9A62A6&quot;/&gt;&lt;wsp:rsid wsp:val=&quot;4F9C661B&quot;/&gt;&lt;wsp:rsid wsp:val=&quot;4F9D5D96&quot;/&gt;&lt;wsp:rsid wsp:val=&quot;4F9F42B5&quot;/&gt;&lt;wsp:rsid wsp:val=&quot;4FA33112&quot;/&gt;&lt;wsp:rsid wsp:val=&quot;4FA42C81&quot;/&gt;&lt;wsp:rsid wsp:val=&quot;4FA72771&quot;/&gt;&lt;wsp:rsid wsp:val=&quot;4FA90297&quot;/&gt;&lt;wsp:rsid wsp:val=&quot;4FA964E9&quot;/&gt;&lt;wsp:rsid wsp:val=&quot;4FAA2183&quot;/&gt;&lt;wsp:rsid wsp:val=&quot;4FAB04B3&quot;/&gt;&lt;wsp:rsid wsp:val=&quot;4FAB400F&quot;/&gt;&lt;wsp:rsid wsp:val=&quot;4FAD422B&quot;/&gt;&lt;wsp:rsid wsp:val=&quot;4FAE1D52&quot;/&gt;&lt;wsp:rsid wsp:val=&quot;4FAF1267&quot;/&gt;&lt;wsp:rsid wsp:val=&quot;4FB01626&quot;/&gt;&lt;wsp:rsid wsp:val=&quot;4FB235F0&quot;/&gt;&lt;wsp:rsid wsp:val=&quot;4FB55828&quot;/&gt;&lt;wsp:rsid wsp:val=&quot;4FB70C06&quot;/&gt;&lt;wsp:rsid wsp:val=&quot;4FB8672C&quot;/&gt;&lt;wsp:rsid wsp:val=&quot;4FBA6948&quot;/&gt;&lt;wsp:rsid wsp:val=&quot;4FC155E1&quot;/&gt;&lt;wsp:rsid wsp:val=&quot;4FC21359&quot;/&gt;&lt;wsp:rsid wsp:val=&quot;4FC55A47&quot;/&gt;&lt;wsp:rsid wsp:val=&quot;4FC57A53&quot;/&gt;&lt;wsp:rsid wsp:val=&quot;4FC62A8C&quot;/&gt;&lt;wsp:rsid wsp:val=&quot;4FC6709B&quot;/&gt;&lt;wsp:rsid wsp:val=&quot;4FC82E13&quot;/&gt;&lt;wsp:rsid wsp:val=&quot;4FC84CE8&quot;/&gt;&lt;wsp:rsid wsp:val=&quot;4FC926E8&quot;/&gt;&lt;wsp:rsid wsp:val=&quot;4FCA0E8E&quot;/&gt;&lt;wsp:rsid wsp:val=&quot;4FD03A76&quot;/&gt;&lt;wsp:rsid wsp:val=&quot;4FD23C92&quot;/&gt;&lt;wsp:rsid wsp:val=&quot;4FD277EE&quot;/&gt;&lt;wsp:rsid wsp:val=&quot;4FD30C51&quot;/&gt;&lt;wsp:rsid wsp:val=&quot;4FD317B8&quot;/&gt;&lt;wsp:rsid wsp:val=&quot;4FD33566&quot;/&gt;&lt;wsp:rsid wsp:val=&quot;4FD35314&quot;/&gt;&lt;wsp:rsid wsp:val=&quot;4FD40D50&quot;/&gt;&lt;wsp:rsid wsp:val=&quot;4FD55530&quot;/&gt;&lt;wsp:rsid wsp:val=&quot;4FD67A34&quot;/&gt;&lt;wsp:rsid wsp:val=&quot;4FD74E04&quot;/&gt;&lt;wsp:rsid wsp:val=&quot;4FD86DCF&quot;/&gt;&lt;wsp:rsid wsp:val=&quot;4FDA66A3&quot;/&gt;&lt;wsp:rsid wsp:val=&quot;4FDC241B&quot;/&gt;&lt;wsp:rsid wsp:val=&quot;4FDD43E5&quot;/&gt;&lt;wsp:rsid wsp:val=&quot;4FDE2637&quot;/&gt;&lt;wsp:rsid wsp:val=&quot;4FE15C83&quot;/&gt;&lt;wsp:rsid wsp:val=&quot;4FE20F0D&quot;/&gt;&lt;wsp:rsid wsp:val=&quot;4FE24F60&quot;/&gt;&lt;wsp:rsid wsp:val=&quot;4FE319FB&quot;/&gt;&lt;wsp:rsid wsp:val=&quot;4FE51552&quot;/&gt;&lt;wsp:rsid wsp:val=&quot;4FE63299&quot;/&gt;&lt;wsp:rsid wsp:val=&quot;4FE65048&quot;/&gt;&lt;wsp:rsid wsp:val=&quot;4FE70DC0&quot;/&gt;&lt;wsp:rsid wsp:val=&quot;4FE71E43&quot;/&gt;&lt;wsp:rsid wsp:val=&quot;4FE82F87&quot;/&gt;&lt;wsp:rsid wsp:val=&quot;4FE85264&quot;/&gt;&lt;wsp:rsid wsp:val=&quot;4FE87012&quot;/&gt;&lt;wsp:rsid wsp:val=&quot;4FE93487&quot;/&gt;&lt;wsp:rsid wsp:val=&quot;4FE970AD&quot;/&gt;&lt;wsp:rsid wsp:val=&quot;4FED31F9&quot;/&gt;&lt;wsp:rsid wsp:val=&quot;4FED4228&quot;/&gt;&lt;wsp:rsid wsp:val=&quot;4FED6DF9&quot;/&gt;&lt;wsp:rsid wsp:val=&quot;4FEE03A0&quot;/&gt;&lt;wsp:rsid wsp:val=&quot;4FEE214E&quot;/&gt;&lt;wsp:rsid wsp:val=&quot;4FEE65F2&quot;/&gt;&lt;wsp:rsid wsp:val=&quot;4FEF5362&quot;/&gt;&lt;wsp:rsid wsp:val=&quot;4FF02BA9&quot;/&gt;&lt;wsp:rsid wsp:val=&quot;4FF06A17&quot;/&gt;&lt;wsp:rsid wsp:val=&quot;4FF1419D&quot;/&gt;&lt;wsp:rsid wsp:val=&quot;4FF37764&quot;/&gt;&lt;wsp:rsid wsp:val=&quot;4FF529BA&quot;/&gt;&lt;wsp:rsid wsp:val=&quot;4FF534DD&quot;/&gt;&lt;wsp:rsid wsp:val=&quot;4FF754A7&quot;/&gt;&lt;wsp:rsid wsp:val=&quot;4FFA4F97&quot;/&gt;&lt;wsp:rsid wsp:val=&quot;4FFB7CBC&quot;/&gt;&lt;wsp:rsid wsp:val=&quot;4FFC0D0F&quot;/&gt;&lt;wsp:rsid wsp:val=&quot;4FFD0EF1&quot;/&gt;&lt;wsp:rsid wsp:val=&quot;4FFE6835&quot;/&gt;&lt;wsp:rsid wsp:val=&quot;50003B61&quot;/&gt;&lt;wsp:rsid wsp:val=&quot;50007ACD&quot;/&gt;&lt;wsp:rsid wsp:val=&quot;50016325&quot;/&gt;&lt;wsp:rsid wsp:val=&quot;5003209D&quot;/&gt;&lt;wsp:rsid wsp:val=&quot;500603CA&quot;/&gt;&lt;wsp:rsid wsp:val=&quot;50067498&quot;/&gt;&lt;wsp:rsid wsp:val=&quot;50071213&quot;/&gt;&lt;wsp:rsid wsp:val=&quot;5007625F&quot;/&gt;&lt;wsp:rsid wsp:val=&quot;500779A6&quot;/&gt;&lt;wsp:rsid wsp:val=&quot;500B5A77&quot;/&gt;&lt;wsp:rsid wsp:val=&quot;500E27F0&quot;/&gt;&lt;wsp:rsid wsp:val=&quot;501222E0&quot;/&gt;&lt;wsp:rsid wsp:val=&quot;50123466&quot;/&gt;&lt;wsp:rsid wsp:val=&quot;5012408F&quot;/&gt;&lt;wsp:rsid wsp:val=&quot;50125E3D&quot;/&gt;&lt;wsp:rsid wsp:val=&quot;50153B7F&quot;/&gt;&lt;wsp:rsid wsp:val=&quot;501716A5&quot;/&gt;&lt;wsp:rsid wsp:val=&quot;501734E8&quot;/&gt;&lt;wsp:rsid wsp:val=&quot;5017693A&quot;/&gt;&lt;wsp:rsid wsp:val=&quot;501A2F43&quot;/&gt;&lt;wsp:rsid wsp:val=&quot;501A73E7&quot;/&gt;&lt;wsp:rsid wsp:val=&quot;501C6CBB&quot;/&gt;&lt;wsp:rsid wsp:val=&quot;501E0C85&quot;/&gt;&lt;wsp:rsid wsp:val=&quot;501F0559&quot;/&gt;&lt;wsp:rsid wsp:val=&quot;50210776&quot;/&gt;&lt;wsp:rsid wsp:val=&quot;50212524&quot;/&gt;&lt;wsp:rsid wsp:val=&quot;502322A4&quot;/&gt;&lt;wsp:rsid wsp:val=&quot;502344EE&quot;/&gt;&lt;wsp:rsid wsp:val=&quot;502618E8&quot;/&gt;&lt;wsp:rsid wsp:val=&quot;50267B3A&quot;/&gt;&lt;wsp:rsid wsp:val=&quot;502838B2&quot;/&gt;&lt;wsp:rsid wsp:val=&quot;50285660&quot;/&gt;&lt;wsp:rsid wsp:val=&quot;502A1900&quot;/&gt;&lt;wsp:rsid wsp:val=&quot;502D2F07&quot;/&gt;&lt;wsp:rsid wsp:val=&quot;502D711A&quot;/&gt;&lt;wsp:rsid wsp:val=&quot;50306C0B&quot;/&gt;&lt;wsp:rsid wsp:val=&quot;5034567F&quot;/&gt;&lt;wsp:rsid wsp:val=&quot;50354221&quot;/&gt;&lt;wsp:rsid wsp:val=&quot;50355FCF&quot;/&gt;&lt;wsp:rsid wsp:val=&quot;50373AF5&quot;/&gt;&lt;wsp:rsid wsp:val=&quot;50395ABF&quot;/&gt;&lt;wsp:rsid wsp:val=&quot;5039786D&quot;/&gt;&lt;wsp:rsid wsp:val=&quot;503A3CBF&quot;/&gt;&lt;wsp:rsid wsp:val=&quot;503A5393&quot;/&gt;&lt;wsp:rsid wsp:val=&quot;503B4AE7&quot;/&gt;&lt;wsp:rsid wsp:val=&quot;503E4E84&quot;/&gt;&lt;wsp:rsid wsp:val=&quot;503E6C32&quot;/&gt;&lt;wsp:rsid wsp:val=&quot;503F0BFC&quot;/&gt;&lt;wsp:rsid wsp:val=&quot;50412BC6&quot;/&gt;&lt;wsp:rsid wsp:val=&quot;50414974&quot;/&gt;&lt;wsp:rsid wsp:val=&quot;504163F0&quot;/&gt;&lt;wsp:rsid wsp:val=&quot;50416722&quot;/&gt;&lt;wsp:rsid wsp:val=&quot;5043249A&quot;/&gt;&lt;wsp:rsid wsp:val=&quot;5043693E&quot;/&gt;&lt;wsp:rsid wsp:val=&quot;50447FC0&quot;/&gt;&lt;wsp:rsid wsp:val=&quot;504513F5&quot;/&gt;&lt;wsp:rsid wsp:val=&quot;504639A3&quot;/&gt;&lt;wsp:rsid wsp:val=&quot;50474E75&quot;/&gt;&lt;wsp:rsid wsp:val=&quot;50485D02&quot;/&gt;&lt;wsp:rsid wsp:val=&quot;50487AB0&quot;/&gt;&lt;wsp:rsid wsp:val=&quot;504908E4&quot;/&gt;&lt;wsp:rsid wsp:val=&quot;50497753&quot;/&gt;&lt;wsp:rsid wsp:val=&quot;504A7CCC&quot;/&gt;&lt;wsp:rsid wsp:val=&quot;504B75A0&quot;/&gt;&lt;wsp:rsid wsp:val=&quot;504C3CD5&quot;/&gt;&lt;wsp:rsid wsp:val=&quot;504D3319&quot;/&gt;&lt;wsp:rsid wsp:val=&quot;504D5BA8&quot;/&gt;&lt;wsp:rsid wsp:val=&quot;504F0E3F&quot;/&gt;&lt;wsp:rsid wsp:val=&quot;50504C4B&quot;/&gt;&lt;wsp:rsid wsp:val=&quot;50506965&quot;/&gt;&lt;wsp:rsid wsp:val=&quot;5051105B&quot;/&gt;&lt;wsp:rsid wsp:val=&quot;50522FDC&quot;/&gt;&lt;wsp:rsid wsp:val=&quot;50546455&quot;/&gt;&lt;wsp:rsid wsp:val=&quot;50566671&quot;/&gt;&lt;wsp:rsid wsp:val=&quot;50575F45&quot;/&gt;&lt;wsp:rsid wsp:val=&quot;50591CBD&quot;/&gt;&lt;wsp:rsid wsp:val=&quot;505A77E4&quot;/&gt;&lt;wsp:rsid wsp:val=&quot;505E1082&quot;/&gt;&lt;wsp:rsid wsp:val=&quot;5060304C&quot;/&gt;&lt;wsp:rsid wsp:val=&quot;50616DC4&quot;/&gt;&lt;wsp:rsid wsp:val=&quot;5066262C&quot;/&gt;&lt;wsp:rsid wsp:val=&quot;50665CDB&quot;/&gt;&lt;wsp:rsid wsp:val=&quot;50681F00&quot;/&gt;&lt;wsp:rsid wsp:val=&quot;506863A4&quot;/&gt;&lt;wsp:rsid wsp:val=&quot;506A211C&quot;/&gt;&lt;wsp:rsid wsp:val=&quot;506A3ECB&quot;/&gt;&lt;wsp:rsid wsp:val=&quot;506C28E5&quot;/&gt;&lt;wsp:rsid wsp:val=&quot;506D39BB&quot;/&gt;&lt;wsp:rsid wsp:val=&quot;506D5769&quot;/&gt;&lt;wsp:rsid wsp:val=&quot;506D7517&quot;/&gt;&lt;wsp:rsid wsp:val=&quot;506F14E1&quot;/&gt;&lt;wsp:rsid wsp:val=&quot;506F328F&quot;/&gt;&lt;wsp:rsid wsp:val=&quot;506F6F2A&quot;/&gt;&lt;wsp:rsid wsp:val=&quot;506F7733&quot;/&gt;&lt;wsp:rsid wsp:val=&quot;50715259&quot;/&gt;&lt;wsp:rsid wsp:val=&quot;50720FD1&quot;/&gt;&lt;wsp:rsid wsp:val=&quot;50722D7F&quot;/&gt;&lt;wsp:rsid wsp:val=&quot;50746AF7&quot;/&gt;&lt;wsp:rsid wsp:val=&quot;507552DF&quot;/&gt;&lt;wsp:rsid wsp:val=&quot;507629FF&quot;/&gt;&lt;wsp:rsid wsp:val=&quot;50772144&quot;/&gt;&lt;wsp:rsid wsp:val=&quot;50795EBC&quot;/&gt;&lt;wsp:rsid wsp:val=&quot;507C0FC7&quot;/&gt;&lt;wsp:rsid wsp:val=&quot;507C775A&quot;/&gt;&lt;wsp:rsid wsp:val=&quot;507E1724&quot;/&gt;&lt;wsp:rsid wsp:val=&quot;507E34D2&quot;/&gt;&lt;wsp:rsid wsp:val=&quot;507E6391&quot;/&gt;&lt;wsp:rsid wsp:val=&quot;507F4483&quot;/&gt;&lt;wsp:rsid wsp:val=&quot;507F7F57&quot;/&gt;&lt;wsp:rsid wsp:val=&quot;50811214&quot;/&gt;&lt;wsp:rsid wsp:val=&quot;50812FC2&quot;/&gt;&lt;wsp:rsid wsp:val=&quot;50824D12&quot;/&gt;&lt;wsp:rsid wsp:val=&quot;50844392&quot;/&gt;&lt;wsp:rsid wsp:val=&quot;50860E67&quot;/&gt;&lt;wsp:rsid wsp:val=&quot;50874A7C&quot;/&gt;&lt;wsp:rsid wsp:val=&quot;508807F5&quot;/&gt;&lt;wsp:rsid wsp:val=&quot;50884351&quot;/&gt;&lt;wsp:rsid wsp:val=&quot;508A00C9&quot;/&gt;&lt;wsp:rsid wsp:val=&quot;508A1E77&quot;/&gt;&lt;wsp:rsid wsp:val=&quot;508A631B&quot;/&gt;&lt;wsp:rsid wsp:val=&quot;50923421&quot;/&gt;&lt;wsp:rsid wsp:val=&quot;50925C97&quot;/&gt;&lt;wsp:rsid wsp:val=&quot;50940F47&quot;/&gt;&lt;wsp:rsid wsp:val=&quot;50966A6E&quot;/&gt;&lt;wsp:rsid wsp:val=&quot;50967405&quot;/&gt;&lt;wsp:rsid wsp:val=&quot;50974594&quot;/&gt;&lt;wsp:rsid wsp:val=&quot;50977F78&quot;/&gt;&lt;wsp:rsid wsp:val=&quot;509947B0&quot;/&gt;&lt;wsp:rsid wsp:val=&quot;509B4084&quot;/&gt;&lt;wsp:rsid wsp:val=&quot;509B6FFA&quot;/&gt;&lt;wsp:rsid wsp:val=&quot;509B7A53&quot;/&gt;&lt;wsp:rsid wsp:val=&quot;509C6E7C&quot;/&gt;&lt;wsp:rsid wsp:val=&quot;509D7DA2&quot;/&gt;&lt;wsp:rsid wsp:val=&quot;509F054C&quot;/&gt;&lt;wsp:rsid wsp:val=&quot;50A15412&quot;/&gt;&lt;wsp:rsid wsp:val=&quot;50A373DC&quot;/&gt;&lt;wsp:rsid wsp:val=&quot;50A46360&quot;/&gt;&lt;wsp:rsid wsp:val=&quot;50A52A93&quot;/&gt;&lt;wsp:rsid wsp:val=&quot;50A54F03&quot;/&gt;&lt;wsp:rsid wsp:val=&quot;50A82C45&quot;/&gt;&lt;wsp:rsid wsp:val=&quot;50AA2519&quot;/&gt;&lt;wsp:rsid wsp:val=&quot;50AA42C7&quot;/&gt;&lt;wsp:rsid wsp:val=&quot;50AD2009&quot;/&gt;&lt;wsp:rsid wsp:val=&quot;50AF18DD&quot;/&gt;&lt;wsp:rsid wsp:val=&quot;50AF7B2F&quot;/&gt;&lt;wsp:rsid wsp:val=&quot;50B0055B&quot;/&gt;&lt;wsp:rsid wsp:val=&quot;50B2258E&quot;/&gt;&lt;wsp:rsid wsp:val=&quot;50B415EA&quot;/&gt;&lt;wsp:rsid wsp:val=&quot;50B52C6C&quot;/&gt;&lt;wsp:rsid wsp:val=&quot;50B60EBE&quot;/&gt;&lt;wsp:rsid wsp:val=&quot;50B909AE&quot;/&gt;&lt;wsp:rsid wsp:val=&quot;50BD049E&quot;/&gt;&lt;wsp:rsid wsp:val=&quot;50BE5FC4&quot;/&gt;&lt;wsp:rsid wsp:val=&quot;50BE7D72&quot;/&gt;&lt;wsp:rsid wsp:val=&quot;50C02456&quot;/&gt;&lt;wsp:rsid wsp:val=&quot;50C11611&quot;/&gt;&lt;wsp:rsid wsp:val=&quot;50C138E6&quot;/&gt;&lt;wsp:rsid wsp:val=&quot;50C25AB5&quot;/&gt;&lt;wsp:rsid wsp:val=&quot;50C42A70&quot;/&gt;&lt;wsp:rsid wsp:val=&quot;50C44837&quot;/&gt;&lt;wsp:rsid wsp:val=&quot;50C45240&quot;/&gt;&lt;wsp:rsid wsp:val=&quot;50C64B87&quot;/&gt;&lt;wsp:rsid wsp:val=&quot;50C7131D&quot;/&gt;&lt;wsp:rsid wsp:val=&quot;50C75F2C&quot;/&gt;&lt;wsp:rsid wsp:val=&quot;50CC06E1&quot;/&gt;&lt;wsp:rsid wsp:val=&quot;50CC248F&quot;/&gt;&lt;wsp:rsid wsp:val=&quot;50CD1E89&quot;/&gt;&lt;wsp:rsid wsp:val=&quot;50CD4459&quot;/&gt;&lt;wsp:rsid wsp:val=&quot;50CE4754&quot;/&gt;&lt;wsp:rsid wsp:val=&quot;50CF01D2&quot;/&gt;&lt;wsp:rsid wsp:val=&quot;50CF1F80&quot;/&gt;&lt;wsp:rsid wsp:val=&quot;50D11C9A&quot;/&gt;&lt;wsp:rsid wsp:val=&quot;50D12F3C&quot;/&gt;&lt;wsp:rsid wsp:val=&quot;50D2312A&quot;/&gt;&lt;wsp:rsid wsp:val=&quot;50D35CFB&quot;/&gt;&lt;wsp:rsid wsp:val=&quot;50D40C8C&quot;/&gt;&lt;wsp:rsid wsp:val=&quot;50D41344&quot;/&gt;&lt;wsp:rsid wsp:val=&quot;50D4718B&quot;/&gt;&lt;wsp:rsid wsp:val=&quot;50D47596&quot;/&gt;&lt;wsp:rsid wsp:val=&quot;50D60C6A&quot;/&gt;&lt;wsp:rsid wsp:val=&quot;50D650BC&quot;/&gt;&lt;wsp:rsid wsp:val=&quot;50D65543&quot;/&gt;&lt;wsp:rsid wsp:val=&quot;50D75B0C&quot;/&gt;&lt;wsp:rsid wsp:val=&quot;50D852D8&quot;/&gt;&lt;wsp:rsid wsp:val=&quot;50D91050&quot;/&gt;&lt;wsp:rsid wsp:val=&quot;50D94BAC&quot;/&gt;&lt;wsp:rsid wsp:val=&quot;50D95830&quot;/&gt;&lt;wsp:rsid wsp:val=&quot;50DA183E&quot;/&gt;&lt;wsp:rsid wsp:val=&quot;50DB26D2&quot;/&gt;&lt;wsp:rsid wsp:val=&quot;50DB6B76&quot;/&gt;&lt;wsp:rsid wsp:val=&quot;50DE53F6&quot;/&gt;&lt;wsp:rsid wsp:val=&quot;50DF60FE&quot;/&gt;&lt;wsp:rsid wsp:val=&quot;50E05F3B&quot;/&gt;&lt;wsp:rsid wsp:val=&quot;50E21CB3&quot;/&gt;&lt;wsp:rsid wsp:val=&quot;50E341DB&quot;/&gt;&lt;wsp:rsid wsp:val=&quot;50E357F0&quot;/&gt;&lt;wsp:rsid wsp:val=&quot;50E377D9&quot;/&gt;&lt;wsp:rsid wsp:val=&quot;50E6588A&quot;/&gt;&lt;wsp:rsid wsp:val=&quot;50EA6DB9&quot;/&gt;&lt;wsp:rsid wsp:val=&quot;50EE063D&quot;/&gt;&lt;wsp:rsid wsp:val=&quot;50EE1C37&quot;/&gt;&lt;wsp:rsid wsp:val=&quot;50F10148&quot;/&gt;&lt;wsp:rsid wsp:val=&quot;50F1639A&quot;/&gt;&lt;wsp:rsid wsp:val=&quot;50F264F0&quot;/&gt;&lt;wsp:rsid wsp:val=&quot;50F2676D&quot;/&gt;&lt;wsp:rsid wsp:val=&quot;50F32112&quot;/&gt;&lt;wsp:rsid wsp:val=&quot;50F419E6&quot;/&gt;&lt;wsp:rsid wsp:val=&quot;50F55B1D&quot;/&gt;&lt;wsp:rsid wsp:val=&quot;50F6575E&quot;/&gt;&lt;wsp:rsid wsp:val=&quot;50F72166&quot;/&gt;&lt;wsp:rsid wsp:val=&quot;50F814D6&quot;/&gt;&lt;wsp:rsid wsp:val=&quot;50F96FFC&quot;/&gt;&lt;wsp:rsid wsp:val=&quot;50FB2D75&quot;/&gt;&lt;wsp:rsid wsp:val=&quot;50FD4618&quot;/&gt;&lt;wsp:rsid wsp:val=&quot;50FD4D3F&quot;/&gt;&lt;wsp:rsid wsp:val=&quot;50FE4613&quot;/&gt;&lt;wsp:rsid wsp:val=&quot;50FF65F4&quot;/&gt;&lt;wsp:rsid wsp:val=&quot;51002139&quot;/&gt;&lt;wsp:rsid wsp:val=&quot;510161A8&quot;/&gt;&lt;wsp:rsid wsp:val=&quot;51067449&quot;/&gt;&lt;wsp:rsid wsp:val=&quot;510734C7&quot;/&gt;&lt;wsp:rsid wsp:val=&quot;5108607B&quot;/&gt;&lt;wsp:rsid wsp:val=&quot;510861A6&quot;/&gt;&lt;wsp:rsid wsp:val=&quot;51087240&quot;/&gt;&lt;wsp:rsid wsp:val=&quot;510936E3&quot;/&gt;&lt;wsp:rsid wsp:val=&quot;51094EF2&quot;/&gt;&lt;wsp:rsid wsp:val=&quot;510C4F82&quot;/&gt;&lt;wsp:rsid wsp:val=&quot;510E07AC&quot;/&gt;&lt;wsp:rsid wsp:val=&quot;510F6820&quot;/&gt;&lt;wsp:rsid wsp:val=&quot;511107EA&quot;/&gt;&lt;wsp:rsid wsp:val=&quot;51112598&quot;/&gt;&lt;wsp:rsid wsp:val=&quot;51121E6C&quot;/&gt;&lt;wsp:rsid wsp:val=&quot;51131A4D&quot;/&gt;&lt;wsp:rsid wsp:val=&quot;51134562&quot;/&gt;&lt;wsp:rsid wsp:val=&quot;51145BE4&quot;/&gt;&lt;wsp:rsid wsp:val=&quot;5116195C&quot;/&gt;&lt;wsp:rsid wsp:val=&quot;51165E00&quot;/&gt;&lt;wsp:rsid wsp:val=&quot;51167BAE&quot;/&gt;&lt;wsp:rsid wsp:val=&quot;51174CCA&quot;/&gt;&lt;wsp:rsid wsp:val=&quot;511756C2&quot;/&gt;&lt;wsp:rsid wsp:val=&quot;51181B78&quot;/&gt;&lt;wsp:rsid wsp:val=&quot;5119144D&quot;/&gt;&lt;wsp:rsid wsp:val=&quot;5119769F&quot;/&gt;&lt;wsp:rsid wsp:val=&quot;511A77B1&quot;/&gt;&lt;wsp:rsid wsp:val=&quot;511B3417&quot;/&gt;&lt;wsp:rsid wsp:val=&quot;511B51C5&quot;/&gt;&lt;wsp:rsid wsp:val=&quot;511B6F73&quot;/&gt;&lt;wsp:rsid wsp:val=&quot;511D718F&quot;/&gt;&lt;wsp:rsid wsp:val=&quot;511E4CB5&quot;/&gt;&lt;wsp:rsid wsp:val=&quot;511F3F91&quot;/&gt;&lt;wsp:rsid wsp:val=&quot;512037C9&quot;/&gt;&lt;wsp:rsid wsp:val=&quot;51220301&quot;/&gt;&lt;wsp:rsid wsp:val=&quot;51234079&quot;/&gt;&lt;wsp:rsid wsp:val=&quot;5124051D&quot;/&gt;&lt;wsp:rsid wsp:val=&quot;512531C2&quot;/&gt;&lt;wsp:rsid wsp:val=&quot;51281690&quot;/&gt;&lt;wsp:rsid wsp:val=&quot;51295B34&quot;/&gt;&lt;wsp:rsid wsp:val=&quot;512978E2&quot;/&gt;&lt;wsp:rsid wsp:val=&quot;512A365A&quot;/&gt;&lt;wsp:rsid wsp:val=&quot;512A5408&quot;/&gt;&lt;wsp:rsid wsp:val=&quot;512C73D2&quot;/&gt;&lt;wsp:rsid wsp:val=&quot;512E091C&quot;/&gt;&lt;wsp:rsid wsp:val=&quot;512F2A1E&quot;/&gt;&lt;wsp:rsid wsp:val=&quot;512F6EC2&quot;/&gt;&lt;wsp:rsid wsp:val=&quot;51301FBE&quot;/&gt;&lt;wsp:rsid wsp:val=&quot;51305287&quot;/&gt;&lt;wsp:rsid wsp:val=&quot;51312C3A&quot;/&gt;&lt;wsp:rsid wsp:val=&quot;513242BC&quot;/&gt;&lt;wsp:rsid wsp:val=&quot;51330760&quot;/&gt;&lt;wsp:rsid wsp:val=&quot;51385D77&quot;/&gt;&lt;wsp:rsid wsp:val=&quot;5139389D&quot;/&gt;&lt;wsp:rsid wsp:val=&quot;513969CF&quot;/&gt;&lt;wsp:rsid wsp:val=&quot;513B13C3&quot;/&gt;&lt;wsp:rsid wsp:val=&quot;513C15BE&quot;/&gt;&lt;wsp:rsid wsp:val=&quot;513D513B&quot;/&gt;&lt;wsp:rsid wsp:val=&quot;513D755B&quot;/&gt;&lt;wsp:rsid wsp:val=&quot;513E2C61&quot;/&gt;&lt;wsp:rsid wsp:val=&quot;513F7105&quot;/&gt;&lt;wsp:rsid wsp:val=&quot;514209A3&quot;/&gt;&lt;wsp:rsid wsp:val=&quot;51422751&quot;/&gt;&lt;wsp:rsid wsp:val=&quot;51426BF5&quot;/&gt;&lt;wsp:rsid wsp:val=&quot;51433EC6&quot;/&gt;&lt;wsp:rsid wsp:val=&quot;5144296E&quot;/&gt;&lt;wsp:rsid wsp:val=&quot;51442FEA&quot;/&gt;&lt;wsp:rsid wsp:val=&quot;51450494&quot;/&gt;&lt;wsp:rsid wsp:val=&quot;51451AF4&quot;/&gt;&lt;wsp:rsid wsp:val=&quot;5147420C&quot;/&gt;&lt;wsp:rsid wsp:val=&quot;5148350E&quot;/&gt;&lt;wsp:rsid wsp:val=&quot;5149499E&quot;/&gt;&lt;wsp:rsid wsp:val=&quot;514A7062&quot;/&gt;&lt;wsp:rsid wsp:val=&quot;514B3CFC&quot;/&gt;&lt;wsp:rsid wsp:val=&quot;514C1822&quot;/&gt;&lt;wsp:rsid wsp:val=&quot;514F30C0&quot;/&gt;&lt;wsp:rsid wsp:val=&quot;51510332&quot;/&gt;&lt;wsp:rsid wsp:val=&quot;51510BE7&quot;/&gt;&lt;wsp:rsid wsp:val=&quot;51542485&quot;/&gt;&lt;wsp:rsid wsp:val=&quot;51570432&quot;/&gt;&lt;wsp:rsid wsp:val=&quot;51573196&quot;/&gt;&lt;wsp:rsid wsp:val=&quot;51586233&quot;/&gt;&lt;wsp:rsid wsp:val=&quot;51586419&quot;/&gt;&lt;wsp:rsid wsp:val=&quot;51595CED&quot;/&gt;&lt;wsp:rsid wsp:val=&quot;515A3F3F&quot;/&gt;&lt;wsp:rsid wsp:val=&quot;515B3DD2&quot;/&gt;&lt;wsp:rsid wsp:val=&quot;515D57DD&quot;/&gt;&lt;wsp:rsid wsp:val=&quot;515D758B&quot;/&gt;&lt;wsp:rsid wsp:val=&quot;515E2B63&quot;/&gt;&lt;wsp:rsid wsp:val=&quot;515F3303&quot;/&gt;&lt;wsp:rsid wsp:val=&quot;51600054&quot;/&gt;&lt;wsp:rsid wsp:val=&quot;5160707C&quot;/&gt;&lt;wsp:rsid wsp:val=&quot;5162104E&quot;/&gt;&lt;wsp:rsid wsp:val=&quot;51644DBE&quot;/&gt;&lt;wsp:rsid wsp:val=&quot;516642EA&quot;/&gt;&lt;wsp:rsid wsp:val=&quot;51666CAC&quot;/&gt;&lt;wsp:rsid wsp:val=&quot;5169153E&quot;/&gt;&lt;wsp:rsid wsp:val=&quot;516923D4&quot;/&gt;&lt;wsp:rsid wsp:val=&quot;51695F30&quot;/&gt;&lt;wsp:rsid wsp:val=&quot;51696558&quot;/&gt;&lt;wsp:rsid wsp:val=&quot;516B614C&quot;/&gt;&lt;wsp:rsid wsp:val=&quot;516C77CE&quot;/&gt;&lt;wsp:rsid wsp:val=&quot;516E1798&quot;/&gt;&lt;wsp:rsid wsp:val=&quot;51705511&quot;/&gt;&lt;wsp:rsid wsp:val=&quot;51713037&quot;/&gt;&lt;wsp:rsid wsp:val=&quot;51714DE5&quot;/&gt;&lt;wsp:rsid wsp:val=&quot;517174DB&quot;/&gt;&lt;wsp:rsid wsp:val=&quot;51725F12&quot;/&gt;&lt;wsp:rsid wsp:val=&quot;517364CA&quot;/&gt;&lt;wsp:rsid wsp:val=&quot;517372A6&quot;/&gt;&lt;wsp:rsid wsp:val=&quot;51756313&quot;/&gt;&lt;wsp:rsid wsp:val=&quot;51764AF1&quot;/&gt;&lt;wsp:rsid wsp:val=&quot;5176689F&quot;/&gt;&lt;wsp:rsid wsp:val=&quot;517862DB&quot;/&gt;&lt;wsp:rsid wsp:val=&quot;517A013D&quot;/&gt;&lt;wsp:rsid wsp:val=&quot;517A638F&quot;/&gt;&lt;wsp:rsid wsp:val=&quot;517D19DC&quot;/&gt;&lt;wsp:rsid wsp:val=&quot;517F7502&quot;/&gt;&lt;wsp:rsid wsp:val=&quot;51826FF2&quot;/&gt;&lt;wsp:rsid wsp:val=&quot;518412A6&quot;/&gt;&lt;wsp:rsid wsp:val=&quot;51845DE3&quot;/&gt;&lt;wsp:rsid wsp:val=&quot;5184720E&quot;/&gt;&lt;wsp:rsid wsp:val=&quot;51850890&quot;/&gt;&lt;wsp:rsid wsp:val=&quot;51851EB1&quot;/&gt;&lt;wsp:rsid wsp:val=&quot;51856AE2&quot;/&gt;&lt;wsp:rsid wsp:val=&quot;51863288&quot;/&gt;&lt;wsp:rsid wsp:val=&quot;51874608&quot;/&gt;&lt;wsp:rsid wsp:val=&quot;51890380&quot;/&gt;&lt;wsp:rsid wsp:val=&quot;518A40F8&quot;/&gt;&lt;wsp:rsid wsp:val=&quot;518A5EA7&quot;/&gt;&lt;wsp:rsid wsp:val=&quot;518B672F&quot;/&gt;&lt;wsp:rsid wsp:val=&quot;518C1C1F&quot;/&gt;&lt;wsp:rsid wsp:val=&quot;518C4C2B&quot;/&gt;&lt;wsp:rsid wsp:val=&quot;518C60C3&quot;/&gt;&lt;wsp:rsid wsp:val=&quot;519136D9&quot;/&gt;&lt;wsp:rsid wsp:val=&quot;5191557D&quot;/&gt;&lt;wsp:rsid wsp:val=&quot;51917235&quot;/&gt;&lt;wsp:rsid wsp:val=&quot;51932FAD&quot;/&gt;&lt;wsp:rsid wsp:val=&quot;51945ED0&quot;/&gt;&lt;wsp:rsid wsp:val=&quot;51954F77&quot;/&gt;&lt;wsp:rsid wsp:val=&quot;51956D25&quot;/&gt;&lt;wsp:rsid wsp:val=&quot;51976F41&quot;/&gt;&lt;wsp:rsid wsp:val=&quot;51984A67&quot;/&gt;&lt;wsp:rsid wsp:val=&quot;51986D55&quot;/&gt;&lt;wsp:rsid wsp:val=&quot;519B00B4&quot;/&gt;&lt;wsp:rsid wsp:val=&quot;519B2098&quot;/&gt;&lt;wsp:rsid wsp:val=&quot;519C4558&quot;/&gt;&lt;wsp:rsid wsp:val=&quot;519D3E2C&quot;/&gt;&lt;wsp:rsid wsp:val=&quot;519F1952&quot;/&gt;&lt;wsp:rsid wsp:val=&quot;519F2BF9&quot;/&gt;&lt;wsp:rsid wsp:val=&quot;519F5DF6&quot;/&gt;&lt;wsp:rsid wsp:val=&quot;51A0391C&quot;/&gt;&lt;wsp:rsid wsp:val=&quot;51A054E7&quot;/&gt;&lt;wsp:rsid wsp:val=&quot;51A229D8&quot;/&gt;&lt;wsp:rsid wsp:val=&quot;51A57EC9&quot;/&gt;&lt;wsp:rsid wsp:val=&quot;51A96C75&quot;/&gt;&lt;wsp:rsid wsp:val=&quot;51AB479B&quot;/&gt;&lt;wsp:rsid wsp:val=&quot;51B11685&quot;/&gt;&lt;wsp:rsid wsp:val=&quot;51B15B29&quot;/&gt;&lt;wsp:rsid wsp:val=&quot;51B178D7&quot;/&gt;&lt;wsp:rsid wsp:val=&quot;51B20588&quot;/&gt;&lt;wsp:rsid wsp:val=&quot;51B278FC&quot;/&gt;&lt;wsp:rsid wsp:val=&quot;51B318A1&quot;/&gt;&lt;wsp:rsid wsp:val=&quot;51B3364F&quot;/&gt;&lt;wsp:rsid wsp:val=&quot;51B353FD&quot;/&gt;&lt;wsp:rsid wsp:val=&quot;51B435EF&quot;/&gt;&lt;wsp:rsid wsp:val=&quot;51B72F48&quot;/&gt;&lt;wsp:rsid wsp:val=&quot;51B82A14&quot;/&gt;&lt;wsp:rsid wsp:val=&quot;51BA2C30&quot;/&gt;&lt;wsp:rsid wsp:val=&quot;51BA4ED9&quot;/&gt;&lt;wsp:rsid wsp:val=&quot;51BC0756&quot;/&gt;&lt;wsp:rsid wsp:val=&quot;51BC1A4F&quot;/&gt;&lt;wsp:rsid wsp:val=&quot;51BD75E0&quot;/&gt;&lt;wsp:rsid wsp:val=&quot;51BE390E&quot;/&gt;&lt;wsp:rsid wsp:val=&quot;51BE431A&quot;/&gt;&lt;wsp:rsid wsp:val=&quot;51BF0246&quot;/&gt;&lt;wsp:rsid wsp:val=&quot;51BF1FF4&quot;/&gt;&lt;wsp:rsid wsp:val=&quot;51C27D36&quot;/&gt;&lt;wsp:rsid wsp:val=&quot;51C30881&quot;/&gt;&lt;wsp:rsid wsp:val=&quot;51C32DEB&quot;/&gt;&lt;wsp:rsid wsp:val=&quot;51C413B8&quot;/&gt;&lt;wsp:rsid wsp:val=&quot;51C55131&quot;/&gt;&lt;wsp:rsid wsp:val=&quot;51C70EA9&quot;/&gt;&lt;wsp:rsid wsp:val=&quot;51C83E52&quot;/&gt;&lt;wsp:rsid wsp:val=&quot;51C8791B&quot;/&gt;&lt;wsp:rsid wsp:val=&quot;51C94C21&quot;/&gt;&lt;wsp:rsid wsp:val=&quot;51CB2747&quot;/&gt;&lt;wsp:rsid wsp:val=&quot;51CC27B3&quot;/&gt;&lt;wsp:rsid wsp:val=&quot;51CC3074&quot;/&gt;&lt;wsp:rsid wsp:val=&quot;51D3602E&quot;/&gt;&lt;wsp:rsid wsp:val=&quot;51D57A6A&quot;/&gt;&lt;wsp:rsid wsp:val=&quot;51D610EC&quot;/&gt;&lt;wsp:rsid wsp:val=&quot;51D6733E&quot;/&gt;&lt;wsp:rsid wsp:val=&quot;51D718C7&quot;/&gt;&lt;wsp:rsid wsp:val=&quot;51D75590&quot;/&gt;&lt;wsp:rsid wsp:val=&quot;51D81308&quot;/&gt;&lt;wsp:rsid wsp:val=&quot;51DA681B&quot;/&gt;&lt;wsp:rsid wsp:val=&quot;51DB6702&quot;/&gt;&lt;wsp:rsid wsp:val=&quot;51DF2696&quot;/&gt;&lt;wsp:rsid wsp:val=&quot;51DF6918&quot;/&gt;&lt;wsp:rsid wsp:val=&quot;51E11F6A&quot;/&gt;&lt;wsp:rsid wsp:val=&quot;51E1640E&quot;/&gt;&lt;wsp:rsid wsp:val=&quot;51E21056&quot;/&gt;&lt;wsp:rsid wsp:val=&quot;51E27A91&quot;/&gt;&lt;wsp:rsid wsp:val=&quot;51E37825&quot;/&gt;&lt;wsp:rsid wsp:val=&quot;51E43809&quot;/&gt;&lt;wsp:rsid wsp:val=&quot;51E4598F&quot;/&gt;&lt;wsp:rsid wsp:val=&quot;51E657D3&quot;/&gt;&lt;wsp:rsid wsp:val=&quot;51E732F9&quot;/&gt;&lt;wsp:rsid wsp:val=&quot;51E8779D&quot;/&gt;&lt;wsp:rsid wsp:val=&quot;51E90E1F&quot;/&gt;&lt;wsp:rsid wsp:val=&quot;51E93F9C&quot;/&gt;&lt;wsp:rsid wsp:val=&quot;51E952C3&quot;/&gt;&lt;wsp:rsid wsp:val=&quot;51EB4B97&quot;/&gt;&lt;wsp:rsid wsp:val=&quot;51EE0B2B&quot;/&gt;&lt;wsp:rsid wsp:val=&quot;51EE6435&quot;/&gt;&lt;wsp:rsid wsp:val=&quot;51F0145F&quot;/&gt;&lt;wsp:rsid wsp:val=&quot;51F06651&quot;/&gt;&lt;wsp:rsid wsp:val=&quot;51F31C9E&quot;/&gt;&lt;wsp:rsid wsp:val=&quot;51F36142&quot;/&gt;&lt;wsp:rsid wsp:val=&quot;51F37EF0&quot;/&gt;&lt;wsp:rsid wsp:val=&quot;51F55A16&quot;/&gt;&lt;wsp:rsid wsp:val=&quot;51F75BDF&quot;/&gt;&lt;wsp:rsid wsp:val=&quot;51F779E0&quot;/&gt;&lt;wsp:rsid wsp:val=&quot;51FD48CA&quot;/&gt;&lt;wsp:rsid wsp:val=&quot;51FE0D6E&quot;/&gt;&lt;wsp:rsid wsp:val=&quot;51FF6894&quot;/&gt;&lt;wsp:rsid wsp:val=&quot;5201085F&quot;/&gt;&lt;wsp:rsid wsp:val=&quot;5201260D&quot;/&gt;&lt;wsp:rsid wsp:val=&quot;52020133&quot;/&gt;&lt;wsp:rsid wsp:val=&quot;52036385&quot;/&gt;&lt;wsp:rsid wsp:val=&quot;52043EAB&quot;/&gt;&lt;wsp:rsid wsp:val=&quot;52045C59&quot;/&gt;&lt;wsp:rsid wsp:val=&quot;52053F6D&quot;/&gt;&lt;wsp:rsid wsp:val=&quot;52063512&quot;/&gt;&lt;wsp:rsid wsp:val=&quot;52065E75&quot;/&gt;&lt;wsp:rsid wsp:val=&quot;52067C23&quot;/&gt;&lt;wsp:rsid wsp:val=&quot;520774F7&quot;/&gt;&lt;wsp:rsid wsp:val=&quot;5208399B&quot;/&gt;&lt;wsp:rsid wsp:val=&quot;5209326F&quot;/&gt;&lt;wsp:rsid wsp:val=&quot;520D0FB1&quot;/&gt;&lt;wsp:rsid wsp:val=&quot;520D4567&quot;/&gt;&lt;wsp:rsid wsp:val=&quot;520E4D2A&quot;/&gt;&lt;wsp:rsid wsp:val=&quot;520E6AD8&quot;/&gt;&lt;wsp:rsid wsp:val=&quot;520F187D&quot;/&gt;&lt;wsp:rsid wsp:val=&quot;52100AA2&quot;/&gt;&lt;wsp:rsid wsp:val=&quot;521039DF&quot;/&gt;&lt;wsp:rsid wsp:val=&quot;521161D6&quot;/&gt;&lt;wsp:rsid wsp:val=&quot;5212481A&quot;/&gt;&lt;wsp:rsid wsp:val=&quot;521340EE&quot;/&gt;&lt;wsp:rsid wsp:val=&quot;52135808&quot;/&gt;&lt;wsp:rsid wsp:val=&quot;521560B8&quot;/&gt;&lt;wsp:rsid wsp:val=&quot;52157E66&quot;/&gt;&lt;wsp:rsid wsp:val=&quot;52171E30&quot;/&gt;&lt;wsp:rsid wsp:val=&quot;52173BDE&quot;/&gt;&lt;wsp:rsid wsp:val=&quot;5217598C&quot;/&gt;&lt;wsp:rsid wsp:val=&quot;52187956&quot;/&gt;&lt;wsp:rsid wsp:val=&quot;521C2FA3&quot;/&gt;&lt;wsp:rsid wsp:val=&quot;521C7446&quot;/&gt;&lt;wsp:rsid wsp:val=&quot;521D6D1B&quot;/&gt;&lt;wsp:rsid wsp:val=&quot;521F17D2&quot;/&gt;&lt;wsp:rsid wsp:val=&quot;521F2A93&quot;/&gt;&lt;wsp:rsid wsp:val=&quot;52207E0C&quot;/&gt;&lt;wsp:rsid wsp:val=&quot;52210308&quot;/&gt;&lt;wsp:rsid wsp:val=&quot;52224331&quot;/&gt;&lt;wsp:rsid wsp:val=&quot;522307D5&quot;/&gt;&lt;wsp:rsid wsp:val=&quot;522410D4&quot;/&gt;&lt;wsp:rsid wsp:val=&quot;522602C5&quot;/&gt;&lt;wsp:rsid wsp:val=&quot;52262073&quot;/&gt;&lt;wsp:rsid wsp:val=&quot;52263E21&quot;/&gt;&lt;wsp:rsid wsp:val=&quot;52275EA9&quot;/&gt;&lt;wsp:rsid wsp:val=&quot;52287B99&quot;/&gt;&lt;wsp:rsid wsp:val=&quot;52291B63&quot;/&gt;&lt;wsp:rsid wsp:val=&quot;522B58DB&quot;/&gt;&lt;wsp:rsid wsp:val=&quot;522B768A&quot;/&gt;&lt;wsp:rsid wsp:val=&quot;522C6459&quot;/&gt;&lt;wsp:rsid wsp:val=&quot;522E0F28&quot;/&gt;&lt;wsp:rsid wsp:val=&quot;52326C6A&quot;/&gt;&lt;wsp:rsid wsp:val=&quot;523302EC&quot;/&gt;&lt;wsp:rsid wsp:val=&quot;52344790&quot;/&gt;&lt;wsp:rsid wsp:val=&quot;523522B6&quot;/&gt;&lt;wsp:rsid wsp:val=&quot;523625A1&quot;/&gt;&lt;wsp:rsid wsp:val=&quot;52363773&quot;/&gt;&lt;wsp:rsid wsp:val=&quot;52374280&quot;/&gt;&lt;wsp:rsid wsp:val=&quot;523A167B&quot;/&gt;&lt;wsp:rsid wsp:val=&quot;523A2882&quot;/&gt;&lt;wsp:rsid wsp:val=&quot;523A5B1F&quot;/&gt;&lt;wsp:rsid wsp:val=&quot;523A78CD&quot;/&gt;&lt;wsp:rsid wsp:val=&quot;523E560F&quot;/&gt;&lt;wsp:rsid wsp:val=&quot;523E73BD&quot;/&gt;&lt;wsp:rsid wsp:val=&quot;523F4EE3&quot;/&gt;&lt;wsp:rsid wsp:val=&quot;52406284&quot;/&gt;&lt;wsp:rsid wsp:val=&quot;52412A09&quot;/&gt;&lt;wsp:rsid wsp:val=&quot;52432C25&quot;/&gt;&lt;wsp:rsid wsp:val=&quot;5245699D&quot;/&gt;&lt;wsp:rsid wsp:val=&quot;5246001F&quot;/&gt;&lt;wsp:rsid wsp:val=&quot;52462715&quot;/&gt;&lt;wsp:rsid wsp:val=&quot;5248054A&quot;/&gt;&lt;wsp:rsid wsp:val=&quot;52497B10&quot;/&gt;&lt;wsp:rsid wsp:val=&quot;524B1ADA&quot;/&gt;&lt;wsp:rsid wsp:val=&quot;524D28F9&quot;/&gt;&lt;wsp:rsid wsp:val=&quot;524D5852&quot;/&gt;&lt;wsp:rsid wsp:val=&quot;524D7600&quot;/&gt;&lt;wsp:rsid wsp:val=&quot;525070F0&quot;/&gt;&lt;wsp:rsid wsp:val=&quot;525377A0&quot;/&gt;&lt;wsp:rsid wsp:val=&quot;52552958&quot;/&gt;&lt;wsp:rsid wsp:val=&quot;525564B4&quot;/&gt;&lt;wsp:rsid wsp:val=&quot;52562EB1&quot;/&gt;&lt;wsp:rsid wsp:val=&quot;5257047F&quot;/&gt;&lt;wsp:rsid wsp:val=&quot;525766D1&quot;/&gt;&lt;wsp:rsid wsp:val=&quot;525941F7&quot;/&gt;&lt;wsp:rsid wsp:val=&quot;52595FA5&quot;/&gt;&lt;wsp:rsid wsp:val=&quot;525A7F6F&quot;/&gt;&lt;wsp:rsid wsp:val=&quot;525B7E1D&quot;/&gt;&lt;wsp:rsid wsp:val=&quot;525D5136&quot;/&gt;&lt;wsp:rsid wsp:val=&quot;525E180D&quot;/&gt;&lt;wsp:rsid wsp:val=&quot;525E5A85&quot;/&gt;&lt;wsp:rsid wsp:val=&quot;525F17E0&quot;/&gt;&lt;wsp:rsid wsp:val=&quot;525F7333&quot;/&gt;&lt;wsp:rsid wsp:val=&quot;52676E2D&quot;/&gt;&lt;wsp:rsid wsp:val=&quot;526B217C&quot;/&gt;&lt;wsp:rsid wsp:val=&quot;526D7CA2&quot;/&gt;&lt;wsp:rsid wsp:val=&quot;526F3A1A&quot;/&gt;&lt;wsp:rsid wsp:val=&quot;526F5AE9&quot;/&gt;&lt;wsp:rsid wsp:val=&quot;52701540&quot;/&gt;&lt;wsp:rsid wsp:val=&quot;52727066&quot;/&gt;&lt;wsp:rsid wsp:val=&quot;52741030&quot;/&gt;&lt;wsp:rsid wsp:val=&quot;52742DDF&quot;/&gt;&lt;wsp:rsid wsp:val=&quot;52750905&quot;/&gt;&lt;wsp:rsid wsp:val=&quot;527728CF&quot;/&gt;&lt;wsp:rsid wsp:val=&quot;52775881&quot;/&gt;&lt;wsp:rsid wsp:val=&quot;527821A3&quot;/&gt;&lt;wsp:rsid wsp:val=&quot;527949B6&quot;/&gt;&lt;wsp:rsid wsp:val=&quot;52796647&quot;/&gt;&lt;wsp:rsid wsp:val=&quot;527A5F1B&quot;/&gt;&lt;wsp:rsid wsp:val=&quot;527B23BF&quot;/&gt;&lt;wsp:rsid wsp:val=&quot;527C6137&quot;/&gt;&lt;wsp:rsid wsp:val=&quot;527C7EE5&quot;/&gt;&lt;wsp:rsid wsp:val=&quot;527E3C5D&quot;/&gt;&lt;wsp:rsid wsp:val=&quot;527E7E13&quot;/&gt;&lt;wsp:rsid wsp:val=&quot;527F3531&quot;/&gt;&lt;wsp:rsid wsp:val=&quot;528079D5&quot;/&gt;&lt;wsp:rsid wsp:val=&quot;52846D9A&quot;/&gt;&lt;wsp:rsid wsp:val=&quot;5285680A&quot;/&gt;&lt;wsp:rsid wsp:val=&quot;52860D64&quot;/&gt;&lt;wsp:rsid wsp:val=&quot;52880638&quot;/&gt;&lt;wsp:rsid wsp:val=&quot;52892D6A&quot;/&gt;&lt;wsp:rsid wsp:val=&quot;528943B0&quot;/&gt;&lt;wsp:rsid wsp:val=&quot;528A0854&quot;/&gt;&lt;wsp:rsid wsp:val=&quot;528B1ED6&quot;/&gt;&lt;wsp:rsid wsp:val=&quot;528D3EA0&quot;/&gt;&lt;wsp:rsid wsp:val=&quot;52911BE2&quot;/&gt;&lt;wsp:rsid wsp:val=&quot;529214B7&quot;/&gt;&lt;wsp:rsid wsp:val=&quot;529273E1&quot;/&gt;&lt;wsp:rsid wsp:val=&quot;529308D2&quot;/&gt;&lt;wsp:rsid wsp:val=&quot;5294522F&quot;/&gt;&lt;wsp:rsid wsp:val=&quot;52950FA7&quot;/&gt;&lt;wsp:rsid wsp:val=&quot;52972F71&quot;/&gt;&lt;wsp:rsid wsp:val=&quot;52974D1F&quot;/&gt;&lt;wsp:rsid wsp:val=&quot;52992845&quot;/&gt;&lt;wsp:rsid wsp:val=&quot;529945F3&quot;/&gt;&lt;wsp:rsid wsp:val=&quot;529A0DFF&quot;/&gt;&lt;wsp:rsid wsp:val=&quot;529C0587&quot;/&gt;&lt;wsp:rsid wsp:val=&quot;529C2335&quot;/&gt;&lt;wsp:rsid wsp:val=&quot;529D2670&quot;/&gt;&lt;wsp:rsid wsp:val=&quot;529E60AD&quot;/&gt;&lt;wsp:rsid wsp:val=&quot;529E7E5B&quot;/&gt;&lt;wsp:rsid wsp:val=&quot;52A00D5B&quot;/&gt;&lt;wsp:rsid wsp:val=&quot;52A15B9E&quot;/&gt;&lt;wsp:rsid wsp:val=&quot;52A30116&quot;/&gt;&lt;wsp:rsid wsp:val=&quot;52A336C4&quot;/&gt;&lt;wsp:rsid wsp:val=&quot;52A35472&quot;/&gt;&lt;wsp:rsid wsp:val=&quot;52A511EA&quot;/&gt;&lt;wsp:rsid wsp:val=&quot;52A66D10&quot;/&gt;&lt;wsp:rsid wsp:val=&quot;52A94F25&quot;/&gt;&lt;wsp:rsid wsp:val=&quot;52AB2578&quot;/&gt;&lt;wsp:rsid wsp:val=&quot;52AF3E17&quot;/&gt;&lt;wsp:rsid wsp:val=&quot;52B0193D&quot;/&gt;&lt;wsp:rsid wsp:val=&quot;52B14033&quot;/&gt;&lt;wsp:rsid wsp:val=&quot;52B15DE1&quot;/&gt;&lt;wsp:rsid wsp:val=&quot;52B17615&quot;/&gt;&lt;wsp:rsid wsp:val=&quot;52B22C17&quot;/&gt;&lt;wsp:rsid wsp:val=&quot;52B23907&quot;/&gt;&lt;wsp:rsid wsp:val=&quot;52B4767F&quot;/&gt;&lt;wsp:rsid wsp:val=&quot;52B6137F&quot;/&gt;&lt;wsp:rsid wsp:val=&quot;52B61649&quot;/&gt;&lt;wsp:rsid wsp:val=&quot;52B70F1D&quot;/&gt;&lt;wsp:rsid wsp:val=&quot;52B72CCB&quot;/&gt;&lt;wsp:rsid wsp:val=&quot;52B74753&quot;/&gt;&lt;wsp:rsid wsp:val=&quot;52B94C95&quot;/&gt;&lt;wsp:rsid wsp:val=&quot;52BA27BB&quot;/&gt;&lt;wsp:rsid wsp:val=&quot;52BB6C5F&quot;/&gt;&lt;wsp:rsid wsp:val=&quot;52BC29D7&quot;/&gt;&lt;wsp:rsid wsp:val=&quot;52BC7A43&quot;/&gt;&lt;wsp:rsid wsp:val=&quot;52C038CF&quot;/&gt;&lt;wsp:rsid wsp:val=&quot;52C27FEE&quot;/&gt;&lt;wsp:rsid wsp:val=&quot;52C33D66&quot;/&gt;&lt;wsp:rsid wsp:val=&quot;52C378C2&quot;/&gt;&lt;wsp:rsid wsp:val=&quot;52C5188C&quot;/&gt;&lt;wsp:rsid wsp:val=&quot;52C52FBD&quot;/&gt;&lt;wsp:rsid wsp:val=&quot;52C5363A&quot;/&gt;&lt;wsp:rsid wsp:val=&quot;52C55120&quot;/&gt;&lt;wsp:rsid wsp:val=&quot;52C6444D&quot;/&gt;&lt;wsp:rsid wsp:val=&quot;52C8137C&quot;/&gt;&lt;wsp:rsid wsp:val=&quot;52C901FD&quot;/&gt;&lt;wsp:rsid wsp:val=&quot;52C93C68&quot;/&gt;&lt;wsp:rsid wsp:val=&quot;52CA28B0&quot;/&gt;&lt;wsp:rsid wsp:val=&quot;52CA29FF&quot;/&gt;&lt;wsp:rsid wsp:val=&quot;52CA425E&quot;/&gt;&lt;wsp:rsid wsp:val=&quot;52CB49C9&quot;/&gt;&lt;wsp:rsid wsp:val=&quot;52CB56EE&quot;/&gt;&lt;wsp:rsid wsp:val=&quot;52CD28C8&quot;/&gt;&lt;wsp:rsid wsp:val=&quot;52CF270B&quot;/&gt;&lt;wsp:rsid wsp:val=&quot;52CF44B9&quot;/&gt;&lt;wsp:rsid wsp:val=&quot;52D03D8D&quot;/&gt;&lt;wsp:rsid wsp:val=&quot;52D05B9E&quot;/&gt;&lt;wsp:rsid wsp:val=&quot;52D10231&quot;/&gt;&lt;wsp:rsid wsp:val=&quot;52D23FA9&quot;/&gt;&lt;wsp:rsid wsp:val=&quot;52D27B05&quot;/&gt;&lt;wsp:rsid wsp:val=&quot;52D41ACF&quot;/&gt;&lt;wsp:rsid wsp:val=&quot;52D4387D&quot;/&gt;&lt;wsp:rsid wsp:val=&quot;52D61371&quot;/&gt;&lt;wsp:rsid wsp:val=&quot;52D715BF&quot;/&gt;&lt;wsp:rsid wsp:val=&quot;52D7336D&quot;/&gt;&lt;wsp:rsid wsp:val=&quot;52D824FC&quot;/&gt;&lt;wsp:rsid wsp:val=&quot;52D85640&quot;/&gt;&lt;wsp:rsid wsp:val=&quot;52D90E94&quot;/&gt;&lt;wsp:rsid wsp:val=&quot;52D94008&quot;/&gt;&lt;wsp:rsid wsp:val=&quot;52DA79A1&quot;/&gt;&lt;wsp:rsid wsp:val=&quot;52DB4C0C&quot;/&gt;&lt;wsp:rsid wsp:val=&quot;52DE294E&quot;/&gt;&lt;wsp:rsid wsp:val=&quot;52DF00AD&quot;/&gt;&lt;wsp:rsid wsp:val=&quot;52E07BC5&quot;/&gt;&lt;wsp:rsid wsp:val=&quot;52E15F9A&quot;/&gt;&lt;wsp:rsid wsp:val=&quot;52E34B56&quot;/&gt;&lt;wsp:rsid wsp:val=&quot;52E43DC1&quot;/&gt;&lt;wsp:rsid wsp:val=&quot;52E63A37&quot;/&gt;&lt;wsp:rsid wsp:val=&quot;52E837CD&quot;/&gt;&lt;wsp:rsid wsp:val=&quot;52EA0F57&quot;/&gt;&lt;wsp:rsid wsp:val=&quot;52EA4E4F&quot;/&gt;&lt;wsp:rsid wsp:val=&quot;52EC6E19&quot;/&gt;&lt;wsp:rsid wsp:val=&quot;52F04408&quot;/&gt;&lt;wsp:rsid wsp:val=&quot;52F061DD&quot;/&gt;&lt;wsp:rsid wsp:val=&quot;52F263F9&quot;/&gt;&lt;wsp:rsid wsp:val=&quot;52F65EE9&quot;/&gt;&lt;wsp:rsid wsp:val=&quot;52F83A10&quot;/&gt;&lt;wsp:rsid wsp:val=&quot;52F9532F&quot;/&gt;&lt;wsp:rsid wsp:val=&quot;52FB52AE&quot;/&gt;&lt;wsp:rsid wsp:val=&quot;52FC2DD4&quot;/&gt;&lt;wsp:rsid wsp:val=&quot;52FC4B82&quot;/&gt;&lt;wsp:rsid wsp:val=&quot;52FE6B4C&quot;/&gt;&lt;wsp:rsid wsp:val=&quot;52FF0F42&quot;/&gt;&lt;wsp:rsid wsp:val=&quot;53000B16&quot;/&gt;&lt;wsp:rsid wsp:val=&quot;530028C4&quot;/&gt;&lt;wsp:rsid wsp:val=&quot;5302488E&quot;/&gt;&lt;wsp:rsid wsp:val=&quot;53051C89&quot;/&gt;&lt;wsp:rsid wsp:val=&quot;53065A01&quot;/&gt;&lt;wsp:rsid wsp:val=&quot;53073C53&quot;/&gt;&lt;wsp:rsid wsp:val=&quot;530823C4&quot;/&gt;&lt;wsp:rsid wsp:val=&quot;530838D7&quot;/&gt;&lt;wsp:rsid wsp:val=&quot;53084200&quot;/&gt;&lt;wsp:rsid wsp:val=&quot;53095C1D&quot;/&gt;&lt;wsp:rsid wsp:val=&quot;530B580B&quot;/&gt;&lt;wsp:rsid wsp:val=&quot;530C7DF3&quot;/&gt;&lt;wsp:rsid wsp:val=&quot;530E2C43&quot;/&gt;&lt;wsp:rsid wsp:val=&quot;530F48B5&quot;/&gt;&lt;wsp:rsid wsp:val=&quot;53114AD1&quot;/&gt;&lt;wsp:rsid wsp:val=&quot;5312149E&quot;/&gt;&lt;wsp:rsid wsp:val=&quot;531225F7&quot;/&gt;&lt;wsp:rsid wsp:val=&quot;531243A6&quot;/&gt;&lt;wsp:rsid wsp:val=&quot;5314011E&quot;/&gt;&lt;wsp:rsid wsp:val=&quot;531533C5&quot;/&gt;&lt;wsp:rsid wsp:val=&quot;53163E96&quot;/&gt;&lt;wsp:rsid wsp:val=&quot;53184E30&quot;/&gt;&lt;wsp:rsid wsp:val=&quot;53185368&quot;/&gt;&lt;wsp:rsid wsp:val=&quot;53192DA1&quot;/&gt;&lt;wsp:rsid wsp:val=&quot;53193986&quot;/&gt;&lt;wsp:rsid wsp:val=&quot;531B6F3F&quot;/&gt;&lt;wsp:rsid wsp:val=&quot;531B76FE&quot;/&gt;&lt;wsp:rsid wsp:val=&quot;531C3B06&quot;/&gt;&lt;wsp:rsid wsp:val=&quot;531C6FD2&quot;/&gt;&lt;wsp:rsid wsp:val=&quot;531D3476&quot;/&gt;&lt;wsp:rsid wsp:val=&quot;531E0F9C&quot;/&gt;&lt;wsp:rsid wsp:val=&quot;531F6462&quot;/&gt;&lt;wsp:rsid wsp:val=&quot;532053C7&quot;/&gt;&lt;wsp:rsid wsp:val=&quot;5322283B&quot;/&gt;&lt;wsp:rsid wsp:val=&quot;53230361&quot;/&gt;&lt;wsp:rsid wsp:val=&quot;5325232B&quot;/&gt;&lt;wsp:rsid wsp:val=&quot;53267789&quot;/&gt;&lt;wsp:rsid wsp:val=&quot;532760A3&quot;/&gt;&lt;wsp:rsid wsp:val=&quot;53285977&quot;/&gt;&lt;wsp:rsid wsp:val=&quot;532A5B93&quot;/&gt;&lt;wsp:rsid wsp:val=&quot;532C190B&quot;/&gt;&lt;wsp:rsid wsp:val=&quot;532C36B9&quot;/&gt;&lt;wsp:rsid wsp:val=&quot;532C5467&quot;/&gt;&lt;wsp:rsid wsp:val=&quot;532D5299&quot;/&gt;&lt;wsp:rsid wsp:val=&quot;532E5683&quot;/&gt;&lt;wsp:rsid wsp:val=&quot;532E7431&quot;/&gt;&lt;wsp:rsid wsp:val=&quot;53301F7C&quot;/&gt;&lt;wsp:rsid wsp:val=&quot;53317258&quot;/&gt;&lt;wsp:rsid wsp:val=&quot;533267F6&quot;/&gt;&lt;wsp:rsid wsp:val=&quot;53332C9A&quot;/&gt;&lt;wsp:rsid wsp:val=&quot;53334A48&quot;/&gt;&lt;wsp:rsid wsp:val=&quot;533407C0&quot;/&gt;&lt;wsp:rsid wsp:val=&quot;533662E6&quot;/&gt;&lt;wsp:rsid wsp:val=&quot;53397B84&quot;/&gt;&lt;wsp:rsid wsp:val=&quot;533B1B4E&quot;/&gt;&lt;wsp:rsid wsp:val=&quot;533B56AA&quot;/&gt;&lt;wsp:rsid wsp:val=&quot;533B7DA0&quot;/&gt;&lt;wsp:rsid wsp:val=&quot;533C1422&quot;/&gt;&lt;wsp:rsid wsp:val=&quot;533D4580&quot;/&gt;&lt;wsp:rsid wsp:val=&quot;53402B31&quot;/&gt;&lt;wsp:rsid wsp:val=&quot;53422EDD&quot;/&gt;&lt;wsp:rsid wsp:val=&quot;534327B1&quot;/&gt;&lt;wsp:rsid wsp:val=&quot;534529CD&quot;/&gt;&lt;wsp:rsid wsp:val=&quot;5345477B&quot;/&gt;&lt;wsp:rsid wsp:val=&quot;53487DC7&quot;/&gt;&lt;wsp:rsid wsp:val=&quot;5349426B&quot;/&gt;&lt;wsp:rsid wsp:val=&quot;534F1156&quot;/&gt;&lt;wsp:rsid wsp:val=&quot;534F1A4B&quot;/&gt;&lt;wsp:rsid wsp:val=&quot;534F34A0&quot;/&gt;&lt;wsp:rsid wsp:val=&quot;534F55FA&quot;/&gt;&lt;wsp:rsid wsp:val=&quot;534F73A8&quot;/&gt;&lt;wsp:rsid wsp:val=&quot;535112B4&quot;/&gt;&lt;wsp:rsid wsp:val=&quot;53511372&quot;/&gt;&lt;wsp:rsid wsp:val=&quot;53541376&quot;/&gt;&lt;wsp:rsid wsp:val=&quot;53542C10&quot;/&gt;&lt;wsp:rsid wsp:val=&quot;53566988&quot;/&gt;&lt;wsp:rsid wsp:val=&quot;53580985&quot;/&gt;&lt;wsp:rsid wsp:val=&quot;535835B1&quot;/&gt;&lt;wsp:rsid wsp:val=&quot;53590226&quot;/&gt;&lt;wsp:rsid wsp:val=&quot;535B0F2F&quot;/&gt;&lt;wsp:rsid wsp:val=&quot;535B3F9E&quot;/&gt;&lt;wsp:rsid wsp:val=&quot;535B5D4C&quot;/&gt;&lt;wsp:rsid wsp:val=&quot;535B7AFB&quot;/&gt;&lt;wsp:rsid wsp:val=&quot;535D220F&quot;/&gt;&lt;wsp:rsid wsp:val=&quot;53603363&quot;/&gt;&lt;wsp:rsid wsp:val=&quot;53620E89&quot;/&gt;&lt;wsp:rsid wsp:val=&quot;536270DB&quot;/&gt;&lt;wsp:rsid wsp:val=&quot;536410A5&quot;/&gt;&lt;wsp:rsid wsp:val=&quot;53650979&quot;/&gt;&lt;wsp:rsid wsp:val=&quot;53654E1D&quot;/&gt;&lt;wsp:rsid wsp:val=&quot;53664C1B&quot;/&gt;&lt;wsp:rsid wsp:val=&quot;53670B95&quot;/&gt;&lt;wsp:rsid wsp:val=&quot;536760AB&quot;/&gt;&lt;wsp:rsid wsp:val=&quot;5367649F&quot;/&gt;&lt;wsp:rsid wsp:val=&quot;53682217&quot;/&gt;&lt;wsp:rsid wsp:val=&quot;5368753B&quot;/&gt;&lt;wsp:rsid wsp:val=&quot;536A40FE&quot;/&gt;&lt;wsp:rsid wsp:val=&quot;536B4A2C&quot;/&gt;&lt;wsp:rsid wsp:val=&quot;536B75FD&quot;/&gt;&lt;wsp:rsid wsp:val=&quot;536C7F5A&quot;/&gt;&lt;wsp:rsid wsp:val=&quot;536E3CD2&quot;/&gt;&lt;wsp:rsid wsp:val=&quot;536E5A80&quot;/&gt;&lt;wsp:rsid wsp:val=&quot;537137C2&quot;/&gt;&lt;wsp:rsid wsp:val=&quot;53715570&quot;/&gt;&lt;wsp:rsid wsp:val=&quot;53760DD8&quot;/&gt;&lt;wsp:rsid wsp:val=&quot;537868FE&quot;/&gt;&lt;wsp:rsid wsp:val=&quot;537961D3&quot;/&gt;&lt;wsp:rsid wsp:val=&quot;537A08C9&quot;/&gt;&lt;wsp:rsid wsp:val=&quot;537B019D&quot;/&gt;&lt;wsp:rsid wsp:val=&quot;537B63EF&quot;/&gt;&lt;wsp:rsid wsp:val=&quot;537D0B6D&quot;/&gt;&lt;wsp:rsid wsp:val=&quot;537D3F15&quot;/&gt;&lt;wsp:rsid wsp:val=&quot;537D4605&quot;/&gt;&lt;wsp:rsid wsp:val=&quot;537E1A3B&quot;/&gt;&lt;wsp:rsid wsp:val=&quot;53800393&quot;/&gt;&lt;wsp:rsid wsp:val=&quot;538057B3&quot;/&gt;&lt;wsp:rsid wsp:val=&quot;5382777D&quot;/&gt;&lt;wsp:rsid wsp:val=&quot;53837051&quot;/&gt;&lt;wsp:rsid wsp:val=&quot;538434F5&quot;/&gt;&lt;wsp:rsid wsp:val=&quot;53852DC9&quot;/&gt;&lt;wsp:rsid wsp:val=&quot;53872B84&quot;/&gt;&lt;wsp:rsid wsp:val=&quot;53874D93&quot;/&gt;&lt;wsp:rsid wsp:val=&quot;53876B42&quot;/&gt;&lt;wsp:rsid wsp:val=&quot;53897FB5&quot;/&gt;&lt;wsp:rsid wsp:val=&quot;538C5F06&quot;/&gt;&lt;wsp:rsid wsp:val=&quot;538C7FF0&quot;/&gt;&lt;wsp:rsid wsp:val=&quot;538E6122&quot;/&gt;&lt;wsp:rsid wsp:val=&quot;538E7ED0&quot;/&gt;&lt;wsp:rsid wsp:val=&quot;53901E9A&quot;/&gt;&lt;wsp:rsid wsp:val=&quot;53915C12&quot;/&gt;&lt;wsp:rsid wsp:val=&quot;539179C0&quot;/&gt;&lt;wsp:rsid wsp:val=&quot;5394125E&quot;/&gt;&lt;wsp:rsid wsp:val=&quot;53955611&quot;/&gt;&lt;wsp:rsid wsp:val=&quot;53955B21&quot;/&gt;&lt;wsp:rsid wsp:val=&quot;53956A7C&quot;/&gt;&lt;wsp:rsid wsp:val=&quot;53963229&quot;/&gt;&lt;wsp:rsid wsp:val=&quot;53980D4F&quot;/&gt;&lt;wsp:rsid wsp:val=&quot;539A4AC7&quot;/&gt;&lt;wsp:rsid wsp:val=&quot;539A6875&quot;/&gt;&lt;wsp:rsid wsp:val=&quot;539D0113&quot;/&gt;&lt;wsp:rsid wsp:val=&quot;539D6365&quot;/&gt;&lt;wsp:rsid wsp:val=&quot;539F21DB&quot;/&gt;&lt;wsp:rsid wsp:val=&quot;53A019B1&quot;/&gt;&lt;wsp:rsid wsp:val=&quot;53A039CC&quot;/&gt;&lt;wsp:rsid wsp:val=&quot;53A05E55&quot;/&gt;&lt;wsp:rsid wsp:val=&quot;53A1505A&quot;/&gt;&lt;wsp:rsid wsp:val=&quot;53A2397B&quot;/&gt;&lt;wsp:rsid wsp:val=&quot;53A30B5C&quot;/&gt;&lt;wsp:rsid wsp:val=&quot;53A414A2&quot;/&gt;&lt;wsp:rsid wsp:val=&quot;53A476F3&quot;/&gt;&lt;wsp:rsid wsp:val=&quot;53A478DD&quot;/&gt;&lt;wsp:rsid wsp:val=&quot;53A55E1D&quot;/&gt;&lt;wsp:rsid wsp:val=&quot;53A92F5C&quot;/&gt;&lt;wsp:rsid wsp:val=&quot;53A94D0A&quot;/&gt;&lt;wsp:rsid wsp:val=&quot;53AC0356&quot;/&gt;&lt;wsp:rsid wsp:val=&quot;53AC5F20&quot;/&gt;&lt;wsp:rsid wsp:val=&quot;53AC65A8&quot;/&gt;&lt;wsp:rsid wsp:val=&quot;53AF1CD0&quot;/&gt;&lt;wsp:rsid wsp:val=&quot;53B042EA&quot;/&gt;&lt;wsp:rsid wsp:val=&quot;53B12890&quot;/&gt;&lt;wsp:rsid wsp:val=&quot;53B20651&quot;/&gt;&lt;wsp:rsid wsp:val=&quot;53B37937&quot;/&gt;&lt;wsp:rsid wsp:val=&quot;53B4545D&quot;/&gt;&lt;wsp:rsid wsp:val=&quot;53B536AF&quot;/&gt;&lt;wsp:rsid wsp:val=&quot;53B54F6C&quot;/&gt;&lt;wsp:rsid wsp:val=&quot;53B611D5&quot;/&gt;&lt;wsp:rsid wsp:val=&quot;53B73292&quot;/&gt;&lt;wsp:rsid wsp:val=&quot;53B8319F&quot;/&gt;&lt;wsp:rsid wsp:val=&quot;53B83AC3&quot;/&gt;&lt;wsp:rsid wsp:val=&quot;53B84F4D&quot;/&gt;&lt;wsp:rsid wsp:val=&quot;53B86CFB&quot;/&gt;&lt;wsp:rsid wsp:val=&quot;53B92A73&quot;/&gt;&lt;wsp:rsid wsp:val=&quot;53BB19B4&quot;/&gt;&lt;wsp:rsid wsp:val=&quot;53BB4A3D&quot;/&gt;&lt;wsp:rsid wsp:val=&quot;53BB67EB&quot;/&gt;&lt;wsp:rsid wsp:val=&quot;53BD07B5&quot;/&gt;&lt;wsp:rsid wsp:val=&quot;53BD2563&quot;/&gt;&lt;wsp:rsid wsp:val=&quot;53BF34E9&quot;/&gt;&lt;wsp:rsid wsp:val=&quot;53BF62DB&quot;/&gt;&lt;wsp:rsid wsp:val=&quot;53C02053&quot;/&gt;&lt;wsp:rsid wsp:val=&quot;53C10883&quot;/&gt;&lt;wsp:rsid wsp:val=&quot;53C20950&quot;/&gt;&lt;wsp:rsid wsp:val=&quot;53C26F1E&quot;/&gt;&lt;wsp:rsid wsp:val=&quot;53C438F2&quot;/&gt;&lt;wsp:rsid wsp:val=&quot;53CD53C4&quot;/&gt;&lt;wsp:rsid wsp:val=&quot;53CD699A&quot;/&gt;&lt;wsp:rsid wsp:val=&quot;53CE29C2&quot;/&gt;&lt;wsp:rsid wsp:val=&quot;53CF08F5&quot;/&gt;&lt;wsp:rsid wsp:val=&quot;53D01589&quot;/&gt;&lt;wsp:rsid wsp:val=&quot;53D0673A&quot;/&gt;&lt;wsp:rsid wsp:val=&quot;53D46EE2&quot;/&gt;&lt;wsp:rsid wsp:val=&quot;53D55AFF&quot;/&gt;&lt;wsp:rsid wsp:val=&quot;53D578AD&quot;/&gt;&lt;wsp:rsid wsp:val=&quot;53DA1367&quot;/&gt;&lt;wsp:rsid wsp:val=&quot;53DC38BE&quot;/&gt;&lt;wsp:rsid wsp:val=&quot;53DD49B3&quot;/&gt;&lt;wsp:rsid wsp:val=&quot;53E06252&quot;/&gt;&lt;wsp:rsid wsp:val=&quot;53E126F6&quot;/&gt;&lt;wsp:rsid wsp:val=&quot;53E16415&quot;/&gt;&lt;wsp:rsid wsp:val=&quot;53E45D42&quot;/&gt;&lt;wsp:rsid wsp:val=&quot;53E47AF0&quot;/&gt;&lt;wsp:rsid wsp:val=&quot;53E709D1&quot;/&gt;&lt;wsp:rsid wsp:val=&quot;53E75832&quot;/&gt;&lt;wsp:rsid wsp:val=&quot;53E77541&quot;/&gt;&lt;wsp:rsid wsp:val=&quot;53E84895&quot;/&gt;&lt;wsp:rsid wsp:val=&quot;53E915AA&quot;/&gt;&lt;wsp:rsid wsp:val=&quot;53E93358&quot;/&gt;&lt;wsp:rsid wsp:val=&quot;53EA0E7E&quot;/&gt;&lt;wsp:rsid wsp:val=&quot;53EB70D0&quot;/&gt;&lt;wsp:rsid wsp:val=&quot;53EC33B3&quot;/&gt;&lt;wsp:rsid wsp:val=&quot;53EE4E13&quot;/&gt;&lt;wsp:rsid wsp:val=&quot;53EE6BC1&quot;/&gt;&lt;wsp:rsid wsp:val=&quot;53F00B8B&quot;/&gt;&lt;wsp:rsid wsp:val=&quot;53F15CD4&quot;/&gt;&lt;wsp:rsid wsp:val=&quot;53F341D7&quot;/&gt;&lt;wsp:rsid wsp:val=&quot;53F34990&quot;/&gt;&lt;wsp:rsid wsp:val=&quot;53F45247&quot;/&gt;&lt;wsp:rsid wsp:val=&quot;53F526AB&quot;/&gt;&lt;wsp:rsid wsp:val=&quot;53F64465&quot;/&gt;&lt;wsp:rsid wsp:val=&quot;53F73CC7&quot;/&gt;&lt;wsp:rsid wsp:val=&quot;53F975CD&quot;/&gt;&lt;wsp:rsid wsp:val=&quot;53FA5565&quot;/&gt;&lt;wsp:rsid wsp:val=&quot;53FB308C&quot;/&gt;&lt;wsp:rsid wsp:val=&quot;53FC752F&quot;/&gt;&lt;wsp:rsid wsp:val=&quot;54014B46&quot;/&gt;&lt;wsp:rsid wsp:val=&quot;540168F4&quot;/&gt;&lt;wsp:rsid wsp:val=&quot;5402441A&quot;/&gt;&lt;wsp:rsid wsp:val=&quot;540255D9&quot;/&gt;&lt;wsp:rsid wsp:val=&quot;540502DC&quot;/&gt;&lt;wsp:rsid wsp:val=&quot;5406215C&quot;/&gt;&lt;wsp:rsid wsp:val=&quot;54063909&quot;/&gt;&lt;wsp:rsid wsp:val=&quot;54063E08&quot;/&gt;&lt;wsp:rsid wsp:val=&quot;54063F0A&quot;/&gt;&lt;wsp:rsid wsp:val=&quot;54077C82&quot;/&gt;&lt;wsp:rsid wsp:val=&quot;54091C4C&quot;/&gt;&lt;wsp:rsid wsp:val=&quot;540939FA&quot;/&gt;&lt;wsp:rsid wsp:val=&quot;540A0A16&quot;/&gt;&lt;wsp:rsid wsp:val=&quot;540B1521&quot;/&gt;&lt;wsp:rsid wsp:val=&quot;540B7773&quot;/&gt;&lt;wsp:rsid wsp:val=&quot;540C7047&quot;/&gt;&lt;wsp:rsid wsp:val=&quot;540C7DCC&quot;/&gt;&lt;wsp:rsid wsp:val=&quot;540E52BD&quot;/&gt;&lt;wsp:rsid wsp:val=&quot;54102FDB&quot;/&gt;&lt;wsp:rsid wsp:val=&quot;541303D5&quot;/&gt;&lt;wsp:rsid wsp:val=&quot;54136627&quot;/&gt;&lt;wsp:rsid wsp:val=&quot;5415239F&quot;/&gt;&lt;wsp:rsid wsp:val=&quot;54161C73&quot;/&gt;&lt;wsp:rsid wsp:val=&quot;54176117&quot;/&gt;&lt;wsp:rsid wsp:val=&quot;54181E8F&quot;/&gt;&lt;wsp:rsid wsp:val=&quot;54183C3E&quot;/&gt;&lt;wsp:rsid wsp:val=&quot;54183C77&quot;/&gt;&lt;wsp:rsid wsp:val=&quot;541859EC&quot;/&gt;&lt;wsp:rsid wsp:val=&quot;541A79B6&quot;/&gt;&lt;wsp:rsid wsp:val=&quot;541C372E&quot;/&gt;&lt;wsp:rsid wsp:val=&quot;541C7A55&quot;/&gt;&lt;wsp:rsid wsp:val=&quot;541D3002&quot;/&gt;&lt;wsp:rsid wsp:val=&quot;541D74A6&quot;/&gt;&lt;wsp:rsid wsp:val=&quot;541E7BFA&quot;/&gt;&lt;wsp:rsid wsp:val=&quot;541F6242&quot;/&gt;&lt;wsp:rsid wsp:val=&quot;542057EF&quot;/&gt;&lt;wsp:rsid wsp:val=&quot;54212AF2&quot;/&gt;&lt;wsp:rsid wsp:val=&quot;542331A5&quot;/&gt;&lt;wsp:rsid wsp:val=&quot;54240834&quot;/&gt;&lt;wsp:rsid wsp:val=&quot;54260108&quot;/&gt;&lt;wsp:rsid wsp:val=&quot;5426635A&quot;/&gt;&lt;wsp:rsid wsp:val=&quot;542720D3&quot;/&gt;&lt;wsp:rsid wsp:val=&quot;54280325&quot;/&gt;&lt;wsp:rsid wsp:val=&quot;542A1C14&quot;/&gt;&lt;wsp:rsid wsp:val=&quot;542B3971&quot;/&gt;&lt;wsp:rsid wsp:val=&quot;542C2C98&quot;/&gt;&lt;wsp:rsid wsp:val=&quot;542D76E9&quot;/&gt;&lt;wsp:rsid wsp:val=&quot;54324CFF&quot;/&gt;&lt;wsp:rsid wsp:val=&quot;54332F77&quot;/&gt;&lt;wsp:rsid wsp:val=&quot;54336CC9&quot;/&gt;&lt;wsp:rsid wsp:val=&quot;543437E8&quot;/&gt;&lt;wsp:rsid wsp:val=&quot;54352A90&quot;/&gt;&lt;wsp:rsid wsp:val=&quot;543640C4&quot;/&gt;&lt;wsp:rsid wsp:val=&quot;54384218&quot;/&gt;&lt;wsp:rsid wsp:val=&quot;543842E0&quot;/&gt;&lt;wsp:rsid wsp:val=&quot;543A0058&quot;/&gt;&lt;wsp:rsid wsp:val=&quot;543A1E06&quot;/&gt;&lt;wsp:rsid wsp:val=&quot;543A3BB4&quot;/&gt;&lt;wsp:rsid wsp:val=&quot;543C16DA&quot;/&gt;&lt;wsp:rsid wsp:val=&quot;543F566E&quot;/&gt;&lt;wsp:rsid wsp:val=&quot;54414F42&quot;/&gt;&lt;wsp:rsid wsp:val=&quot;54420CBA&quot;/&gt;&lt;wsp:rsid wsp:val=&quot;54434A77&quot;/&gt;&lt;wsp:rsid wsp:val=&quot;54442C85&quot;/&gt;&lt;wsp:rsid wsp:val=&quot;5445140E&quot;/&gt;&lt;wsp:rsid wsp:val=&quot;544669FD&quot;/&gt;&lt;wsp:rsid wsp:val=&quot;54482775&quot;/&gt;&lt;wsp:rsid wsp:val=&quot;54483F0B&quot;/&gt;&lt;wsp:rsid wsp:val=&quot;54492049&quot;/&gt;&lt;wsp:rsid wsp:val=&quot;54493DF7&quot;/&gt;&lt;wsp:rsid wsp:val=&quot;544B7B6F&quot;/&gt;&lt;wsp:rsid wsp:val=&quot;544D1B39&quot;/&gt;&lt;wsp:rsid wsp:val=&quot;544E765F&quot;/&gt;&lt;wsp:rsid wsp:val=&quot;545033D7&quot;/&gt;&lt;wsp:rsid wsp:val=&quot;5451338D&quot;/&gt;&lt;wsp:rsid wsp:val=&quot;54520EFE&quot;/&gt;&lt;wsp:rsid wsp:val=&quot;5452714F&quot;/&gt;&lt;wsp:rsid wsp:val=&quot;545509EE&quot;/&gt;&lt;wsp:rsid wsp:val=&quot;545662D1&quot;/&gt;&lt;wsp:rsid wsp:val=&quot;545662D5&quot;/&gt;&lt;wsp:rsid wsp:val=&quot;54574766&quot;/&gt;&lt;wsp:rsid wsp:val=&quot;545A24A8&quot;/&gt;&lt;wsp:rsid wsp:val=&quot;545A4256&quot;/&gt;&lt;wsp:rsid wsp:val=&quot;545A4A0C&quot;/&gt;&lt;wsp:rsid wsp:val=&quot;545C3B2A&quot;/&gt;&lt;wsp:rsid wsp:val=&quot;545C7FCE&quot;/&gt;&lt;wsp:rsid wsp:val=&quot;545D61E4&quot;/&gt;&lt;wsp:rsid wsp:val=&quot;5461621D&quot;/&gt;&lt;wsp:rsid wsp:val=&quot;5463310B&quot;/&gt;&lt;wsp:rsid wsp:val=&quot;54661776&quot;/&gt;&lt;wsp:rsid wsp:val=&quot;54662BFB&quot;/&gt;&lt;wsp:rsid wsp:val=&quot;54694499&quot;/&gt;&lt;wsp:rsid wsp:val=&quot;546B0211&quot;/&gt;&lt;wsp:rsid wsp:val=&quot;546D21DB&quot;/&gt;&lt;wsp:rsid wsp:val=&quot;546D3F89&quot;/&gt;&lt;wsp:rsid wsp:val=&quot;546E05F9&quot;/&gt;&lt;wsp:rsid wsp:val=&quot;546E1AAF&quot;/&gt;&lt;wsp:rsid wsp:val=&quot;546E385E&quot;/&gt;&lt;wsp:rsid wsp:val=&quot;547161C0&quot;/&gt;&lt;wsp:rsid wsp:val=&quot;54720701&quot;/&gt;&lt;wsp:rsid wsp:val=&quot;547215A0&quot;/&gt;&lt;wsp:rsid wsp:val=&quot;547370C6&quot;/&gt;&lt;wsp:rsid wsp:val=&quot;54741EDD&quot;/&gt;&lt;wsp:rsid wsp:val=&quot;54752E3E&quot;/&gt;&lt;wsp:rsid wsp:val=&quot;54776BB6&quot;/&gt;&lt;wsp:rsid wsp:val=&quot;547926B1&quot;/&gt;&lt;wsp:rsid wsp:val=&quot;5479292E&quot;/&gt;&lt;wsp:rsid wsp:val=&quot;547938F9&quot;/&gt;&lt;wsp:rsid wsp:val=&quot;547A0454&quot;/&gt;&lt;wsp:rsid wsp:val=&quot;547A6B9C&quot;/&gt;&lt;wsp:rsid wsp:val=&quot;547C41CC&quot;/&gt;&lt;wsp:rsid wsp:val=&quot;547D1CF3&quot;/&gt;&lt;wsp:rsid wsp:val=&quot;547E469E&quot;/&gt;&lt;wsp:rsid wsp:val=&quot;547E6196&quot;/&gt;&lt;wsp:rsid wsp:val=&quot;547E7F44&quot;/&gt;&lt;wsp:rsid wsp:val=&quot;547F1F0F&quot;/&gt;&lt;wsp:rsid wsp:val=&quot;547F3CBD&quot;/&gt;&lt;wsp:rsid wsp:val=&quot;547F413A&quot;/&gt;&lt;wsp:rsid wsp:val=&quot;54837309&quot;/&gt;&lt;wsp:rsid wsp:val=&quot;54857525&quot;/&gt;&lt;wsp:rsid wsp:val=&quot;54866DF9&quot;/&gt;&lt;wsp:rsid wsp:val=&quot;54882B71&quot;/&gt;&lt;wsp:rsid wsp:val=&quot;548968E9&quot;/&gt;&lt;wsp:rsid wsp:val=&quot;548A4B3B&quot;/&gt;&lt;wsp:rsid wsp:val=&quot;548B08B3&quot;/&gt;&lt;wsp:rsid wsp:val=&quot;548B2661&quot;/&gt;&lt;wsp:rsid wsp:val=&quot;548B440F&quot;/&gt;&lt;wsp:rsid wsp:val=&quot;548B4E7B&quot;/&gt;&lt;wsp:rsid wsp:val=&quot;548D462B&quot;/&gt;&lt;wsp:rsid wsp:val=&quot;548F2152&quot;/&gt;&lt;wsp:rsid wsp:val=&quot;548F4B60&quot;/&gt;&lt;wsp:rsid wsp:val=&quot;54901A26&quot;/&gt;&lt;wsp:rsid wsp:val=&quot;54902503&quot;/&gt;&lt;wsp:rsid wsp:val=&quot;549051C8&quot;/&gt;&lt;wsp:rsid wsp:val=&quot;54913993&quot;/&gt;&lt;wsp:rsid wsp:val=&quot;54921C42&quot;/&gt;&lt;wsp:rsid wsp:val=&quot;549332C4&quot;/&gt;&lt;wsp:rsid wsp:val=&quot;54977258&quot;/&gt;&lt;wsp:rsid wsp:val=&quot;549A4653&quot;/&gt;&lt;wsp:rsid wsp:val=&quot;549C486F&quot;/&gt;&lt;wsp:rsid wsp:val=&quot;549D4996&quot;/&gt;&lt;wsp:rsid wsp:val=&quot;549E05E7&quot;/&gt;&lt;wsp:rsid wsp:val=&quot;549E1B63&quot;/&gt;&lt;wsp:rsid wsp:val=&quot;549E2395&quot;/&gt;&lt;wsp:rsid wsp:val=&quot;549F610D&quot;/&gt;&lt;wsp:rsid wsp:val=&quot;549F7EBB&quot;/&gt;&lt;wsp:rsid wsp:val=&quot;54A31759&quot;/&gt;&lt;wsp:rsid wsp:val=&quot;54A32989&quot;/&gt;&lt;wsp:rsid wsp:val=&quot;54A35BFD&quot;/&gt;&lt;wsp:rsid wsp:val=&quot;54A454D1&quot;/&gt;&lt;wsp:rsid wsp:val=&quot;54A50CCE&quot;/&gt;&lt;wsp:rsid wsp:val=&quot;54A5345E&quot;/&gt;&lt;wsp:rsid wsp:val=&quot;54A714C9&quot;/&gt;&lt;wsp:rsid wsp:val=&quot;54A83213&quot;/&gt;&lt;wsp:rsid wsp:val=&quot;54A84FC1&quot;/&gt;&lt;wsp:rsid wsp:val=&quot;54A86D6F&quot;/&gt;&lt;wsp:rsid wsp:val=&quot;54A87049&quot;/&gt;&lt;wsp:rsid wsp:val=&quot;54A9542E&quot;/&gt;&lt;wsp:rsid wsp:val=&quot;54AB6860&quot;/&gt;&lt;wsp:rsid wsp:val=&quot;54AC4C48&quot;/&gt;&lt;wsp:rsid wsp:val=&quot;54AD25D8&quot;/&gt;&lt;wsp:rsid wsp:val=&quot;54AD4386&quot;/&gt;&lt;wsp:rsid wsp:val=&quot;54AF6350&quot;/&gt;&lt;wsp:rsid wsp:val=&quot;54B0031A&quot;/&gt;&lt;wsp:rsid wsp:val=&quot;54B020C8&quot;/&gt;&lt;wsp:rsid wsp:val=&quot;54B03E76&quot;/&gt;&lt;wsp:rsid wsp:val=&quot;54B12F7D&quot;/&gt;&lt;wsp:rsid wsp:val=&quot;54B24092&quot;/&gt;&lt;wsp:rsid wsp:val=&quot;54B27BEE&quot;/&gt;&lt;wsp:rsid wsp:val=&quot;54B6421E&quot;/&gt;&lt;wsp:rsid wsp:val=&quot;54B756AE&quot;/&gt;&lt;wsp:rsid wsp:val=&quot;54BC281B&quot;/&gt;&lt;wsp:rsid wsp:val=&quot;54BC6CBF&quot;/&gt;&lt;wsp:rsid wsp:val=&quot;54BD4705&quot;/&gt;&lt;wsp:rsid wsp:val=&quot;54BF15CA&quot;/&gt;&lt;wsp:rsid wsp:val=&quot;54BF40B9&quot;/&gt;&lt;wsp:rsid wsp:val=&quot;54C0055D&quot;/&gt;&lt;wsp:rsid wsp:val=&quot;54C01A31&quot;/&gt;&lt;wsp:rsid wsp:val=&quot;54C17E31&quot;/&gt;&lt;wsp:rsid wsp:val=&quot;54C34414&quot;/&gt;&lt;wsp:rsid wsp:val=&quot;54C44F4A&quot;/&gt;&lt;wsp:rsid wsp:val=&quot;54C47921&quot;/&gt;&lt;wsp:rsid wsp:val=&quot;54C51C22&quot;/&gt;&lt;wsp:rsid wsp:val=&quot;54C53DC5&quot;/&gt;&lt;wsp:rsid wsp:val=&quot;54C55B73&quot;/&gt;&lt;wsp:rsid wsp:val=&quot;54C65448&quot;/&gt;&lt;wsp:rsid wsp:val=&quot;54C76D29&quot;/&gt;&lt;wsp:rsid wsp:val=&quot;54C77FF5&quot;/&gt;&lt;wsp:rsid wsp:val=&quot;54C85664&quot;/&gt;&lt;wsp:rsid wsp:val=&quot;54C86632&quot;/&gt;&lt;wsp:rsid wsp:val=&quot;54CA318A&quot;/&gt;&lt;wsp:rsid wsp:val=&quot;54CB6F02&quot;/&gt;&lt;wsp:rsid wsp:val=&quot;54CC1A7D&quot;/&gt;&lt;wsp:rsid wsp:val=&quot;54CC5154&quot;/&gt;&lt;wsp:rsid wsp:val=&quot;54CD4A28&quot;/&gt;&lt;wsp:rsid wsp:val=&quot;54CD67D6&quot;/&gt;&lt;wsp:rsid wsp:val=&quot;54CF329A&quot;/&gt;&lt;wsp:rsid wsp:val=&quot;54CF6505&quot;/&gt;&lt;wsp:rsid wsp:val=&quot;54CF69F2&quot;/&gt;&lt;wsp:rsid wsp:val=&quot;54D07B4B&quot;/&gt;&lt;wsp:rsid wsp:val=&quot;54D1276A&quot;/&gt;&lt;wsp:rsid wsp:val=&quot;54D20290&quot;/&gt;&lt;wsp:rsid wsp:val=&quot;54D45DB6&quot;/&gt;&lt;wsp:rsid wsp:val=&quot;54D70C0B&quot;/&gt;&lt;wsp:rsid wsp:val=&quot;54D758A7&quot;/&gt;&lt;wsp:rsid wsp:val=&quot;54D76C2B&quot;/&gt;&lt;wsp:rsid wsp:val=&quot;54D86127&quot;/&gt;&lt;wsp:rsid wsp:val=&quot;54DB4349&quot;/&gt;&lt;wsp:rsid wsp:val=&quot;54DC110F&quot;/&gt;&lt;wsp:rsid wsp:val=&quot;54DC2EBD&quot;/&gt;&lt;wsp:rsid wsp:val=&quot;54DE09E3&quot;/&gt;&lt;wsp:rsid wsp:val=&quot;54DE4E87&quot;/&gt;&lt;wsp:rsid wsp:val=&quot;54DE6C35&quot;/&gt;&lt;wsp:rsid wsp:val=&quot;54DF56A3&quot;/&gt;&lt;wsp:rsid wsp:val=&quot;54DF6509&quot;/&gt;&lt;wsp:rsid wsp:val=&quot;54E0475B&quot;/&gt;&lt;wsp:rsid wsp:val=&quot;54E35B29&quot;/&gt;&lt;wsp:rsid wsp:val=&quot;54E50F2B&quot;/&gt;&lt;wsp:rsid wsp:val=&quot;54E51D72&quot;/&gt;&lt;wsp:rsid wsp:val=&quot;54E844DB&quot;/&gt;&lt;wsp:rsid wsp:val=&quot;54EA382C&quot;/&gt;&lt;wsp:rsid wsp:val=&quot;54EA7388&quot;/&gt;&lt;wsp:rsid wsp:val=&quot;54EC4594&quot;/&gt;&lt;wsp:rsid wsp:val=&quot;54ED0C26&quot;/&gt;&lt;wsp:rsid wsp:val=&quot;54EF377C&quot;/&gt;&lt;wsp:rsid wsp:val=&quot;54F16CCE&quot;/&gt;&lt;wsp:rsid wsp:val=&quot;54F1782E&quot;/&gt;&lt;wsp:rsid wsp:val=&quot;54F2015E&quot;/&gt;&lt;wsp:rsid wsp:val=&quot;54F2448F&quot;/&gt;&lt;wsp:rsid wsp:val=&quot;54F25228&quot;/&gt;&lt;wsp:rsid wsp:val=&quot;54F2623D&quot;/&gt;&lt;wsp:rsid wsp:val=&quot;54F41FB5&quot;/&gt;&lt;wsp:rsid wsp:val=&quot;54F56767&quot;/&gt;&lt;wsp:rsid wsp:val=&quot;54F63F7F&quot;/&gt;&lt;wsp:rsid wsp:val=&quot;54F71AA5&quot;/&gt;&lt;wsp:rsid wsp:val=&quot;54F73313&quot;/&gt;&lt;wsp:rsid wsp:val=&quot;54F80955&quot;/&gt;&lt;wsp:rsid wsp:val=&quot;54F93A6F&quot;/&gt;&lt;wsp:rsid wsp:val=&quot;54FA3343&quot;/&gt;&lt;wsp:rsid wsp:val=&quot;54FA45B8&quot;/&gt;&lt;wsp:rsid wsp:val=&quot;54FC355F&quot;/&gt;&lt;wsp:rsid wsp:val=&quot;54FF095A&quot;/&gt;&lt;wsp:rsid wsp:val=&quot;55004560&quot;/&gt;&lt;wsp:rsid wsp:val=&quot;55004DFD&quot;/&gt;&lt;wsp:rsid wsp:val=&quot;55012924&quot;/&gt;&lt;wsp:rsid wsp:val=&quot;550146D2&quot;/&gt;&lt;wsp:rsid wsp:val=&quot;55020B76&quot;/&gt;&lt;wsp:rsid wsp:val=&quot;55021394&quot;/&gt;&lt;wsp:rsid wsp:val=&quot;5503044A&quot;/&gt;&lt;wsp:rsid wsp:val=&quot;55032824&quot;/&gt;&lt;wsp:rsid wsp:val=&quot;550348EE&quot;/&gt;&lt;wsp:rsid wsp:val=&quot;550565D4&quot;/&gt;&lt;wsp:rsid wsp:val=&quot;55057D15&quot;/&gt;&lt;wsp:rsid wsp:val=&quot;5507618C&quot;/&gt;&lt;wsp:rsid wsp:val=&quot;55097B6C&quot;/&gt;&lt;wsp:rsid wsp:val=&quot;550A17D8&quot;/&gt;&lt;wsp:rsid wsp:val=&quot;550B5550&quot;/&gt;&lt;wsp:rsid wsp:val=&quot;550F46F6&quot;/&gt;&lt;wsp:rsid wsp:val=&quot;55110AED&quot;/&gt;&lt;wsp:rsid wsp:val=&quot;5512068D&quot;/&gt;&lt;wsp:rsid wsp:val=&quot;55144405&quot;/&gt;&lt;wsp:rsid wsp:val=&quot;551663CF&quot;/&gt;&lt;wsp:rsid wsp:val=&quot;5517089B&quot;/&gt;&lt;wsp:rsid wsp:val=&quot;55172147&quot;/&gt;&lt;wsp:rsid wsp:val=&quot;55180399&quot;/&gt;&lt;wsp:rsid wsp:val=&quot;551835BA&quot;/&gt;&lt;wsp:rsid wsp:val=&quot;55197C6D&quot;/&gt;&lt;wsp:rsid wsp:val=&quot;551A6E19&quot;/&gt;&lt;wsp:rsid wsp:val=&quot;551B1C37&quot;/&gt;&lt;wsp:rsid wsp:val=&quot;551C150B&quot;/&gt;&lt;wsp:rsid wsp:val=&quot;551E34D6&quot;/&gt;&lt;wsp:rsid wsp:val=&quot;55202DAA&quot;/&gt;&lt;wsp:rsid wsp:val=&quot;5520724E&quot;/&gt;&lt;wsp:rsid wsp:val=&quot;55214D74&quot;/&gt;&lt;wsp:rsid wsp:val=&quot;55222FC6&quot;/&gt;&lt;wsp:rsid wsp:val=&quot;5524125E&quot;/&gt;&lt;wsp:rsid wsp:val=&quot;55254864&quot;/&gt;&lt;wsp:rsid wsp:val=&quot;55264138&quot;/&gt;&lt;wsp:rsid wsp:val=&quot;55284354&quot;/&gt;&lt;wsp:rsid wsp:val=&quot;552F0819&quot;/&gt;&lt;wsp:rsid wsp:val=&quot;55306D65&quot;/&gt;&lt;wsp:rsid wsp:val=&quot;5531074F&quot;/&gt;&lt;wsp:rsid wsp:val=&quot;55313209&quot;/&gt;&lt;wsp:rsid wsp:val=&quot;55322ADD&quot;/&gt;&lt;wsp:rsid wsp:val=&quot;55326F81&quot;/&gt;&lt;wsp:rsid wsp:val=&quot;5533209D&quot;/&gt;&lt;wsp:rsid wsp:val=&quot;55344AA7&quot;/&gt;&lt;wsp:rsid wsp:val=&quot;553535EC&quot;/&gt;&lt;wsp:rsid wsp:val=&quot;55366A71&quot;/&gt;&lt;wsp:rsid wsp:val=&quot;553920BD&quot;/&gt;&lt;wsp:rsid wsp:val=&quot;55393E6B&quot;/&gt;&lt;wsp:rsid wsp:val=&quot;553B0A10&quot;/&gt;&lt;wsp:rsid wsp:val=&quot;553B7BE4&quot;/&gt;&lt;wsp:rsid wsp:val=&quot;553C395C&quot;/&gt;&lt;wsp:rsid wsp:val=&quot;553C52A5&quot;/&gt;&lt;wsp:rsid wsp:val=&quot;553E1482&quot;/&gt;&lt;wsp:rsid wsp:val=&quot;553E4440&quot;/&gt;&lt;wsp:rsid wsp:val=&quot;553F6765&quot;/&gt;&lt;wsp:rsid wsp:val=&quot;5540344C&quot;/&gt;&lt;wsp:rsid wsp:val=&quot;55410F72&quot;/&gt;&lt;wsp:rsid wsp:val=&quot;55432F3C&quot;/&gt;&lt;wsp:rsid wsp:val=&quot;5543483E&quot;/&gt;&lt;wsp:rsid wsp:val=&quot;55434CEA&quot;/&gt;&lt;wsp:rsid wsp:val=&quot;55456CB4&quot;/&gt;&lt;wsp:rsid wsp:val=&quot;55482300&quot;/&gt;&lt;wsp:rsid wsp:val=&quot;554967A4&quot;/&gt;&lt;wsp:rsid wsp:val=&quot;554A6079&quot;/&gt;&lt;wsp:rsid wsp:val=&quot;554B05B2&quot;/&gt;&lt;wsp:rsid wsp:val=&quot;554C0043&quot;/&gt;&lt;wsp:rsid wsp:val=&quot;554C0D69&quot;/&gt;&lt;wsp:rsid wsp:val=&quot;554C1DF1&quot;/&gt;&lt;wsp:rsid wsp:val=&quot;554F18E1&quot;/&gt;&lt;wsp:rsid wsp:val=&quot;554F368F&quot;/&gt;&lt;wsp:rsid wsp:val=&quot;555016E8&quot;/&gt;&lt;wsp:rsid wsp:val=&quot;555076EA&quot;/&gt;&lt;wsp:rsid wsp:val=&quot;555170A7&quot;/&gt;&lt;wsp:rsid wsp:val=&quot;5555166D&quot;/&gt;&lt;wsp:rsid wsp:val=&quot;55564A1D&quot;/&gt;&lt;wsp:rsid wsp:val=&quot;555667CB&quot;/&gt;&lt;wsp:rsid wsp:val=&quot;55572544&quot;/&gt;&lt;wsp:rsid wsp:val=&quot;5559450E&quot;/&gt;&lt;wsp:rsid wsp:val=&quot;555A336D&quot;/&gt;&lt;wsp:rsid wsp:val=&quot;555D3FFE&quot;/&gt;&lt;wsp:rsid wsp:val=&quot;555E38D2&quot;/&gt;&lt;wsp:rsid wsp:val=&quot;5563538C&quot;/&gt;&lt;wsp:rsid wsp:val=&quot;556709D9&quot;/&gt;&lt;wsp:rsid wsp:val=&quot;556829A3&quot;/&gt;&lt;wsp:rsid wsp:val=&quot;556A04C9&quot;/&gt;&lt;wsp:rsid wsp:val=&quot;556A4C3B&quot;/&gt;&lt;wsp:rsid wsp:val=&quot;556C4241&quot;/&gt;&lt;wsp:rsid wsp:val=&quot;556C6C12&quot;/&gt;&lt;wsp:rsid wsp:val=&quot;556D4514&quot;/&gt;&lt;wsp:rsid wsp:val=&quot;556E5844&quot;/&gt;&lt;wsp:rsid wsp:val=&quot;556F5ADF&quot;/&gt;&lt;wsp:rsid wsp:val=&quot;55711857&quot;/&gt;&lt;wsp:rsid wsp:val=&quot;55713605&quot;/&gt;&lt;wsp:rsid wsp:val=&quot;5571466F&quot;/&gt;&lt;wsp:rsid wsp:val=&quot;5572737D&quot;/&gt;&lt;wsp:rsid wsp:val=&quot;55733821&quot;/&gt;&lt;wsp:rsid wsp:val=&quot;557355CF&quot;/&gt;&lt;wsp:rsid wsp:val=&quot;55735625&quot;/&gt;&lt;wsp:rsid wsp:val=&quot;55741347&quot;/&gt;&lt;wsp:rsid wsp:val=&quot;55747599&quot;/&gt;&lt;wsp:rsid wsp:val=&quot;55761405&quot;/&gt;&lt;wsp:rsid wsp:val=&quot;557650C0&quot;/&gt;&lt;wsp:rsid wsp:val=&quot;55772728&quot;/&gt;&lt;wsp:rsid wsp:val=&quot;55774994&quot;/&gt;&lt;wsp:rsid wsp:val=&quot;557815D1&quot;/&gt;&lt;wsp:rsid wsp:val=&quot;55793272&quot;/&gt;&lt;wsp:rsid wsp:val=&quot;55794BB0&quot;/&gt;&lt;wsp:rsid wsp:val=&quot;557B26D6&quot;/&gt;&lt;wsp:rsid wsp:val=&quot;557B326D&quot;/&gt;&lt;wsp:rsid wsp:val=&quot;557E2768&quot;/&gt;&lt;wsp:rsid wsp:val=&quot;557F2999&quot;/&gt;&lt;wsp:rsid wsp:val=&quot;55805088&quot;/&gt;&lt;wsp:rsid wsp:val=&quot;558149D7&quot;/&gt;&lt;wsp:rsid wsp:val=&quot;55822579&quot;/&gt;&lt;wsp:rsid wsp:val=&quot;55823A64&quot;/&gt;&lt;wsp:rsid wsp:val=&quot;5583321C&quot;/&gt;&lt;wsp:rsid wsp:val=&quot;55855303&quot;/&gt;&lt;wsp:rsid wsp:val=&quot;5587107B&quot;/&gt;&lt;wsp:rsid wsp:val=&quot;5587536D&quot;/&gt;&lt;wsp:rsid wsp:val=&quot;5588094F&quot;/&gt;&lt;wsp:rsid wsp:val=&quot;55881907&quot;/&gt;&lt;wsp:rsid wsp:val=&quot;55893CEF&quot;/&gt;&lt;wsp:rsid wsp:val=&quot;558D1B4C&quot;/&gt;&lt;wsp:rsid wsp:val=&quot;558E065B&quot;/&gt;&lt;wsp:rsid wsp:val=&quot;558F7F2F&quot;/&gt;&lt;wsp:rsid wsp:val=&quot;55911EF9&quot;/&gt;&lt;wsp:rsid wsp:val=&quot;55943798&quot;/&gt;&lt;wsp:rsid wsp:val=&quot;559467A4&quot;/&gt;&lt;wsp:rsid wsp:val=&quot;55983288&quot;/&gt;&lt;wsp:rsid wsp:val=&quot;559B174B&quot;/&gt;&lt;wsp:rsid wsp:val=&quot;559B68D4&quot;/&gt;&lt;wsp:rsid wsp:val=&quot;559D089E&quot;/&gt;&lt;wsp:rsid wsp:val=&quot;559E63C4&quot;/&gt;&lt;wsp:rsid wsp:val=&quot;55A0038E&quot;/&gt;&lt;wsp:rsid wsp:val=&quot;55A2025E&quot;/&gt;&lt;wsp:rsid wsp:val=&quot;55A25EB5&quot;/&gt;&lt;wsp:rsid wsp:val=&quot;55A439DB&quot;/&gt;&lt;wsp:rsid wsp:val=&quot;55A4470B&quot;/&gt;&lt;wsp:rsid wsp:val=&quot;55A55633&quot;/&gt;&lt;wsp:rsid wsp:val=&quot;55A559A5&quot;/&gt;&lt;wsp:rsid wsp:val=&quot;55A62EFF&quot;/&gt;&lt;wsp:rsid wsp:val=&quot;55A7354E&quot;/&gt;&lt;wsp:rsid wsp:val=&quot;55AA4D69&quot;/&gt;&lt;wsp:rsid wsp:val=&quot;55AA6B17&quot;/&gt;&lt;wsp:rsid wsp:val=&quot;55AD03B6&quot;/&gt;&lt;wsp:rsid wsp:val=&quot;55AD2413&quot;/&gt;&lt;wsp:rsid wsp:val=&quot;55AF7A72&quot;/&gt;&lt;wsp:rsid wsp:val=&quot;55B055F7&quot;/&gt;&lt;wsp:rsid wsp:val=&quot;55B22C42&quot;/&gt;&lt;wsp:rsid wsp:val=&quot;55B300C2&quot;/&gt;&lt;wsp:rsid wsp:val=&quot;55B31E70&quot;/&gt;&lt;wsp:rsid wsp:val=&quot;55B33C1E&quot;/&gt;&lt;wsp:rsid wsp:val=&quot;55B356DD&quot;/&gt;&lt;wsp:rsid wsp:val=&quot;55B41744&quot;/&gt;&lt;wsp:rsid wsp:val=&quot;55B47996&quot;/&gt;&lt;wsp:rsid wsp:val=&quot;55B728F9&quot;/&gt;&lt;wsp:rsid wsp:val=&quot;55B84B89&quot;/&gt;&lt;wsp:rsid wsp:val=&quot;55B92ADD&quot;/&gt;&lt;wsp:rsid wsp:val=&quot;55B94FAC&quot;/&gt;&lt;wsp:rsid wsp:val=&quot;55BA0EA3&quot;/&gt;&lt;wsp:rsid wsp:val=&quot;55BA1450&quot;/&gt;&lt;wsp:rsid wsp:val=&quot;55BB0D24&quot;/&gt;&lt;wsp:rsid wsp:val=&quot;55BD4A9D&quot;/&gt;&lt;wsp:rsid wsp:val=&quot;55BF6A67&quot;/&gt;&lt;wsp:rsid wsp:val=&quot;55C14A4F&quot;/&gt;&lt;wsp:rsid wsp:val=&quot;55C23E61&quot;/&gt;&lt;wsp:rsid wsp:val=&quot;55C24E3B&quot;/&gt;&lt;wsp:rsid wsp:val=&quot;55C51BA3&quot;/&gt;&lt;wsp:rsid wsp:val=&quot;55C67DF5&quot;/&gt;&lt;wsp:rsid wsp:val=&quot;55C776C9&quot;/&gt;&lt;wsp:rsid wsp:val=&quot;55C91693&quot;/&gt;&lt;wsp:rsid wsp:val=&quot;55CB317D&quot;/&gt;&lt;wsp:rsid wsp:val=&quot;55CC4CE0&quot;/&gt;&lt;wsp:rsid wsp:val=&quot;55CE0CF4&quot;/&gt;&lt;wsp:rsid wsp:val=&quot;55CF657E&quot;/&gt;&lt;wsp:rsid wsp:val=&quot;55CF6D84&quot;/&gt;&lt;wsp:rsid wsp:val=&quot;55D10548&quot;/&gt;&lt;wsp:rsid wsp:val=&quot;55D27501&quot;/&gt;&lt;wsp:rsid wsp:val=&quot;55D32512&quot;/&gt;&lt;wsp:rsid wsp:val=&quot;55D342C0&quot;/&gt;&lt;wsp:rsid wsp:val=&quot;55D45AE9&quot;/&gt;&lt;wsp:rsid wsp:val=&quot;55D46901&quot;/&gt;&lt;wsp:rsid wsp:val=&quot;55D512CD&quot;/&gt;&lt;wsp:rsid wsp:val=&quot;55D562C2&quot;/&gt;&lt;wsp:rsid wsp:val=&quot;55D64741&quot;/&gt;&lt;wsp:rsid wsp:val=&quot;55D6790C&quot;/&gt;&lt;wsp:rsid wsp:val=&quot;55D818D6&quot;/&gt;&lt;wsp:rsid wsp:val=&quot;55D83684&quot;/&gt;&lt;wsp:rsid wsp:val=&quot;55D87C9B&quot;/&gt;&lt;wsp:rsid wsp:val=&quot;55DA73FC&quot;/&gt;&lt;wsp:rsid wsp:val=&quot;55DC3184&quot;/&gt;&lt;wsp:rsid wsp:val=&quot;55DE467E&quot;/&gt;&lt;wsp:rsid wsp:val=&quot;55DE5AA4&quot;/&gt;&lt;wsp:rsid wsp:val=&quot;55DF4A13&quot;/&gt;&lt;wsp:rsid wsp:val=&quot;55E069DD&quot;/&gt;&lt;wsp:rsid wsp:val=&quot;55E24503&quot;/&gt;&lt;wsp:rsid wsp:val=&quot;55E4027B&quot;/&gt;&lt;wsp:rsid wsp:val=&quot;55E62245&quot;/&gt;&lt;wsp:rsid wsp:val=&quot;55E64236&quot;/&gt;&lt;wsp:rsid wsp:val=&quot;55E7202A&quot;/&gt;&lt;wsp:rsid wsp:val=&quot;55E738C7&quot;/&gt;&lt;wsp:rsid wsp:val=&quot;55E756C6&quot;/&gt;&lt;wsp:rsid wsp:val=&quot;55EC35D4&quot;/&gt;&lt;wsp:rsid wsp:val=&quot;55EE4C56&quot;/&gt;&lt;wsp:rsid wsp:val=&quot;55F06C20&quot;/&gt;&lt;wsp:rsid wsp:val=&quot;55F14746&quot;/&gt;&lt;wsp:rsid wsp:val=&quot;55F278B8&quot;/&gt;&lt;wsp:rsid wsp:val=&quot;55F3683A&quot;/&gt;&lt;wsp:rsid wsp:val=&quot;55F52488&quot;/&gt;&lt;wsp:rsid wsp:val=&quot;55F54236&quot;/&gt;&lt;wsp:rsid wsp:val=&quot;55F61D5C&quot;/&gt;&lt;wsp:rsid wsp:val=&quot;55F81F79&quot;/&gt;&lt;wsp:rsid wsp:val=&quot;55F8497D&quot;/&gt;&lt;wsp:rsid wsp:val=&quot;55F944C1&quot;/&gt;&lt;wsp:rsid wsp:val=&quot;55FA7A9F&quot;/&gt;&lt;wsp:rsid wsp:val=&quot;55FB55C5&quot;/&gt;&lt;wsp:rsid wsp:val=&quot;55FC3817&quot;/&gt;&lt;wsp:rsid wsp:val=&quot;55FD213A&quot;/&gt;&lt;wsp:rsid wsp:val=&quot;55FF3307&quot;/&gt;&lt;wsp:rsid wsp:val=&quot;5600249D&quot;/&gt;&lt;wsp:rsid wsp:val=&quot;56010E2D&quot;/&gt;&lt;wsp:rsid wsp:val=&quot;56010E3E&quot;/&gt;&lt;wsp:rsid wsp:val=&quot;56024BA5&quot;/&gt;&lt;wsp:rsid wsp:val=&quot;56025E33&quot;/&gt;&lt;wsp:rsid wsp:val=&quot;56033612&quot;/&gt;&lt;wsp:rsid wsp:val=&quot;56040F00&quot;/&gt;&lt;wsp:rsid wsp:val=&quot;560426CB&quot;/&gt;&lt;wsp:rsid wsp:val=&quot;56044479&quot;/&gt;&lt;wsp:rsid wsp:val=&quot;56054F8F&quot;/&gt;&lt;wsp:rsid wsp:val=&quot;56097CE2&quot;/&gt;&lt;wsp:rsid wsp:val=&quot;560E3442&quot;/&gt;&lt;wsp:rsid wsp:val=&quot;560E70A6&quot;/&gt;&lt;wsp:rsid wsp:val=&quot;56100618&quot;/&gt;&lt;wsp:rsid wsp:val=&quot;56101070&quot;/&gt;&lt;wsp:rsid wsp:val=&quot;56114DE8&quot;/&gt;&lt;wsp:rsid wsp:val=&quot;5612303A&quot;/&gt;&lt;wsp:rsid wsp:val=&quot;561437BA&quot;/&gt;&lt;wsp:rsid wsp:val=&quot;56150435&quot;/&gt;&lt;wsp:rsid wsp:val=&quot;56150744&quot;/&gt;&lt;wsp:rsid wsp:val=&quot;561548D9&quot;/&gt;&lt;wsp:rsid wsp:val=&quot;561909F7&quot;/&gt;&lt;wsp:rsid wsp:val=&quot;561A3C9D&quot;/&gt;&lt;wsp:rsid wsp:val=&quot;561A5A4B&quot;/&gt;&lt;wsp:rsid wsp:val=&quot;561B17C3&quot;/&gt;&lt;wsp:rsid wsp:val=&quot;561C7F60&quot;/&gt;&lt;wsp:rsid wsp:val=&quot;561D378D&quot;/&gt;&lt;wsp:rsid wsp:val=&quot;561F5757&quot;/&gt;&lt;wsp:rsid wsp:val=&quot;561F5B08&quot;/&gt;&lt;wsp:rsid wsp:val=&quot;56206DD9&quot;/&gt;&lt;wsp:rsid wsp:val=&quot;5621327D&quot;/&gt;&lt;wsp:rsid wsp:val=&quot;56220DA3&quot;/&gt;&lt;wsp:rsid wsp:val=&quot;56242D6E&quot;/&gt;&lt;wsp:rsid wsp:val=&quot;562543F0&quot;/&gt;&lt;wsp:rsid wsp:val=&quot;56262642&quot;/&gt;&lt;wsp:rsid wsp:val=&quot;56264FFB&quot;/&gt;&lt;wsp:rsid wsp:val=&quot;5626534E&quot;/&gt;&lt;wsp:rsid wsp:val=&quot;56293EE0&quot;/&gt;&lt;wsp:rsid wsp:val=&quot;562B40AB&quot;/&gt;&lt;wsp:rsid wsp:val=&quot;562B40FC&quot;/&gt;&lt;wsp:rsid wsp:val=&quot;562B5EAA&quot;/&gt;&lt;wsp:rsid wsp:val=&quot;562C010C&quot;/&gt;&lt;wsp:rsid wsp:val=&quot;562E599A&quot;/&gt;&lt;wsp:rsid wsp:val=&quot;562E7748&quot;/&gt;&lt;wsp:rsid wsp:val=&quot;5630526E&quot;/&gt;&lt;wsp:rsid wsp:val=&quot;56307F1D&quot;/&gt;&lt;wsp:rsid wsp:val=&quot;56310FE7&quot;/&gt;&lt;wsp:rsid wsp:val=&quot;5632548A&quot;/&gt;&lt;wsp:rsid wsp:val=&quot;5632692F&quot;/&gt;&lt;wsp:rsid wsp:val=&quot;56332FB1&quot;/&gt;&lt;wsp:rsid wsp:val=&quot;56336B0D&quot;/&gt;&lt;wsp:rsid wsp:val=&quot;5634689E&quot;/&gt;&lt;wsp:rsid wsp:val=&quot;56356D29&quot;/&gt;&lt;wsp:rsid wsp:val=&quot;56357908&quot;/&gt;&lt;wsp:rsid wsp:val=&quot;563665FD&quot;/&gt;&lt;wsp:rsid wsp:val=&quot;56372AA1&quot;/&gt;&lt;wsp:rsid wsp:val=&quot;56384123&quot;/&gt;&lt;wsp:rsid wsp:val=&quot;563A433F&quot;/&gt;&lt;wsp:rsid wsp:val=&quot;563A60ED&quot;/&gt;&lt;wsp:rsid wsp:val=&quot;563B3BA0&quot;/&gt;&lt;wsp:rsid wsp:val=&quot;563B3C13&quot;/&gt;&lt;wsp:rsid wsp:val=&quot;563C00B7&quot;/&gt;&lt;wsp:rsid wsp:val=&quot;563C3388&quot;/&gt;&lt;wsp:rsid wsp:val=&quot;563D0DFA&quot;/&gt;&lt;wsp:rsid wsp:val=&quot;563D5BDD&quot;/&gt;&lt;wsp:rsid wsp:val=&quot;563D798B&quot;/&gt;&lt;wsp:rsid wsp:val=&quot;563F3703&quot;/&gt;&lt;wsp:rsid wsp:val=&quot;56424FA2&quot;/&gt;&lt;wsp:rsid wsp:val=&quot;56446F6C&quot;/&gt;&lt;wsp:rsid wsp:val=&quot;56457822&quot;/&gt;&lt;wsp:rsid wsp:val=&quot;5647274D&quot;/&gt;&lt;wsp:rsid wsp:val=&quot;56490775&quot;/&gt;&lt;wsp:rsid wsp:val=&quot;56494582&quot;/&gt;&lt;wsp:rsid wsp:val=&quot;564B3E56&quot;/&gt;&lt;wsp:rsid wsp:val=&quot;564C5E20&quot;/&gt;&lt;wsp:rsid wsp:val=&quot;564D4072&quot;/&gt;&lt;wsp:rsid wsp:val=&quot;564E08D4&quot;/&gt;&lt;wsp:rsid wsp:val=&quot;564E3947&quot;/&gt;&lt;wsp:rsid wsp:val=&quot;564E7DEA&quot;/&gt;&lt;wsp:rsid wsp:val=&quot;564F0DA3&quot;/&gt;&lt;wsp:rsid wsp:val=&quot;565151E5&quot;/&gt;&lt;wsp:rsid wsp:val=&quot;56521689&quot;/&gt;&lt;wsp:rsid wsp:val=&quot;56521E26&quot;/&gt;&lt;wsp:rsid wsp:val=&quot;56530F5D&quot;/&gt;&lt;wsp:rsid wsp:val=&quot;565371AF&quot;/&gt;&lt;wsp:rsid wsp:val=&quot;56544185&quot;/&gt;&lt;wsp:rsid wsp:val=&quot;565458F7&quot;/&gt;&lt;wsp:rsid wsp:val=&quot;56574EF1&quot;/&gt;&lt;wsp:rsid wsp:val=&quot;56596875&quot;/&gt;&lt;wsp:rsid wsp:val=&quot;565C2507&quot;/&gt;&lt;wsp:rsid wsp:val=&quot;565C3800&quot;/&gt;&lt;wsp:rsid wsp:val=&quot;565C42B5&quot;/&gt;&lt;wsp:rsid wsp:val=&quot;565C6063&quot;/&gt;&lt;wsp:rsid wsp:val=&quot;565D002E&quot;/&gt;&lt;wsp:rsid wsp:val=&quot;565D1DDC&quot;/&gt;&lt;wsp:rsid wsp:val=&quot;565F3DA6&quot;/&gt;&lt;wsp:rsid wsp:val=&quot;566118CC&quot;/&gt;&lt;wsp:rsid wsp:val=&quot;5661367A&quot;/&gt;&lt;wsp:rsid wsp:val=&quot;56625644&quot;/&gt;&lt;wsp:rsid wsp:val=&quot;5664316A&quot;/&gt;&lt;wsp:rsid wsp:val=&quot;56666EE2&quot;/&gt;&lt;wsp:rsid wsp:val=&quot;56682C5A&quot;/&gt;&lt;wsp:rsid wsp:val=&quot;56690CC3&quot;/&gt;&lt;wsp:rsid wsp:val=&quot;566B44F9&quot;/&gt;&lt;wsp:rsid wsp:val=&quot;566B62A7&quot;/&gt;&lt;wsp:rsid wsp:val=&quot;566C201F&quot;/&gt;&lt;wsp:rsid wsp:val=&quot;566E5D97&quot;/&gt;&lt;wsp:rsid wsp:val=&quot;566E7EBE&quot;/&gt;&lt;wsp:rsid wsp:val=&quot;56705FB3&quot;/&gt;&lt;wsp:rsid wsp:val=&quot;56711106&quot;/&gt;&lt;wsp:rsid wsp:val=&quot;567333AD&quot;/&gt;&lt;wsp:rsid wsp:val=&quot;567372C9&quot;/&gt;&lt;wsp:rsid wsp:val=&quot;56755377&quot;/&gt;&lt;wsp:rsid wsp:val=&quot;567710EF&quot;/&gt;&lt;wsp:rsid wsp:val=&quot;56777341&quot;/&gt;&lt;wsp:rsid wsp:val=&quot;56786C15&quot;/&gt;&lt;wsp:rsid wsp:val=&quot;56794E67&quot;/&gt;&lt;wsp:rsid wsp:val=&quot;567A7B1E&quot;/&gt;&lt;wsp:rsid wsp:val=&quot;567C4958&quot;/&gt;&lt;wsp:rsid wsp:val=&quot;567D5FDA&quot;/&gt;&lt;wsp:rsid wsp:val=&quot;567E745B&quot;/&gt;&lt;wsp:rsid wsp:val=&quot;567F61F6&quot;/&gt;&lt;wsp:rsid wsp:val=&quot;567F7FA4&quot;/&gt;&lt;wsp:rsid wsp:val=&quot;568022D3&quot;/&gt;&lt;wsp:rsid wsp:val=&quot;56813D1C&quot;/&gt;&lt;wsp:rsid wsp:val=&quot;56821842&quot;/&gt;&lt;wsp:rsid wsp:val=&quot;568277C4&quot;/&gt;&lt;wsp:rsid wsp:val=&quot;568323BF&quot;/&gt;&lt;wsp:rsid wsp:val=&quot;568341A1&quot;/&gt;&lt;wsp:rsid wsp:val=&quot;56835CE6&quot;/&gt;&lt;wsp:rsid wsp:val=&quot;56836083&quot;/&gt;&lt;wsp:rsid wsp:val=&quot;56837A94&quot;/&gt;&lt;wsp:rsid wsp:val=&quot;5684380C&quot;/&gt;&lt;wsp:rsid wsp:val=&quot;56861332&quot;/&gt;&lt;wsp:rsid wsp:val=&quot;56867584&quot;/&gt;&lt;wsp:rsid wsp:val=&quot;56876E58&quot;/&gt;&lt;wsp:rsid wsp:val=&quot;568850AA&quot;/&gt;&lt;wsp:rsid wsp:val=&quot;56887019&quot;/&gt;&lt;wsp:rsid wsp:val=&quot;568A7075&quot;/&gt;&lt;wsp:rsid wsp:val=&quot;56903F5F&quot;/&gt;&lt;wsp:rsid wsp:val=&quot;56905D0D&quot;/&gt;&lt;wsp:rsid wsp:val=&quot;569272B9&quot;/&gt;&lt;wsp:rsid wsp:val=&quot;56927CD7&quot;/&gt;&lt;wsp:rsid wsp:val=&quot;56933A4F&quot;/&gt;&lt;wsp:rsid wsp:val=&quot;56941BD9&quot;/&gt;&lt;wsp:rsid wsp:val=&quot;569577C7&quot;/&gt;&lt;wsp:rsid wsp:val=&quot;5697479B&quot;/&gt;&lt;wsp:rsid wsp:val=&quot;5697709C&quot;/&gt;&lt;wsp:rsid wsp:val=&quot;56981066&quot;/&gt;&lt;wsp:rsid wsp:val=&quot;56982E14&quot;/&gt;&lt;wsp:rsid wsp:val=&quot;569972B8&quot;/&gt;&lt;wsp:rsid wsp:val=&quot;569A4DDE&quot;/&gt;&lt;wsp:rsid wsp:val=&quot;569C478A&quot;/&gt;&lt;wsp:rsid wsp:val=&quot;569D042A&quot;/&gt;&lt;wsp:rsid wsp:val=&quot;569E48CE&quot;/&gt;&lt;wsp:rsid wsp:val=&quot;569E585C&quot;/&gt;&lt;wsp:rsid wsp:val=&quot;569F0646&quot;/&gt;&lt;wsp:rsid wsp:val=&quot;569F22EA&quot;/&gt;&lt;wsp:rsid wsp:val=&quot;56A17F1A&quot;/&gt;&lt;wsp:rsid wsp:val=&quot;56A25A40&quot;/&gt;&lt;wsp:rsid wsp:val=&quot;56A3023E&quot;/&gt;&lt;wsp:rsid wsp:val=&quot;56A31EE4&quot;/&gt;&lt;wsp:rsid wsp:val=&quot;56A45C5C&quot;/&gt;&lt;wsp:rsid wsp:val=&quot;56A619D5&quot;/&gt;&lt;wsp:rsid wsp:val=&quot;56A63783&quot;/&gt;&lt;wsp:rsid wsp:val=&quot;56A874FB&quot;/&gt;&lt;wsp:rsid wsp:val=&quot;56A93273&quot;/&gt;&lt;wsp:rsid wsp:val=&quot;56AB2B47&quot;/&gt;&lt;wsp:rsid wsp:val=&quot;56AB528F&quot;/&gt;&lt;wsp:rsid wsp:val=&quot;56AB69D0&quot;/&gt;&lt;wsp:rsid wsp:val=&quot;56AE43DC&quot;/&gt;&lt;wsp:rsid wsp:val=&quot;56B0015D&quot;/&gt;&lt;wsp:rsid wsp:val=&quot;56B22A9C&quot;/&gt;&lt;wsp:rsid wsp:val=&quot;56B23ED5&quot;/&gt;&lt;wsp:rsid wsp:val=&quot;56B25162&quot;/&gt;&lt;wsp:rsid wsp:val=&quot;56B253B0&quot;/&gt;&lt;wsp:rsid wsp:val=&quot;56B37C4E&quot;/&gt;&lt;wsp:rsid wsp:val=&quot;56B51C18&quot;/&gt;&lt;wsp:rsid wsp:val=&quot;56B75990&quot;/&gt;&lt;wsp:rsid wsp:val=&quot;56BA722E&quot;/&gt;&lt;wsp:rsid wsp:val=&quot;56BC1D83&quot;/&gt;&lt;wsp:rsid wsp:val=&quot;56BC6B02&quot;/&gt;&lt;wsp:rsid wsp:val=&quot;56BD287A&quot;/&gt;&lt;wsp:rsid wsp:val=&quot;56BE0ACC&quot;/&gt;&lt;wsp:rsid wsp:val=&quot;56BE6D1E&quot;/&gt;&lt;wsp:rsid wsp:val=&quot;56BF65F2&quot;/&gt;&lt;wsp:rsid wsp:val=&quot;56C034A1&quot;/&gt;&lt;wsp:rsid wsp:val=&quot;56C34335&quot;/&gt;&lt;wsp:rsid wsp:val=&quot;56C360E3&quot;/&gt;&lt;wsp:rsid wsp:val=&quot;56C500AD&quot;/&gt;&lt;wsp:rsid wsp:val=&quot;56C63E25&quot;/&gt;&lt;wsp:rsid wsp:val=&quot;56C67981&quot;/&gt;&lt;wsp:rsid wsp:val=&quot;56C854A7&quot;/&gt;&lt;wsp:rsid wsp:val=&quot;56C9121F&quot;/&gt;&lt;wsp:rsid wsp:val=&quot;56CE0629&quot;/&gt;&lt;wsp:rsid wsp:val=&quot;56CE6835&quot;/&gt;&lt;wsp:rsid wsp:val=&quot;56CF0F2B&quot;/&gt;&lt;wsp:rsid wsp:val=&quot;56CF468A&quot;/&gt;&lt;wsp:rsid wsp:val=&quot;56D025AE&quot;/&gt;&lt;wsp:rsid wsp:val=&quot;56D06A51&quot;/&gt;&lt;wsp:rsid wsp:val=&quot;56D26326&quot;/&gt;&lt;wsp:rsid wsp:val=&quot;56D35BDC&quot;/&gt;&lt;wsp:rsid wsp:val=&quot;56D54068&quot;/&gt;&lt;wsp:rsid wsp:val=&quot;56D71B8E&quot;/&gt;&lt;wsp:rsid wsp:val=&quot;56D976B4&quot;/&gt;&lt;wsp:rsid wsp:val=&quot;56DA167E&quot;/&gt;&lt;wsp:rsid wsp:val=&quot;56DA342C&quot;/&gt;&lt;wsp:rsid wsp:val=&quot;56DB6848&quot;/&gt;&lt;wsp:rsid wsp:val=&quot;56DB78D0&quot;/&gt;&lt;wsp:rsid wsp:val=&quot;56DC0F52&quot;/&gt;&lt;wsp:rsid wsp:val=&quot;56DD0323&quot;/&gt;&lt;wsp:rsid wsp:val=&quot;56DD5B3B&quot;/&gt;&lt;wsp:rsid wsp:val=&quot;56DE2F1C&quot;/&gt;&lt;wsp:rsid wsp:val=&quot;56DF7E7E&quot;/&gt;&lt;wsp:rsid wsp:val=&quot;56E04EE6&quot;/&gt;&lt;wsp:rsid wsp:val=&quot;56E101E0&quot;/&gt;&lt;wsp:rsid wsp:val=&quot;56E147BB&quot;/&gt;&lt;wsp:rsid wsp:val=&quot;56E16569&quot;/&gt;&lt;wsp:rsid wsp:val=&quot;56E322E1&quot;/&gt;&lt;wsp:rsid wsp:val=&quot;56E36785&quot;/&gt;&lt;wsp:rsid wsp:val=&quot;56E60023&quot;/&gt;&lt;wsp:rsid wsp:val=&quot;56E83D9B&quot;/&gt;&lt;wsp:rsid wsp:val=&quot;56E9366F&quot;/&gt;&lt;wsp:rsid wsp:val=&quot;56EA7B13&quot;/&gt;&lt;wsp:rsid wsp:val=&quot;56EF3F4F&quot;/&gt;&lt;wsp:rsid wsp:val=&quot;56EF6ED8&quot;/&gt;&lt;wsp:rsid wsp:val=&quot;56F11165&quot;/&gt;&lt;wsp:rsid wsp:val=&quot;56F166AD&quot;/&gt;&lt;wsp:rsid wsp:val=&quot;56F20776&quot;/&gt;&lt;wsp:rsid wsp:val=&quot;56F42740&quot;/&gt;&lt;wsp:rsid wsp:val=&quot;56F52014&quot;/&gt;&lt;wsp:rsid wsp:val=&quot;56F61952&quot;/&gt;&lt;wsp:rsid wsp:val=&quot;56F73FDE&quot;/&gt;&lt;wsp:rsid wsp:val=&quot;56F919E5&quot;/&gt;&lt;wsp:rsid wsp:val=&quot;56F9720C&quot;/&gt;&lt;wsp:rsid wsp:val=&quot;56F97D56&quot;/&gt;&lt;wsp:rsid wsp:val=&quot;56F97D88&quot;/&gt;&lt;wsp:rsid wsp:val=&quot;56FA6119&quot;/&gt;&lt;wsp:rsid wsp:val=&quot;56FA61B6&quot;/&gt;&lt;wsp:rsid wsp:val=&quot;56FB0FB3&quot;/&gt;&lt;wsp:rsid wsp:val=&quot;56FB3ACE&quot;/&gt;&lt;wsp:rsid wsp:val=&quot;56FC15F5&quot;/&gt;&lt;wsp:rsid wsp:val=&quot;56FE536D&quot;/&gt;&lt;wsp:rsid wsp:val=&quot;56FF2E93&quot;/&gt;&lt;wsp:rsid wsp:val=&quot;570057F6&quot;/&gt;&lt;wsp:rsid wsp:val=&quot;570109B9&quot;/&gt;&lt;wsp:rsid wsp:val=&quot;57030BD5&quot;/&gt;&lt;wsp:rsid wsp:val=&quot;57032983&quot;/&gt;&lt;wsp:rsid wsp:val=&quot;570401BD&quot;/&gt;&lt;wsp:rsid wsp:val=&quot;570566FB&quot;/&gt;&lt;wsp:rsid wsp:val=&quot;570861EB&quot;/&gt;&lt;wsp:rsid wsp:val=&quot;5709481B&quot;/&gt;&lt;wsp:rsid wsp:val=&quot;570A1F63&quot;/&gt;&lt;wsp:rsid wsp:val=&quot;570B7A8A&quot;/&gt;&lt;wsp:rsid wsp:val=&quot;570E3BC9&quot;/&gt;&lt;wsp:rsid wsp:val=&quot;571050A0&quot;/&gt;&lt;wsp:rsid wsp:val=&quot;571061DA&quot;/&gt;&lt;wsp:rsid wsp:val=&quot;571450FA&quot;/&gt;&lt;wsp:rsid wsp:val=&quot;571526B6&quot;/&gt;&lt;wsp:rsid wsp:val=&quot;57174680&quot;/&gt;&lt;wsp:rsid wsp:val=&quot;5717642E&quot;/&gt;&lt;wsp:rsid wsp:val=&quot;571903F8&quot;/&gt;&lt;wsp:rsid wsp:val=&quot;57193F55&quot;/&gt;&lt;wsp:rsid wsp:val=&quot;571B1801&quot;/&gt;&lt;wsp:rsid wsp:val=&quot;571B2CA5&quot;/&gt;&lt;wsp:rsid wsp:val=&quot;571B5F1F&quot;/&gt;&lt;wsp:rsid wsp:val=&quot;571B7CCD&quot;/&gt;&lt;wsp:rsid wsp:val=&quot;571C57F3&quot;/&gt;&lt;wsp:rsid wsp:val=&quot;571E5A0F&quot;/&gt;&lt;wsp:rsid wsp:val=&quot;571E77BD&quot;/&gt;&lt;wsp:rsid wsp:val=&quot;5721105B&quot;/&gt;&lt;wsp:rsid wsp:val=&quot;572172AD&quot;/&gt;&lt;wsp:rsid wsp:val=&quot;57236B81&quot;/&gt;&lt;wsp:rsid wsp:val=&quot;57241783&quot;/&gt;&lt;wsp:rsid wsp:val=&quot;57250B4B&quot;/&gt;&lt;wsp:rsid wsp:val=&quot;57266671&quot;/&gt;&lt;wsp:rsid wsp:val=&quot;57277DA4&quot;/&gt;&lt;wsp:rsid wsp:val=&quot;57283E05&quot;/&gt;&lt;wsp:rsid wsp:val=&quot;57284198&quot;/&gt;&lt;wsp:rsid wsp:val=&quot;572A6162&quot;/&gt;&lt;wsp:rsid wsp:val=&quot;572B4C8E&quot;/&gt;&lt;wsp:rsid wsp:val=&quot;572E408F&quot;/&gt;&lt;wsp:rsid wsp:val=&quot;5730129E&quot;/&gt;&lt;wsp:rsid wsp:val=&quot;5732261A&quot;/&gt;&lt;wsp:rsid wsp:val=&quot;57322C5A&quot;/&gt;&lt;wsp:rsid wsp:val=&quot;573265F8&quot;/&gt;&lt;wsp:rsid wsp:val=&quot;57332B6E&quot;/&gt;&lt;wsp:rsid wsp:val=&quot;57346FE0&quot;/&gt;&lt;wsp:rsid wsp:val=&quot;573568B4&quot;/&gt;&lt;wsp:rsid wsp:val=&quot;57390153&quot;/&gt;&lt;wsp:rsid wsp:val=&quot;573A3ECB&quot;/&gt;&lt;wsp:rsid wsp:val=&quot;573B036F&quot;/&gt;&lt;wsp:rsid wsp:val=&quot;573C5E95&quot;/&gt;&lt;wsp:rsid wsp:val=&quot;573D1621&quot;/&gt;&lt;wsp:rsid wsp:val=&quot;573E1C0D&quot;/&gt;&lt;wsp:rsid wsp:val=&quot;573E39BB&quot;/&gt;&lt;wsp:rsid wsp:val=&quot;573E7E5F&quot;/&gt;&lt;wsp:rsid wsp:val=&quot;574134AB&quot;/&gt;&lt;wsp:rsid wsp:val=&quot;57430FD1&quot;/&gt;&lt;wsp:rsid wsp:val=&quot;57437223&quot;/&gt;&lt;wsp:rsid wsp:val=&quot;57462870&quot;/&gt;&lt;wsp:rsid wsp:val=&quot;574732BF&quot;/&gt;&lt;wsp:rsid wsp:val=&quot;57476D14&quot;/&gt;&lt;wsp:rsid wsp:val=&quot;574A05B2&quot;/&gt;&lt;wsp:rsid wsp:val=&quot;574B7E86&quot;/&gt;&lt;wsp:rsid wsp:val=&quot;574C0189&quot;/&gt;&lt;wsp:rsid wsp:val=&quot;574D00A2&quot;/&gt;&lt;wsp:rsid wsp:val=&quot;574D3BFE&quot;/&gt;&lt;wsp:rsid wsp:val=&quot;574F7976&quot;/&gt;&lt;wsp:rsid wsp:val=&quot;575256B8&quot;/&gt;&lt;wsp:rsid wsp:val=&quot;57527466&quot;/&gt;&lt;wsp:rsid wsp:val=&quot;57541431&quot;/&gt;&lt;wsp:rsid wsp:val=&quot;575431DF&quot;/&gt;&lt;wsp:rsid wsp:val=&quot;575435C7&quot;/&gt;&lt;wsp:rsid wsp:val=&quot;57550251&quot;/&gt;&lt;wsp:rsid wsp:val=&quot;575529A1&quot;/&gt;&lt;wsp:rsid wsp:val=&quot;57580F21&quot;/&gt;&lt;wsp:rsid wsp:val=&quot;575907F5&quot;/&gt;&lt;wsp:rsid wsp:val=&quot;575A60B2&quot;/&gt;&lt;wsp:rsid wsp:val=&quot;575B456D&quot;/&gt;&lt;wsp:rsid wsp:val=&quot;575C02E5&quot;/&gt;&lt;wsp:rsid wsp:val=&quot;575E13C4&quot;/&gt;&lt;wsp:rsid wsp:val=&quot;575E5E0B&quot;/&gt;&lt;wsp:rsid wsp:val=&quot;575F3ED4&quot;/&gt;&lt;wsp:rsid wsp:val=&quot;57601B83&quot;/&gt;&lt;wsp:rsid wsp:val=&quot;57603931&quot;/&gt;&lt;wsp:rsid wsp:val=&quot;576158FB&quot;/&gt;&lt;wsp:rsid wsp:val=&quot;57631674&quot;/&gt;&lt;wsp:rsid wsp:val=&quot;57647C5C&quot;/&gt;&lt;wsp:rsid wsp:val=&quot;576626E7&quot;/&gt;&lt;wsp:rsid wsp:val=&quot;576A47B0&quot;/&gt;&lt;wsp:rsid wsp:val=&quot;576B22D6&quot;/&gt;&lt;wsp:rsid wsp:val=&quot;576B5048&quot;/&gt;&lt;wsp:rsid wsp:val=&quot;576D5CD7&quot;/&gt;&lt;wsp:rsid wsp:val=&quot;576D604E&quot;/&gt;&lt;wsp:rsid wsp:val=&quot;576F626A&quot;/&gt;&lt;wsp:rsid wsp:val=&quot;57710EBA&quot;/&gt;&lt;wsp:rsid wsp:val=&quot;57711FE2&quot;/&gt;&lt;wsp:rsid wsp:val=&quot;57713D91&quot;/&gt;&lt;wsp:rsid wsp:val=&quot;57723665&quot;/&gt;&lt;wsp:rsid wsp:val=&quot;577613A7&quot;/&gt;&lt;wsp:rsid wsp:val=&quot;57763155&quot;/&gt;&lt;wsp:rsid wsp:val=&quot;577675F9&quot;/&gt;&lt;wsp:rsid wsp:val=&quot;57770C7B&quot;/&gt;&lt;wsp:rsid wsp:val=&quot;5778511F&quot;/&gt;&lt;wsp:rsid wsp:val=&quot;57790E97&quot;/&gt;&lt;wsp:rsid wsp:val=&quot;577A36AD&quot;/&gt;&lt;wsp:rsid wsp:val=&quot;577B5BFD&quot;/&gt;&lt;wsp:rsid wsp:val=&quot;577B69BD&quot;/&gt;&lt;wsp:rsid wsp:val=&quot;577C44E3&quot;/&gt;&lt;wsp:rsid wsp:val=&quot;577D2735&quot;/&gt;&lt;wsp:rsid wsp:val=&quot;577E025B&quot;/&gt;&lt;wsp:rsid wsp:val=&quot;57805D82&quot;/&gt;&lt;wsp:rsid wsp:val=&quot;57811AFA&quot;/&gt;&lt;wsp:rsid wsp:val=&quot;57821E3F&quot;/&gt;&lt;wsp:rsid wsp:val=&quot;57830D79&quot;/&gt;&lt;wsp:rsid wsp:val=&quot;57833AC4&quot;/&gt;&lt;wsp:rsid wsp:val=&quot;57835872&quot;/&gt;&lt;wsp:rsid wsp:val=&quot;57870EFC&quot;/&gt;&lt;wsp:rsid wsp:val=&quot;578735B4&quot;/&gt;&lt;wsp:rsid wsp:val=&quot;578810DA&quot;/&gt;&lt;wsp:rsid wsp:val=&quot;578A1A61&quot;/&gt;&lt;wsp:rsid wsp:val=&quot;578A30A4&quot;/&gt;&lt;wsp:rsid wsp:val=&quot;578A4715&quot;/&gt;&lt;wsp:rsid wsp:val=&quot;578C4726&quot;/&gt;&lt;wsp:rsid wsp:val=&quot;578F06BB&quot;/&gt;&lt;wsp:rsid wsp:val=&quot;57914433&quot;/&gt;&lt;wsp:rsid wsp:val=&quot;579201F3&quot;/&gt;&lt;wsp:rsid wsp:val=&quot;57923D07&quot;/&gt;&lt;wsp:rsid wsp:val=&quot;57925AB5&quot;/&gt;&lt;wsp:rsid wsp:val=&quot;57931F59&quot;/&gt;&lt;wsp:rsid wsp:val=&quot;57947A7F&quot;/&gt;&lt;wsp:rsid wsp:val=&quot;57947EDE&quot;/&gt;&lt;wsp:rsid wsp:val=&quot;579730CB&quot;/&gt;&lt;wsp:rsid wsp:val=&quot;57995095&quot;/&gt;&lt;wsp:rsid wsp:val=&quot;57996E43&quot;/&gt;&lt;wsp:rsid wsp:val=&quot;579B0E0D&quot;/&gt;&lt;wsp:rsid wsp:val=&quot;579B2BBB&quot;/&gt;&lt;wsp:rsid wsp:val=&quot;579B705F&quot;/&gt;&lt;wsp:rsid wsp:val=&quot;579E7AB9&quot;/&gt;&lt;wsp:rsid wsp:val=&quot;57A001D2&quot;/&gt;&lt;wsp:rsid wsp:val=&quot;57A027F7&quot;/&gt;&lt;wsp:rsid wsp:val=&quot;57A06424&quot;/&gt;&lt;wsp:rsid wsp:val=&quot;57A16858&quot;/&gt;&lt;wsp:rsid wsp:val=&quot;57A203EE&quot;/&gt;&lt;wsp:rsid wsp:val=&quot;57A23F4A&quot;/&gt;&lt;wsp:rsid wsp:val=&quot;57A31A70&quot;/&gt;&lt;wsp:rsid wsp:val=&quot;57A442FC&quot;/&gt;&lt;wsp:rsid wsp:val=&quot;57A66A3F&quot;/&gt;&lt;wsp:rsid wsp:val=&quot;57A71560&quot;/&gt;&lt;wsp:rsid wsp:val=&quot;57A8352A&quot;/&gt;&lt;wsp:rsid wsp:val=&quot;57A852D8&quot;/&gt;&lt;wsp:rsid wsp:val=&quot;57AA2DFF&quot;/&gt;&lt;wsp:rsid wsp:val=&quot;57AA72A2&quot;/&gt;&lt;wsp:rsid wsp:val=&quot;57AC4DC9&quot;/&gt;&lt;wsp:rsid wsp:val=&quot;57AC6B77&quot;/&gt;&lt;wsp:rsid wsp:val=&quot;57AE0B41&quot;/&gt;&lt;wsp:rsid wsp:val=&quot;57AF2B0B&quot;/&gt;&lt;wsp:rsid wsp:val=&quot;57AF6667&quot;/&gt;&lt;wsp:rsid wsp:val=&quot;57B40121&quot;/&gt;&lt;wsp:rsid wsp:val=&quot;57B41ECF&quot;/&gt;&lt;wsp:rsid wsp:val=&quot;57B679F5&quot;/&gt;&lt;wsp:rsid wsp:val=&quot;57B72A76&quot;/&gt;&lt;wsp:rsid wsp:val=&quot;57B94ADE&quot;/&gt;&lt;wsp:rsid wsp:val=&quot;57B95737&quot;/&gt;&lt;wsp:rsid wsp:val=&quot;57BB325E&quot;/&gt;&lt;wsp:rsid wsp:val=&quot;57BB500C&quot;/&gt;&lt;wsp:rsid wsp:val=&quot;57BB5B42&quot;/&gt;&lt;wsp:rsid wsp:val=&quot;57BC15F3&quot;/&gt;&lt;wsp:rsid wsp:val=&quot;57BD5228&quot;/&gt;&lt;wsp:rsid wsp:val=&quot;57BD68B0&quot;/&gt;&lt;wsp:rsid wsp:val=&quot;57BF2D4E&quot;/&gt;&lt;wsp:rsid wsp:val=&quot;57BF66C9&quot;/&gt;&lt;wsp:rsid wsp:val=&quot;57C06AC6&quot;/&gt;&lt;wsp:rsid wsp:val=&quot;57C32112&quot;/&gt;&lt;wsp:rsid wsp:val=&quot;57C32AA0&quot;/&gt;&lt;wsp:rsid wsp:val=&quot;57C3426C&quot;/&gt;&lt;wsp:rsid wsp:val=&quot;57C55E8A&quot;/&gt;&lt;wsp:rsid wsp:val=&quot;57C92E92&quot;/&gt;&lt;wsp:rsid wsp:val=&quot;57C945D3&quot;/&gt;&lt;wsp:rsid wsp:val=&quot;57CA34A1&quot;/&gt;&lt;wsp:rsid wsp:val=&quot;57CA524F&quot;/&gt;&lt;wsp:rsid wsp:val=&quot;57CC1813&quot;/&gt;&lt;wsp:rsid wsp:val=&quot;57CC546B&quot;/&gt;&lt;wsp:rsid wsp:val=&quot;57CC7219&quot;/&gt;&lt;wsp:rsid wsp:val=&quot;57CE1F93&quot;/&gt;&lt;wsp:rsid wsp:val=&quot;57CF2865&quot;/&gt;&lt;wsp:rsid wsp:val=&quot;57CF6D09&quot;/&gt;&lt;wsp:rsid wsp:val=&quot;57D07C3C&quot;/&gt;&lt;wsp:rsid wsp:val=&quot;57D12A81&quot;/&gt;&lt;wsp:rsid wsp:val=&quot;57D305A7&quot;/&gt;&lt;wsp:rsid wsp:val=&quot;57D60097&quot;/&gt;&lt;wsp:rsid wsp:val=&quot;57D63BF4&quot;/&gt;&lt;wsp:rsid wsp:val=&quot;57D73675&quot;/&gt;&lt;wsp:rsid wsp:val=&quot;57D83DB7&quot;/&gt;&lt;wsp:rsid wsp:val=&quot;57D91936&quot;/&gt;&lt;wsp:rsid wsp:val=&quot;57D936E4&quot;/&gt;&lt;wsp:rsid wsp:val=&quot;57D93F92&quot;/&gt;&lt;wsp:rsid wsp:val=&quot;57DA0118&quot;/&gt;&lt;wsp:rsid wsp:val=&quot;57DA69E8&quot;/&gt;&lt;wsp:rsid wsp:val=&quot;57DB3900&quot;/&gt;&lt;wsp:rsid wsp:val=&quot;57DB56AE&quot;/&gt;&lt;wsp:rsid wsp:val=&quot;57DD1426&quot;/&gt;&lt;wsp:rsid wsp:val=&quot;57DF519E&quot;/&gt;&lt;wsp:rsid wsp:val=&quot;57E00F16&quot;/&gt;&lt;wsp:rsid wsp:val=&quot;57E079C3&quot;/&gt;&lt;wsp:rsid wsp:val=&quot;57E2517A&quot;/&gt;&lt;wsp:rsid wsp:val=&quot;57E44A19&quot;/&gt;&lt;wsp:rsid wsp:val=&quot;57E47E65&quot;/&gt;&lt;wsp:rsid wsp:val=&quot;57E51FFC&quot;/&gt;&lt;wsp:rsid wsp:val=&quot;57E73521&quot;/&gt;&lt;wsp:rsid wsp:val=&quot;57E74053&quot;/&gt;&lt;wsp:rsid wsp:val=&quot;57E7641B&quot;/&gt;&lt;wsp:rsid wsp:val=&quot;57E85B73&quot;/&gt;&lt;wsp:rsid wsp:val=&quot;57E95BB6&quot;/&gt;&lt;wsp:rsid wsp:val=&quot;57E9601D&quot;/&gt;&lt;wsp:rsid wsp:val=&quot;57EA3B43&quot;/&gt;&lt;wsp:rsid wsp:val=&quot;57EA3E47&quot;/&gt;&lt;wsp:rsid wsp:val=&quot;57EE3633&quot;/&gt;&lt;wsp:rsid wsp:val=&quot;57F0777E&quot;/&gt;&lt;wsp:rsid wsp:val=&quot;57F10A2D&quot;/&gt;&lt;wsp:rsid wsp:val=&quot;57F30C49&quot;/&gt;&lt;wsp:rsid wsp:val=&quot;57F41A29&quot;/&gt;&lt;wsp:rsid wsp:val=&quot;57F4758F&quot;/&gt;&lt;wsp:rsid wsp:val=&quot;57F56770&quot;/&gt;&lt;wsp:rsid wsp:val=&quot;57F66044&quot;/&gt;&lt;wsp:rsid wsp:val=&quot;57F95B34&quot;/&gt;&lt;wsp:rsid wsp:val=&quot;57FA1FD8&quot;/&gt;&lt;wsp:rsid wsp:val=&quot;57FA3D86&quot;/&gt;&lt;wsp:rsid wsp:val=&quot;57FB5D50&quot;/&gt;&lt;wsp:rsid wsp:val=&quot;57FB7AFE&quot;/&gt;&lt;wsp:rsid wsp:val=&quot;57FD3876&quot;/&gt;&lt;wsp:rsid wsp:val=&quot;57FD73D2&quot;/&gt;&lt;wsp:rsid wsp:val=&quot;57FE314A&quot;/&gt;&lt;wsp:rsid wsp:val=&quot;57FF2DC9&quot;/&gt;&lt;wsp:rsid wsp:val=&quot;58001984&quot;/&gt;&lt;wsp:rsid wsp:val=&quot;58022C3B&quot;/&gt;&lt;wsp:rsid wsp:val=&quot;580469B3&quot;/&gt;&lt;wsp:rsid wsp:val=&quot;580538F1&quot;/&gt;&lt;wsp:rsid wsp:val=&quot;580746F5&quot;/&gt;&lt;wsp:rsid wsp:val=&quot;58091E72&quot;/&gt;&lt;wsp:rsid wsp:val=&quot;580A1AEF&quot;/&gt;&lt;wsp:rsid wsp:val=&quot;580C3AB9&quot;/&gt;&lt;wsp:rsid wsp:val=&quot;580D5C0C&quot;/&gt;&lt;wsp:rsid wsp:val=&quot;580E5A83&quot;/&gt;&lt;wsp:rsid wsp:val=&quot;580E7831&quot;/&gt;&lt;wsp:rsid wsp:val=&quot;58107BCF&quot;/&gt;&lt;wsp:rsid wsp:val=&quot;581110D0&quot;/&gt;&lt;wsp:rsid wsp:val=&quot;581356E9&quot;/&gt;&lt;wsp:rsid wsp:val=&quot;58136BF6&quot;/&gt;&lt;wsp:rsid wsp:val=&quot;58146308&quot;/&gt;&lt;wsp:rsid wsp:val=&quot;58150BC0&quot;/&gt;&lt;wsp:rsid wsp:val=&quot;581653E5&quot;/&gt;&lt;wsp:rsid wsp:val=&quot;58171A35&quot;/&gt;&lt;wsp:rsid wsp:val=&quot;5818420C&quot;/&gt;&lt;wsp:rsid wsp:val=&quot;5818698A&quot;/&gt;&lt;wsp:rsid wsp:val=&quot;581A12AA&quot;/&gt;&lt;wsp:rsid wsp:val=&quot;581B5AAA&quot;/&gt;&lt;wsp:rsid wsp:val=&quot;581D1822&quot;/&gt;&lt;wsp:rsid wsp:val=&quot;581D5CC6&quot;/&gt;&lt;wsp:rsid wsp:val=&quot;581E05CE&quot;/&gt;&lt;wsp:rsid wsp:val=&quot;581E5996&quot;/&gt;&lt;wsp:rsid wsp:val=&quot;581F28A3&quot;/&gt;&lt;wsp:rsid wsp:val=&quot;58201313&quot;/&gt;&lt;wsp:rsid wsp:val=&quot;582157B7&quot;/&gt;&lt;wsp:rsid wsp:val=&quot;582165AC&quot;/&gt;&lt;wsp:rsid wsp:val=&quot;5822508B&quot;/&gt;&lt;wsp:rsid wsp:val=&quot;5824666E&quot;/&gt;&lt;wsp:rsid wsp:val=&quot;58256929&quot;/&gt;&lt;wsp:rsid wsp:val=&quot;58260F8E&quot;/&gt;&lt;wsp:rsid wsp:val=&quot;582634BF&quot;/&gt;&lt;wsp:rsid wsp:val=&quot;58264EAA&quot;/&gt;&lt;wsp:rsid wsp:val=&quot;582708F3&quot;/&gt;&lt;wsp:rsid wsp:val=&quot;582726A1&quot;/&gt;&lt;wsp:rsid wsp:val=&quot;582B03E3&quot;/&gt;&lt;wsp:rsid wsp:val=&quot;582B2191&quot;/&gt;&lt;wsp:rsid wsp:val=&quot;582E1C82&quot;/&gt;&lt;wsp:rsid wsp:val=&quot;582E4FF3&quot;/&gt;&lt;wsp:rsid wsp:val=&quot;583077A8&quot;/&gt;&lt;wsp:rsid wsp:val=&quot;583152CE&quot;/&gt;&lt;wsp:rsid wsp:val=&quot;58353010&quot;/&gt;&lt;wsp:rsid wsp:val=&quot;58357612&quot;/&gt;&lt;wsp:rsid wsp:val=&quot;58360B36&quot;/&gt;&lt;wsp:rsid wsp:val=&quot;583628E4&quot;/&gt;&lt;wsp:rsid wsp:val=&quot;58371F07&quot;/&gt;&lt;wsp:rsid wsp:val=&quot;583848AE&quot;/&gt;&lt;wsp:rsid wsp:val=&quot;583A0894&quot;/&gt;&lt;wsp:rsid wsp:val=&quot;583A3465&quot;/&gt;&lt;wsp:rsid wsp:val=&quot;583A6878&quot;/&gt;&lt;wsp:rsid wsp:val=&quot;583B1003&quot;/&gt;&lt;wsp:rsid wsp:val=&quot;583C3675&quot;/&gt;&lt;wsp:rsid wsp:val=&quot;583C439E&quot;/&gt;&lt;wsp:rsid wsp:val=&quot;583E1DE6&quot;/&gt;&lt;wsp:rsid wsp:val=&quot;583F79EB&quot;/&gt;&lt;wsp:rsid wsp:val=&quot;5842572D&quot;/&gt;&lt;wsp:rsid wsp:val=&quot;584274DB&quot;/&gt;&lt;wsp:rsid wsp:val=&quot;58443253&quot;/&gt;&lt;wsp:rsid wsp:val=&quot;58466FCB&quot;/&gt;&lt;wsp:rsid wsp:val=&quot;58476637&quot;/&gt;&lt;wsp:rsid wsp:val=&quot;58484328&quot;/&gt;&lt;wsp:rsid wsp:val=&quot;58487836&quot;/&gt;&lt;wsp:rsid wsp:val=&quot;58496ABB&quot;/&gt;&lt;wsp:rsid wsp:val=&quot;584B2834&quot;/&gt;&lt;wsp:rsid wsp:val=&quot;584C2108&quot;/&gt;&lt;wsp:rsid wsp:val=&quot;58507E4A&quot;/&gt;&lt;wsp:rsid wsp:val=&quot;5851771E&quot;/&gt;&lt;wsp:rsid wsp:val=&quot;585316E8&quot;/&gt;&lt;wsp:rsid wsp:val=&quot;58550FBC&quot;/&gt;&lt;wsp:rsid wsp:val=&quot;5855720E&quot;/&gt;&lt;wsp:rsid wsp:val=&quot;5856065B&quot;/&gt;&lt;wsp:rsid wsp:val=&quot;58561460&quot;/&gt;&lt;wsp:rsid wsp:val=&quot;58584F50&quot;/&gt;&lt;wsp:rsid wsp:val=&quot;58586CFE&quot;/&gt;&lt;wsp:rsid wsp:val=&quot;585969EE&quot;/&gt;&lt;wsp:rsid wsp:val=&quot;585A4D2D&quot;/&gt;&lt;wsp:rsid wsp:val=&quot;585A65D3&quot;/&gt;&lt;wsp:rsid wsp:val=&quot;585A6730&quot;/&gt;&lt;wsp:rsid wsp:val=&quot;585A7E7E&quot;/&gt;&lt;wsp:rsid wsp:val=&quot;585B059D&quot;/&gt;&lt;wsp:rsid wsp:val=&quot;585D2567&quot;/&gt;&lt;wsp:rsid wsp:val=&quot;585D4315&quot;/&gt;&lt;wsp:rsid wsp:val=&quot;585D50BE&quot;/&gt;&lt;wsp:rsid wsp:val=&quot;585E7C8F&quot;/&gt;&lt;wsp:rsid wsp:val=&quot;58615BB3&quot;/&gt;&lt;wsp:rsid wsp:val=&quot;5862192B&quot;/&gt;&lt;wsp:rsid wsp:val=&quot;58627B7D&quot;/&gt;&lt;wsp:rsid wsp:val=&quot;58632671&quot;/&gt;&lt;wsp:rsid wsp:val=&quot;58637281&quot;/&gt;&lt;wsp:rsid wsp:val=&quot;58653994&quot;/&gt;&lt;wsp:rsid wsp:val=&quot;5866141B&quot;/&gt;&lt;wsp:rsid wsp:val=&quot;5866766D&quot;/&gt;&lt;wsp:rsid wsp:val=&quot;58675193&quot;/&gt;&lt;wsp:rsid wsp:val=&quot;58676F42&quot;/&gt;&lt;wsp:rsid wsp:val=&quot;58681E74&quot;/&gt;&lt;wsp:rsid wsp:val=&quot;58694A68&quot;/&gt;&lt;wsp:rsid wsp:val=&quot;586B07E0&quot;/&gt;&lt;wsp:rsid wsp:val=&quot;586B76C2&quot;/&gt;&lt;wsp:rsid wsp:val=&quot;586C6306&quot;/&gt;&lt;wsp:rsid wsp:val=&quot;586E207E&quot;/&gt;&lt;wsp:rsid wsp:val=&quot;58704048&quot;/&gt;&lt;wsp:rsid wsp:val=&quot;58716105&quot;/&gt;&lt;wsp:rsid wsp:val=&quot;58733B38&quot;/&gt;&lt;wsp:rsid wsp:val=&quot;58773629&quot;/&gt;&lt;wsp:rsid wsp:val=&quot;587753D7&quot;/&gt;&lt;wsp:rsid wsp:val=&quot;58781CC6&quot;/&gt;&lt;wsp:rsid wsp:val=&quot;58782EFD&quot;/&gt;&lt;wsp:rsid wsp:val=&quot;58791FDE&quot;/&gt;&lt;wsp:rsid wsp:val=&quot;587949A8&quot;/&gt;&lt;wsp:rsid wsp:val=&quot;587A116F&quot;/&gt;&lt;wsp:rsid wsp:val=&quot;587A4EC7&quot;/&gt;&lt;wsp:rsid wsp:val=&quot;587C0C3F&quot;/&gt;&lt;wsp:rsid wsp:val=&quot;587C29ED&quot;/&gt;&lt;wsp:rsid wsp:val=&quot;587C3671&quot;/&gt;&lt;wsp:rsid wsp:val=&quot;587E5B38&quot;/&gt;&lt;wsp:rsid wsp:val=&quot;587F0709&quot;/&gt;&lt;wsp:rsid wsp:val=&quot;587F072F&quot;/&gt;&lt;wsp:rsid wsp:val=&quot;58825B29&quot;/&gt;&lt;wsp:rsid wsp:val=&quot;588418A2&quot;/&gt;&lt;wsp:rsid wsp:val=&quot;58847AF3&quot;/&gt;&lt;wsp:rsid wsp:val=&quot;58856367&quot;/&gt;&lt;wsp:rsid wsp:val=&quot;588743D1&quot;/&gt;&lt;wsp:rsid wsp:val=&quot;5887701A&quot;/&gt;&lt;wsp:rsid wsp:val=&quot;5889510A&quot;/&gt;&lt;wsp:rsid wsp:val=&quot;588B0E82&quot;/&gt;&lt;wsp:rsid wsp:val=&quot;588C013C&quot;/&gt;&lt;wsp:rsid wsp:val=&quot;588E7DA0&quot;/&gt;&lt;wsp:rsid wsp:val=&quot;58913FBE&quot;/&gt;&lt;wsp:rsid wsp:val=&quot;58920462&quot;/&gt;&lt;wsp:rsid wsp:val=&quot;58931AE5&quot;/&gt;&lt;wsp:rsid wsp:val=&quot;58935F89&quot;/&gt;&lt;wsp:rsid wsp:val=&quot;58960B14&quot;/&gt;&lt;wsp:rsid wsp:val=&quot;58975A79&quot;/&gt;&lt;wsp:rsid wsp:val=&quot;5898534D&quot;/&gt;&lt;wsp:rsid wsp:val=&quot;589A2E73&quot;/&gt;&lt;wsp:rsid wsp:val=&quot;589D0BB5&quot;/&gt;&lt;wsp:rsid wsp:val=&quot;589D2963&quot;/&gt;&lt;wsp:rsid wsp:val=&quot;589F0489&quot;/&gt;&lt;wsp:rsid wsp:val=&quot;589F66DB&quot;/&gt;&lt;wsp:rsid wsp:val=&quot;58A02613&quot;/&gt;&lt;wsp:rsid wsp:val=&quot;58A12453&quot;/&gt;&lt;wsp:rsid wsp:val=&quot;58A261CC&quot;/&gt;&lt;wsp:rsid wsp:val=&quot;58A43CF2&quot;/&gt;&lt;wsp:rsid wsp:val=&quot;58A67A6A&quot;/&gt;&lt;wsp:rsid wsp:val=&quot;58A91308&quot;/&gt;&lt;wsp:rsid wsp:val=&quot;58AD0DF8&quot;/&gt;&lt;wsp:rsid wsp:val=&quot;58AD136C&quot;/&gt;&lt;wsp:rsid wsp:val=&quot;58AD786A&quot;/&gt;&lt;wsp:rsid wsp:val=&quot;58AE4B70&quot;/&gt;&lt;wsp:rsid wsp:val=&quot;58AE691E&quot;/&gt;&lt;wsp:rsid wsp:val=&quot;58AF77DD&quot;/&gt;&lt;wsp:rsid wsp:val=&quot;58B008E9&quot;/&gt;&lt;wsp:rsid wsp:val=&quot;58B06B3A&quot;/&gt;&lt;wsp:rsid wsp:val=&quot;58B313F3&quot;/&gt;&lt;wsp:rsid wsp:val=&quot;58B33CCF&quot;/&gt;&lt;wsp:rsid wsp:val=&quot;58B33F35&quot;/&gt;&lt;wsp:rsid wsp:val=&quot;58B41D6C&quot;/&gt;&lt;wsp:rsid wsp:val=&quot;58B54151&quot;/&gt;&lt;wsp:rsid wsp:val=&quot;58B55EFF&quot;/&gt;&lt;wsp:rsid wsp:val=&quot;58B731C9&quot;/&gt;&lt;wsp:rsid wsp:val=&quot;58B77EC9&quot;/&gt;&lt;wsp:rsid wsp:val=&quot;58B8154B&quot;/&gt;&lt;wsp:rsid wsp:val=&quot;58BA52C3&quot;/&gt;&lt;wsp:rsid wsp:val=&quot;58BD4DB3&quot;/&gt;&lt;wsp:rsid wsp:val=&quot;58BD4E3B&quot;/&gt;&lt;wsp:rsid wsp:val=&quot;58BF0B2C&quot;/&gt;&lt;wsp:rsid wsp:val=&quot;58BF5B9C&quot;/&gt;&lt;wsp:rsid wsp:val=&quot;58BF6D7E&quot;/&gt;&lt;wsp:rsid wsp:val=&quot;58C3061C&quot;/&gt;&lt;wsp:rsid wsp:val=&quot;58C3686E&quot;/&gt;&lt;wsp:rsid wsp:val=&quot;58C57CDC&quot;/&gt;&lt;wsp:rsid wsp:val=&quot;58C6010C&quot;/&gt;&lt;wsp:rsid wsp:val=&quot;58C85C32&quot;/&gt;&lt;wsp:rsid wsp:val=&quot;58C919AA&quot;/&gt;&lt;wsp:rsid wsp:val=&quot;58CB413F&quot;/&gt;&lt;wsp:rsid wsp:val=&quot;58CD3249&quot;/&gt;&lt;wsp:rsid wsp:val=&quot;58CF1137&quot;/&gt;&lt;wsp:rsid wsp:val=&quot;58D20E82&quot;/&gt;&lt;wsp:rsid wsp:val=&quot;58D228D1&quot;/&gt;&lt;wsp:rsid wsp:val=&quot;58D26AB1&quot;/&gt;&lt;wsp:rsid wsp:val=&quot;58D42829&quot;/&gt;&lt;wsp:rsid wsp:val=&quot;58D75E75&quot;/&gt;&lt;wsp:rsid wsp:val=&quot;58D77C23&quot;/&gt;&lt;wsp:rsid wsp:val=&quot;58D97E3F&quot;/&gt;&lt;wsp:rsid wsp:val=&quot;58DA3BB7&quot;/&gt;&lt;wsp:rsid wsp:val=&quot;58DA5965&quot;/&gt;&lt;wsp:rsid wsp:val=&quot;58DA6644&quot;/&gt;&lt;wsp:rsid wsp:val=&quot;58DA7713&quot;/&gt;&lt;wsp:rsid wsp:val=&quot;58DD4CD1&quot;/&gt;&lt;wsp:rsid wsp:val=&quot;58DE7204&quot;/&gt;&lt;wsp:rsid wsp:val=&quot;58DF1E3B&quot;/&gt;&lt;wsp:rsid wsp:val=&quot;58DF2F7C&quot;/&gt;&lt;wsp:rsid wsp:val=&quot;58DF4D2A&quot;/&gt;&lt;wsp:rsid wsp:val=&quot;58E16365&quot;/&gt;&lt;wsp:rsid wsp:val=&quot;58E3481A&quot;/&gt;&lt;wsp:rsid wsp:val=&quot;58E40592&quot;/&gt;&lt;wsp:rsid wsp:val=&quot;58E467E4&quot;/&gt;&lt;wsp:rsid wsp:val=&quot;58E6255C&quot;/&gt;&lt;wsp:rsid wsp:val=&quot;58E6430A&quot;/&gt;&lt;wsp:rsid wsp:val=&quot;58E660B8&quot;/&gt;&lt;wsp:rsid wsp:val=&quot;58E76756&quot;/&gt;&lt;wsp:rsid wsp:val=&quot;58EB1921&quot;/&gt;&lt;wsp:rsid wsp:val=&quot;58EB36CF&quot;/&gt;&lt;wsp:rsid wsp:val=&quot;58EB7B73&quot;/&gt;&lt;wsp:rsid wsp:val=&quot;58EC1B0F&quot;/&gt;&lt;wsp:rsid wsp:val=&quot;58EC6049&quot;/&gt;&lt;wsp:rsid wsp:val=&quot;58ED74D9&quot;/&gt;&lt;wsp:rsid wsp:val=&quot;58EF3C35&quot;/&gt;&lt;wsp:rsid wsp:val=&quot;58F00CE5&quot;/&gt;&lt;wsp:rsid wsp:val=&quot;58F0569F&quot;/&gt;&lt;wsp:rsid wsp:val=&quot;58F06F37&quot;/&gt;&lt;wsp:rsid wsp:val=&quot;58F307D5&quot;/&gt;&lt;wsp:rsid wsp:val=&quot;58F4190E&quot;/&gt;&lt;wsp:rsid wsp:val=&quot;58F42F66&quot;/&gt;&lt;wsp:rsid wsp:val=&quot;58F46BA2&quot;/&gt;&lt;wsp:rsid wsp:val=&quot;58F5279F&quot;/&gt;&lt;wsp:rsid wsp:val=&quot;58F702C5&quot;/&gt;&lt;wsp:rsid wsp:val=&quot;58F72073&quot;/&gt;&lt;wsp:rsid wsp:val=&quot;58F85DEC&quot;/&gt;&lt;wsp:rsid wsp:val=&quot;58F96265&quot;/&gt;&lt;wsp:rsid wsp:val=&quot;58F971BD&quot;/&gt;&lt;wsp:rsid wsp:val=&quot;58FC3B2E&quot;/&gt;&lt;wsp:rsid wsp:val=&quot;58FD3402&quot;/&gt;&lt;wsp:rsid wsp:val=&quot;58FD417F&quot;/&gt;&lt;wsp:rsid wsp:val=&quot;58FE74CE&quot;/&gt;&lt;wsp:rsid wsp:val=&quot;58FF53CC&quot;/&gt;&lt;wsp:rsid wsp:val=&quot;58FF7619&quot;/&gt;&lt;wsp:rsid wsp:val=&quot;5900361E&quot;/&gt;&lt;wsp:rsid wsp:val=&quot;59011144&quot;/&gt;&lt;wsp:rsid wsp:val=&quot;59012EF2&quot;/&gt;&lt;wsp:rsid wsp:val=&quot;590518BF&quot;/&gt;&lt;wsp:rsid wsp:val=&quot;59080725&quot;/&gt;&lt;wsp:rsid wsp:val=&quot;59091DA7&quot;/&gt;&lt;wsp:rsid wsp:val=&quot;59096ED1&quot;/&gt;&lt;wsp:rsid wsp:val=&quot;590A630B&quot;/&gt;&lt;wsp:rsid wsp:val=&quot;590B3D71&quot;/&gt;&lt;wsp:rsid wsp:val=&quot;590C2A62&quot;/&gt;&lt;wsp:rsid wsp:val=&quot;590E6812&quot;/&gt;&lt;wsp:rsid wsp:val=&quot;590F3861&quot;/&gt;&lt;wsp:rsid wsp:val=&quot;59103135&quot;/&gt;&lt;wsp:rsid wsp:val=&quot;59154BEF&quot;/&gt;&lt;wsp:rsid wsp:val=&quot;591620AE&quot;/&gt;&lt;wsp:rsid wsp:val=&quot;59172716&quot;/&gt;&lt;wsp:rsid wsp:val=&quot;5919023C&quot;/&gt;&lt;wsp:rsid wsp:val=&quot;591B0458&quot;/&gt;&lt;wsp:rsid wsp:val=&quot;591E5852&quot;/&gt;&lt;wsp:rsid wsp:val=&quot;591F1B00&quot;/&gt;&lt;wsp:rsid wsp:val=&quot;59215342&quot;/&gt;&lt;wsp:rsid wsp:val=&quot;5923730C&quot;/&gt;&lt;wsp:rsid wsp:val=&quot;59246BE1&quot;/&gt;&lt;wsp:rsid wsp:val=&quot;59260BAB&quot;/&gt;&lt;wsp:rsid wsp:val=&quot;59282B75&quot;/&gt;&lt;wsp:rsid wsp:val=&quot;59284CA9&quot;/&gt;&lt;wsp:rsid wsp:val=&quot;592A2449&quot;/&gt;&lt;wsp:rsid wsp:val=&quot;592B61C1&quot;/&gt;&lt;wsp:rsid wsp:val=&quot;592D3CE7&quot;/&gt;&lt;wsp:rsid wsp:val=&quot;592E180D&quot;/&gt;&lt;wsp:rsid wsp:val=&quot;592E7BFA&quot;/&gt;&lt;wsp:rsid wsp:val=&quot;592F728C&quot;/&gt;&lt;wsp:rsid wsp:val=&quot;59301A29&quot;/&gt;&lt;wsp:rsid wsp:val=&quot;593162FA&quot;/&gt;&lt;wsp:rsid wsp:val=&quot;593212FE&quot;/&gt;&lt;wsp:rsid wsp:val=&quot;5932754F&quot;/&gt;&lt;wsp:rsid wsp:val=&quot;59345076&quot;/&gt;&lt;wsp:rsid wsp:val=&quot;59352B9C&quot;/&gt;&lt;wsp:rsid wsp:val=&quot;59374B66&quot;/&gt;&lt;wsp:rsid wsp:val=&quot;593A439E&quot;/&gt;&lt;wsp:rsid wsp:val=&quot;593A6404&quot;/&gt;&lt;wsp:rsid wsp:val=&quot;593A768F&quot;/&gt;&lt;wsp:rsid wsp:val=&quot;593B28A8&quot;/&gt;&lt;wsp:rsid wsp:val=&quot;593C03CE&quot;/&gt;&lt;wsp:rsid wsp:val=&quot;593C0B52&quot;/&gt;&lt;wsp:rsid wsp:val=&quot;593C3F2A&quot;/&gt;&lt;wsp:rsid wsp:val=&quot;593C4479&quot;/&gt;&lt;wsp:rsid wsp:val=&quot;593C54D3&quot;/&gt;&lt;wsp:rsid wsp:val=&quot;59405C8C&quot;/&gt;&lt;wsp:rsid wsp:val=&quot;594228A6&quot;/&gt;&lt;wsp:rsid wsp:val=&quot;594352B9&quot;/&gt;&lt;wsp:rsid wsp:val=&quot;59436B91&quot;/&gt;&lt;wsp:rsid wsp:val=&quot;59445A94&quot;/&gt;&lt;wsp:rsid wsp:val=&quot;59452BF2&quot;/&gt;&lt;wsp:rsid wsp:val=&quot;59462FFB&quot;/&gt;&lt;wsp:rsid wsp:val=&quot;59464DA9&quot;/&gt;&lt;wsp:rsid wsp:val=&quot;594700E3&quot;/&gt;&lt;wsp:rsid wsp:val=&quot;59480B21&quot;/&gt;&lt;wsp:rsid wsp:val=&quot;594828CF&quot;/&gt;&lt;wsp:rsid wsp:val=&quot;59492735&quot;/&gt;&lt;wsp:rsid wsp:val=&quot;594B0AC4&quot;/&gt;&lt;wsp:rsid wsp:val=&quot;594C7EF4&quot;/&gt;&lt;wsp:rsid wsp:val=&quot;594D6137&quot;/&gt;&lt;wsp:rsid wsp:val=&quot;594E53E5&quot;/&gt;&lt;wsp:rsid wsp:val=&quot;594F2016&quot;/&gt;&lt;wsp:rsid wsp:val=&quot;594F370E&quot;/&gt;&lt;wsp:rsid wsp:val=&quot;594F3C5E&quot;/&gt;&lt;wsp:rsid wsp:val=&quot;595079D6&quot;/&gt;&lt;wsp:rsid wsp:val=&quot;59513E7A&quot;/&gt;&lt;wsp:rsid wsp:val=&quot;595219A0&quot;/&gt;&lt;wsp:rsid wsp:val=&quot;5954396A&quot;/&gt;&lt;wsp:rsid wsp:val=&quot;59561490&quot;/&gt;&lt;wsp:rsid wsp:val=&quot;59594ADC&quot;/&gt;&lt;wsp:rsid wsp:val=&quot;595B4CF8&quot;/&gt;&lt;wsp:rsid wsp:val=&quot;595E4EDA&quot;/&gt;&lt;wsp:rsid wsp:val=&quot;595E6596&quot;/&gt;&lt;wsp:rsid wsp:val=&quot;59633BAD&quot;/&gt;&lt;wsp:rsid wsp:val=&quot;5963595B&quot;/&gt;&lt;wsp:rsid wsp:val=&quot;59641B83&quot;/&gt;&lt;wsp:rsid wsp:val=&quot;59684D1F&quot;/&gt;&lt;wsp:rsid wsp:val=&quot;596A34DE&quot;/&gt;&lt;wsp:rsid wsp:val=&quot;596C0CB3&quot;/&gt;&lt;wsp:rsid wsp:val=&quot;596F2552&quot;/&gt;&lt;wsp:rsid wsp:val=&quot;5971077F&quot;/&gt;&lt;wsp:rsid wsp:val=&quot;597162CA&quot;/&gt;&lt;wsp:rsid wsp:val=&quot;59722042&quot;/&gt;&lt;wsp:rsid wsp:val=&quot;59725B9E&quot;/&gt;&lt;wsp:rsid wsp:val=&quot;5974452F&quot;/&gt;&lt;wsp:rsid wsp:val=&quot;597467F0&quot;/&gt;&lt;wsp:rsid wsp:val=&quot;5975743C&quot;/&gt;&lt;wsp:rsid wsp:val=&quot;597638E0&quot;/&gt;&lt;wsp:rsid wsp:val=&quot;597731B4&quot;/&gt;&lt;wsp:rsid wsp:val=&quot;597933D0&quot;/&gt;&lt;wsp:rsid wsp:val=&quot;597A3BB3&quot;/&gt;&lt;wsp:rsid wsp:val=&quot;597B2CA5&quot;/&gt;&lt;wsp:rsid wsp:val=&quot;597C6A1D&quot;/&gt;&lt;wsp:rsid wsp:val=&quot;597D0E01&quot;/&gt;&lt;wsp:rsid wsp:val=&quot;597D4C6F&quot;/&gt;&lt;wsp:rsid wsp:val=&quot;597D7FB6&quot;/&gt;&lt;wsp:rsid wsp:val=&quot;597E09E7&quot;/&gt;&lt;wsp:rsid wsp:val=&quot;597E2795&quot;/&gt;&lt;wsp:rsid wsp:val=&quot;59815DE1&quot;/&gt;&lt;wsp:rsid wsp:val=&quot;59851D75&quot;/&gt;&lt;wsp:rsid wsp:val=&quot;598633F7&quot;/&gt;&lt;wsp:rsid wsp:val=&quot;5988716F&quot;/&gt;&lt;wsp:rsid wsp:val=&quot;598962AA&quot;/&gt;&lt;wsp:rsid wsp:val=&quot;598A113A&quot;/&gt;&lt;wsp:rsid wsp:val=&quot;598A550B&quot;/&gt;&lt;wsp:rsid wsp:val=&quot;598B6C60&quot;/&gt;&lt;wsp:rsid wsp:val=&quot;598C4EB2&quot;/&gt;&lt;wsp:rsid wsp:val=&quot;598D0473&quot;/&gt;&lt;wsp:rsid wsp:val=&quot;598F36EC&quot;/&gt;&lt;wsp:rsid wsp:val=&quot;598F6750&quot;/&gt;&lt;wsp:rsid wsp:val=&quot;59904667&quot;/&gt;&lt;wsp:rsid wsp:val=&quot;599124C8&quot;/&gt;&lt;wsp:rsid wsp:val=&quot;59922E34&quot;/&gt;&lt;wsp:rsid wsp:val=&quot;59933B19&quot;/&gt;&lt;wsp:rsid wsp:val=&quot;59934492&quot;/&gt;&lt;wsp:rsid wsp:val=&quot;59943D66&quot;/&gt;&lt;wsp:rsid wsp:val=&quot;5999137D&quot;/&gt;&lt;wsp:rsid wsp:val=&quot;5999312B&quot;/&gt;&lt;wsp:rsid wsp:val=&quot;59995821&quot;/&gt;&lt;wsp:rsid wsp:val=&quot;599E2FD8&quot;/&gt;&lt;wsp:rsid wsp:val=&quot;59A0270B&quot;/&gt;&lt;wsp:rsid wsp:val=&quot;59A10231&quot;/&gt;&lt;wsp:rsid wsp:val=&quot;59A57D21&quot;/&gt;&lt;wsp:rsid wsp:val=&quot;59A631F0&quot;/&gt;&lt;wsp:rsid wsp:val=&quot;59A65848&quot;/&gt;&lt;wsp:rsid wsp:val=&quot;59A73043&quot;/&gt;&lt;wsp:rsid wsp:val=&quot;59A73A9A&quot;/&gt;&lt;wsp:rsid wsp:val=&quot;59A91713&quot;/&gt;&lt;wsp:rsid wsp:val=&quot;59AA17DC&quot;/&gt;&lt;wsp:rsid wsp:val=&quot;59AB6B3D&quot;/&gt;&lt;wsp:rsid wsp:val=&quot;59AC10B0&quot;/&gt;&lt;wsp:rsid wsp:val=&quot;59AC3230&quot;/&gt;&lt;wsp:rsid wsp:val=&quot;59AF0BA0&quot;/&gt;&lt;wsp:rsid wsp:val=&quot;59B144D1&quot;/&gt;&lt;wsp:rsid wsp:val=&quot;59B14918&quot;/&gt;&lt;wsp:rsid wsp:val=&quot;59B241EC&quot;/&gt;&lt;wsp:rsid wsp:val=&quot;59B30690&quot;/&gt;&lt;wsp:rsid wsp:val=&quot;59B461B6&quot;/&gt;&lt;wsp:rsid wsp:val=&quot;59B61F2F&quot;/&gt;&lt;wsp:rsid wsp:val=&quot;59B63CDD&quot;/&gt;&lt;wsp:rsid wsp:val=&quot;59B70343&quot;/&gt;&lt;wsp:rsid wsp:val=&quot;59B91A1F&quot;/&gt;&lt;wsp:rsid wsp:val=&quot;59B9557B&quot;/&gt;&lt;wsp:rsid wsp:val=&quot;59BA5B29&quot;/&gt;&lt;wsp:rsid wsp:val=&quot;59BC0878&quot;/&gt;&lt;wsp:rsid wsp:val=&quot;59BC506B&quot;/&gt;&lt;wsp:rsid wsp:val=&quot;59BD2407&quot;/&gt;&lt;wsp:rsid wsp:val=&quot;59BF7C35&quot;/&gt;&lt;wsp:rsid wsp:val=&quot;59C0439F&quot;/&gt;&lt;wsp:rsid wsp:val=&quot;59C12681&quot;/&gt;&lt;wsp:rsid wsp:val=&quot;59C3464B&quot;/&gt;&lt;wsp:rsid wsp:val=&quot;59C414B7&quot;/&gt;&lt;wsp:rsid wsp:val=&quot;59C77E38&quot;/&gt;&lt;wsp:rsid wsp:val=&quot;59C81C62&quot;/&gt;&lt;wsp:rsid wsp:val=&quot;59CA3C2C&quot;/&gt;&lt;wsp:rsid wsp:val=&quot;59CA7788&quot;/&gt;&lt;wsp:rsid wsp:val=&quot;59CC1752&quot;/&gt;&lt;wsp:rsid wsp:val=&quot;59CD1026&quot;/&gt;&lt;wsp:rsid wsp:val=&quot;59CF1242&quot;/&gt;&lt;wsp:rsid wsp:val=&quot;59CF57B7&quot;/&gt;&lt;wsp:rsid wsp:val=&quot;59D13ABB&quot;/&gt;&lt;wsp:rsid wsp:val=&quot;59D423B5&quot;/&gt;&lt;wsp:rsid wsp:val=&quot;59D625D1&quot;/&gt;&lt;wsp:rsid wsp:val=&quot;59D6612D&quot;/&gt;&lt;wsp:rsid wsp:val=&quot;59D979CB&quot;/&gt;&lt;wsp:rsid wsp:val=&quot;59DB3743&quot;/&gt;&lt;wsp:rsid wsp:val=&quot;59DC1F2E&quot;/&gt;&lt;wsp:rsid wsp:val=&quot;59DD74BB&quot;/&gt;&lt;wsp:rsid wsp:val=&quot;59DE1485&quot;/&gt;&lt;wsp:rsid wsp:val=&quot;59DE3B00&quot;/&gt;&lt;wsp:rsid wsp:val=&quot;59E00D5A&quot;/&gt;&lt;wsp:rsid wsp:val=&quot;59E22D24&quot;/&gt;&lt;wsp:rsid wsp:val=&quot;59E25F3A&quot;/&gt;&lt;wsp:rsid wsp:val=&quot;59E30AA1&quot;/&gt;&lt;wsp:rsid wsp:val=&quot;59E31FE6&quot;/&gt;&lt;wsp:rsid wsp:val=&quot;59E52814&quot;/&gt;&lt;wsp:rsid wsp:val=&quot;59E720E8&quot;/&gt;&lt;wsp:rsid wsp:val=&quot;59E85E60&quot;/&gt;&lt;wsp:rsid wsp:val=&quot;59E940B2&quot;/&gt;&lt;wsp:rsid wsp:val=&quot;59EA1BD8&quot;/&gt;&lt;wsp:rsid wsp:val=&quot;59EA6CCF&quot;/&gt;&lt;wsp:rsid wsp:val=&quot;59EA7E2A&quot;/&gt;&lt;wsp:rsid wsp:val=&quot;59EC3BA2&quot;/&gt;&lt;wsp:rsid wsp:val=&quot;59EC3E95&quot;/&gt;&lt;wsp:rsid wsp:val=&quot;59EC76FE&quot;/&gt;&lt;wsp:rsid wsp:val=&quot;59ED3476&quot;/&gt;&lt;wsp:rsid wsp:val=&quot;59EE2013&quot;/&gt;&lt;wsp:rsid wsp:val=&quot;59EF3692&quot;/&gt;&lt;wsp:rsid wsp:val=&quot;59EF5441&quot;/&gt;&lt;wsp:rsid wsp:val=&quot;59EF5DF4&quot;/&gt;&lt;wsp:rsid wsp:val=&quot;59EF71EF&quot;/&gt;&lt;wsp:rsid wsp:val=&quot;59F01C15&quot;/&gt;&lt;wsp:rsid wsp:val=&quot;59F04B44&quot;/&gt;&lt;wsp:rsid wsp:val=&quot;59F14D15&quot;/&gt;&lt;wsp:rsid wsp:val=&quot;59F20A8D&quot;/&gt;&lt;wsp:rsid wsp:val=&quot;59F6057D&quot;/&gt;&lt;wsp:rsid wsp:val=&quot;59F667CF&quot;/&gt;&lt;wsp:rsid wsp:val=&quot;59FB2037&quot;/&gt;&lt;wsp:rsid wsp:val=&quot;59FB5B93&quot;/&gt;&lt;wsp:rsid wsp:val=&quot;59FD3560&quot;/&gt;&lt;wsp:rsid wsp:val=&quot;59FE5684&quot;/&gt;&lt;wsp:rsid wsp:val=&quot;5A007FC9&quot;/&gt;&lt;wsp:rsid wsp:val=&quot;5A0233C6&quot;/&gt;&lt;wsp:rsid wsp:val=&quot;5A025174&quot;/&gt;&lt;wsp:rsid wsp:val=&quot;5A040EEC&quot;/&gt;&lt;wsp:rsid wsp:val=&quot;5A04713E&quot;/&gt;&lt;wsp:rsid wsp:val=&quot;5A0507C0&quot;/&gt;&lt;wsp:rsid wsp:val=&quot;5A074538&quot;/&gt;&lt;wsp:rsid wsp:val=&quot;5A0802B0&quot;/&gt;&lt;wsp:rsid wsp:val=&quot;5A0A227A&quot;/&gt;&lt;wsp:rsid wsp:val=&quot;5A0A4028&quot;/&gt;&lt;wsp:rsid wsp:val=&quot;5A0A5DD6&quot;/&gt;&lt;wsp:rsid wsp:val=&quot;5A0B48A1&quot;/&gt;&lt;wsp:rsid wsp:val=&quot;5A0C1B4F&quot;/&gt;&lt;wsp:rsid wsp:val=&quot;5A0C7DA1&quot;/&gt;&lt;wsp:rsid wsp:val=&quot;5A0D79FC&quot;/&gt;&lt;wsp:rsid wsp:val=&quot;5A0E25CD&quot;/&gt;&lt;wsp:rsid wsp:val=&quot;5A0F163F&quot;/&gt;&lt;wsp:rsid wsp:val=&quot;5A0F7891&quot;/&gt;&lt;wsp:rsid wsp:val=&quot;5A105AE3&quot;/&gt;&lt;wsp:rsid wsp:val=&quot;5A150D5F&quot;/&gt;&lt;wsp:rsid wsp:val=&quot;5A1530F9&quot;/&gt;&lt;wsp:rsid wsp:val=&quot;5A1629CD&quot;/&gt;&lt;wsp:rsid wsp:val=&quot;5A166E71&quot;/&gt;&lt;wsp:rsid wsp:val=&quot;5A17353D&quot;/&gt;&lt;wsp:rsid wsp:val=&quot;5A1D0200&quot;/&gt;&lt;wsp:rsid wsp:val=&quot;5A1D0C32&quot;/&gt;&lt;wsp:rsid wsp:val=&quot;5A1D3E97&quot;/&gt;&lt;wsp:rsid wsp:val=&quot;5A1D5B0A&quot;/&gt;&lt;wsp:rsid wsp:val=&quot;5A1E5F89&quot;/&gt;&lt;wsp:rsid wsp:val=&quot;5A225816&quot;/&gt;&lt;wsp:rsid wsp:val=&quot;5A2275C4&quot;/&gt;&lt;wsp:rsid wsp:val=&quot;5A2450EA&quot;/&gt;&lt;wsp:rsid wsp:val=&quot;5A272E2C&quot;/&gt;&lt;wsp:rsid wsp:val=&quot;5A274BDA&quot;/&gt;&lt;wsp:rsid wsp:val=&quot;5A292701&quot;/&gt;&lt;wsp:rsid wsp:val=&quot;5A2A6479&quot;/&gt;&lt;wsp:rsid wsp:val=&quot;5A2C11B4&quot;/&gt;&lt;wsp:rsid wsp:val=&quot;5A2C3F9F&quot;/&gt;&lt;wsp:rsid wsp:val=&quot;5A2E0476&quot;/&gt;&lt;wsp:rsid wsp:val=&quot;5A2E2FAF&quot;/&gt;&lt;wsp:rsid wsp:val=&quot;5A2E3047&quot;/&gt;&lt;wsp:rsid wsp:val=&quot;5A2F1CE1&quot;/&gt;&lt;wsp:rsid wsp:val=&quot;5A30337A&quot;/&gt;&lt;wsp:rsid wsp:val=&quot;5A307F33&quot;/&gt;&lt;wsp:rsid wsp:val=&quot;5A3115B5&quot;/&gt;&lt;wsp:rsid wsp:val=&quot;5A315A59&quot;/&gt;&lt;wsp:rsid wsp:val=&quot;5A362E88&quot;/&gt;&lt;wsp:rsid wsp:val=&quot;5A366BCB&quot;/&gt;&lt;wsp:rsid wsp:val=&quot;5A382944&quot;/&gt;&lt;wsp:rsid wsp:val=&quot;5A3840F9&quot;/&gt;&lt;wsp:rsid wsp:val=&quot;5A385205&quot;/&gt;&lt;wsp:rsid wsp:val=&quot;5A3966BC&quot;/&gt;&lt;wsp:rsid wsp:val=&quot;5A396D82&quot;/&gt;&lt;wsp:rsid wsp:val=&quot;5A3A2B60&quot;/&gt;&lt;wsp:rsid wsp:val=&quot;5A3A490E&quot;/&gt;&lt;wsp:rsid wsp:val=&quot;5A3B0686&quot;/&gt;&lt;wsp:rsid wsp:val=&quot;5A3D43FE&quot;/&gt;&lt;wsp:rsid wsp:val=&quot;5A3F0176&quot;/&gt;&lt;wsp:rsid wsp:val=&quot;5A3F1F24&quot;/&gt;&lt;wsp:rsid wsp:val=&quot;5A407A4A&quot;/&gt;&lt;wsp:rsid wsp:val=&quot;5A41632E&quot;/&gt;&lt;wsp:rsid wsp:val=&quot;5A4232B6&quot;/&gt;&lt;wsp:rsid wsp:val=&quot;5A4237C2&quot;/&gt;&lt;wsp:rsid wsp:val=&quot;5A44753A&quot;/&gt;&lt;wsp:rsid wsp:val=&quot;5A4532B2&quot;/&gt;&lt;wsp:rsid wsp:val=&quot;5A461504&quot;/&gt;&lt;wsp:rsid wsp:val=&quot;5A47702B&quot;/&gt;&lt;wsp:rsid wsp:val=&quot;5A4B6B1B&quot;/&gt;&lt;wsp:rsid wsp:val=&quot;5A4C3186&quot;/&gt;&lt;wsp:rsid wsp:val=&quot;5A4E03B9&quot;/&gt;&lt;wsp:rsid wsp:val=&quot;5A4E660B&quot;/&gt;&lt;wsp:rsid wsp:val=&quot;5A4F5EDF&quot;/&gt;&lt;wsp:rsid wsp:val=&quot;5A513A05&quot;/&gt;&lt;wsp:rsid wsp:val=&quot;5A5A0B0C&quot;/&gt;&lt;wsp:rsid wsp:val=&quot;5A5A76B3&quot;/&gt;&lt;wsp:rsid wsp:val=&quot;5A5B2AD6&quot;/&gt;&lt;wsp:rsid wsp:val=&quot;5A5D684E&quot;/&gt;&lt;wsp:rsid wsp:val=&quot;5A5F1E75&quot;/&gt;&lt;wsp:rsid wsp:val=&quot;5A5F25C6&quot;/&gt;&lt;wsp:rsid wsp:val=&quot;5A5F770D&quot;/&gt;&lt;wsp:rsid wsp:val=&quot;5A601E9A&quot;/&gt;&lt;wsp:rsid wsp:val=&quot;5A614795&quot;/&gt;&lt;wsp:rsid wsp:val=&quot;5A6279C1&quot;/&gt;&lt;wsp:rsid wsp:val=&quot;5A6307F6&quot;/&gt;&lt;wsp:rsid wsp:val=&quot;5A643739&quot;/&gt;&lt;wsp:rsid wsp:val=&quot;5A644677&quot;/&gt;&lt;wsp:rsid wsp:val=&quot;5A647BDD&quot;/&gt;&lt;wsp:rsid wsp:val=&quot;5A655703&quot;/&gt;&lt;wsp:rsid wsp:val=&quot;5A6574B1&quot;/&gt;&lt;wsp:rsid wsp:val=&quot;5A6776CD&quot;/&gt;&lt;wsp:rsid wsp:val=&quot;5A6951F3&quot;/&gt;&lt;wsp:rsid wsp:val=&quot;5A696FA1&quot;/&gt;&lt;wsp:rsid wsp:val=&quot;5A6A3F7A&quot;/&gt;&lt;wsp:rsid wsp:val=&quot;5A6C083F&quot;/&gt;&lt;wsp:rsid wsp:val=&quot;5A6C691B&quot;/&gt;&lt;wsp:rsid wsp:val=&quot;5A6E0A5B&quot;/&gt;&lt;wsp:rsid wsp:val=&quot;5A70032F&quot;/&gt;&lt;wsp:rsid wsp:val=&quot;5A7122F9&quot;/&gt;&lt;wsp:rsid wsp:val=&quot;5A71428A&quot;/&gt;&lt;wsp:rsid wsp:val=&quot;5A736072&quot;/&gt;&lt;wsp:rsid wsp:val=&quot;5A7661FB&quot;/&gt;&lt;wsp:rsid wsp:val=&quot;5A767910&quot;/&gt;&lt;wsp:rsid wsp:val=&quot;5A785436&quot;/&gt;&lt;wsp:rsid wsp:val=&quot;5A7A7400&quot;/&gt;&lt;wsp:rsid wsp:val=&quot;5A7B0A82&quot;/&gt;&lt;wsp:rsid wsp:val=&quot;5A7B6CD4&quot;/&gt;&lt;wsp:rsid wsp:val=&quot;5A7C35E5&quot;/&gt;&lt;wsp:rsid wsp:val=&quot;5A7D1AFD&quot;/&gt;&lt;wsp:rsid wsp:val=&quot;5A7D47FA&quot;/&gt;&lt;wsp:rsid wsp:val=&quot;5A8111AE&quot;/&gt;&lt;wsp:rsid wsp:val=&quot;5A820063&quot;/&gt;&lt;wsp:rsid wsp:val=&quot;5A843DDB&quot;/&gt;&lt;wsp:rsid wsp:val=&quot;5A845B89&quot;/&gt;&lt;wsp:rsid wsp:val=&quot;5A851901&quot;/&gt;&lt;wsp:rsid wsp:val=&quot;5A867B53&quot;/&gt;&lt;wsp:rsid wsp:val=&quot;5A881081&quot;/&gt;&lt;wsp:rsid wsp:val=&quot;5A8913F1&quot;/&gt;&lt;wsp:rsid wsp:val=&quot;5A8B33BB&quot;/&gt;&lt;wsp:rsid wsp:val=&quot;5A8B4E31&quot;/&gt;&lt;wsp:rsid wsp:val=&quot;5A8C0EE1&quot;/&gt;&lt;wsp:rsid wsp:val=&quot;5A8D7133&quot;/&gt;&lt;wsp:rsid wsp:val=&quot;5A8E4C59&quot;/&gt;&lt;wsp:rsid wsp:val=&quot;5A8E4EF3&quot;/&gt;&lt;wsp:rsid wsp:val=&quot;5A8F55FB&quot;/&gt;&lt;wsp:rsid wsp:val=&quot;5A902780&quot;/&gt;&lt;wsp:rsid wsp:val=&quot;5A905A12&quot;/&gt;&lt;wsp:rsid wsp:val=&quot;5A910CA3&quot;/&gt;&lt;wsp:rsid wsp:val=&quot;5A932270&quot;/&gt;&lt;wsp:rsid wsp:val=&quot;5A93401E&quot;/&gt;&lt;wsp:rsid wsp:val=&quot;5A9421F5&quot;/&gt;&lt;wsp:rsid wsp:val=&quot;5A957D96&quot;/&gt;&lt;wsp:rsid wsp:val=&quot;5A963B0E&quot;/&gt;&lt;wsp:rsid wsp:val=&quot;5A96705E&quot;/&gt;&lt;wsp:rsid wsp:val=&quot;5A9D018C&quot;/&gt;&lt;wsp:rsid wsp:val=&quot;5A9D30EE&quot;/&gt;&lt;wsp:rsid wsp:val=&quot;5A9D6C4B&quot;/&gt;&lt;wsp:rsid wsp:val=&quot;5A9F6E67&quot;/&gt;&lt;wsp:rsid wsp:val=&quot;5AA150A9&quot;/&gt;&lt;wsp:rsid wsp:val=&quot;5AA1673B&quot;/&gt;&lt;wsp:rsid wsp:val=&quot;5AA20705&quot;/&gt;&lt;wsp:rsid wsp:val=&quot;5AA247F9&quot;/&gt;&lt;wsp:rsid wsp:val=&quot;5AA35C89&quot;/&gt;&lt;wsp:rsid wsp:val=&quot;5AA75D1B&quot;/&gt;&lt;wsp:rsid wsp:val=&quot;5AA77AC9&quot;/&gt;&lt;wsp:rsid wsp:val=&quot;5AA91A93&quot;/&gt;&lt;wsp:rsid wsp:val=&quot;5AA93841&quot;/&gt;&lt;wsp:rsid wsp:val=&quot;5AA955EF&quot;/&gt;&lt;wsp:rsid wsp:val=&quot;5AAB75B9&quot;/&gt;&lt;wsp:rsid wsp:val=&quot;5AAC50E0&quot;/&gt;&lt;wsp:rsid wsp:val=&quot;5AAD1584&quot;/&gt;&lt;wsp:rsid wsp:val=&quot;5AAE0E58&quot;/&gt;&lt;wsp:rsid wsp:val=&quot;5AB02E22&quot;/&gt;&lt;wsp:rsid wsp:val=&quot;5AB0697E&quot;/&gt;&lt;wsp:rsid wsp:val=&quot;5AB126F6&quot;/&gt;&lt;wsp:rsid wsp:val=&quot;5AB26B9A&quot;/&gt;&lt;wsp:rsid wsp:val=&quot;5AB3021C&quot;/&gt;&lt;wsp:rsid wsp:val=&quot;5AB50438&quot;/&gt;&lt;wsp:rsid wsp:val=&quot;5AB62A7A&quot;/&gt;&lt;wsp:rsid wsp:val=&quot;5AB650D6&quot;/&gt;&lt;wsp:rsid wsp:val=&quot;5ABA3CA0&quot;/&gt;&lt;wsp:rsid wsp:val=&quot;5ABA3F0F&quot;/&gt;&lt;wsp:rsid wsp:val=&quot;5ABA5A4E&quot;/&gt;&lt;wsp:rsid wsp:val=&quot;5ABA77FD&quot;/&gt;&lt;wsp:rsid wsp:val=&quot;5ABB5323&quot;/&gt;&lt;wsp:rsid wsp:val=&quot;5ABD109B&quot;/&gt;&lt;wsp:rsid wsp:val=&quot;5ABD72ED&quot;/&gt;&lt;wsp:rsid wsp:val=&quot;5ABE2233&quot;/&gt;&lt;wsp:rsid wsp:val=&quot;5ABF316C&quot;/&gt;&lt;wsp:rsid wsp:val=&quot;5ABF408D&quot;/&gt;&lt;wsp:rsid wsp:val=&quot;5AC104C5&quot;/&gt;&lt;wsp:rsid wsp:val=&quot;5AC15DCF&quot;/&gt;&lt;wsp:rsid wsp:val=&quot;5AC23B1A&quot;/&gt;&lt;wsp:rsid wsp:val=&quot;5AC97A40&quot;/&gt;&lt;wsp:rsid wsp:val=&quot;5ACB1A0A&quot;/&gt;&lt;wsp:rsid wsp:val=&quot;5ACB37B8&quot;/&gt;&lt;wsp:rsid wsp:val=&quot;5ACD5782&quot;/&gt;&lt;wsp:rsid wsp:val=&quot;5ACD7F2B&quot;/&gt;&lt;wsp:rsid wsp:val=&quot;5ACE14FA&quot;/&gt;&lt;wsp:rsid wsp:val=&quot;5ACE32A8&quot;/&gt;&lt;wsp:rsid wsp:val=&quot;5AD50B17&quot;/&gt;&lt;wsp:rsid wsp:val=&quot;5AD557D9&quot;/&gt;&lt;wsp:rsid wsp:val=&quot;5AD703AE&quot;/&gt;&lt;wsp:rsid wsp:val=&quot;5AD73A98&quot;/&gt;&lt;wsp:rsid wsp:val=&quot;5AD92379&quot;/&gt;&lt;wsp:rsid wsp:val=&quot;5ADA34F9&quot;/&gt;&lt;wsp:rsid wsp:val=&quot;5ADC3C17&quot;/&gt;&lt;wsp:rsid wsp:val=&quot;5ADC59C5&quot;/&gt;&lt;wsp:rsid wsp:val=&quot;5ADD34EB&quot;/&gt;&lt;wsp:rsid wsp:val=&quot;5ADF1011&quot;/&gt;&lt;wsp:rsid wsp:val=&quot;5ADF54B5&quot;/&gt;&lt;wsp:rsid wsp:val=&quot;5ADF7263&quot;/&gt;&lt;wsp:rsid wsp:val=&quot;5AE40D1D&quot;/&gt;&lt;wsp:rsid wsp:val=&quot;5AE42ACB&quot;/&gt;&lt;wsp:rsid wsp:val=&quot;5AE435F6&quot;/&gt;&lt;wsp:rsid wsp:val=&quot;5AE44879&quot;/&gt;&lt;wsp:rsid wsp:val=&quot;5AE62E65&quot;/&gt;&lt;wsp:rsid wsp:val=&quot;5AE66844&quot;/&gt;&lt;wsp:rsid wsp:val=&quot;5AE71390&quot;/&gt;&lt;wsp:rsid wsp:val=&quot;5AE74E31&quot;/&gt;&lt;wsp:rsid wsp:val=&quot;5AE76118&quot;/&gt;&lt;wsp:rsid wsp:val=&quot;5AE825BC&quot;/&gt;&lt;wsp:rsid wsp:val=&quot;5AE85AFD&quot;/&gt;&lt;wsp:rsid wsp:val=&quot;5AE91E90&quot;/&gt;&lt;wsp:rsid wsp:val=&quot;5AEC2D3D&quot;/&gt;&lt;wsp:rsid wsp:val=&quot;5AED1980&quot;/&gt;&lt;wsp:rsid wsp:val=&quot;5AEE56F8&quot;/&gt;&lt;wsp:rsid wsp:val=&quot;5AEF0AF8&quot;/&gt;&lt;wsp:rsid wsp:val=&quot;5AF34ABD&quot;/&gt;&lt;wsp:rsid wsp:val=&quot;5AF820D3&quot;/&gt;&lt;wsp:rsid wsp:val=&quot;5AFC5403&quot;/&gt;&lt;wsp:rsid wsp:val=&quot;5AFF16B3&quot;/&gt;&lt;wsp:rsid wsp:val=&quot;5AFF3461&quot;/&gt;&lt;wsp:rsid wsp:val=&quot;5B04316E&quot;/&gt;&lt;wsp:rsid wsp:val=&quot;5B062A42&quot;/&gt;&lt;wsp:rsid wsp:val=&quot;5B0647F0&quot;/&gt;&lt;wsp:rsid wsp:val=&quot;5B070DD5&quot;/&gt;&lt;wsp:rsid wsp:val=&quot;5B072DD0&quot;/&gt;&lt;wsp:rsid wsp:val=&quot;5B0818FB&quot;/&gt;&lt;wsp:rsid wsp:val=&quot;5B0867BA&quot;/&gt;&lt;wsp:rsid wsp:val=&quot;5B092532&quot;/&gt;&lt;wsp:rsid wsp:val=&quot;5B0942E0&quot;/&gt;&lt;wsp:rsid wsp:val=&quot;5B0A0784&quot;/&gt;&lt;wsp:rsid wsp:val=&quot;5B0E5A07&quot;/&gt;&lt;wsp:rsid wsp:val=&quot;5B1038C0&quot;/&gt;&lt;wsp:rsid wsp:val=&quot;5B123195&quot;/&gt;&lt;wsp:rsid wsp:val=&quot;5B12588A&quot;/&gt;&lt;wsp:rsid wsp:val=&quot;5B127639&quot;/&gt;&lt;wsp:rsid wsp:val=&quot;5B184523&quot;/&gt;&lt;wsp:rsid wsp:val=&quot;5B1909C7&quot;/&gt;&lt;wsp:rsid wsp:val=&quot;5B1A473F&quot;/&gt;&lt;wsp:rsid wsp:val=&quot;5B1A64ED&quot;/&gt;&lt;wsp:rsid wsp:val=&quot;5B1C06DB&quot;/&gt;&lt;wsp:rsid wsp:val=&quot;5B1C7924&quot;/&gt;&lt;wsp:rsid wsp:val=&quot;5B1E422F&quot;/&gt;&lt;wsp:rsid wsp:val=&quot;5B1F0772&quot;/&gt;&lt;wsp:rsid wsp:val=&quot;5B21454D&quot;/&gt;&lt;wsp:rsid wsp:val=&quot;5B215ACE&quot;/&gt;&lt;wsp:rsid wsp:val=&quot;5B264E92&quot;/&gt;&lt;wsp:rsid wsp:val=&quot;5B280C0A&quot;/&gt;&lt;wsp:rsid wsp:val=&quot;5B293D6B&quot;/&gt;&lt;wsp:rsid wsp:val=&quot;5B294982&quot;/&gt;&lt;wsp:rsid wsp:val=&quot;5B296730&quot;/&gt;&lt;wsp:rsid wsp:val=&quot;5B2D2AF0&quot;/&gt;&lt;wsp:rsid wsp:val=&quot;5B2D4472&quot;/&gt;&lt;wsp:rsid wsp:val=&quot;5B2D7FCE&quot;/&gt;&lt;wsp:rsid wsp:val=&quot;5B2E68CB&quot;/&gt;&lt;wsp:rsid wsp:val=&quot;5B3255E5&quot;/&gt;&lt;wsp:rsid wsp:val=&quot;5B345801&quot;/&gt;&lt;wsp:rsid wsp:val=&quot;5B370E4D&quot;/&gt;&lt;wsp:rsid wsp:val=&quot;5B372BFB&quot;/&gt;&lt;wsp:rsid wsp:val=&quot;5B374C33&quot;/&gt;&lt;wsp:rsid wsp:val=&quot;5B386973&quot;/&gt;&lt;wsp:rsid wsp:val=&quot;5B3C2907&quot;/&gt;&lt;wsp:rsid wsp:val=&quot;5B3C41A8&quot;/&gt;&lt;wsp:rsid wsp:val=&quot;5B3E21DC&quot;/&gt;&lt;wsp:rsid wsp:val=&quot;5B3F5F54&quot;/&gt;&lt;wsp:rsid wsp:val=&quot;5B3F7D02&quot;/&gt;&lt;wsp:rsid wsp:val=&quot;5B4041A6&quot;/&gt;&lt;wsp:rsid wsp:val=&quot;5B413A7A&quot;/&gt;&lt;wsp:rsid wsp:val=&quot;5B4223F6&quot;/&gt;&lt;wsp:rsid wsp:val=&quot;5B435A44&quot;/&gt;&lt;wsp:rsid wsp:val=&quot;5B436BBA&quot;/&gt;&lt;wsp:rsid wsp:val=&quot;5B44356A&quot;/&gt;&lt;wsp:rsid wsp:val=&quot;5B445318&quot;/&gt;&lt;wsp:rsid wsp:val=&quot;5B4812AC&quot;/&gt;&lt;wsp:rsid wsp:val=&quot;5B484E08&quot;/&gt;&lt;wsp:rsid wsp:val=&quot;5B490B80&quot;/&gt;&lt;wsp:rsid wsp:val=&quot;5B4B66A7&quot;/&gt;&lt;wsp:rsid wsp:val=&quot;5B4D241F&quot;/&gt;&lt;wsp:rsid wsp:val=&quot;5B557525&quot;/&gt;&lt;wsp:rsid wsp:val=&quot;5B5949C4&quot;/&gt;&lt;wsp:rsid wsp:val=&quot;5B595267&quot;/&gt;&lt;wsp:rsid wsp:val=&quot;5B5A2D8E&quot;/&gt;&lt;wsp:rsid wsp:val=&quot;5B5C4D58&quot;/&gt;&lt;wsp:rsid wsp:val=&quot;5B5F03A4&quot;/&gt;&lt;wsp:rsid wsp:val=&quot;5B6065F6&quot;/&gt;&lt;wsp:rsid wsp:val=&quot;5B61236E&quot;/&gt;&lt;wsp:rsid wsp:val=&quot;5B61411C&quot;/&gt;&lt;wsp:rsid wsp:val=&quot;5B652FF7&quot;/&gt;&lt;wsp:rsid wsp:val=&quot;5B6676B2&quot;/&gt;&lt;wsp:rsid wsp:val=&quot;5B694D7F&quot;/&gt;&lt;wsp:rsid wsp:val=&quot;5B6A1223&quot;/&gt;&lt;wsp:rsid wsp:val=&quot;5B6A2D43&quot;/&gt;&lt;wsp:rsid wsp:val=&quot;5B6B4F9B&quot;/&gt;&lt;wsp:rsid wsp:val=&quot;5B6B6D49&quot;/&gt;&lt;wsp:rsid wsp:val=&quot;5B6D644F&quot;/&gt;&lt;wsp:rsid wsp:val=&quot;5B6D7095&quot;/&gt;&lt;wsp:rsid wsp:val=&quot;5B6F05E7&quot;/&gt;&lt;wsp:rsid wsp:val=&quot;5B7200D7&quot;/&gt;&lt;wsp:rsid wsp:val=&quot;5B726329&quot;/&gt;&lt;wsp:rsid wsp:val=&quot;5B733E67&quot;/&gt;&lt;wsp:rsid wsp:val=&quot;5B735536&quot;/&gt;&lt;wsp:rsid wsp:val=&quot;5B74073A&quot;/&gt;&lt;wsp:rsid wsp:val=&quot;5B743C65&quot;/&gt;&lt;wsp:rsid wsp:val=&quot;5B743E4F&quot;/&gt;&lt;wsp:rsid wsp:val=&quot;5B745BFD&quot;/&gt;&lt;wsp:rsid wsp:val=&quot;5B7A6F8C&quot;/&gt;&lt;wsp:rsid wsp:val=&quot;5B7B1DEA&quot;/&gt;&lt;wsp:rsid wsp:val=&quot;5B7B51DE&quot;/&gt;&lt;wsp:rsid wsp:val=&quot;5B7E5A57&quot;/&gt;&lt;wsp:rsid wsp:val=&quot;5B7F2398&quot;/&gt;&lt;wsp:rsid wsp:val=&quot;5B8147BE&quot;/&gt;&lt;wsp:rsid wsp:val=&quot;5B835E40&quot;/&gt;&lt;wsp:rsid wsp:val=&quot;5B880665&quot;/&gt;&lt;wsp:rsid wsp:val=&quot;5B8862CC&quot;/&gt;&lt;wsp:rsid wsp:val=&quot;5B8B1199&quot;/&gt;&lt;wsp:rsid wsp:val=&quot;5B8C73EB&quot;/&gt;&lt;wsp:rsid wsp:val=&quot;5B8D6CBF&quot;/&gt;&lt;wsp:rsid wsp:val=&quot;5B8F2A37&quot;/&gt;&lt;wsp:rsid wsp:val=&quot;5B904A5E&quot;/&gt;&lt;wsp:rsid wsp:val=&quot;5B914A01&quot;/&gt;&lt;wsp:rsid wsp:val=&quot;5B94004E&quot;/&gt;&lt;wsp:rsid wsp:val=&quot;5B962018&quot;/&gt;&lt;wsp:rsid wsp:val=&quot;5B96750E&quot;/&gt;&lt;wsp:rsid wsp:val=&quot;5B995664&quot;/&gt;&lt;wsp:rsid wsp:val=&quot;5B9A33D5&quot;/&gt;&lt;wsp:rsid wsp:val=&quot;5B9B13DC&quot;/&gt;&lt;wsp:rsid wsp:val=&quot;5B9B5880&quot;/&gt;&lt;wsp:rsid wsp:val=&quot;5B9B762E&quot;/&gt;&lt;wsp:rsid wsp:val=&quot;5B9C33A6&quot;/&gt;&lt;wsp:rsid wsp:val=&quot;5B9C6F02&quot;/&gt;&lt;wsp:rsid wsp:val=&quot;5B9D42BD&quot;/&gt;&lt;wsp:rsid wsp:val=&quot;5B9D6A33&quot;/&gt;&lt;wsp:rsid wsp:val=&quot;5B9D7062&quot;/&gt;&lt;wsp:rsid wsp:val=&quot;5B9E5921&quot;/&gt;&lt;wsp:rsid wsp:val=&quot;5BA04C44&quot;/&gt;&lt;wsp:rsid wsp:val=&quot;5BA069F2&quot;/&gt;&lt;wsp:rsid wsp:val=&quot;5BA504AD&quot;/&gt;&lt;wsp:rsid wsp:val=&quot;5BA72CE5&quot;/&gt;&lt;wsp:rsid wsp:val=&quot;5BA741CE&quot;/&gt;&lt;wsp:rsid wsp:val=&quot;5BA74225&quot;/&gt;&lt;wsp:rsid wsp:val=&quot;5BA81D4B&quot;/&gt;&lt;wsp:rsid wsp:val=&quot;5BA95B6E&quot;/&gt;&lt;wsp:rsid wsp:val=&quot;5BAA161F&quot;/&gt;&lt;wsp:rsid wsp:val=&quot;5BAA5AC3&quot;/&gt;&lt;wsp:rsid wsp:val=&quot;5BAD10FA&quot;/&gt;&lt;wsp:rsid wsp:val=&quot;5BAE7FE7&quot;/&gt;&lt;wsp:rsid wsp:val=&quot;5BAF079E&quot;/&gt;&lt;wsp:rsid wsp:val=&quot;5BAF30D9&quot;/&gt;&lt;wsp:rsid wsp:val=&quot;5BAF4E87&quot;/&gt;&lt;wsp:rsid wsp:val=&quot;5BAF6C35&quot;/&gt;&lt;wsp:rsid wsp:val=&quot;5BB02907&quot;/&gt;&lt;wsp:rsid wsp:val=&quot;5BB029AE&quot;/&gt;&lt;wsp:rsid wsp:val=&quot;5BB13D97&quot;/&gt;&lt;wsp:rsid wsp:val=&quot;5BB22BCA&quot;/&gt;&lt;wsp:rsid wsp:val=&quot;5BB41802&quot;/&gt;&lt;wsp:rsid wsp:val=&quot;5BB4249E&quot;/&gt;&lt;wsp:rsid wsp:val=&quot;5BB57FC4&quot;/&gt;&lt;wsp:rsid wsp:val=&quot;5BB93F58&quot;/&gt;&lt;wsp:rsid wsp:val=&quot;5BBB1A7E&quot;/&gt;&lt;wsp:rsid wsp:val=&quot;5BBD57F6&quot;/&gt;&lt;wsp:rsid wsp:val=&quot;5BC00E43&quot;/&gt;&lt;wsp:rsid wsp:val=&quot;5BC16969&quot;/&gt;&lt;wsp:rsid wsp:val=&quot;5BC22E0D&quot;/&gt;&lt;wsp:rsid wsp:val=&quot;5BC30933&quot;/&gt;&lt;wsp:rsid wsp:val=&quot;5BC340FB&quot;/&gt;&lt;wsp:rsid wsp:val=&quot;5BC36B85&quot;/&gt;&lt;wsp:rsid wsp:val=&quot;5BC459C9&quot;/&gt;&lt;wsp:rsid wsp:val=&quot;5BC528FD&quot;/&gt;&lt;wsp:rsid wsp:val=&quot;5BC56459&quot;/&gt;&lt;wsp:rsid wsp:val=&quot;5BC621D1&quot;/&gt;&lt;wsp:rsid wsp:val=&quot;5BC8419B&quot;/&gt;&lt;wsp:rsid wsp:val=&quot;5BC87CF7&quot;/&gt;&lt;wsp:rsid wsp:val=&quot;5BCA1CC1&quot;/&gt;&lt;wsp:rsid wsp:val=&quot;5BCA7F13&quot;/&gt;&lt;wsp:rsid wsp:val=&quot;5BCC5A39&quot;/&gt;&lt;wsp:rsid wsp:val=&quot;5BCD355F&quot;/&gt;&lt;wsp:rsid wsp:val=&quot;5BCF552A&quot;/&gt;&lt;wsp:rsid wsp:val=&quot;5BCF72D8&quot;/&gt;&lt;wsp:rsid wsp:val=&quot;5BD20B76&quot;/&gt;&lt;wsp:rsid wsp:val=&quot;5BD26DC8&quot;/&gt;&lt;wsp:rsid wsp:val=&quot;5BD3501A&quot;/&gt;&lt;wsp:rsid wsp:val=&quot;5BD40D92&quot;/&gt;&lt;wsp:rsid wsp:val=&quot;5BD946E4&quot;/&gt;&lt;wsp:rsid wsp:val=&quot;5BDB68E4&quot;/&gt;&lt;wsp:rsid wsp:val=&quot;5BDB6ED0&quot;/&gt;&lt;wsp:rsid wsp:val=&quot;5BDC19F5&quot;/&gt;&lt;wsp:rsid wsp:val=&quot;5BDE05F0&quot;/&gt;&lt;wsp:rsid wsp:val=&quot;5BDE39BF&quot;/&gt;&lt;wsp:rsid wsp:val=&quot;5BDE576D&quot;/&gt;&lt;wsp:rsid wsp:val=&quot;5BDE751B&quot;/&gt;&lt;wsp:rsid wsp:val=&quot;5BDE7648&quot;/&gt;&lt;wsp:rsid wsp:val=&quot;5BDF5D95&quot;/&gt;&lt;wsp:rsid wsp:val=&quot;5BE018CB&quot;/&gt;&lt;wsp:rsid wsp:val=&quot;5BE10DB9&quot;/&gt;&lt;wsp:rsid wsp:val=&quot;5BE11735&quot;/&gt;&lt;wsp:rsid wsp:val=&quot;5BE228E5&quot;/&gt;&lt;wsp:rsid wsp:val=&quot;5BE30FD5&quot;/&gt;&lt;wsp:rsid wsp:val=&quot;5BE417F7&quot;/&gt;&lt;wsp:rsid wsp:val=&quot;5BE54D4D&quot;/&gt;&lt;wsp:rsid wsp:val=&quot;5BE82147&quot;/&gt;&lt;wsp:rsid wsp:val=&quot;5BE86A37&quot;/&gt;&lt;wsp:rsid wsp:val=&quot;5BEA3F28&quot;/&gt;&lt;wsp:rsid wsp:val=&quot;5BEA4111&quot;/&gt;&lt;wsp:rsid wsp:val=&quot;5BEC1C38&quot;/&gt;&lt;wsp:rsid wsp:val=&quot;5BED775E&quot;/&gt;&lt;wsp:rsid wsp:val=&quot;5BEE547A&quot;/&gt;&lt;wsp:rsid wsp:val=&quot;5BEF34D6&quot;/&gt;&lt;wsp:rsid wsp:val=&quot;5BF1122A&quot;/&gt;&lt;wsp:rsid wsp:val=&quot;5BF154A0&quot;/&gt;&lt;wsp:rsid wsp:val=&quot;5BF22FC6&quot;/&gt;&lt;wsp:rsid wsp:val=&quot;5BF31218&quot;/&gt;&lt;wsp:rsid wsp:val=&quot;5BF46D3E&quot;/&gt;&lt;wsp:rsid wsp:val=&quot;5BF474D4&quot;/&gt;&lt;wsp:rsid wsp:val=&quot;5BF60D08&quot;/&gt;&lt;wsp:rsid wsp:val=&quot;5BF62AB6&quot;/&gt;&lt;wsp:rsid wsp:val=&quot;5BF75F2D&quot;/&gt;&lt;wsp:rsid wsp:val=&quot;5BF907F8&quot;/&gt;&lt;wsp:rsid wsp:val=&quot;5BFB1E7B&quot;/&gt;&lt;wsp:rsid wsp:val=&quot;5BFC7A7E&quot;/&gt;&lt;wsp:rsid wsp:val=&quot;5BFD239E&quot;/&gt;&lt;wsp:rsid wsp:val=&quot;5BFD3E45&quot;/&gt;&lt;wsp:rsid wsp:val=&quot;5BFE7528&quot;/&gt;&lt;wsp:rsid wsp:val=&quot;5BFF3339&quot;/&gt;&lt;wsp:rsid wsp:val=&quot;5C001B87&quot;/&gt;&lt;wsp:rsid wsp:val=&quot;5C007491&quot;/&gt;&lt;wsp:rsid wsp:val=&quot;5C013209&quot;/&gt;&lt;wsp:rsid wsp:val=&quot;5C036210&quot;/&gt;&lt;wsp:rsid wsp:val=&quot;5C043425&quot;/&gt;&lt;wsp:rsid wsp:val=&quot;5C050F4B&quot;/&gt;&lt;wsp:rsid wsp:val=&quot;5C05719D&quot;/&gt;&lt;wsp:rsid wsp:val=&quot;5C074730&quot;/&gt;&lt;wsp:rsid wsp:val=&quot;5C074B91&quot;/&gt;&lt;wsp:rsid wsp:val=&quot;5C086021&quot;/&gt;&lt;wsp:rsid wsp:val=&quot;5C0A0310&quot;/&gt;&lt;wsp:rsid wsp:val=&quot;5C0A3512&quot;/&gt;&lt;wsp:rsid wsp:val=&quot;5C0A47B4&quot;/&gt;&lt;wsp:rsid wsp:val=&quot;5C0D1BAE&quot;/&gt;&lt;wsp:rsid wsp:val=&quot;5C0D7E00&quot;/&gt;&lt;wsp:rsid wsp:val=&quot;5C0E6052&quot;/&gt;&lt;wsp:rsid wsp:val=&quot;5C121CA4&quot;/&gt;&lt;wsp:rsid wsp:val=&quot;5C1318BA&quot;/&gt;&lt;wsp:rsid wsp:val=&quot;5C131C1F&quot;/&gt;&lt;wsp:rsid wsp:val=&quot;5C137D9F&quot;/&gt;&lt;wsp:rsid wsp:val=&quot;5C142F3C&quot;/&gt;&lt;wsp:rsid wsp:val=&quot;5C163158&quot;/&gt;&lt;wsp:rsid wsp:val=&quot;5C1774FA&quot;/&gt;&lt;wsp:rsid wsp:val=&quot;5C183CFC&quot;/&gt;&lt;wsp:rsid wsp:val=&quot;5C186619&quot;/&gt;&lt;wsp:rsid wsp:val=&quot;5C186FA6&quot;/&gt;&lt;wsp:rsid wsp:val=&quot;5C1A5E4D&quot;/&gt;&lt;wsp:rsid wsp:val=&quot;5C1B251D&quot;/&gt;&lt;wsp:rsid wsp:val=&quot;5C1C5927&quot;/&gt;&lt;wsp:rsid wsp:val=&quot;5C1E5055&quot;/&gt;&lt;wsp:rsid wsp:val=&quot;5C207B33&quot;/&gt;&lt;wsp:rsid wsp:val=&quot;5C2238AB&quot;/&gt;&lt;wsp:rsid wsp:val=&quot;5C25339C&quot;/&gt;&lt;wsp:rsid wsp:val=&quot;5C270EC2&quot;/&gt;&lt;wsp:rsid wsp:val=&quot;5C2A09B2&quot;/&gt;&lt;wsp:rsid wsp:val=&quot;5C2A2760&quot;/&gt;&lt;wsp:rsid wsp:val=&quot;5C2C0286&quot;/&gt;&lt;wsp:rsid wsp:val=&quot;5C2C64D8&quot;/&gt;&lt;wsp:rsid wsp:val=&quot;5C2D3FFE&quot;/&gt;&lt;wsp:rsid wsp:val=&quot;5C2E04A2&quot;/&gt;&lt;wsp:rsid wsp:val=&quot;5C322223&quot;/&gt;&lt;wsp:rsid wsp:val=&quot;5C335AB8&quot;/&gt;&lt;wsp:rsid wsp:val=&quot;5C341831&quot;/&gt;&lt;wsp:rsid wsp:val=&quot;5C361105&quot;/&gt;&lt;wsp:rsid wsp:val=&quot;5C37252E&quot;/&gt;&lt;wsp:rsid wsp:val=&quot;5C381321&quot;/&gt;&lt;wsp:rsid wsp:val=&quot;5C3929A3&quot;/&gt;&lt;wsp:rsid wsp:val=&quot;5C3A5B1E&quot;/&gt;&lt;wsp:rsid wsp:val=&quot;5C3B671B&quot;/&gt;&lt;wsp:rsid wsp:val=&quot;5C3E620B&quot;/&gt;&lt;wsp:rsid wsp:val=&quot;5C3F3891&quot;/&gt;&lt;wsp:rsid wsp:val=&quot;5C3F445D&quot;/&gt;&lt;wsp:rsid wsp:val=&quot;5C410E57&quot;/&gt;&lt;wsp:rsid wsp:val=&quot;5C423F4D&quot;/&gt;&lt;wsp:rsid wsp:val=&quot;5C433822&quot;/&gt;&lt;wsp:rsid wsp:val=&quot;5C441A74&quot;/&gt;&lt;wsp:rsid wsp:val=&quot;5C45759A&quot;/&gt;&lt;wsp:rsid wsp:val=&quot;5C480700&quot;/&gt;&lt;wsp:rsid wsp:val=&quot;5C4A4BB0&quot;/&gt;&lt;wsp:rsid wsp:val=&quot;5C4B1054&quot;/&gt;&lt;wsp:rsid wsp:val=&quot;5C4C0928&quot;/&gt;&lt;wsp:rsid wsp:val=&quot;5C4C26D6&quot;/&gt;&lt;wsp:rsid wsp:val=&quot;5C4C6B7A&quot;/&gt;&lt;wsp:rsid wsp:val=&quot;5C4D6FFA&quot;/&gt;&lt;wsp:rsid wsp:val=&quot;5C4E5963&quot;/&gt;&lt;wsp:rsid wsp:val=&quot;5C4E644E&quot;/&gt;&lt;wsp:rsid wsp:val=&quot;5C515F3F&quot;/&gt;&lt;wsp:rsid wsp:val=&quot;5C541A56&quot;/&gt;&lt;wsp:rsid wsp:val=&quot;5C5423ED&quot;/&gt;&lt;wsp:rsid wsp:val=&quot;5C5477DD&quot;/&gt;&lt;wsp:rsid wsp:val=&quot;5C5513E4&quot;/&gt;&lt;wsp:rsid wsp:val=&quot;5C583771&quot;/&gt;&lt;wsp:rsid wsp:val=&quot;5C58551F&quot;/&gt;&lt;wsp:rsid wsp:val=&quot;5C5907FE&quot;/&gt;&lt;wsp:rsid wsp:val=&quot;5C593045&quot;/&gt;&lt;wsp:rsid wsp:val=&quot;5C594DF3&quot;/&gt;&lt;wsp:rsid wsp:val=&quot;5C5A1297&quot;/&gt;&lt;wsp:rsid wsp:val=&quot;5C5A6D58&quot;/&gt;&lt;wsp:rsid wsp:val=&quot;5C5B500F&quot;/&gt;&lt;wsp:rsid wsp:val=&quot;5C5D2B35&quot;/&gt;&lt;wsp:rsid wsp:val=&quot;5C5D48E3&quot;/&gt;&lt;wsp:rsid wsp:val=&quot;5C5F065B&quot;/&gt;&lt;wsp:rsid wsp:val=&quot;5C602626&quot;/&gt;&lt;wsp:rsid wsp:val=&quot;5C606182&quot;/&gt;&lt;wsp:rsid wsp:val=&quot;5C614E33&quot;/&gt;&lt;wsp:rsid wsp:val=&quot;5C621EFA&quot;/&gt;&lt;wsp:rsid wsp:val=&quot;5C62639E&quot;/&gt;&lt;wsp:rsid wsp:val=&quot;5C6739B4&quot;/&gt;&lt;wsp:rsid wsp:val=&quot;5C675762&quot;/&gt;&lt;wsp:rsid wsp:val=&quot;5C686185&quot;/&gt;&lt;wsp:rsid wsp:val=&quot;5C6914DA&quot;/&gt;&lt;wsp:rsid wsp:val=&quot;5C69772C&quot;/&gt;&lt;wsp:rsid wsp:val=&quot;5C6A7000&quot;/&gt;&lt;wsp:rsid wsp:val=&quot;5C6B34A4&quot;/&gt;&lt;wsp:rsid wsp:val=&quot;5C6C2D78&quot;/&gt;&lt;wsp:rsid wsp:val=&quot;5C6C4B26&quot;/&gt;&lt;wsp:rsid wsp:val=&quot;5C703C88&quot;/&gt;&lt;wsp:rsid wsp:val=&quot;5C71085E&quot;/&gt;&lt;wsp:rsid wsp:val=&quot;5C7165E1&quot;/&gt;&lt;wsp:rsid wsp:val=&quot;5C726994&quot;/&gt;&lt;wsp:rsid wsp:val=&quot;5C735EB5&quot;/&gt;&lt;wsp:rsid wsp:val=&quot;5C746D31&quot;/&gt;&lt;wsp:rsid wsp:val=&quot;5C761E49&quot;/&gt;&lt;wsp:rsid wsp:val=&quot;5C764DF0&quot;/&gt;&lt;wsp:rsid wsp:val=&quot;5C78171D&quot;/&gt;&lt;wsp:rsid wsp:val=&quot;5C78194C&quot;/&gt;&lt;wsp:rsid wsp:val=&quot;5C797243&quot;/&gt;&lt;wsp:rsid wsp:val=&quot;5C7A36E7&quot;/&gt;&lt;wsp:rsid wsp:val=&quot;5C7B7517&quot;/&gt;&lt;wsp:rsid wsp:val=&quot;5C7B77D2&quot;/&gt;&lt;wsp:rsid wsp:val=&quot;5C7D31D8&quot;/&gt;&lt;wsp:rsid wsp:val=&quot;5C7D4F86&quot;/&gt;&lt;wsp:rsid wsp:val=&quot;5C7F0D24&quot;/&gt;&lt;wsp:rsid wsp:val=&quot;5C7F2AAC&quot;/&gt;&lt;wsp:rsid wsp:val=&quot;5C8005D2&quot;/&gt;&lt;wsp:rsid wsp:val=&quot;5C806824&quot;/&gt;&lt;wsp:rsid wsp:val=&quot;5C814A76&quot;/&gt;&lt;wsp:rsid wsp:val=&quot;5C824AD4&quot;/&gt;&lt;wsp:rsid wsp:val=&quot;5C841E70&quot;/&gt;&lt;wsp:rsid wsp:val=&quot;5C844566&quot;/&gt;&lt;wsp:rsid wsp:val=&quot;5C86208C&quot;/&gt;&lt;wsp:rsid wsp:val=&quot;5C8648E5&quot;/&gt;&lt;wsp:rsid wsp:val=&quot;5C877BB2&quot;/&gt;&lt;wsp:rsid wsp:val=&quot;5C884E70&quot;/&gt;&lt;wsp:rsid wsp:val=&quot;5C89392A&quot;/&gt;&lt;wsp:rsid wsp:val=&quot;5C8956D8&quot;/&gt;&lt;wsp:rsid wsp:val=&quot;5C8A31FF&quot;/&gt;&lt;wsp:rsid wsp:val=&quot;5C8B72C7&quot;/&gt;&lt;wsp:rsid wsp:val=&quot;5C8B76A2&quot;/&gt;&lt;wsp:rsid wsp:val=&quot;5C8C341B&quot;/&gt;&lt;wsp:rsid wsp:val=&quot;5C952F0A&quot;/&gt;&lt;wsp:rsid wsp:val=&quot;5C967DF5&quot;/&gt;&lt;wsp:rsid wsp:val=&quot;5C97586A&quot;/&gt;&lt;wsp:rsid wsp:val=&quot;5C983B6D&quot;/&gt;&lt;wsp:rsid wsp:val=&quot;5C98591B&quot;/&gt;&lt;wsp:rsid wsp:val=&quot;5C9A5B38&quot;/&gt;&lt;wsp:rsid wsp:val=&quot;5C9B154D&quot;/&gt;&lt;wsp:rsid wsp:val=&quot;5C9B365E&quot;/&gt;&lt;wsp:rsid wsp:val=&quot;5C9B540C&quot;/&gt;&lt;wsp:rsid wsp:val=&quot;5C9C05B9&quot;/&gt;&lt;wsp:rsid wsp:val=&quot;5C9D16DC&quot;/&gt;&lt;wsp:rsid wsp:val=&quot;5C9D73D6&quot;/&gt;&lt;wsp:rsid wsp:val=&quot;5C9E6468&quot;/&gt;&lt;wsp:rsid wsp:val=&quot;5C9F314E&quot;/&gt;&lt;wsp:rsid wsp:val=&quot;5CA02A22&quot;/&gt;&lt;wsp:rsid wsp:val=&quot;5CA2679A&quot;/&gt;&lt;wsp:rsid wsp:val=&quot;5CA35125&quot;/&gt;&lt;wsp:rsid wsp:val=&quot;5CA35DAD&quot;/&gt;&lt;wsp:rsid wsp:val=&quot;5CA42512&quot;/&gt;&lt;wsp:rsid wsp:val=&quot;5CA644DC&quot;/&gt;&lt;wsp:rsid wsp:val=&quot;5CA72002&quot;/&gt;&lt;wsp:rsid wsp:val=&quot;5CA73DB1&quot;/&gt;&lt;wsp:rsid wsp:val=&quot;5CA93FCD&quot;/&gt;&lt;wsp:rsid wsp:val=&quot;5CA97B29&quot;/&gt;&lt;wsp:rsid wsp:val=&quot;5CAB38A1&quot;/&gt;&lt;wsp:rsid wsp:val=&quot;5CAC13C7&quot;/&gt;&lt;wsp:rsid wsp:val=&quot;5CAC586B&quot;/&gt;&lt;wsp:rsid wsp:val=&quot;5CAC7619&quot;/&gt;&lt;wsp:rsid wsp:val=&quot;5CAE513F&quot;/&gt;&lt;wsp:rsid wsp:val=&quot;5CAF2C65&quot;/&gt;&lt;wsp:rsid wsp:val=&quot;5CB12E81&quot;/&gt;&lt;wsp:rsid wsp:val=&quot;5CB14C2F&quot;/&gt;&lt;wsp:rsid wsp:val=&quot;5CB52971&quot;/&gt;&lt;wsp:rsid wsp:val=&quot;5CB5471F&quot;/&gt;&lt;wsp:rsid wsp:val=&quot;5CB62246&quot;/&gt;&lt;wsp:rsid wsp:val=&quot;5CB63FF4&quot;/&gt;&lt;wsp:rsid wsp:val=&quot;5CB65E6A&quot;/&gt;&lt;wsp:rsid wsp:val=&quot;5CB85FBE&quot;/&gt;&lt;wsp:rsid wsp:val=&quot;5CB87D6C&quot;/&gt;&lt;wsp:rsid wsp:val=&quot;5CBF10FA&quot;/&gt;&lt;wsp:rsid wsp:val=&quot;5CC22998&quot;/&gt;&lt;wsp:rsid wsp:val=&quot;5CC2508E&quot;/&gt;&lt;wsp:rsid wsp:val=&quot;5CC42BB4&quot;/&gt;&lt;wsp:rsid wsp:val=&quot;5CC44962&quot;/&gt;&lt;wsp:rsid wsp:val=&quot;5CC46711&quot;/&gt;&lt;wsp:rsid wsp:val=&quot;5CC508E8&quot;/&gt;&lt;wsp:rsid wsp:val=&quot;5CC77165&quot;/&gt;&lt;wsp:rsid wsp:val=&quot;5CCA2516&quot;/&gt;&lt;wsp:rsid wsp:val=&quot;5CCA30ED&quot;/&gt;&lt;wsp:rsid wsp:val=&quot;5CCA7946&quot;/&gt;&lt;wsp:rsid wsp:val=&quot;5CCB7A9F&quot;/&gt;&lt;wsp:rsid wsp:val=&quot;5CCC3817&quot;/&gt;&lt;wsp:rsid wsp:val=&quot;5CCC52A0&quot;/&gt;&lt;wsp:rsid wsp:val=&quot;5CCD2A21&quot;/&gt;&lt;wsp:rsid wsp:val=&quot;5CCE758F&quot;/&gt;&lt;wsp:rsid wsp:val=&quot;5CCF2529&quot;/&gt;&lt;wsp:rsid wsp:val=&quot;5CD01559&quot;/&gt;&lt;wsp:rsid wsp:val=&quot;5CD252D1&quot;/&gt;&lt;wsp:rsid wsp:val=&quot;5CD3463B&quot;/&gt;&lt;wsp:rsid wsp:val=&quot;5CD728E8&quot;/&gt;&lt;wsp:rsid wsp:val=&quot;5CD72CFD&quot;/&gt;&lt;wsp:rsid wsp:val=&quot;5CD821BC&quot;/&gt;&lt;wsp:rsid wsp:val=&quot;5CD86660&quot;/&gt;&lt;wsp:rsid wsp:val=&quot;5CDC56DF&quot;/&gt;&lt;wsp:rsid wsp:val=&quot;5CDD43A4&quot;/&gt;&lt;wsp:rsid wsp:val=&quot;5CDD5A24&quot;/&gt;&lt;wsp:rsid wsp:val=&quot;5CDF179C&quot;/&gt;&lt;wsp:rsid wsp:val=&quot;5CE10AF8&quot;/&gt;&lt;wsp:rsid wsp:val=&quot;5CE13766&quot;/&gt;&lt;wsp:rsid wsp:val=&quot;5CE172C2&quot;/&gt;&lt;wsp:rsid wsp:val=&quot;5CE2128D&quot;/&gt;&lt;wsp:rsid wsp:val=&quot;5CE21551&quot;/&gt;&lt;wsp:rsid wsp:val=&quot;5CE2303B&quot;/&gt;&lt;wsp:rsid wsp:val=&quot;5CE4447B&quot;/&gt;&lt;wsp:rsid wsp:val=&quot;5CE515C0&quot;/&gt;&lt;wsp:rsid wsp:val=&quot;5CE62B2B&quot;/&gt;&lt;wsp:rsid wsp:val=&quot;5CE84AF5&quot;/&gt;&lt;wsp:rsid wsp:val=&quot;5CE9261B&quot;/&gt;&lt;wsp:rsid wsp:val=&quot;5CEB0141&quot;/&gt;&lt;wsp:rsid wsp:val=&quot;5CEB2603&quot;/&gt;&lt;wsp:rsid wsp:val=&quot;5CED210B&quot;/&gt;&lt;wsp:rsid wsp:val=&quot;5CED3EB9&quot;/&gt;&lt;wsp:rsid wsp:val=&quot;5CEE7AF4&quot;/&gt;&lt;wsp:rsid wsp:val=&quot;5CF039A9&quot;/&gt;&lt;wsp:rsid wsp:val=&quot;5CF05758&quot;/&gt;&lt;wsp:rsid wsp:val=&quot;5CF07506&quot;/&gt;&lt;wsp:rsid wsp:val=&quot;5CF27722&quot;/&gt;&lt;wsp:rsid wsp:val=&quot;5CF457A7&quot;/&gt;&lt;wsp:rsid wsp:val=&quot;5CF474D5&quot;/&gt;&lt;wsp:rsid wsp:val=&quot;5CF54B1C&quot;/&gt;&lt;wsp:rsid wsp:val=&quot;5CF60894&quot;/&gt;&lt;wsp:rsid wsp:val=&quot;5CF67716&quot;/&gt;&lt;wsp:rsid wsp:val=&quot;5CF70718&quot;/&gt;&lt;wsp:rsid wsp:val=&quot;5CF75A0F&quot;/&gt;&lt;wsp:rsid wsp:val=&quot;5CF76AE6&quot;/&gt;&lt;wsp:rsid wsp:val=&quot;5CF80AB0&quot;/&gt;&lt;wsp:rsid wsp:val=&quot;5CFA03D2&quot;/&gt;&lt;wsp:rsid wsp:val=&quot;5CFA65D6&quot;/&gt;&lt;wsp:rsid wsp:val=&quot;5CFB5EAA&quot;/&gt;&lt;wsp:rsid wsp:val=&quot;5CFC40FC&quot;/&gt;&lt;wsp:rsid wsp:val=&quot;5CFD1C22&quot;/&gt;&lt;wsp:rsid wsp:val=&quot;5D016DFC&quot;/&gt;&lt;wsp:rsid wsp:val=&quot;5D017965&quot;/&gt;&lt;wsp:rsid wsp:val=&quot;5D02548B&quot;/&gt;&lt;wsp:rsid wsp:val=&quot;5D0336DD&quot;/&gt;&lt;wsp:rsid wsp:val=&quot;5D0379F9&quot;/&gt;&lt;wsp:rsid wsp:val=&quot;5D041203&quot;/&gt;&lt;wsp:rsid wsp:val=&quot;5D042FB1&quot;/&gt;&lt;wsp:rsid wsp:val=&quot;5D055D7B&quot;/&gt;&lt;wsp:rsid wsp:val=&quot;5D07484F&quot;/&gt;&lt;wsp:rsid wsp:val=&quot;5D080CF3&quot;/&gt;&lt;wsp:rsid wsp:val=&quot;5D086F45&quot;/&gt;&lt;wsp:rsid wsp:val=&quot;5D0905C7&quot;/&gt;&lt;wsp:rsid wsp:val=&quot;5D0B433F&quot;/&gt;&lt;wsp:rsid wsp:val=&quot;5D0C1301&quot;/&gt;&lt;wsp:rsid wsp:val=&quot;5D0E3E30&quot;/&gt;&lt;wsp:rsid wsp:val=&quot;5D0E5BDE&quot;/&gt;&lt;wsp:rsid wsp:val=&quot;5D0F6E2D&quot;/&gt;&lt;wsp:rsid wsp:val=&quot;5D101956&quot;/&gt;&lt;wsp:rsid wsp:val=&quot;5D156F6C&quot;/&gt;&lt;wsp:rsid wsp:val=&quot;5D186A5C&quot;/&gt;&lt;wsp:rsid wsp:val=&quot;5D192F00&quot;/&gt;&lt;wsp:rsid wsp:val=&quot;5D1A27D4&quot;/&gt;&lt;wsp:rsid wsp:val=&quot;5D1B2729&quot;/&gt;&lt;wsp:rsid wsp:val=&quot;5D1C02FB&quot;/&gt;&lt;wsp:rsid wsp:val=&quot;5D1C479E&quot;/&gt;&lt;wsp:rsid wsp:val=&quot;5D1D22C5&quot;/&gt;&lt;wsp:rsid wsp:val=&quot;5D1D4073&quot;/&gt;&lt;wsp:rsid wsp:val=&quot;5D1E3B0E&quot;/&gt;&lt;wsp:rsid wsp:val=&quot;5D1F428F&quot;/&gt;&lt;wsp:rsid wsp:val=&quot;5D215911&quot;/&gt;&lt;wsp:rsid wsp:val=&quot;5D221689&quot;/&gt;&lt;wsp:rsid wsp:val=&quot;5D23054D&quot;/&gt;&lt;wsp:rsid wsp:val=&quot;5D235B2D&quot;/&gt;&lt;wsp:rsid wsp:val=&quot;5D2418A5&quot;/&gt;&lt;wsp:rsid wsp:val=&quot;5D276C9F&quot;/&gt;&lt;wsp:rsid wsp:val=&quot;5D283143&quot;/&gt;&lt;wsp:rsid wsp:val=&quot;5D284EF1&quot;/&gt;&lt;wsp:rsid wsp:val=&quot;5D290C69&quot;/&gt;&lt;wsp:rsid wsp:val=&quot;5D292A17&quot;/&gt;&lt;wsp:rsid wsp:val=&quot;5D2B2C34&quot;/&gt;&lt;wsp:rsid wsp:val=&quot;5D2E6280&quot;/&gt;&lt;wsp:rsid wsp:val=&quot;5D2F62FF&quot;/&gt;&lt;wsp:rsid wsp:val=&quot;5D303DA6&quot;/&gt;&lt;wsp:rsid wsp:val=&quot;5D325D70&quot;/&gt;&lt;wsp:rsid wsp:val=&quot;5D327B1E&quot;/&gt;&lt;wsp:rsid wsp:val=&quot;5D347D3A&quot;/&gt;&lt;wsp:rsid wsp:val=&quot;5D3715D8&quot;/&gt;&lt;wsp:rsid wsp:val=&quot;5D37764E&quot;/&gt;&lt;wsp:rsid wsp:val=&quot;5D380EAD&quot;/&gt;&lt;wsp:rsid wsp:val=&quot;5D3A3358&quot;/&gt;&lt;wsp:rsid wsp:val=&quot;5D3C274B&quot;/&gt;&lt;wsp:rsid wsp:val=&quot;5D3F048D&quot;/&gt;&lt;wsp:rsid wsp:val=&quot;5D3F66DF&quot;/&gt;&lt;wsp:rsid wsp:val=&quot;5D445AA3&quot;/&gt;&lt;wsp:rsid wsp:val=&quot;5D447851&quot;/&gt;&lt;wsp:rsid wsp:val=&quot;5D46181B&quot;/&gt;&lt;wsp:rsid wsp:val=&quot;5D466025&quot;/&gt;&lt;wsp:rsid wsp:val=&quot;5D4806FF&quot;/&gt;&lt;wsp:rsid wsp:val=&quot;5D4810F0&quot;/&gt;&lt;wsp:rsid wsp:val=&quot;5D487342&quot;/&gt;&lt;wsp:rsid wsp:val=&quot;5D49044E&quot;/&gt;&lt;wsp:rsid wsp:val=&quot;5D4930A8&quot;/&gt;&lt;wsp:rsid wsp:val=&quot;5D494E68&quot;/&gt;&lt;wsp:rsid wsp:val=&quot;5D4B44AF&quot;/&gt;&lt;wsp:rsid wsp:val=&quot;5D4D2BAA&quot;/&gt;&lt;wsp:rsid wsp:val=&quot;5D504448&quot;/&gt;&lt;wsp:rsid wsp:val=&quot;5D505070&quot;/&gt;&lt;wsp:rsid wsp:val=&quot;5D513680&quot;/&gt;&lt;wsp:rsid wsp:val=&quot;5D562CB2&quot;/&gt;&lt;wsp:rsid wsp:val=&quot;5D577585&quot;/&gt;&lt;wsp:rsid wsp:val=&quot;5D5850AB&quot;/&gt;&lt;wsp:rsid wsp:val=&quot;5D59154F&quot;/&gt;&lt;wsp:rsid wsp:val=&quot;5D5932FD&quot;/&gt;&lt;wsp:rsid wsp:val=&quot;5D5C2DED&quot;/&gt;&lt;wsp:rsid wsp:val=&quot;5D5C4B9B&quot;/&gt;&lt;wsp:rsid wsp:val=&quot;5D5E46D6&quot;/&gt;&lt;wsp:rsid wsp:val=&quot;5D610403&quot;/&gt;&lt;wsp:rsid wsp:val=&quot;5D616655&quot;/&gt;&lt;wsp:rsid wsp:val=&quot;5D635F29&quot;/&gt;&lt;wsp:rsid wsp:val=&quot;5D647EF4&quot;/&gt;&lt;wsp:rsid wsp:val=&quot;5D665A1A&quot;/&gt;&lt;wsp:rsid wsp:val=&quot;5D6677C8&quot;/&gt;&lt;wsp:rsid wsp:val=&quot;5D6B1282&quot;/&gt;&lt;wsp:rsid wsp:val=&quot;5D6B3030&quot;/&gt;&lt;wsp:rsid wsp:val=&quot;5D6C63B9&quot;/&gt;&lt;wsp:rsid wsp:val=&quot;5D6C66E6&quot;/&gt;&lt;wsp:rsid wsp:val=&quot;5D6D0F8A&quot;/&gt;&lt;wsp:rsid wsp:val=&quot;5D6D6DA8&quot;/&gt;&lt;wsp:rsid wsp:val=&quot;5D6D7849&quot;/&gt;&lt;wsp:rsid wsp:val=&quot;5D6E48CE&quot;/&gt;&lt;wsp:rsid wsp:val=&quot;5D6F0D72&quot;/&gt;&lt;wsp:rsid wsp:val=&quot;5D7243BE&quot;/&gt;&lt;wsp:rsid wsp:val=&quot;5D740137&quot;/&gt;&lt;wsp:rsid wsp:val=&quot;5D753EAF&quot;/&gt;&lt;wsp:rsid wsp:val=&quot;5D7719D5&quot;/&gt;&lt;wsp:rsid wsp:val=&quot;5D78495C&quot;/&gt;&lt;wsp:rsid wsp:val=&quot;5D796328&quot;/&gt;&lt;wsp:rsid wsp:val=&quot;5D7A7717&quot;/&gt;&lt;wsp:rsid wsp:val=&quot;5D7C348F&quot;/&gt;&lt;wsp:rsid wsp:val=&quot;5D7C6FEB&quot;/&gt;&lt;wsp:rsid wsp:val=&quot;5D7E07CE&quot;/&gt;&lt;wsp:rsid wsp:val=&quot;5D7E0FB5&quot;/&gt;&lt;wsp:rsid wsp:val=&quot;5D7F4944&quot;/&gt;&lt;wsp:rsid wsp:val=&quot;5D810AA5&quot;/&gt;&lt;wsp:rsid wsp:val=&quot;5D814602&quot;/&gt;&lt;wsp:rsid wsp:val=&quot;5D845EA0&quot;/&gt;&lt;wsp:rsid wsp:val=&quot;5D852344&quot;/&gt;&lt;wsp:rsid wsp:val=&quot;5D8660BC&quot;/&gt;&lt;wsp:rsid wsp:val=&quot;5D8A795A&quot;/&gt;&lt;wsp:rsid wsp:val=&quot;5D8B722E&quot;/&gt;&lt;wsp:rsid wsp:val=&quot;5D8C2B4C&quot;/&gt;&lt;wsp:rsid wsp:val=&quot;5D8D11F8&quot;/&gt;&lt;wsp:rsid wsp:val=&quot;5D8F1753&quot;/&gt;&lt;wsp:rsid wsp:val=&quot;5D8F31C2&quot;/&gt;&lt;wsp:rsid wsp:val=&quot;5D8F6D1E&quot;/&gt;&lt;wsp:rsid wsp:val=&quot;5D916F3A&quot;/&gt;&lt;wsp:rsid wsp:val=&quot;5D924A61&quot;/&gt;&lt;wsp:rsid wsp:val=&quot;5D92680F&quot;/&gt;&lt;wsp:rsid wsp:val=&quot;5D9978C0&quot;/&gt;&lt;wsp:rsid wsp:val=&quot;5D997B9D&quot;/&gt;&lt;wsp:rsid wsp:val=&quot;5D9B28C6&quot;/&gt;&lt;wsp:rsid wsp:val=&quot;5D9C143B&quot;/&gt;&lt;wsp:rsid wsp:val=&quot;5D9E3405&quot;/&gt;&lt;wsp:rsid wsp:val=&quot;5D9F0F2C&quot;/&gt;&lt;wsp:rsid wsp:val=&quot;5DA0717E&quot;/&gt;&lt;wsp:rsid wsp:val=&quot;5DA24FF7&quot;/&gt;&lt;wsp:rsid wsp:val=&quot;5DA32799&quot;/&gt;&lt;wsp:rsid wsp:val=&quot;5DA327CA&quot;/&gt;&lt;wsp:rsid wsp:val=&quot;5DA402F0&quot;/&gt;&lt;wsp:rsid wsp:val=&quot;5DA463E6&quot;/&gt;&lt;wsp:rsid wsp:val=&quot;5DA53978&quot;/&gt;&lt;wsp:rsid wsp:val=&quot;5DA70E69&quot;/&gt;&lt;wsp:rsid wsp:val=&quot;5DA757FB&quot;/&gt;&lt;wsp:rsid wsp:val=&quot;5DAA7A9B&quot;/&gt;&lt;wsp:rsid wsp:val=&quot;5DAB5B22&quot;/&gt;&lt;wsp:rsid wsp:val=&quot;5DAB78D0&quot;/&gt;&lt;wsp:rsid wsp:val=&quot;5DAD189A&quot;/&gt;&lt;wsp:rsid wsp:val=&quot;5DAD53F7&quot;/&gt;&lt;wsp:rsid wsp:val=&quot;5DAF5613&quot;/&gt;&lt;wsp:rsid wsp:val=&quot;5DAF73C1&quot;/&gt;&lt;wsp:rsid wsp:val=&quot;5DB20C5F&quot;/&gt;&lt;wsp:rsid wsp:val=&quot;5DB42C29&quot;/&gt;&lt;wsp:rsid wsp:val=&quot;5DB46785&quot;/&gt;&lt;wsp:rsid wsp:val=&quot;5DB524FD&quot;/&gt;&lt;wsp:rsid wsp:val=&quot;5DB6074F&quot;/&gt;&lt;wsp:rsid wsp:val=&quot;5DB9023F&quot;/&gt;&lt;wsp:rsid wsp:val=&quot;5DB91684&quot;/&gt;&lt;wsp:rsid wsp:val=&quot;5DBA7B13&quot;/&gt;&lt;wsp:rsid wsp:val=&quot;5DBB1FBD&quot;/&gt;&lt;wsp:rsid wsp:val=&quot;5DBB5D65&quot;/&gt;&lt;wsp:rsid wsp:val=&quot;5DBC388C&quot;/&gt;&lt;wsp:rsid wsp:val=&quot;5DBE5856&quot;/&gt;&lt;wsp:rsid wsp:val=&quot;5DBF512A&quot;/&gt;&lt;wsp:rsid wsp:val=&quot;5DC32E6C&quot;/&gt;&lt;wsp:rsid wsp:val=&quot;5DC34C1A&quot;/&gt;&lt;wsp:rsid wsp:val=&quot;5DC56BE4&quot;/&gt;&lt;wsp:rsid wsp:val=&quot;5DC57AFA&quot;/&gt;&lt;wsp:rsid wsp:val=&quot;5DC82230&quot;/&gt;&lt;wsp:rsid wsp:val=&quot;5DC9056B&quot;/&gt;&lt;wsp:rsid wsp:val=&quot;5DCA244C&quot;/&gt;&lt;wsp:rsid wsp:val=&quot;5DCA7D57&quot;/&gt;&lt;wsp:rsid wsp:val=&quot;5DCB1D21&quot;/&gt;&lt;wsp:rsid wsp:val=&quot;5DCB3ACF&quot;/&gt;&lt;wsp:rsid wsp:val=&quot;5DCC7F73&quot;/&gt;&lt;wsp:rsid wsp:val=&quot;5DCD2F93&quot;/&gt;&lt;wsp:rsid wsp:val=&quot;5DCD7847&quot;/&gt;&lt;wsp:rsid wsp:val=&quot;5DCF35BF&quot;/&gt;&lt;wsp:rsid wsp:val=&quot;5DCF7A63&quot;/&gt;&lt;wsp:rsid wsp:val=&quot;5DD07337&quot;/&gt;&lt;wsp:rsid wsp:val=&quot;5DD230AF&quot;/&gt;&lt;wsp:rsid wsp:val=&quot;5DD34186&quot;/&gt;&lt;wsp:rsid wsp:val=&quot;5DD706C5&quot;/&gt;&lt;wsp:rsid wsp:val=&quot;5DD91A5B&quot;/&gt;&lt;wsp:rsid wsp:val=&quot;5DD92690&quot;/&gt;&lt;wsp:rsid wsp:val=&quot;5DDA20F9&quot;/&gt;&lt;wsp:rsid wsp:val=&quot;5DDD2180&quot;/&gt;&lt;wsp:rsid wsp:val=&quot;5DE057CC&quot;/&gt;&lt;wsp:rsid wsp:val=&quot;5DE132F2&quot;/&gt;&lt;wsp:rsid wsp:val=&quot;5DE60909&quot;/&gt;&lt;wsp:rsid wsp:val=&quot;5DE77A3D&quot;/&gt;&lt;wsp:rsid wsp:val=&quot;5DE84681&quot;/&gt;&lt;wsp:rsid wsp:val=&quot;5DE97CB3&quot;/&gt;&lt;wsp:rsid wsp:val=&quot;5DEC23C3&quot;/&gt;&lt;wsp:rsid wsp:val=&quot;5DED5CFC&quot;/&gt;&lt;wsp:rsid wsp:val=&quot;5DEE6257&quot;/&gt;&lt;wsp:rsid wsp:val=&quot;5DEF1EB3&quot;/&gt;&lt;wsp:rsid wsp:val=&quot;5DF00658&quot;/&gt;&lt;wsp:rsid wsp:val=&quot;5DF10E34&quot;/&gt;&lt;wsp:rsid wsp:val=&quot;5DF11787&quot;/&gt;&lt;wsp:rsid wsp:val=&quot;5DF159A8&quot;/&gt;&lt;wsp:rsid wsp:val=&quot;5DF47470&quot;/&gt;&lt;wsp:rsid wsp:val=&quot;5DF474C9&quot;/&gt;&lt;wsp:rsid wsp:val=&quot;5DF63241&quot;/&gt;&lt;wsp:rsid wsp:val=&quot;5DF64FF0&quot;/&gt;&lt;wsp:rsid wsp:val=&quot;5DF9688E&quot;/&gt;&lt;wsp:rsid wsp:val=&quot;5DFB0858&quot;/&gt;&lt;wsp:rsid wsp:val=&quot;5DFC1EDA&quot;/&gt;&lt;wsp:rsid wsp:val=&quot;5DFC59C2&quot;/&gt;&lt;wsp:rsid wsp:val=&quot;5DFD637E&quot;/&gt;&lt;wsp:rsid wsp:val=&quot;5DFE20F6&quot;/&gt;&lt;wsp:rsid wsp:val=&quot;5DFE5C52&quot;/&gt;&lt;wsp:rsid wsp:val=&quot;5E0019CA&quot;/&gt;&lt;wsp:rsid wsp:val=&quot;5E015742&quot;/&gt;&lt;wsp:rsid wsp:val=&quot;5E0170BB&quot;/&gt;&lt;wsp:rsid wsp:val=&quot;5E0314BA&quot;/&gt;&lt;wsp:rsid wsp:val=&quot;5E034394&quot;/&gt;&lt;wsp:rsid wsp:val=&quot;5E03459C&quot;/&gt;&lt;wsp:rsid wsp:val=&quot;5E035AD5&quot;/&gt;&lt;wsp:rsid wsp:val=&quot;5E044B93&quot;/&gt;&lt;wsp:rsid wsp:val=&quot;5E055781&quot;/&gt;&lt;wsp:rsid wsp:val=&quot;5E056FE1&quot;/&gt;&lt;wsp:rsid wsp:val=&quot;5E062D59&quot;/&gt;&lt;wsp:rsid wsp:val=&quot;5E0736C9&quot;/&gt;&lt;wsp:rsid wsp:val=&quot;5E0771FD&quot;/&gt;&lt;wsp:rsid wsp:val=&quot;5E082F75&quot;/&gt;&lt;wsp:rsid wsp:val=&quot;5E0A693F&quot;/&gt;&lt;wsp:rsid wsp:val=&quot;5E0D2339&quot;/&gt;&lt;wsp:rsid wsp:val=&quot;5E0D31DF&quot;/&gt;&lt;wsp:rsid wsp:val=&quot;5E0D40E7&quot;/&gt;&lt;wsp:rsid wsp:val=&quot;5E0E2BE8&quot;/&gt;&lt;wsp:rsid wsp:val=&quot;5E105508&quot;/&gt;&lt;wsp:rsid wsp:val=&quot;5E1100D9&quot;/&gt;&lt;wsp:rsid wsp:val=&quot;5E120BD4&quot;/&gt;&lt;wsp:rsid wsp:val=&quot;5E1216FE&quot;/&gt;&lt;wsp:rsid wsp:val=&quot;5E125E49&quot;/&gt;&lt;wsp:rsid wsp:val=&quot;5E14191A&quot;/&gt;&lt;wsp:rsid wsp:val=&quot;5E1436C8&quot;/&gt;&lt;wsp:rsid wsp:val=&quot;5E183C9A&quot;/&gt;&lt;wsp:rsid wsp:val=&quot;5E1B2CA8&quot;/&gt;&lt;wsp:rsid wsp:val=&quot;5E1B4A56&quot;/&gt;&lt;wsp:rsid wsp:val=&quot;5E1B6804&quot;/&gt;&lt;wsp:rsid wsp:val=&quot;5E1C257C&quot;/&gt;&lt;wsp:rsid wsp:val=&quot;5E1E00A2&quot;/&gt;&lt;wsp:rsid wsp:val=&quot;5E1E4546&quot;/&gt;&lt;wsp:rsid wsp:val=&quot;5E1E62F4&quot;/&gt;&lt;wsp:rsid wsp:val=&quot;5E20206C&quot;/&gt;&lt;wsp:rsid wsp:val=&quot;5E203E1A&quot;/&gt;&lt;wsp:rsid wsp:val=&quot;5E224037&quot;/&gt;&lt;wsp:rsid wsp:val=&quot;5E2301EB&quot;/&gt;&lt;wsp:rsid wsp:val=&quot;5E23390B&quot;/&gt;&lt;wsp:rsid wsp:val=&quot;5E2467F1&quot;/&gt;&lt;wsp:rsid wsp:val=&quot;5E27164D&quot;/&gt;&lt;wsp:rsid wsp:val=&quot;5E2751A9&quot;/&gt;&lt;wsp:rsid wsp:val=&quot;5E28030B&quot;/&gt;&lt;wsp:rsid wsp:val=&quot;5E287173&quot;/&gt;&lt;wsp:rsid wsp:val=&quot;5E2A4C99&quot;/&gt;&lt;wsp:rsid wsp:val=&quot;5E2A782D&quot;/&gt;&lt;wsp:rsid wsp:val=&quot;5E2B60EE&quot;/&gt;&lt;wsp:rsid wsp:val=&quot;5E2C0A11&quot;/&gt;&lt;wsp:rsid wsp:val=&quot;5E2F405E&quot;/&gt;&lt;wsp:rsid wsp:val=&quot;5E300CA7&quot;/&gt;&lt;wsp:rsid wsp:val=&quot;5E301A5C&quot;/&gt;&lt;wsp:rsid wsp:val=&quot;5E30583F&quot;/&gt;&lt;wsp:rsid wsp:val=&quot;5E321FE3&quot;/&gt;&lt;wsp:rsid wsp:val=&quot;5E3304DB&quot;/&gt;&lt;wsp:rsid wsp:val=&quot;5E334442&quot;/&gt;&lt;wsp:rsid wsp:val=&quot;5E341674&quot;/&gt;&lt;wsp:rsid wsp:val=&quot;5E343D6A&quot;/&gt;&lt;wsp:rsid wsp:val=&quot;5E344903&quot;/&gt;&lt;wsp:rsid wsp:val=&quot;5E361890&quot;/&gt;&lt;wsp:rsid wsp:val=&quot;5E36363E&quot;/&gt;&lt;wsp:rsid wsp:val=&quot;5E394EDC&quot;/&gt;&lt;wsp:rsid wsp:val=&quot;5E3D313F&quot;/&gt;&lt;wsp:rsid wsp:val=&quot;5E3E0745&quot;/&gt;&lt;wsp:rsid wsp:val=&quot;5E40270F&quot;/&gt;&lt;wsp:rsid wsp:val=&quot;5E4044BD&quot;/&gt;&lt;wsp:rsid wsp:val=&quot;5E40626B&quot;/&gt;&lt;wsp:rsid wsp:val=&quot;5E413D91&quot;/&gt;&lt;wsp:rsid wsp:val=&quot;5E421FE3&quot;/&gt;&lt;wsp:rsid wsp:val=&quot;5E47584B&quot;/&gt;&lt;wsp:rsid wsp:val=&quot;5E483371&quot;/&gt;&lt;wsp:rsid wsp:val=&quot;5E4A6B29&quot;/&gt;&lt;wsp:rsid wsp:val=&quot;5E4C2E61&quot;/&gt;&lt;wsp:rsid wsp:val=&quot;5E4D3CA8&quot;/&gt;&lt;wsp:rsid wsp:val=&quot;5E4E4E2C&quot;/&gt;&lt;wsp:rsid wsp:val=&quot;5E4F14E0&quot;/&gt;&lt;wsp:rsid wsp:val=&quot;5E4F64AE&quot;/&gt;&lt;wsp:rsid wsp:val=&quot;5E5166CA&quot;/&gt;&lt;wsp:rsid wsp:val=&quot;5E531CE2&quot;/&gt;&lt;wsp:rsid wsp:val=&quot;5E5341F0&quot;/&gt;&lt;wsp:rsid wsp:val=&quot;5E543AC4&quot;/&gt;&lt;wsp:rsid wsp:val=&quot;5E55537D&quot;/&gt;&lt;wsp:rsid wsp:val=&quot;5E56783C&quot;/&gt;&lt;wsp:rsid wsp:val=&quot;5E587A58&quot;/&gt;&lt;wsp:rsid wsp:val=&quot;5E5A37D0&quot;/&gt;&lt;wsp:rsid wsp:val=&quot;5E5B6A7F&quot;/&gt;&lt;wsp:rsid wsp:val=&quot;5E5C0A2E&quot;/&gt;&lt;wsp:rsid wsp:val=&quot;5E6006BB&quot;/&gt;&lt;wsp:rsid wsp:val=&quot;5E604B5F&quot;/&gt;&lt;wsp:rsid wsp:val=&quot;5E624433&quot;/&gt;&lt;wsp:rsid wsp:val=&quot;5E631F59&quot;/&gt;&lt;wsp:rsid wsp:val=&quot;5E635C5B&quot;/&gt;&lt;wsp:rsid wsp:val=&quot;5E6463FD&quot;/&gt;&lt;wsp:rsid wsp:val=&quot;5E654E72&quot;/&gt;&lt;wsp:rsid wsp:val=&quot;5E655CD1&quot;/&gt;&lt;wsp:rsid wsp:val=&quot;5E667A07&quot;/&gt;&lt;wsp:rsid wsp:val=&quot;5E6737F7&quot;/&gt;&lt;wsp:rsid wsp:val=&quot;5E68756F&quot;/&gt;&lt;wsp:rsid wsp:val=&quot;5E693A13&quot;/&gt;&lt;wsp:rsid wsp:val=&quot;5E6A153A&quot;/&gt;&lt;wsp:rsid wsp:val=&quot;5E6C6845&quot;/&gt;&lt;wsp:rsid wsp:val=&quot;5E6C7060&quot;/&gt;&lt;wsp:rsid wsp:val=&quot;5E6F4DA2&quot;/&gt;&lt;wsp:rsid wsp:val=&quot;5E71702C&quot;/&gt;&lt;wsp:rsid wsp:val=&quot;5E7423B8&quot;/&gt;&lt;wsp:rsid wsp:val=&quot;5E752625&quot;/&gt;&lt;wsp:rsid wsp:val=&quot;5E761C8C&quot;/&gt;&lt;wsp:rsid wsp:val=&quot;5E766130&quot;/&gt;&lt;wsp:rsid wsp:val=&quot;5E767EDE&quot;/&gt;&lt;wsp:rsid wsp:val=&quot;5E781EA8&quot;/&gt;&lt;wsp:rsid wsp:val=&quot;5E783C56&quot;/&gt;&lt;wsp:rsid wsp:val=&quot;5E79352B&quot;/&gt;&lt;wsp:rsid wsp:val=&quot;5E7A44C7&quot;/&gt;&lt;wsp:rsid wsp:val=&quot;5E7A5C21&quot;/&gt;&lt;wsp:rsid wsp:val=&quot;5E7E0D08&quot;/&gt;&lt;wsp:rsid wsp:val=&quot;5E8048B9&quot;/&gt;&lt;wsp:rsid wsp:val=&quot;5E810661&quot;/&gt;&lt;wsp:rsid wsp:val=&quot;5E820631&quot;/&gt;&lt;wsp:rsid wsp:val=&quot;5E8445BE&quot;/&gt;&lt;wsp:rsid wsp:val=&quot;5E873E9A&quot;/&gt;&lt;wsp:rsid wsp:val=&quot;5E8B6B8D&quot;/&gt;&lt;wsp:rsid wsp:val=&quot;5E8C001D&quot;/&gt;&lt;wsp:rsid wsp:val=&quot;5E8D5DEC&quot;/&gt;&lt;wsp:rsid wsp:val=&quot;5E8F0FA0&quot;/&gt;&lt;wsp:rsid wsp:val=&quot;5E912F6A&quot;/&gt;&lt;wsp:rsid wsp:val=&quot;5E914D18&quot;/&gt;&lt;wsp:rsid wsp:val=&quot;5E92274E&quot;/&gt;&lt;wsp:rsid wsp:val=&quot;5E945177&quot;/&gt;&lt;wsp:rsid wsp:val=&quot;5E960581&quot;/&gt;&lt;wsp:rsid wsp:val=&quot;5E9640DD&quot;/&gt;&lt;wsp:rsid wsp:val=&quot;5E987E55&quot;/&gt;&lt;wsp:rsid wsp:val=&quot;5E993BCD&quot;/&gt;&lt;wsp:rsid wsp:val=&quot;5E9B512E&quot;/&gt;&lt;wsp:rsid wsp:val=&quot;5E9B5B97&quot;/&gt;&lt;wsp:rsid wsp:val=&quot;5E9D4750&quot;/&gt;&lt;wsp:rsid wsp:val=&quot;5E9E2432&quot;/&gt;&lt;wsp:rsid wsp:val=&quot;5E9F7435&quot;/&gt;&lt;wsp:rsid wsp:val=&quot;5EA06D09&quot;/&gt;&lt;wsp:rsid wsp:val=&quot;5EA26F25&quot;/&gt;&lt;wsp:rsid wsp:val=&quot;5EA507C4&quot;/&gt;&lt;wsp:rsid wsp:val=&quot;5EA50BC4&quot;/&gt;&lt;wsp:rsid wsp:val=&quot;5EA670A6&quot;/&gt;&lt;wsp:rsid wsp:val=&quot;5EA70098&quot;/&gt;&lt;wsp:rsid wsp:val=&quot;5EAA63C1&quot;/&gt;&lt;wsp:rsid wsp:val=&quot;5EAA7B88&quot;/&gt;&lt;wsp:rsid wsp:val=&quot;5EAB4A36&quot;/&gt;&lt;wsp:rsid wsp:val=&quot;5EAC1B52&quot;/&gt;&lt;wsp:rsid wsp:val=&quot;5EAC3900&quot;/&gt;&lt;wsp:rsid wsp:val=&quot;5EAD1F27&quot;/&gt;&lt;wsp:rsid wsp:val=&quot;5EAE1426&quot;/&gt;&lt;wsp:rsid wsp:val=&quot;5EAE58CA&quot;/&gt;&lt;wsp:rsid wsp:val=&quot;5EB10F16&quot;/&gt;&lt;wsp:rsid wsp:val=&quot;5EB21E57&quot;/&gt;&lt;wsp:rsid wsp:val=&quot;5EB32EE1&quot;/&gt;&lt;wsp:rsid wsp:val=&quot;5EB34C8F&quot;/&gt;&lt;wsp:rsid wsp:val=&quot;5EB41A42&quot;/&gt;&lt;wsp:rsid wsp:val=&quot;5EB629D1&quot;/&gt;&lt;wsp:rsid wsp:val=&quot;5EB86749&quot;/&gt;&lt;wsp:rsid wsp:val=&quot;5EBA601D&quot;/&gt;&lt;wsp:rsid wsp:val=&quot;5EBB1D95&quot;/&gt;&lt;wsp:rsid wsp:val=&quot;5EBB3B43&quot;/&gt;&lt;wsp:rsid wsp:val=&quot;5EBB5591&quot;/&gt;&lt;wsp:rsid wsp:val=&quot;5EBC40CD&quot;/&gt;&lt;wsp:rsid wsp:val=&quot;5EC073AC&quot;/&gt;&lt;wsp:rsid wsp:val=&quot;5EC155FD&quot;/&gt;&lt;wsp:rsid wsp:val=&quot;5EC165E7&quot;/&gt;&lt;wsp:rsid wsp:val=&quot;5EC16C5C&quot;/&gt;&lt;wsp:rsid wsp:val=&quot;5EC24ED2&quot;/&gt;&lt;wsp:rsid wsp:val=&quot;5EC56A6D&quot;/&gt;&lt;wsp:rsid wsp:val=&quot;5EC642D2&quot;/&gt;&lt;wsp:rsid wsp:val=&quot;5EC7073A&quot;/&gt;&lt;wsp:rsid wsp:val=&quot;5EC724E8&quot;/&gt;&lt;wsp:rsid wsp:val=&quot;5EC92704&quot;/&gt;&lt;wsp:rsid wsp:val=&quot;5ECA1FD8&quot;/&gt;&lt;wsp:rsid wsp:val=&quot;5ECA3D86&quot;/&gt;&lt;wsp:rsid wsp:val=&quot;5ECB647C&quot;/&gt;&lt;wsp:rsid wsp:val=&quot;5ECC5D50&quot;/&gt;&lt;wsp:rsid wsp:val=&quot;5ECE7DD0&quot;/&gt;&lt;wsp:rsid wsp:val=&quot;5ECE7EF9&quot;/&gt;&lt;wsp:rsid wsp:val=&quot;5ECF79AB&quot;/&gt;&lt;wsp:rsid wsp:val=&quot;5ED115B9&quot;/&gt;&lt;wsp:rsid wsp:val=&quot;5ED13367&quot;/&gt;&lt;wsp:rsid wsp:val=&quot;5ED2780B&quot;/&gt;&lt;wsp:rsid wsp:val=&quot;5ED370DF&quot;/&gt;&lt;wsp:rsid wsp:val=&quot;5ED545B3&quot;/&gt;&lt;wsp:rsid wsp:val=&quot;5ED667E8&quot;/&gt;&lt;wsp:rsid wsp:val=&quot;5ED66BCF&quot;/&gt;&lt;wsp:rsid wsp:val=&quot;5ED679F2&quot;/&gt;&lt;wsp:rsid wsp:val=&quot;5ED846F5&quot;/&gt;&lt;wsp:rsid wsp:val=&quot;5ED864A3&quot;/&gt;&lt;wsp:rsid wsp:val=&quot;5EDA66BF&quot;/&gt;&lt;wsp:rsid wsp:val=&quot;5EDB41E5&quot;/&gt;&lt;wsp:rsid wsp:val=&quot;5EDC2827&quot;/&gt;&lt;wsp:rsid wsp:val=&quot;5EDD4C6D&quot;/&gt;&lt;wsp:rsid wsp:val=&quot;5EDF4663&quot;/&gt;&lt;wsp:rsid wsp:val=&quot;5EE02BC4&quot;/&gt;&lt;wsp:rsid wsp:val=&quot;5EE222A7&quot;/&gt;&lt;wsp:rsid wsp:val=&quot;5EE44E48&quot;/&gt;&lt;wsp:rsid wsp:val=&quot;5EE70977&quot;/&gt;&lt;wsp:rsid wsp:val=&quot;5EE720B8&quot;/&gt;&lt;wsp:rsid wsp:val=&quot;5EE74938&quot;/&gt;&lt;wsp:rsid wsp:val=&quot;5EE975A9&quot;/&gt;&lt;wsp:rsid wsp:val=&quot;5EEC1F4F&quot;/&gt;&lt;wsp:rsid wsp:val=&quot;5EEE5CC7&quot;/&gt;&lt;wsp:rsid wsp:val=&quot;5EF26718&quot;/&gt;&lt;wsp:rsid wsp:val=&quot;5EF332DD&quot;/&gt;&lt;wsp:rsid wsp:val=&quot;5EF35C6C&quot;/&gt;&lt;wsp:rsid wsp:val=&quot;5EF7101F&quot;/&gt;&lt;wsp:rsid wsp:val=&quot;5EF808F3&quot;/&gt;&lt;wsp:rsid wsp:val=&quot;5EF944CD&quot;/&gt;&lt;wsp:rsid wsp:val=&quot;5EF9708D&quot;/&gt;&lt;wsp:rsid wsp:val=&quot;5EFA052E&quot;/&gt;&lt;wsp:rsid wsp:val=&quot;5EFA466C&quot;/&gt;&lt;wsp:rsid wsp:val=&quot;5EFB19BE&quot;/&gt;&lt;wsp:rsid wsp:val=&quot;5EFC2E4E&quot;/&gt;&lt;wsp:rsid wsp:val=&quot;5EFD415C&quot;/&gt;&lt;wsp:rsid wsp:val=&quot;5EFE7149&quot;/&gt;&lt;wsp:rsid wsp:val=&quot;5F0059FA&quot;/&gt;&lt;wsp:rsid wsp:val=&quot;5F011E9E&quot;/&gt;&lt;wsp:rsid wsp:val=&quot;5F0279C4&quot;/&gt;&lt;wsp:rsid wsp:val=&quot;5F034C6F&quot;/&gt;&lt;wsp:rsid wsp:val=&quot;5F0454EA&quot;/&gt;&lt;wsp:rsid wsp:val=&quot;5F04649D&quot;/&gt;&lt;wsp:rsid wsp:val=&quot;5F090814&quot;/&gt;&lt;wsp:rsid wsp:val=&quot;5F090D52&quot;/&gt;&lt;wsp:rsid wsp:val=&quot;5F092B01&quot;/&gt;&lt;wsp:rsid wsp:val=&quot;5F0A712A&quot;/&gt;&lt;wsp:rsid wsp:val=&quot;5F0B4827&quot;/&gt;&lt;wsp:rsid wsp:val=&quot;5F0F3ED5&quot;/&gt;&lt;wsp:rsid wsp:val=&quot;5F103E8F&quot;/&gt;&lt;wsp:rsid wsp:val=&quot;5F1059FA&quot;/&gt;&lt;wsp:rsid wsp:val=&quot;5F105C3D&quot;/&gt;&lt;wsp:rsid wsp:val=&quot;5F137E9E&quot;/&gt;&lt;wsp:rsid wsp:val=&quot;5F140576&quot;/&gt;&lt;wsp:rsid wsp:val=&quot;5F144214&quot;/&gt;&lt;wsp:rsid wsp:val=&quot;5F1539F4&quot;/&gt;&lt;wsp:rsid wsp:val=&quot;5F155949&quot;/&gt;&lt;wsp:rsid wsp:val=&quot;5F1576F7&quot;/&gt;&lt;wsp:rsid wsp:val=&quot;5F157F77&quot;/&gt;&lt;wsp:rsid wsp:val=&quot;5F16521D&quot;/&gt;&lt;wsp:rsid wsp:val=&quot;5F182D44&quot;/&gt;&lt;wsp:rsid wsp:val=&quot;5F1871E8&quot;/&gt;&lt;wsp:rsid wsp:val=&quot;5F1A2B43&quot;/&gt;&lt;wsp:rsid wsp:val=&quot;5F1A2F60&quot;/&gt;&lt;wsp:rsid wsp:val=&quot;5F1C0A86&quot;/&gt;&lt;wsp:rsid wsp:val=&quot;5F1C6CD8&quot;/&gt;&lt;wsp:rsid wsp:val=&quot;5F1D65AC&quot;/&gt;&lt;wsp:rsid wsp:val=&quot;5F1E2676&quot;/&gt;&lt;wsp:rsid wsp:val=&quot;5F1E4D57&quot;/&gt;&lt;wsp:rsid wsp:val=&quot;5F200DE7&quot;/&gt;&lt;wsp:rsid wsp:val=&quot;5F217E4A&quot;/&gt;&lt;wsp:rsid wsp:val=&quot;5F221E14&quot;/&gt;&lt;wsp:rsid wsp:val=&quot;5F223BC2&quot;/&gt;&lt;wsp:rsid wsp:val=&quot;5F225970&quot;/&gt;&lt;wsp:rsid wsp:val=&quot;5F2356B6&quot;/&gt;&lt;wsp:rsid wsp:val=&quot;5F265461&quot;/&gt;&lt;wsp:rsid wsp:val=&quot;5F2711D9&quot;/&gt;&lt;wsp:rsid wsp:val=&quot;5F27635C&quot;/&gt;&lt;wsp:rsid wsp:val=&quot;5F27742B&quot;/&gt;&lt;wsp:rsid wsp:val=&quot;5F2A6503&quot;/&gt;&lt;wsp:rsid wsp:val=&quot;5F2B0CC9&quot;/&gt;&lt;wsp:rsid wsp:val=&quot;5F2C01C7&quot;/&gt;&lt;wsp:rsid wsp:val=&quot;5F2D4A41&quot;/&gt;&lt;wsp:rsid wsp:val=&quot;5F2E484C&quot;/&gt;&lt;wsp:rsid wsp:val=&quot;5F30008D&quot;/&gt;&lt;wsp:rsid wsp:val=&quot;5F3202A9&quot;/&gt;&lt;wsp:rsid wsp:val=&quot;5F322057&quot;/&gt;&lt;wsp:rsid wsp:val=&quot;5F322F1C&quot;/&gt;&lt;wsp:rsid wsp:val=&quot;5F3439F6&quot;/&gt;&lt;wsp:rsid wsp:val=&quot;5F357D99&quot;/&gt;&lt;wsp:rsid wsp:val=&quot;5F372DE1&quot;/&gt;&lt;wsp:rsid wsp:val=&quot;5F3758C0&quot;/&gt;&lt;wsp:rsid wsp:val=&quot;5F37766E&quot;/&gt;&lt;wsp:rsid wsp:val=&quot;5F381638&quot;/&gt;&lt;wsp:rsid wsp:val=&quot;5F3861E3&quot;/&gt;&lt;wsp:rsid wsp:val=&quot;5F387474&quot;/&gt;&lt;wsp:rsid wsp:val=&quot;5F3A0F0C&quot;/&gt;&lt;wsp:rsid wsp:val=&quot;5F3C1D4C&quot;/&gt;&lt;wsp:rsid wsp:val=&quot;5F3D09FC&quot;/&gt;&lt;wsp:rsid wsp:val=&quot;5F3F29C6&quot;/&gt;&lt;wsp:rsid wsp:val=&quot;5F434264&quot;/&gt;&lt;wsp:rsid wsp:val=&quot;5F443B39&quot;/&gt;&lt;wsp:rsid wsp:val=&quot;5F465B03&quot;/&gt;&lt;wsp:rsid wsp:val=&quot;5F4678B1&quot;/&gt;&lt;wsp:rsid wsp:val=&quot;5F48187B&quot;/&gt;&lt;wsp:rsid wsp:val=&quot;5F4A0903&quot;/&gt;&lt;wsp:rsid wsp:val=&quot;5F4B136B&quot;/&gt;&lt;wsp:rsid wsp:val=&quot;5F503032&quot;/&gt;&lt;wsp:rsid wsp:val=&quot;5F5226F9&quot;/&gt;&lt;wsp:rsid wsp:val=&quot;5F531FCE&quot;/&gt;&lt;wsp:rsid wsp:val=&quot;5F5521EA&quot;/&gt;&lt;wsp:rsid wsp:val=&quot;5F577D10&quot;/&gt;&lt;wsp:rsid wsp:val=&quot;5F597808&quot;/&gt;&lt;wsp:rsid wsp:val=&quot;5F5A15AE&quot;/&gt;&lt;wsp:rsid wsp:val=&quot;5F5C0E82&quot;/&gt;&lt;wsp:rsid wsp:val=&quot;5F5F0972&quot;/&gt;&lt;wsp:rsid wsp:val=&quot;5F5F6BC4&quot;/&gt;&lt;wsp:rsid wsp:val=&quot;5F63217C&quot;/&gt;&lt;wsp:rsid wsp:val=&quot;5F6366B5&quot;/&gt;&lt;wsp:rsid wsp:val=&quot;5F645F89&quot;/&gt;&lt;wsp:rsid wsp:val=&quot;5F66666A&quot;/&gt;&lt;wsp:rsid wsp:val=&quot;5F667F53&quot;/&gt;&lt;wsp:rsid wsp:val=&quot;5F683CCB&quot;/&gt;&lt;wsp:rsid wsp:val=&quot;5F697A43&quot;/&gt;&lt;wsp:rsid wsp:val=&quot;5F6B47EE&quot;/&gt;&lt;wsp:rsid wsp:val=&quot;5F6B5569&quot;/&gt;&lt;wsp:rsid wsp:val=&quot;5F6D308F&quot;/&gt;&lt;wsp:rsid wsp:val=&quot;5F6D7533&quot;/&gt;&lt;wsp:rsid wsp:val=&quot;5F6E316F&quot;/&gt;&lt;wsp:rsid wsp:val=&quot;5F6F21A7&quot;/&gt;&lt;wsp:rsid wsp:val=&quot;5F700DD2&quot;/&gt;&lt;wsp:rsid wsp:val=&quot;5F702B80&quot;/&gt;&lt;wsp:rsid wsp:val=&quot;5F713021&quot;/&gt;&lt;wsp:rsid wsp:val=&quot;5F73441E&quot;/&gt;&lt;wsp:rsid wsp:val=&quot;5F761901&quot;/&gt;&lt;wsp:rsid wsp:val=&quot;5F767385&quot;/&gt;&lt;wsp:rsid wsp:val=&quot;5F784221&quot;/&gt;&lt;wsp:rsid wsp:val=&quot;5F7A1C50&quot;/&gt;&lt;wsp:rsid wsp:val=&quot;5F7A2817&quot;/&gt;&lt;wsp:rsid wsp:val=&quot;5F7A39FE&quot;/&gt;&lt;wsp:rsid wsp:val=&quot;5F7A755A&quot;/&gt;&lt;wsp:rsid wsp:val=&quot;5F7D704B&quot;/&gt;&lt;wsp:rsid wsp:val=&quot;5F7F2DC3&quot;/&gt;&lt;wsp:rsid wsp:val=&quot;5F800C39&quot;/&gt;&lt;wsp:rsid wsp:val=&quot;5F8108E9&quot;/&gt;&lt;wsp:rsid wsp:val=&quot;5F812FDF&quot;/&gt;&lt;wsp:rsid wsp:val=&quot;5F814D8D&quot;/&gt;&lt;wsp:rsid wsp:val=&quot;5F830B05&quot;/&gt;&lt;wsp:rsid wsp:val=&quot;5F8403D9&quot;/&gt;&lt;wsp:rsid wsp:val=&quot;5F84662B&quot;/&gt;&lt;wsp:rsid wsp:val=&quot;5F8605F5&quot;/&gt;&lt;wsp:rsid wsp:val=&quot;5F8623A3&quot;/&gt;&lt;wsp:rsid wsp:val=&quot;5F864151&quot;/&gt;&lt;wsp:rsid wsp:val=&quot;5F883D16&quot;/&gt;&lt;wsp:rsid wsp:val=&quot;5F8960B6&quot;/&gt;&lt;wsp:rsid wsp:val=&quot;5F8A1E93&quot;/&gt;&lt;wsp:rsid wsp:val=&quot;5F8A5A57&quot;/&gt;&lt;wsp:rsid wsp:val=&quot;5F8D54E0&quot;/&gt;&lt;wsp:rsid wsp:val=&quot;5F904FD0&quot;/&gt;&lt;wsp:rsid wsp:val=&quot;5F920A6A&quot;/&gt;&lt;wsp:rsid wsp:val=&quot;5F920D48&quot;/&gt;&lt;wsp:rsid wsp:val=&quot;5F922AF6&quot;/&gt;&lt;wsp:rsid wsp:val=&quot;5F940EF3&quot;/&gt;&lt;wsp:rsid wsp:val=&quot;5F942D12&quot;/&gt;&lt;wsp:rsid wsp:val=&quot;5F9439FA&quot;/&gt;&lt;wsp:rsid wsp:val=&quot;5F961351&quot;/&gt;&lt;wsp:rsid wsp:val=&quot;5F97237B&quot;/&gt;&lt;wsp:rsid wsp:val=&quot;5F9C1BC7&quot;/&gt;&lt;wsp:rsid wsp:val=&quot;5F9E76ED&quot;/&gt;&lt;wsp:rsid wsp:val=&quot;5F9F3465&quot;/&gt;&lt;wsp:rsid wsp:val=&quot;5F9F5213&quot;/&gt;&lt;wsp:rsid wsp:val=&quot;5FA32F55&quot;/&gt;&lt;wsp:rsid wsp:val=&quot;5FA36AB1&quot;/&gt;&lt;wsp:rsid wsp:val=&quot;5FA42829&quot;/&gt;&lt;wsp:rsid wsp:val=&quot;5FA6034F&quot;/&gt;&lt;wsp:rsid wsp:val=&quot;5FA647F3&quot;/&gt;&lt;wsp:rsid wsp:val=&quot;5FA6729F&quot;/&gt;&lt;wsp:rsid wsp:val=&quot;5FA72F90&quot;/&gt;&lt;wsp:rsid wsp:val=&quot;5FA8056B&quot;/&gt;&lt;wsp:rsid wsp:val=&quot;5FA937A9&quot;/&gt;&lt;wsp:rsid wsp:val=&quot;5FA94790&quot;/&gt;&lt;wsp:rsid wsp:val=&quot;5FA97E40&quot;/&gt;&lt;wsp:rsid wsp:val=&quot;5FAA6092&quot;/&gt;&lt;wsp:rsid wsp:val=&quot;5FAA7620&quot;/&gt;&lt;wsp:rsid wsp:val=&quot;5FAB1E0A&quot;/&gt;&lt;wsp:rsid wsp:val=&quot;5FAC3111&quot;/&gt;&lt;wsp:rsid wsp:val=&quot;5FAD16DE&quot;/&gt;&lt;wsp:rsid wsp:val=&quot;5FAD269E&quot;/&gt;&lt;wsp:rsid wsp:val=&quot;5FAD5B82&quot;/&gt;&lt;wsp:rsid wsp:val=&quot;5FAD7930&quot;/&gt;&lt;wsp:rsid wsp:val=&quot;5FAE51AE&quot;/&gt;&lt;wsp:rsid wsp:val=&quot;5FAF36A8&quot;/&gt;&lt;wsp:rsid wsp:val=&quot;5FB20AF9&quot;/&gt;&lt;wsp:rsid wsp:val=&quot;5FB47151&quot;/&gt;&lt;wsp:rsid wsp:val=&quot;5FB567E4&quot;/&gt;&lt;wsp:rsid wsp:val=&quot;5FB641C3&quot;/&gt;&lt;wsp:rsid wsp:val=&quot;5FB7255D&quot;/&gt;&lt;wsp:rsid wsp:val=&quot;5FB76A00&quot;/&gt;&lt;wsp:rsid wsp:val=&quot;5FB837BB&quot;/&gt;&lt;wsp:rsid wsp:val=&quot;5FB8795D&quot;/&gt;&lt;wsp:rsid wsp:val=&quot;5FB92779&quot;/&gt;&lt;wsp:rsid wsp:val=&quot;5FB94285&quot;/&gt;&lt;wsp:rsid wsp:val=&quot;5FB94527&quot;/&gt;&lt;wsp:rsid wsp:val=&quot;5FB962D5&quot;/&gt;&lt;wsp:rsid wsp:val=&quot;5FBA7980&quot;/&gt;&lt;wsp:rsid wsp:val=&quot;5FBB3CC2&quot;/&gt;&lt;wsp:rsid wsp:val=&quot;5FBC14C5&quot;/&gt;&lt;wsp:rsid wsp:val=&quot;5FBC4017&quot;/&gt;&lt;wsp:rsid wsp:val=&quot;5FBC5DC5&quot;/&gt;&lt;wsp:rsid wsp:val=&quot;5FBD4096&quot;/&gt;&lt;wsp:rsid wsp:val=&quot;5FBF1411&quot;/&gt;&lt;wsp:rsid wsp:val=&quot;5FC14B14&quot;/&gt;&lt;wsp:rsid wsp:val=&quot;5FC27D70&quot;/&gt;&lt;wsp:rsid wsp:val=&quot;5FC37153&quot;/&gt;&lt;wsp:rsid wsp:val=&quot;5FC627A0&quot;/&gt;&lt;wsp:rsid wsp:val=&quot;5FCB425A&quot;/&gt;&lt;wsp:rsid wsp:val=&quot;5FCB604A&quot;/&gt;&lt;wsp:rsid wsp:val=&quot;5FCD1D80&quot;/&gt;&lt;wsp:rsid wsp:val=&quot;5FCD7FD2&quot;/&gt;&lt;wsp:rsid wsp:val=&quot;5FCF3D4A&quot;/&gt;&lt;wsp:rsid wsp:val=&quot;5FD0047F&quot;/&gt;&lt;wsp:rsid wsp:val=&quot;5FD026F7&quot;/&gt;&lt;wsp:rsid wsp:val=&quot;5FD21144&quot;/&gt;&lt;wsp:rsid wsp:val=&quot;5FD2383A&quot;/&gt;&lt;wsp:rsid wsp:val=&quot;5FD255E8&quot;/&gt;&lt;wsp:rsid wsp:val=&quot;5FD4310E&quot;/&gt;&lt;wsp:rsid wsp:val=&quot;5FD454B8&quot;/&gt;&lt;wsp:rsid wsp:val=&quot;5FD50BDC&quot;/&gt;&lt;wsp:rsid wsp:val=&quot;5FD50C35&quot;/&gt;&lt;wsp:rsid wsp:val=&quot;5FD51606&quot;/&gt;&lt;wsp:rsid wsp:val=&quot;5FD87822&quot;/&gt;&lt;wsp:rsid wsp:val=&quot;5FD924D3&quot;/&gt;&lt;wsp:rsid wsp:val=&quot;5FDA624B&quot;/&gt;&lt;wsp:rsid wsp:val=&quot;5FDB26EF&quot;/&gt;&lt;wsp:rsid wsp:val=&quot;5FDC1FC3&quot;/&gt;&lt;wsp:rsid wsp:val=&quot;5FDC6467&quot;/&gt;&lt;wsp:rsid wsp:val=&quot;5FDE3F8D&quot;/&gt;&lt;wsp:rsid wsp:val=&quot;5FE04C08&quot;/&gt;&lt;wsp:rsid wsp:val=&quot;5FE07430&quot;/&gt;&lt;wsp:rsid wsp:val=&quot;5FE07D05&quot;/&gt;&lt;wsp:rsid wsp:val=&quot;5FE13A7D&quot;/&gt;&lt;wsp:rsid wsp:val=&quot;5FE1582B&quot;/&gt;&lt;wsp:rsid wsp:val=&quot;5FE175D9&quot;/&gt;&lt;wsp:rsid wsp:val=&quot;5FE17AD8&quot;/&gt;&lt;wsp:rsid wsp:val=&quot;5FE315A4&quot;/&gt;&lt;wsp:rsid wsp:val=&quot;5FE52D7F&quot;/&gt;&lt;wsp:rsid wsp:val=&quot;5FE62E42&quot;/&gt;&lt;wsp:rsid wsp:val=&quot;5FE64BF0&quot;/&gt;&lt;wsp:rsid wsp:val=&quot;5FE80968&quot;/&gt;&lt;wsp:rsid wsp:val=&quot;5FE84E0C&quot;/&gt;&lt;wsp:rsid wsp:val=&quot;5FE86BBA&quot;/&gt;&lt;wsp:rsid wsp:val=&quot;5FEB2206&quot;/&gt;&lt;wsp:rsid wsp:val=&quot;5FEC05A4&quot;/&gt;&lt;wsp:rsid wsp:val=&quot;5FED0D8A&quot;/&gt;&lt;wsp:rsid wsp:val=&quot;5FED5F7E&quot;/&gt;&lt;wsp:rsid wsp:val=&quot;5FF501C6&quot;/&gt;&lt;wsp:rsid wsp:val=&quot;5FF56C7C&quot;/&gt;&lt;wsp:rsid wsp:val=&quot;5FF7504F&quot;/&gt;&lt;wsp:rsid wsp:val=&quot;5FF90DC7&quot;/&gt;&lt;wsp:rsid wsp:val=&quot;5FFC2FA7&quot;/&gt;&lt;wsp:rsid wsp:val=&quot;5FFC4413&quot;/&gt;&lt;wsp:rsid wsp:val=&quot;5FFD572B&quot;/&gt;&lt;wsp:rsid wsp:val=&quot;5FFE26E6&quot;/&gt;&lt;wsp:rsid wsp:val=&quot;60003F04&quot;/&gt;&lt;wsp:rsid wsp:val=&quot;60011A2A&quot;/&gt;&lt;wsp:rsid wsp:val=&quot;6005282E&quot;/&gt;&lt;wsp:rsid wsp:val=&quot;600532C8&quot;/&gt;&lt;wsp:rsid wsp:val=&quot;60057804&quot;/&gt;&lt;wsp:rsid wsp:val=&quot;6008100A&quot;/&gt;&lt;wsp:rsid wsp:val=&quot;600B28A8&quot;/&gt;&lt;wsp:rsid wsp:val=&quot;600B4656&quot;/&gt;&lt;wsp:rsid wsp:val=&quot;600C6FB6&quot;/&gt;&lt;wsp:rsid wsp:val=&quot;600D03CE&quot;/&gt;&lt;wsp:rsid wsp:val=&quot;600F4147&quot;/&gt;&lt;wsp:rsid wsp:val=&quot;601107A2&quot;/&gt;&lt;wsp:rsid wsp:val=&quot;60114363&quot;/&gt;&lt;wsp:rsid wsp:val=&quot;60116111&quot;/&gt;&lt;wsp:rsid wsp:val=&quot;6014175D&quot;/&gt;&lt;wsp:rsid wsp:val=&quot;60143F17&quot;/&gt;&lt;wsp:rsid wsp:val=&quot;60173560&quot;/&gt;&lt;wsp:rsid wsp:val=&quot;601847EC&quot;/&gt;&lt;wsp:rsid wsp:val=&quot;60193217&quot;/&gt;&lt;wsp:rsid wsp:val=&quot;60196D73&quot;/&gt;&lt;wsp:rsid wsp:val=&quot;601B2AEB&quot;/&gt;&lt;wsp:rsid wsp:val=&quot;601D2D07&quot;/&gt;&lt;wsp:rsid wsp:val=&quot;601D6342&quot;/&gt;&lt;wsp:rsid wsp:val=&quot;601E082E&quot;/&gt;&lt;wsp:rsid wsp:val=&quot;601F5B30&quot;/&gt;&lt;wsp:rsid wsp:val=&quot;60206354&quot;/&gt;&lt;wsp:rsid wsp:val=&quot;60213E7A&quot;/&gt;&lt;wsp:rsid wsp:val=&quot;60225083&quot;/&gt;&lt;wsp:rsid wsp:val=&quot;60233110&quot;/&gt;&lt;wsp:rsid wsp:val=&quot;6025396A&quot;/&gt;&lt;wsp:rsid wsp:val=&quot;60255718&quot;/&gt;&lt;wsp:rsid wsp:val=&quot;60285208&quot;/&gt;&lt;wsp:rsid wsp:val=&quot;602A0F80&quot;/&gt;&lt;wsp:rsid wsp:val=&quot;602A71D2&quot;/&gt;&lt;wsp:rsid wsp:val=&quot;602C4CF9&quot;/&gt;&lt;wsp:rsid wsp:val=&quot;602F2A3B&quot;/&gt;&lt;wsp:rsid wsp:val=&quot;602F6597&quot;/&gt;&lt;wsp:rsid wsp:val=&quot;6031230F&quot;/&gt;&lt;wsp:rsid wsp:val=&quot;60327E35&quot;/&gt;&lt;wsp:rsid wsp:val=&quot;60341DFF&quot;/&gt;&lt;wsp:rsid wsp:val=&quot;60343BAD&quot;/&gt;&lt;wsp:rsid wsp:val=&quot;6035022A&quot;/&gt;&lt;wsp:rsid wsp:val=&quot;6037369D&quot;/&gt;&lt;wsp:rsid wsp:val=&quot;603B13E0&quot;/&gt;&lt;wsp:rsid wsp:val=&quot;603B14CB&quot;/&gt;&lt;wsp:rsid wsp:val=&quot;603B318E&quot;/&gt;&lt;wsp:rsid wsp:val=&quot;603B4F3C&quot;/&gt;&lt;wsp:rsid wsp:val=&quot;603C522D&quot;/&gt;&lt;wsp:rsid wsp:val=&quot;603E2C7E&quot;/&gt;&lt;wsp:rsid wsp:val=&quot;603F3EAD&quot;/&gt;&lt;wsp:rsid wsp:val=&quot;604007A4&quot;/&gt;&lt;wsp:rsid wsp:val=&quot;60402552&quot;/&gt;&lt;wsp:rsid wsp:val=&quot;604128AE&quot;/&gt;&lt;wsp:rsid wsp:val=&quot;60432042&quot;/&gt;&lt;wsp:rsid wsp:val=&quot;6043466C&quot;/&gt;&lt;wsp:rsid wsp:val=&quot;604364E6&quot;/&gt;&lt;wsp:rsid wsp:val=&quot;60450D7A&quot;/&gt;&lt;wsp:rsid wsp:val=&quot;6045400C&quot;/&gt;&lt;wsp:rsid wsp:val=&quot;60455DBA&quot;/&gt;&lt;wsp:rsid wsp:val=&quot;60471B32&quot;/&gt;&lt;wsp:rsid wsp:val=&quot;604765C1&quot;/&gt;&lt;wsp:rsid wsp:val=&quot;6048238E&quot;/&gt;&lt;wsp:rsid wsp:val=&quot;60483AFC&quot;/&gt;&lt;wsp:rsid wsp:val=&quot;604858AA&quot;/&gt;&lt;wsp:rsid wsp:val=&quot;604A33D1&quot;/&gt;&lt;wsp:rsid wsp:val=&quot;604C0EF7&quot;/&gt;&lt;wsp:rsid wsp:val=&quot;604C539B&quot;/&gt;&lt;wsp:rsid wsp:val=&quot;604E6200&quot;/&gt;&lt;wsp:rsid wsp:val=&quot;604F6C39&quot;/&gt;&lt;wsp:rsid wsp:val=&quot;60502261&quot;/&gt;&lt;wsp:rsid wsp:val=&quot;6051650D&quot;/&gt;&lt;wsp:rsid wsp:val=&quot;60536729&quot;/&gt;&lt;wsp:rsid wsp:val=&quot;605424A1&quot;/&gt;&lt;wsp:rsid wsp:val=&quot;60543D2E&quot;/&gt;&lt;wsp:rsid wsp:val=&quot;60545FFD&quot;/&gt;&lt;wsp:rsid wsp:val=&quot;60554EEF&quot;/&gt;&lt;wsp:rsid wsp:val=&quot;60575AEE&quot;/&gt;&lt;wsp:rsid wsp:val=&quot;6057789C&quot;/&gt;&lt;wsp:rsid wsp:val=&quot;60583D40&quot;/&gt;&lt;wsp:rsid wsp:val=&quot;60591866&quot;/&gt;&lt;wsp:rsid wsp:val=&quot;605B55DE&quot;/&gt;&lt;wsp:rsid wsp:val=&quot;605C4EB2&quot;/&gt;&lt;wsp:rsid wsp:val=&quot;605D1356&quot;/&gt;&lt;wsp:rsid wsp:val=&quot;605D41C0&quot;/&gt;&lt;wsp:rsid wsp:val=&quot;605D4865&quot;/&gt;&lt;wsp:rsid wsp:val=&quot;605E0C2A&quot;/&gt;&lt;wsp:rsid wsp:val=&quot;60603D90&quot;/&gt;&lt;wsp:rsid wsp:val=&quot;60625B06&quot;/&gt;&lt;wsp:rsid wsp:val=&quot;6063192E&quot;/&gt;&lt;wsp:rsid wsp:val=&quot;60640C85&quot;/&gt;&lt;wsp:rsid wsp:val=&quot;60651FB9&quot;/&gt;&lt;wsp:rsid wsp:val=&quot;6065645C&quot;/&gt;&lt;wsp:rsid wsp:val=&quot;60667058&quot;/&gt;&lt;wsp:rsid wsp:val=&quot;60673F26&quot;/&gt;&lt;wsp:rsid wsp:val=&quot;60683065&quot;/&gt;&lt;wsp:rsid wsp:val=&quot;606B6ED9&quot;/&gt;&lt;wsp:rsid wsp:val=&quot;606C77EB&quot;/&gt;&lt;wsp:rsid wsp:val=&quot;606E3563&quot;/&gt;&lt;wsp:rsid wsp:val=&quot;606F1089&quot;/&gt;&lt;wsp:rsid wsp:val=&quot;606F4BE5&quot;/&gt;&lt;wsp:rsid wsp:val=&quot;6070184B&quot;/&gt;&lt;wsp:rsid wsp:val=&quot;60716BAF&quot;/&gt;&lt;wsp:rsid wsp:val=&quot;607271D5&quot;/&gt;&lt;wsp:rsid wsp:val=&quot;60732927&quot;/&gt;&lt;wsp:rsid wsp:val=&quot;607448F1&quot;/&gt;&lt;wsp:rsid wsp:val=&quot;607466A0&quot;/&gt;&lt;wsp:rsid wsp:val=&quot;607641C6&quot;/&gt;&lt;wsp:rsid wsp:val=&quot;60771CEC&quot;/&gt;&lt;wsp:rsid wsp:val=&quot;60786190&quot;/&gt;&lt;wsp:rsid wsp:val=&quot;60787F3E&quot;/&gt;&lt;wsp:rsid wsp:val=&quot;60791F08&quot;/&gt;&lt;wsp:rsid wsp:val=&quot;607A5BA6&quot;/&gt;&lt;wsp:rsid wsp:val=&quot;607B21B4&quot;/&gt;&lt;wsp:rsid wsp:val=&quot;607B521D&quot;/&gt;&lt;wsp:rsid wsp:val=&quot;607C5DEE&quot;/&gt;&lt;wsp:rsid wsp:val=&quot;607C641A&quot;/&gt;&lt;wsp:rsid wsp:val=&quot;60807BFF&quot;/&gt;&lt;wsp:rsid wsp:val=&quot;608151BE&quot;/&gt;&lt;wsp:rsid wsp:val=&quot;60822B6A&quot;/&gt;&lt;wsp:rsid wsp:val=&quot;60830691&quot;/&gt;&lt;wsp:rsid wsp:val=&quot;60844B35&quot;/&gt;&lt;wsp:rsid wsp:val=&quot;6085265B&quot;/&gt;&lt;wsp:rsid wsp:val=&quot;60854409&quot;/&gt;&lt;wsp:rsid wsp:val=&quot;60885CA7&quot;/&gt;&lt;wsp:rsid wsp:val=&quot;6089214B&quot;/&gt;&lt;wsp:rsid wsp:val=&quot;608923C4&quot;/&gt;&lt;wsp:rsid wsp:val=&quot;608A06B3&quot;/&gt;&lt;wsp:rsid wsp:val=&quot;608A1A1F&quot;/&gt;&lt;wsp:rsid wsp:val=&quot;608A3882&quot;/&gt;&lt;wsp:rsid wsp:val=&quot;608A427B&quot;/&gt;&lt;wsp:rsid wsp:val=&quot;608C39E9&quot;/&gt;&lt;wsp:rsid wsp:val=&quot;608C5797&quot;/&gt;&lt;wsp:rsid wsp:val=&quot;608D150F&quot;/&gt;&lt;wsp:rsid wsp:val=&quot;608E7761&quot;/&gt;&lt;wsp:rsid wsp:val=&quot;60912DAE&quot;/&gt;&lt;wsp:rsid wsp:val=&quot;60917251&quot;/&gt;&lt;wsp:rsid wsp:val=&quot;60924BE4&quot;/&gt;&lt;wsp:rsid wsp:val=&quot;60934D78&quot;/&gt;&lt;wsp:rsid wsp:val=&quot;6094289E&quot;/&gt;&lt;wsp:rsid wsp:val=&quot;60956D42&quot;/&gt;&lt;wsp:rsid wsp:val=&quot;60964868&quot;/&gt;&lt;wsp:rsid wsp:val=&quot;60966616&quot;/&gt;&lt;wsp:rsid wsp:val=&quot;609741B5&quot;/&gt;&lt;wsp:rsid wsp:val=&quot;6098238E&quot;/&gt;&lt;wsp:rsid wsp:val=&quot;60994DBA&quot;/&gt;&lt;wsp:rsid wsp:val=&quot;60996106&quot;/&gt;&lt;wsp:rsid wsp:val=&quot;609B508E&quot;/&gt;&lt;wsp:rsid wsp:val=&quot;609C5C96&quot;/&gt;&lt;wsp:rsid wsp:val=&quot;609E371C&quot;/&gt;&lt;wsp:rsid wsp:val=&quot;609F196E&quot;/&gt;&lt;wsp:rsid wsp:val=&quot;609F27FF&quot;/&gt;&lt;wsp:rsid wsp:val=&quot;60A01D65&quot;/&gt;&lt;wsp:rsid wsp:val=&quot;60A056E7&quot;/&gt;&lt;wsp:rsid wsp:val=&quot;60A05AA7&quot;/&gt;&lt;wsp:rsid wsp:val=&quot;60A07495&quot;/&gt;&lt;wsp:rsid wsp:val=&quot;60A1148A&quot;/&gt;&lt;wsp:rsid wsp:val=&quot;60A2320D&quot;/&gt;&lt;wsp:rsid wsp:val=&quot;60A46625&quot;/&gt;&lt;wsp:rsid wsp:val=&quot;60A46F85&quot;/&gt;&lt;wsp:rsid wsp:val=&quot;60A56859&quot;/&gt;&lt;wsp:rsid wsp:val=&quot;60A90FEE&quot;/&gt;&lt;wsp:rsid wsp:val=&quot;60A919DB&quot;/&gt;&lt;wsp:rsid wsp:val=&quot;60AA20C1&quot;/&gt;&lt;wsp:rsid wsp:val=&quot;60AC62E9&quot;/&gt;&lt;wsp:rsid wsp:val=&quot;60AD570E&quot;/&gt;&lt;wsp:rsid wsp:val=&quot;60AE1BB1&quot;/&gt;&lt;wsp:rsid wsp:val=&quot;60AF592A&quot;/&gt;&lt;wsp:rsid wsp:val=&quot;60B151FE&quot;/&gt;&lt;wsp:rsid wsp:val=&quot;60B60A66&quot;/&gt;&lt;wsp:rsid wsp:val=&quot;60B62814&quot;/&gt;&lt;wsp:rsid wsp:val=&quot;60B66CB8&quot;/&gt;&lt;wsp:rsid wsp:val=&quot;60B847DE&quot;/&gt;&lt;wsp:rsid wsp:val=&quot;60BA0556&quot;/&gt;&lt;wsp:rsid wsp:val=&quot;60BB607C&quot;/&gt;&lt;wsp:rsid wsp:val=&quot;60BD1DF5&quot;/&gt;&lt;wsp:rsid wsp:val=&quot;60BD3BA3&quot;/&gt;&lt;wsp:rsid wsp:val=&quot;60BE791B&quot;/&gt;&lt;wsp:rsid wsp:val=&quot;60BF3DBF&quot;/&gt;&lt;wsp:rsid wsp:val=&quot;60BF5826&quot;/&gt;&lt;wsp:rsid wsp:val=&quot;60C018E5&quot;/&gt;&lt;wsp:rsid wsp:val=&quot;60C07C62&quot;/&gt;&lt;wsp:rsid wsp:val=&quot;60C22582&quot;/&gt;&lt;wsp:rsid wsp:val=&quot;60C34F31&quot;/&gt;&lt;wsp:rsid wsp:val=&quot;60C44EA2&quot;/&gt;&lt;wsp:rsid wsp:val=&quot;60C703C2&quot;/&gt;&lt;wsp:rsid wsp:val=&quot;60C767CF&quot;/&gt;&lt;wsp:rsid wsp:val=&quot;60CA3479&quot;/&gt;&lt;wsp:rsid wsp:val=&quot;60CA62C0&quot;/&gt;&lt;wsp:rsid wsp:val=&quot;60CB21A4&quot;/&gt;&lt;wsp:rsid wsp:val=&quot;60CC405A&quot;/&gt;&lt;wsp:rsid wsp:val=&quot;60CD6505&quot;/&gt;&lt;wsp:rsid wsp:val=&quot;60CE5DB0&quot;/&gt;&lt;wsp:rsid wsp:val=&quot;60CF38D6&quot;/&gt;&lt;wsp:rsid wsp:val=&quot;60D13B11&quot;/&gt;&lt;wsp:rsid wsp:val=&quot;60D158A0&quot;/&gt;&lt;wsp:rsid wsp:val=&quot;60D1764E&quot;/&gt;&lt;wsp:rsid wsp:val=&quot;60D20D76&quot;/&gt;&lt;wsp:rsid wsp:val=&quot;60D2370C&quot;/&gt;&lt;wsp:rsid wsp:val=&quot;60D31618&quot;/&gt;&lt;wsp:rsid wsp:val=&quot;60D333C6&quot;/&gt;&lt;wsp:rsid wsp:val=&quot;60D550A2&quot;/&gt;&lt;wsp:rsid wsp:val=&quot;60D55390&quot;/&gt;&lt;wsp:rsid wsp:val=&quot;60D73318&quot;/&gt;&lt;wsp:rsid wsp:val=&quot;60D75B37&quot;/&gt;&lt;wsp:rsid wsp:val=&quot;60D809DC&quot;/&gt;&lt;wsp:rsid wsp:val=&quot;60D847A8&quot;/&gt;&lt;wsp:rsid wsp:val=&quot;60DA0BF8&quot;/&gt;&lt;wsp:rsid wsp:val=&quot;60DA2890&quot;/&gt;&lt;wsp:rsid wsp:val=&quot;60DA29A7&quot;/&gt;&lt;wsp:rsid wsp:val=&quot;60DB04CD&quot;/&gt;&lt;wsp:rsid wsp:val=&quot;60DB227B&quot;/&gt;&lt;wsp:rsid wsp:val=&quot;60DD3C0F&quot;/&gt;&lt;wsp:rsid wsp:val=&quot;60DD4245&quot;/&gt;&lt;wsp:rsid wsp:val=&quot;60DD5FF3&quot;/&gt;&lt;wsp:rsid wsp:val=&quot;60E03D35&quot;/&gt;&lt;wsp:rsid wsp:val=&quot;60E05AE3&quot;/&gt;&lt;wsp:rsid wsp:val=&quot;60E2185B&quot;/&gt;&lt;wsp:rsid wsp:val=&quot;60E42D4B&quot;/&gt;&lt;wsp:rsid wsp:val=&quot;60E455D3&quot;/&gt;&lt;wsp:rsid wsp:val=&quot;60E530F9&quot;/&gt;&lt;wsp:rsid wsp:val=&quot;60E750C3&quot;/&gt;&lt;wsp:rsid wsp:val=&quot;60E80369&quot;/&gt;&lt;wsp:rsid wsp:val=&quot;60E92BEA&quot;/&gt;&lt;wsp:rsid wsp:val=&quot;60EA0710&quot;/&gt;&lt;wsp:rsid wsp:val=&quot;60EA6962&quot;/&gt;&lt;wsp:rsid wsp:val=&quot;60EB4BB4&quot;/&gt;&lt;wsp:rsid wsp:val=&quot;60EC6236&quot;/&gt;&lt;wsp:rsid wsp:val=&quot;60ED40AE&quot;/&gt;&lt;wsp:rsid wsp:val=&quot;60EE2705&quot;/&gt;&lt;wsp:rsid wsp:val=&quot;60EE6452&quot;/&gt;&lt;wsp:rsid wsp:val=&quot;60EF5D26&quot;/&gt;&lt;wsp:rsid wsp:val=&quot;60F00BC5&quot;/&gt;&lt;wsp:rsid wsp:val=&quot;60F03F78&quot;/&gt;&lt;wsp:rsid wsp:val=&quot;60F07B25&quot;/&gt;&lt;wsp:rsid wsp:val=&quot;60F11A9E&quot;/&gt;&lt;wsp:rsid wsp:val=&quot;60F24707&quot;/&gt;&lt;wsp:rsid wsp:val=&quot;60F313B0&quot;/&gt;&lt;wsp:rsid wsp:val=&quot;60F33A68&quot;/&gt;&lt;wsp:rsid wsp:val=&quot;60F34B13&quot;/&gt;&lt;wsp:rsid wsp:val=&quot;60F375C4&quot;/&gt;&lt;wsp:rsid wsp:val=&quot;60F4333C&quot;/&gt;&lt;wsp:rsid wsp:val=&quot;60F5158E&quot;/&gt;&lt;wsp:rsid wsp:val=&quot;60F63558&quot;/&gt;&lt;wsp:rsid wsp:val=&quot;60F664B8&quot;/&gt;&lt;wsp:rsid wsp:val=&quot;60F670B5&quot;/&gt;&lt;wsp:rsid wsp:val=&quot;60F730F7&quot;/&gt;&lt;wsp:rsid wsp:val=&quot;60F8107F&quot;/&gt;&lt;wsp:rsid wsp:val=&quot;60FA6BA5&quot;/&gt;&lt;wsp:rsid wsp:val=&quot;60FB291D&quot;/&gt;&lt;wsp:rsid wsp:val=&quot;60FD6695&quot;/&gt;&lt;wsp:rsid wsp:val=&quot;60FE64C3&quot;/&gt;&lt;wsp:rsid wsp:val=&quot;61023CAB&quot;/&gt;&lt;wsp:rsid wsp:val=&quot;61073070&quot;/&gt;&lt;wsp:rsid wsp:val=&quot;61077514&quot;/&gt;&lt;wsp:rsid wsp:val=&quot;61096DE8&quot;/&gt;&lt;wsp:rsid wsp:val=&quot;610A2B60&quot;/&gt;&lt;wsp:rsid wsp:val=&quot;610B0DB2&quot;/&gt;&lt;wsp:rsid wsp:val=&quot;610B0F9A&quot;/&gt;&lt;wsp:rsid wsp:val=&quot;610B4DAD&quot;/&gt;&lt;wsp:rsid wsp:val=&quot;610C0686&quot;/&gt;&lt;wsp:rsid wsp:val=&quot;610C3698&quot;/&gt;&lt;wsp:rsid wsp:val=&quot;610C68D8&quot;/&gt;&lt;wsp:rsid wsp:val=&quot;610F75D9&quot;/&gt;&lt;wsp:rsid wsp:val=&quot;611063C8&quot;/&gt;&lt;wsp:rsid wsp:val=&quot;61112140&quot;/&gt;&lt;wsp:rsid wsp:val=&quot;61113EEE&quot;/&gt;&lt;wsp:rsid wsp:val=&quot;61131A15&quot;/&gt;&lt;wsp:rsid wsp:val=&quot;61151C31&quot;/&gt;&lt;wsp:rsid wsp:val=&quot;61152F7C&quot;/&gt;&lt;wsp:rsid wsp:val=&quot;611834CF&quot;/&gt;&lt;wsp:rsid wsp:val=&quot;611D6D37&quot;/&gt;&lt;wsp:rsid wsp:val=&quot;611F27A3&quot;/&gt;&lt;wsp:rsid wsp:val=&quot;612105D5&quot;/&gt;&lt;wsp:rsid wsp:val=&quot;61226A41&quot;/&gt;&lt;wsp:rsid wsp:val=&quot;61241E74&quot;/&gt;&lt;wsp:rsid wsp:val=&quot;6126423F&quot;/&gt;&lt;wsp:rsid wsp:val=&quot;61273712&quot;/&gt;&lt;wsp:rsid wsp:val=&quot;61291238&quot;/&gt;&lt;wsp:rsid wsp:val=&quot;612B3202&quot;/&gt;&lt;wsp:rsid wsp:val=&quot;612C0D28&quot;/&gt;&lt;wsp:rsid wsp:val=&quot;612C6F7A&quot;/&gt;&lt;wsp:rsid wsp:val=&quot;61300818&quot;/&gt;&lt;wsp:rsid wsp:val=&quot;61304D5B&quot;/&gt;&lt;wsp:rsid wsp:val=&quot;6131379E&quot;/&gt;&lt;wsp:rsid wsp:val=&quot;61330105&quot;/&gt;&lt;wsp:rsid wsp:val=&quot;613320B7&quot;/&gt;&lt;wsp:rsid wsp:val=&quot;613528A4&quot;/&gt;&lt;wsp:rsid wsp:val=&quot;61354081&quot;/&gt;&lt;wsp:rsid wsp:val=&quot;61355E2F&quot;/&gt;&lt;wsp:rsid wsp:val=&quot;61363955&quot;/&gt;&lt;wsp:rsid wsp:val=&quot;61371BA7&quot;/&gt;&lt;wsp:rsid wsp:val=&quot;613A3445&quot;/&gt;&lt;wsp:rsid wsp:val=&quot;613C71BD&quot;/&gt;&lt;wsp:rsid wsp:val=&quot;613D2F35&quot;/&gt;&lt;wsp:rsid wsp:val=&quot;613F6CAD&quot;/&gt;&lt;wsp:rsid wsp:val=&quot;61412A26&quot;/&gt;&lt;wsp:rsid wsp:val=&quot;614442C4&quot;/&gt;&lt;wsp:rsid wsp:val=&quot;61475B62&quot;/&gt;&lt;wsp:rsid wsp:val=&quot;61477910&quot;/&gt;&lt;wsp:rsid wsp:val=&quot;61493688&quot;/&gt;&lt;wsp:rsid wsp:val=&quot;614C3178&quot;/&gt;&lt;wsp:rsid wsp:val=&quot;614C4F26&quot;/&gt;&lt;wsp:rsid wsp:val=&quot;614D0B2B&quot;/&gt;&lt;wsp:rsid wsp:val=&quot;614E5143&quot;/&gt;&lt;wsp:rsid wsp:val=&quot;61502C69&quot;/&gt;&lt;wsp:rsid wsp:val=&quot;6151078F&quot;/&gt;&lt;wsp:rsid wsp:val=&quot;6151253D&quot;/&gt;&lt;wsp:rsid wsp:val=&quot;61534507&quot;/&gt;&lt;wsp:rsid wsp:val=&quot;6155027F&quot;/&gt;&lt;wsp:rsid wsp:val=&quot;61572249&quot;/&gt;&lt;wsp:rsid wsp:val=&quot;61573FF7&quot;/&gt;&lt;wsp:rsid wsp:val=&quot;615838CB&quot;/&gt;&lt;wsp:rsid wsp:val=&quot;61587D6F&quot;/&gt;&lt;wsp:rsid wsp:val=&quot;6159055E&quot;/&gt;&lt;wsp:rsid wsp:val=&quot;615B69F6&quot;/&gt;&lt;wsp:rsid wsp:val=&quot;615D5386&quot;/&gt;&lt;wsp:rsid wsp:val=&quot;615D7134&quot;/&gt;&lt;wsp:rsid wsp:val=&quot;615E35D8&quot;/&gt;&lt;wsp:rsid wsp:val=&quot;61607856&quot;/&gt;&lt;wsp:rsid wsp:val=&quot;616109D2&quot;/&gt;&lt;wsp:rsid wsp:val=&quot;61616C24&quot;/&gt;&lt;wsp:rsid wsp:val=&quot;61620180&quot;/&gt;&lt;wsp:rsid wsp:val=&quot;6162474A&quot;/&gt;&lt;wsp:rsid wsp:val=&quot;616606D1&quot;/&gt;&lt;wsp:rsid wsp:val=&quot;6166324A&quot;/&gt;&lt;wsp:rsid wsp:val=&quot;6166423A&quot;/&gt;&lt;wsp:rsid wsp:val=&quot;61667493&quot;/&gt;&lt;wsp:rsid wsp:val=&quot;61672B62&quot;/&gt;&lt;wsp:rsid wsp:val=&quot;61695AD8&quot;/&gt;&lt;wsp:rsid wsp:val=&quot;616B1851&quot;/&gt;&lt;wsp:rsid wsp:val=&quot;616C7377&quot;/&gt;&lt;wsp:rsid wsp:val=&quot;616E1341&quot;/&gt;&lt;wsp:rsid wsp:val=&quot;616F65A9&quot;/&gt;&lt;wsp:rsid wsp:val=&quot;6170330B&quot;/&gt;&lt;wsp:rsid wsp:val=&quot;61706E67&quot;/&gt;&lt;wsp:rsid wsp:val=&quot;61750921&quot;/&gt;&lt;wsp:rsid wsp:val=&quot;617701F5&quot;/&gt;&lt;wsp:rsid wsp:val=&quot;61785D1C&quot;/&gt;&lt;wsp:rsid wsp:val=&quot;617D4D88&quot;/&gt;&lt;wsp:rsid wsp:val=&quot;617F6000&quot;/&gt;&lt;wsp:rsid wsp:val=&quot;617F70AA&quot;/&gt;&lt;wsp:rsid wsp:val=&quot;61826B9A&quot;/&gt;&lt;wsp:rsid wsp:val=&quot;61834DEC&quot;/&gt;&lt;wsp:rsid wsp:val=&quot;61840B64&quot;/&gt;&lt;wsp:rsid wsp:val=&quot;618648DC&quot;/&gt;&lt;wsp:rsid wsp:val=&quot;6186668A&quot;/&gt;&lt;wsp:rsid wsp:val=&quot;61872477&quot;/&gt;&lt;wsp:rsid wsp:val=&quot;618748BD&quot;/&gt;&lt;wsp:rsid wsp:val=&quot;6189617B&quot;/&gt;&lt;wsp:rsid wsp:val=&quot;6189763D&quot;/&gt;&lt;wsp:rsid wsp:val=&quot;618B1E56&quot;/&gt;&lt;wsp:rsid wsp:val=&quot;618D744E&quot;/&gt;&lt;wsp:rsid wsp:val=&quot;618E2A59&quot;/&gt;&lt;wsp:rsid wsp:val=&quot;618E3791&quot;/&gt;&lt;wsp:rsid wsp:val=&quot;618F19E3&quot;/&gt;&lt;wsp:rsid wsp:val=&quot;61907509&quot;/&gt;&lt;wsp:rsid wsp:val=&quot;61921A34&quot;/&gt;&lt;wsp:rsid wsp:val=&quot;619306EF&quot;/&gt;&lt;wsp:rsid wsp:val=&quot;61930DA7&quot;/&gt;&lt;wsp:rsid wsp:val=&quot;61954B1F&quot;/&gt;&lt;wsp:rsid wsp:val=&quot;61963666&quot;/&gt;&lt;wsp:rsid wsp:val=&quot;619667CA&quot;/&gt;&lt;wsp:rsid wsp:val=&quot;61970898&quot;/&gt;&lt;wsp:rsid wsp:val=&quot;619743F4&quot;/&gt;&lt;wsp:rsid wsp:val=&quot;619863BE&quot;/&gt;&lt;wsp:rsid wsp:val=&quot;619A2136&quot;/&gt;&lt;wsp:rsid wsp:val=&quot;619A2D73&quot;/&gt;&lt;wsp:rsid wsp:val=&quot;619A3EE4&quot;/&gt;&lt;wsp:rsid wsp:val=&quot;619B3FD0&quot;/&gt;&lt;wsp:rsid wsp:val=&quot;619C1A0A&quot;/&gt;&lt;wsp:rsid wsp:val=&quot;619D5782&quot;/&gt;&lt;wsp:rsid wsp:val=&quot;619F2ADA&quot;/&gt;&lt;wsp:rsid wsp:val=&quot;619F599E&quot;/&gt;&lt;wsp:rsid wsp:val=&quot;619F774C&quot;/&gt;&lt;wsp:rsid wsp:val=&quot;61A30FEA&quot;/&gt;&lt;wsp:rsid wsp:val=&quot;61A34870&quot;/&gt;&lt;wsp:rsid wsp:val=&quot;61A3723C&quot;/&gt;&lt;wsp:rsid wsp:val=&quot;61A46B11&quot;/&gt;&lt;wsp:rsid wsp:val=&quot;61B01959&quot;/&gt;&lt;wsp:rsid wsp:val=&quot;61B03707&quot;/&gt;&lt;wsp:rsid wsp:val=&quot;61B17A3F&quot;/&gt;&lt;wsp:rsid wsp:val=&quot;61B2122D&quot;/&gt;&lt;wsp:rsid wsp:val=&quot;61B336CF&quot;/&gt;&lt;wsp:rsid wsp:val=&quot;61B50D1E&quot;/&gt;&lt;wsp:rsid wsp:val=&quot;61B551C2&quot;/&gt;&lt;wsp:rsid wsp:val=&quot;61B56F70&quot;/&gt;&lt;wsp:rsid wsp:val=&quot;61B72CE8&quot;/&gt;&lt;wsp:rsid wsp:val=&quot;61B80F7A&quot;/&gt;&lt;wsp:rsid wsp:val=&quot;61B9080E&quot;/&gt;&lt;wsp:rsid wsp:val=&quot;61B96A60&quot;/&gt;&lt;wsp:rsid wsp:val=&quot;61BA27D8&quot;/&gt;&lt;wsp:rsid wsp:val=&quot;61BA4586&quot;/&gt;&lt;wsp:rsid wsp:val=&quot;61BA6334&quot;/&gt;&lt;wsp:rsid wsp:val=&quot;61BC02FE&quot;/&gt;&lt;wsp:rsid wsp:val=&quot;61BC24CC&quot;/&gt;&lt;wsp:rsid wsp:val=&quot;61BD7BD2&quot;/&gt;&lt;wsp:rsid wsp:val=&quot;61BE4076&quot;/&gt;&lt;wsp:rsid wsp:val=&quot;61C0178A&quot;/&gt;&lt;wsp:rsid wsp:val=&quot;61C15914&quot;/&gt;&lt;wsp:rsid wsp:val=&quot;61C176C2&quot;/&gt;&lt;wsp:rsid wsp:val=&quot;61C251E9&quot;/&gt;&lt;wsp:rsid wsp:val=&quot;61C3343B&quot;/&gt;&lt;wsp:rsid wsp:val=&quot;61C40F61&quot;/&gt;&lt;wsp:rsid wsp:val=&quot;61C5764C&quot;/&gt;&lt;wsp:rsid wsp:val=&quot;61C62F2B&quot;/&gt;&lt;wsp:rsid wsp:val=&quot;61C8409B&quot;/&gt;&lt;wsp:rsid wsp:val=&quot;61C86CA3&quot;/&gt;&lt;wsp:rsid wsp:val=&quot;61C96577&quot;/&gt;&lt;wsp:rsid wsp:val=&quot;61CA5CBF&quot;/&gt;&lt;wsp:rsid wsp:val=&quot;61CA657B&quot;/&gt;&lt;wsp:rsid wsp:val=&quot;61CB6793&quot;/&gt;&lt;wsp:rsid wsp:val=&quot;61CF0031&quot;/&gt;&lt;wsp:rsid wsp:val=&quot;61D11B21&quot;/&gt;&lt;wsp:rsid wsp:val=&quot;61D218D0&quot;/&gt;&lt;wsp:rsid wsp:val=&quot;61D27B22&quot;/&gt;&lt;wsp:rsid wsp:val=&quot;61D4389A&quot;/&gt;&lt;wsp:rsid wsp:val=&quot;61D54F1C&quot;/&gt;&lt;wsp:rsid wsp:val=&quot;61D6007B&quot;/&gt;&lt;wsp:rsid wsp:val=&quot;61D90EB0&quot;/&gt;&lt;wsp:rsid wsp:val=&quot;61D94A0C&quot;/&gt;&lt;wsp:rsid wsp:val=&quot;61E00186&quot;/&gt;&lt;wsp:rsid wsp:val=&quot;61E17D65&quot;/&gt;&lt;wsp:rsid wsp:val=&quot;61E215D8&quot;/&gt;&lt;wsp:rsid wsp:val=&quot;61E6537B&quot;/&gt;&lt;wsp:rsid wsp:val=&quot;61E84C4F&quot;/&gt;&lt;wsp:rsid wsp:val=&quot;61EB2991&quot;/&gt;&lt;wsp:rsid wsp:val=&quot;61EB473F&quot;/&gt;&lt;wsp:rsid wsp:val=&quot;61EC7CB3&quot;/&gt;&lt;wsp:rsid wsp:val=&quot;61ED04B8&quot;/&gt;&lt;wsp:rsid wsp:val=&quot;61ED12FA&quot;/&gt;&lt;wsp:rsid wsp:val=&quot;61EE237D&quot;/&gt;&lt;wsp:rsid wsp:val=&quot;61EF4230&quot;/&gt;&lt;wsp:rsid wsp:val=&quot;61EF4C53&quot;/&gt;&lt;wsp:rsid wsp:val=&quot;61F2259B&quot;/&gt;&lt;wsp:rsid wsp:val=&quot;61F335F4&quot;/&gt;&lt;wsp:rsid wsp:val=&quot;61F33CE1&quot;/&gt;&lt;wsp:rsid wsp:val=&quot;61F44EBB&quot;/&gt;&lt;wsp:rsid wsp:val=&quot;61F53810&quot;/&gt;&lt;wsp:rsid wsp:val=&quot;61F71336&quot;/&gt;&lt;wsp:rsid wsp:val=&quot;61F730E4&quot;/&gt;&lt;wsp:rsid wsp:val=&quot;61F93300&quot;/&gt;&lt;wsp:rsid wsp:val=&quot;61F95704&quot;/&gt;&lt;wsp:rsid wsp:val=&quot;61FA2BD4&quot;/&gt;&lt;wsp:rsid wsp:val=&quot;61FA4982&quot;/&gt;&lt;wsp:rsid wsp:val=&quot;61FB21BD&quot;/&gt;&lt;wsp:rsid wsp:val=&quot;61FB4D8E&quot;/&gt;&lt;wsp:rsid wsp:val=&quot;61FC622B&quot;/&gt;&lt;wsp:rsid wsp:val=&quot;62045801&quot;/&gt;&lt;wsp:rsid wsp:val=&quot;62053A53&quot;/&gt;&lt;wsp:rsid wsp:val=&quot;62092E18&quot;/&gt;&lt;wsp:rsid wsp:val=&quot;620A1069&quot;/&gt;&lt;wsp:rsid wsp:val=&quot;620B2183&quot;/&gt;&lt;wsp:rsid wsp:val=&quot;620B41EB&quot;/&gt;&lt;wsp:rsid wsp:val=&quot;620C3034&quot;/&gt;&lt;wsp:rsid wsp:val=&quot;620C5D12&quot;/&gt;&lt;wsp:rsid wsp:val=&quot;620D0B5A&quot;/&gt;&lt;wsp:rsid wsp:val=&quot;620F48D2&quot;/&gt;&lt;wsp:rsid wsp:val=&quot;62141908&quot;/&gt;&lt;wsp:rsid wsp:val=&quot;62141EE8&quot;/&gt;&lt;wsp:rsid wsp:val=&quot;62143C96&quot;/&gt;&lt;wsp:rsid wsp:val=&quot;621517BC&quot;/&gt;&lt;wsp:rsid wsp:val=&quot;62165C60&quot;/&gt;&lt;wsp:rsid wsp:val=&quot;621718F7&quot;/&gt;&lt;wsp:rsid wsp:val=&quot;62173786&quot;/&gt;&lt;wsp:rsid wsp:val=&quot;621842B5&quot;/&gt;&lt;wsp:rsid wsp:val=&quot;62195750&quot;/&gt;&lt;wsp:rsid wsp:val=&quot;621B3775&quot;/&gt;&lt;wsp:rsid wsp:val=&quot;621D41B6&quot;/&gt;&lt;wsp:rsid wsp:val=&quot;621E4B15&quot;/&gt;&lt;wsp:rsid wsp:val=&quot;621E68C3&quot;/&gt;&lt;wsp:rsid wsp:val=&quot;621F43E9&quot;/&gt;&lt;wsp:rsid wsp:val=&quot;6220088D&quot;/&gt;&lt;wsp:rsid wsp:val=&quot;6220263B&quot;/&gt;&lt;wsp:rsid wsp:val=&quot;62206ADF&quot;/&gt;&lt;wsp:rsid wsp:val=&quot;622163B3&quot;/&gt;&lt;wsp:rsid wsp:val=&quot;622201F3&quot;/&gt;&lt;wsp:rsid wsp:val=&quot;62226E43&quot;/&gt;&lt;wsp:rsid wsp:val=&quot;62227C87&quot;/&gt;&lt;wsp:rsid wsp:val=&quot;6223037D&quot;/&gt;&lt;wsp:rsid wsp:val=&quot;62231F9D&quot;/&gt;&lt;wsp:rsid wsp:val=&quot;6223212B&quot;/&gt;&lt;wsp:rsid wsp:val=&quot;62257C51&quot;/&gt;&lt;wsp:rsid wsp:val=&quot;62261C1B&quot;/&gt;&lt;wsp:rsid wsp:val=&quot;62265778&quot;/&gt;&lt;wsp:rsid wsp:val=&quot;62266801&quot;/&gt;&lt;wsp:rsid wsp:val=&quot;622814F0&quot;/&gt;&lt;wsp:rsid wsp:val=&quot;622A34BA&quot;/&gt;&lt;wsp:rsid wsp:val=&quot;622C2AF7&quot;/&gt;&lt;wsp:rsid wsp:val=&quot;622D2FAA&quot;/&gt;&lt;wsp:rsid wsp:val=&quot;622D6B06&quot;/&gt;&lt;wsp:rsid wsp:val=&quot;622F0AD0&quot;/&gt;&lt;wsp:rsid wsp:val=&quot;622F287E&quot;/&gt;&lt;wsp:rsid wsp:val=&quot;622F6D22&quot;/&gt;&lt;wsp:rsid wsp:val=&quot;623065F6&quot;/&gt;&lt;wsp:rsid wsp:val=&quot;623600B0&quot;/&gt;&lt;wsp:rsid wsp:val=&quot;62360F7F&quot;/&gt;&lt;wsp:rsid wsp:val=&quot;62364782&quot;/&gt;&lt;wsp:rsid wsp:val=&quot;62377985&quot;/&gt;&lt;wsp:rsid wsp:val=&quot;6239194F&quot;/&gt;&lt;wsp:rsid wsp:val=&quot;62392789&quot;/&gt;&lt;wsp:rsid wsp:val=&quot;623936FD&quot;/&gt;&lt;wsp:rsid wsp:val=&quot;623954AB&quot;/&gt;&lt;wsp:rsid wsp:val=&quot;62397BA1&quot;/&gt;&lt;wsp:rsid wsp:val=&quot;623A0D90&quot;/&gt;&lt;wsp:rsid wsp:val=&quot;623E51B7&quot;/&gt;&lt;wsp:rsid wsp:val=&quot;623E6F65&quot;/&gt;&lt;wsp:rsid wsp:val=&quot;623F6839&quot;/&gt;&lt;wsp:rsid wsp:val=&quot;6240165B&quot;/&gt;&lt;wsp:rsid wsp:val=&quot;62404A8B&quot;/&gt;&lt;wsp:rsid wsp:val=&quot;624520A2&quot;/&gt;&lt;wsp:rsid wsp:val=&quot;62457B6A&quot;/&gt;&lt;wsp:rsid wsp:val=&quot;62465E1A&quot;/&gt;&lt;wsp:rsid wsp:val=&quot;62471F04&quot;/&gt;&lt;wsp:rsid wsp:val=&quot;6247406C&quot;/&gt;&lt;wsp:rsid wsp:val=&quot;624A590A&quot;/&gt;&lt;wsp:rsid wsp:val=&quot;624B7144&quot;/&gt;&lt;wsp:rsid wsp:val=&quot;624C31A5&quot;/&gt;&lt;wsp:rsid wsp:val=&quot;624D3FDD&quot;/&gt;&lt;wsp:rsid wsp:val=&quot;624D53FA&quot;/&gt;&lt;wsp:rsid wsp:val=&quot;624F1B26&quot;/&gt;&lt;wsp:rsid wsp:val=&quot;62515B87&quot;/&gt;&lt;wsp:rsid wsp:val=&quot;625255ED&quot;/&gt;&lt;wsp:rsid wsp:val=&quot;6252656D&quot;/&gt;&lt;wsp:rsid wsp:val=&quot;62540537&quot;/&gt;&lt;wsp:rsid wsp:val=&quot;62555001&quot;/&gt;&lt;wsp:rsid wsp:val=&quot;62570027&quot;/&gt;&lt;wsp:rsid wsp:val=&quot;625702B8&quot;/&gt;&lt;wsp:rsid wsp:val=&quot;62571DD5&quot;/&gt;&lt;wsp:rsid wsp:val=&quot;625966A2&quot;/&gt;&lt;wsp:rsid wsp:val=&quot;625B7B17&quot;/&gt;&lt;wsp:rsid wsp:val=&quot;625C563D&quot;/&gt;&lt;wsp:rsid wsp:val=&quot;625D388F&quot;/&gt;&lt;wsp:rsid wsp:val=&quot;625E3163&quot;/&gt;&lt;wsp:rsid wsp:val=&quot;625E55BA&quot;/&gt;&lt;wsp:rsid wsp:val=&quot;6260512D&quot;/&gt;&lt;wsp:rsid wsp:val=&quot;626224BF&quot;/&gt;&lt;wsp:rsid wsp:val=&quot;626253CB&quot;/&gt;&lt;wsp:rsid wsp:val=&quot;62634C1E&quot;/&gt;&lt;wsp:rsid wsp:val=&quot;6267026A&quot;/&gt;&lt;wsp:rsid wsp:val=&quot;626744AF&quot;/&gt;&lt;wsp:rsid wsp:val=&quot;62677DAD&quot;/&gt;&lt;wsp:rsid wsp:val=&quot;62682234&quot;/&gt;&lt;wsp:rsid wsp:val=&quot;626C3AD2&quot;/&gt;&lt;wsp:rsid wsp:val=&quot;626C5880&quot;/&gt;&lt;wsp:rsid wsp:val=&quot;626D15F8&quot;/&gt;&lt;wsp:rsid wsp:val=&quot;62704626&quot;/&gt;&lt;wsp:rsid wsp:val=&quot;627110E9&quot;/&gt;&lt;wsp:rsid wsp:val=&quot;62724E61&quot;/&gt;&lt;wsp:rsid wsp:val=&quot;62726C0F&quot;/&gt;&lt;wsp:rsid wsp:val=&quot;62732B60&quot;/&gt;&lt;wsp:rsid wsp:val=&quot;62740BD9&quot;/&gt;&lt;wsp:rsid wsp:val=&quot;62775FD3&quot;/&gt;&lt;wsp:rsid wsp:val=&quot;62776161&quot;/&gt;&lt;wsp:rsid wsp:val=&quot;62791D4B&quot;/&gt;&lt;wsp:rsid wsp:val=&quot;62797F9D&quot;/&gt;&lt;wsp:rsid wsp:val=&quot;627B2649&quot;/&gt;&lt;wsp:rsid wsp:val=&quot;627D432D&quot;/&gt;&lt;wsp:rsid wsp:val=&quot;628030DA&quot;/&gt;&lt;wsp:rsid wsp:val=&quot;6280757E&quot;/&gt;&lt;wsp:rsid wsp:val=&quot;62811AFD&quot;/&gt;&lt;wsp:rsid wsp:val=&quot;6283706E&quot;/&gt;&lt;wsp:rsid wsp:val=&quot;628726BA&quot;/&gt;&lt;wsp:rsid wsp:val=&quot;62894684&quot;/&gt;&lt;wsp:rsid wsp:val=&quot;628A3147&quot;/&gt;&lt;wsp:rsid wsp:val=&quot;628C1A7E&quot;/&gt;&lt;wsp:rsid wsp:val=&quot;628C5F22&quot;/&gt;&lt;wsp:rsid wsp:val=&quot;628D3A49&quot;/&gt;&lt;wsp:rsid wsp:val=&quot;628E2F58&quot;/&gt;&lt;wsp:rsid wsp:val=&quot;628F156F&quot;/&gt;&lt;wsp:rsid wsp:val=&quot;629152E7&quot;/&gt;&lt;wsp:rsid wsp:val=&quot;6292105F&quot;/&gt;&lt;wsp:rsid wsp:val=&quot;62922E0D&quot;/&gt;&lt;wsp:rsid wsp:val=&quot;62950A77&quot;/&gt;&lt;wsp:rsid wsp:val=&quot;62953FE3&quot;/&gt;&lt;wsp:rsid wsp:val=&quot;62960B4F&quot;/&gt;&lt;wsp:rsid wsp:val=&quot;62970423&quot;/&gt;&lt;wsp:rsid wsp:val=&quot;62976675&quot;/&gt;&lt;wsp:rsid wsp:val=&quot;629923ED&quot;/&gt;&lt;wsp:rsid wsp:val=&quot;629A2C3C&quot;/&gt;&lt;wsp:rsid wsp:val=&quot;629B4C6D&quot;/&gt;&lt;wsp:rsid wsp:val=&quot;629D15BD&quot;/&gt;&lt;wsp:rsid wsp:val=&quot;629D2462&quot;/&gt;&lt;wsp:rsid wsp:val=&quot;629E1CF3&quot;/&gt;&lt;wsp:rsid wsp:val=&quot;629E52B8&quot;/&gt;&lt;wsp:rsid wsp:val=&quot;62A0552A&quot;/&gt;&lt;wsp:rsid wsp:val=&quot;62A212A2&quot;/&gt;&lt;wsp:rsid wsp:val=&quot;62A25746&quot;/&gt;&lt;wsp:rsid wsp:val=&quot;62A3326C&quot;/&gt;&lt;wsp:rsid wsp:val=&quot;62A3501A&quot;/&gt;&lt;wsp:rsid wsp:val=&quot;62A36DC8&quot;/&gt;&lt;wsp:rsid wsp:val=&quot;62A4089F&quot;/&gt;&lt;wsp:rsid wsp:val=&quot;62A50D92&quot;/&gt;&lt;wsp:rsid wsp:val=&quot;62A5630D&quot;/&gt;&lt;wsp:rsid wsp:val=&quot;62A57D4F&quot;/&gt;&lt;wsp:rsid wsp:val=&quot;62A73AFF&quot;/&gt;&lt;wsp:rsid wsp:val=&quot;62A74B0A&quot;/&gt;&lt;wsp:rsid wsp:val=&quot;62A768B8&quot;/&gt;&lt;wsp:rsid wsp:val=&quot;62A96AD4&quot;/&gt;&lt;wsp:rsid wsp:val=&quot;62AA0157&quot;/&gt;&lt;wsp:rsid wsp:val=&quot;62AA63A9&quot;/&gt;&lt;wsp:rsid wsp:val=&quot;62AB5051&quot;/&gt;&lt;wsp:rsid wsp:val=&quot;62AB5B07&quot;/&gt;&lt;wsp:rsid wsp:val=&quot;62AC2121&quot;/&gt;&lt;wsp:rsid wsp:val=&quot;62AE0E01&quot;/&gt;&lt;wsp:rsid wsp:val=&quot;62AE40EB&quot;/&gt;&lt;wsp:rsid wsp:val=&quot;62AF39BF&quot;/&gt;&lt;wsp:rsid wsp:val=&quot;62B1428E&quot;/&gt;&lt;wsp:rsid wsp:val=&quot;62B34B26&quot;/&gt;&lt;wsp:rsid wsp:val=&quot;62B45479&quot;/&gt;&lt;wsp:rsid wsp:val=&quot;62B47227&quot;/&gt;&lt;wsp:rsid wsp:val=&quot;62B611F1&quot;/&gt;&lt;wsp:rsid wsp:val=&quot;62BC7E8A&quot;/&gt;&lt;wsp:rsid wsp:val=&quot;62BD3DDA&quot;/&gt;&lt;wsp:rsid wsp:val=&quot;62BD432E&quot;/&gt;&lt;wsp:rsid wsp:val=&quot;62BD60DC&quot;/&gt;&lt;wsp:rsid wsp:val=&quot;62BF00A6&quot;/&gt;&lt;wsp:rsid wsp:val=&quot;62C03E1E&quot;/&gt;&lt;wsp:rsid wsp:val=&quot;62C0797A&quot;/&gt;&lt;wsp:rsid wsp:val=&quot;62C332D8&quot;/&gt;&lt;wsp:rsid wsp:val=&quot;62C43D91&quot;/&gt;&lt;wsp:rsid wsp:val=&quot;62C456BC&quot;/&gt;&lt;wsp:rsid wsp:val=&quot;62C51434&quot;/&gt;&lt;wsp:rsid wsp:val=&quot;62C54F90&quot;/&gt;&lt;wsp:rsid wsp:val=&quot;62C84C3C&quot;/&gt;&lt;wsp:rsid wsp:val=&quot;62CA05DA&quot;/&gt;&lt;wsp:rsid wsp:val=&quot;62CA07F9&quot;/&gt;&lt;wsp:rsid wsp:val=&quot;62CA6A4B&quot;/&gt;&lt;wsp:rsid wsp:val=&quot;62CC27C3&quot;/&gt;&lt;wsp:rsid wsp:val=&quot;62CD70A4&quot;/&gt;&lt;wsp:rsid wsp:val=&quot;62CE090B&quot;/&gt;&lt;wsp:rsid wsp:val=&quot;62CE653B&quot;/&gt;&lt;wsp:rsid wsp:val=&quot;62CF4061&quot;/&gt;&lt;wsp:rsid wsp:val=&quot;62CF7BBD&quot;/&gt;&lt;wsp:rsid wsp:val=&quot;62D11B87&quot;/&gt;&lt;wsp:rsid wsp:val=&quot;62D12A63&quot;/&gt;&lt;wsp:rsid wsp:val=&quot;62D13935&quot;/&gt;&lt;wsp:rsid wsp:val=&quot;62D13BE4&quot;/&gt;&lt;wsp:rsid wsp:val=&quot;62D358FF&quot;/&gt;&lt;wsp:rsid wsp:val=&quot;62D43425&quot;/&gt;&lt;wsp:rsid wsp:val=&quot;62DA4EE0&quot;/&gt;&lt;wsp:rsid wsp:val=&quot;62DB0C58&quot;/&gt;&lt;wsp:rsid wsp:val=&quot;62DB2A06&quot;/&gt;&lt;wsp:rsid wsp:val=&quot;62DD22DA&quot;/&gt;&lt;wsp:rsid wsp:val=&quot;62DD657A&quot;/&gt;&lt;wsp:rsid wsp:val=&quot;62DD677E&quot;/&gt;&lt;wsp:rsid wsp:val=&quot;62DD7F00&quot;/&gt;&lt;wsp:rsid wsp:val=&quot;62DE42A4&quot;/&gt;&lt;wsp:rsid wsp:val=&quot;62DF24F6&quot;/&gt;&lt;wsp:rsid wsp:val=&quot;62E25B42&quot;/&gt;&lt;wsp:rsid wsp:val=&quot;62E32561&quot;/&gt;&lt;wsp:rsid wsp:val=&quot;62E33669&quot;/&gt;&lt;wsp:rsid wsp:val=&quot;62E418BB&quot;/&gt;&lt;wsp:rsid wsp:val=&quot;62E47B0C&quot;/&gt;&lt;wsp:rsid wsp:val=&quot;62E53885&quot;/&gt;&lt;wsp:rsid wsp:val=&quot;62E6028B&quot;/&gt;&lt;wsp:rsid wsp:val=&quot;62E713AB&quot;/&gt;&lt;wsp:rsid wsp:val=&quot;62E71689&quot;/&gt;&lt;wsp:rsid wsp:val=&quot;62E73159&quot;/&gt;&lt;wsp:rsid wsp:val=&quot;62E94565&quot;/&gt;&lt;wsp:rsid wsp:val=&quot;62E95123&quot;/&gt;&lt;wsp:rsid wsp:val=&quot;62E95A0A&quot;/&gt;&lt;wsp:rsid wsp:val=&quot;62EA0E9B&quot;/&gt;&lt;wsp:rsid wsp:val=&quot;62EA49F7&quot;/&gt;&lt;wsp:rsid wsp:val=&quot;62EC076F&quot;/&gt;&lt;wsp:rsid wsp:val=&quot;62EC69C1&quot;/&gt;&lt;wsp:rsid wsp:val=&quot;62EE098B&quot;/&gt;&lt;wsp:rsid wsp:val=&quot;62EF0E65&quot;/&gt;&lt;wsp:rsid wsp:val=&quot;62EF1E79&quot;/&gt;&lt;wsp:rsid wsp:val=&quot;62EF200D&quot;/&gt;&lt;wsp:rsid wsp:val=&quot;62EF2532&quot;/&gt;&lt;wsp:rsid wsp:val=&quot;62F04EC6&quot;/&gt;&lt;wsp:rsid wsp:val=&quot;62F0766A&quot;/&gt;&lt;wsp:rsid wsp:val=&quot;62F13FD7&quot;/&gt;&lt;wsp:rsid wsp:val=&quot;62F16356&quot;/&gt;&lt;wsp:rsid wsp:val=&quot;62F615EE&quot;/&gt;&lt;wsp:rsid wsp:val=&quot;62F6339C&quot;/&gt;&lt;wsp:rsid wsp:val=&quot;62F72908&quot;/&gt;&lt;wsp:rsid wsp:val=&quot;62F92E8C&quot;/&gt;&lt;wsp:rsid wsp:val=&quot;62F93315&quot;/&gt;&lt;wsp:rsid wsp:val=&quot;62FA7330&quot;/&gt;&lt;wsp:rsid wsp:val=&quot;62FD0BCE&quot;/&gt;&lt;wsp:rsid wsp:val=&quot;62FD297C&quot;/&gt;&lt;wsp:rsid wsp:val=&quot;62FF66F4&quot;/&gt;&lt;wsp:rsid wsp:val=&quot;630006BE&quot;/&gt;&lt;wsp:rsid wsp:val=&quot;63021D41&quot;/&gt;&lt;wsp:rsid wsp:val=&quot;63043DEE&quot;/&gt;&lt;wsp:rsid wsp:val=&quot;630755A9&quot;/&gt;&lt;wsp:rsid wsp:val=&quot;630759AB&quot;/&gt;&lt;wsp:rsid wsp:val=&quot;630A5099&quot;/&gt;&lt;wsp:rsid wsp:val=&quot;630C7063&quot;/&gt;&lt;wsp:rsid wsp:val=&quot;630E06AB&quot;/&gt;&lt;wsp:rsid wsp:val=&quot;630E2DDB&quot;/&gt;&lt;wsp:rsid wsp:val=&quot;630E6937&quot;/&gt;&lt;wsp:rsid wsp:val=&quot;630F24DE&quot;/&gt;&lt;wsp:rsid wsp:val=&quot;63100901&quot;/&gt;&lt;wsp:rsid wsp:val=&quot;63101B7A&quot;/&gt;&lt;wsp:rsid wsp:val=&quot;63106007&quot;/&gt;&lt;wsp:rsid wsp:val=&quot;631101D6&quot;/&gt;&lt;wsp:rsid wsp:val=&quot;6312568F&quot;/&gt;&lt;wsp:rsid wsp:val=&quot;631400CC&quot;/&gt;&lt;wsp:rsid wsp:val=&quot;6315416A&quot;/&gt;&lt;wsp:rsid wsp:val=&quot;63155479&quot;/&gt;&lt;wsp:rsid wsp:val=&quot;63155F18&quot;/&gt;&lt;wsp:rsid wsp:val=&quot;63181501&quot;/&gt;&lt;wsp:rsid wsp:val=&quot;63185A08&quot;/&gt;&lt;wsp:rsid wsp:val=&quot;631877B6&quot;/&gt;&lt;wsp:rsid wsp:val=&quot;631A16A8&quot;/&gt;&lt;wsp:rsid wsp:val=&quot;631A52DC&quot;/&gt;&lt;wsp:rsid wsp:val=&quot;631C5D81&quot;/&gt;&lt;wsp:rsid wsp:val=&quot;631D3892&quot;/&gt;&lt;wsp:rsid wsp:val=&quot;631D4DCC&quot;/&gt;&lt;wsp:rsid wsp:val=&quot;631D6B7A&quot;/&gt;&lt;wsp:rsid wsp:val=&quot;632223E3&quot;/&gt;&lt;wsp:rsid wsp:val=&quot;63233877&quot;/&gt;&lt;wsp:rsid wsp:val=&quot;632443AD&quot;/&gt;&lt;wsp:rsid wsp:val=&quot;6324615B&quot;/&gt;&lt;wsp:rsid wsp:val=&quot;63251ED3&quot;/&gt;&lt;wsp:rsid wsp:val=&quot;63273CB8&quot;/&gt;&lt;wsp:rsid wsp:val=&quot;63275C4B&quot;/&gt;&lt;wsp:rsid wsp:val=&quot;632779F9&quot;/&gt;&lt;wsp:rsid wsp:val=&quot;63293771&quot;/&gt;&lt;wsp:rsid wsp:val=&quot;632C14B3&quot;/&gt;&lt;wsp:rsid wsp:val=&quot;632C3261&quot;/&gt;&lt;wsp:rsid wsp:val=&quot;632D2297&quot;/&gt;&lt;wsp:rsid wsp:val=&quot;632D2FE1&quot;/&gt;&lt;wsp:rsid wsp:val=&quot;632F68AE&quot;/&gt;&lt;wsp:rsid wsp:val=&quot;63323318&quot;/&gt;&lt;wsp:rsid wsp:val=&quot;63343EC4&quot;/&gt;&lt;wsp:rsid wsp:val=&quot;63350368&quot;/&gt;&lt;wsp:rsid wsp:val=&quot;633635FA&quot;/&gt;&lt;wsp:rsid wsp:val=&quot;63367C3C&quot;/&gt;&lt;wsp:rsid wsp:val=&quot;633A597E&quot;/&gt;&lt;wsp:rsid wsp:val=&quot;633A772C&quot;/&gt;&lt;wsp:rsid wsp:val=&quot;633B746C&quot;/&gt;&lt;wsp:rsid wsp:val=&quot;633B7E21&quot;/&gt;&lt;wsp:rsid wsp:val=&quot;633D721D&quot;/&gt;&lt;wsp:rsid wsp:val=&quot;633F4D43&quot;/&gt;&lt;wsp:rsid wsp:val=&quot;63400ABB&quot;/&gt;&lt;wsp:rsid wsp:val=&quot;63402869&quot;/&gt;&lt;wsp:rsid wsp:val=&quot;634033DE&quot;/&gt;&lt;wsp:rsid wsp:val=&quot;63405B3C&quot;/&gt;&lt;wsp:rsid wsp:val=&quot;63422A85&quot;/&gt;&lt;wsp:rsid wsp:val=&quot;634405AB&quot;/&gt;&lt;wsp:rsid wsp:val=&quot;63442359&quot;/&gt;&lt;wsp:rsid wsp:val=&quot;6344708E&quot;/&gt;&lt;wsp:rsid wsp:val=&quot;634560D1&quot;/&gt;&lt;wsp:rsid wsp:val=&quot;634619AE&quot;/&gt;&lt;wsp:rsid wsp:val=&quot;63472E3E&quot;/&gt;&lt;wsp:rsid wsp:val=&quot;63473BF7&quot;/&gt;&lt;wsp:rsid wsp:val=&quot;63495077&quot;/&gt;&lt;wsp:rsid wsp:val=&quot;634B193A&quot;/&gt;&lt;wsp:rsid wsp:val=&quot;634C3904&quot;/&gt;&lt;wsp:rsid wsp:val=&quot;634C56B2&quot;/&gt;&lt;wsp:rsid wsp:val=&quot;63521E02&quot;/&gt;&lt;wsp:rsid wsp:val=&quot;6353259C&quot;/&gt;&lt;wsp:rsid wsp:val=&quot;635400F5&quot;/&gt;&lt;wsp:rsid wsp:val=&quot;63550013&quot;/&gt;&lt;wsp:rsid wsp:val=&quot;63554566&quot;/&gt;&lt;wsp:rsid wsp:val=&quot;63564760&quot;/&gt;&lt;wsp:rsid wsp:val=&quot;63576530&quot;/&gt;&lt;wsp:rsid wsp:val=&quot;63584057&quot;/&gt;&lt;wsp:rsid wsp:val=&quot;63595888&quot;/&gt;&lt;wsp:rsid wsp:val=&quot;635D64B4&quot;/&gt;&lt;wsp:rsid wsp:val=&quot;63604299&quot;/&gt;&lt;wsp:rsid wsp:val=&quot;636109F6&quot;/&gt;&lt;wsp:rsid wsp:val=&quot;63612F0B&quot;/&gt;&lt;wsp:rsid wsp:val=&quot;63622617&quot;/&gt;&lt;wsp:rsid wsp:val=&quot;63657B08&quot;/&gt;&lt;wsp:rsid wsp:val=&quot;63666773&quot;/&gt;&lt;wsp:rsid wsp:val=&quot;63676CDA&quot;/&gt;&lt;wsp:rsid wsp:val=&quot;636B5B38&quot;/&gt;&lt;wsp:rsid wsp:val=&quot;636C18B0&quot;/&gt;&lt;wsp:rsid wsp:val=&quot;636D5D54&quot;/&gt;&lt;wsp:rsid wsp:val=&quot;637034DA&quot;/&gt;&lt;wsp:rsid wsp:val=&quot;637118D5&quot;/&gt;&lt;wsp:rsid wsp:val=&quot;6372336A&quot;/&gt;&lt;wsp:rsid wsp:val=&quot;6372753B&quot;/&gt;&lt;wsp:rsid wsp:val=&quot;63750765&quot;/&gt;&lt;wsp:rsid wsp:val=&quot;63780255&quot;/&gt;&lt;wsp:rsid wsp:val=&quot;637864A7&quot;/&gt;&lt;wsp:rsid wsp:val=&quot;637A089E&quot;/&gt;&lt;wsp:rsid wsp:val=&quot;637A5D7B&quot;/&gt;&lt;wsp:rsid wsp:val=&quot;637B0BF4&quot;/&gt;&lt;wsp:rsid wsp:val=&quot;637C4FE4&quot;/&gt;&lt;wsp:rsid wsp:val=&quot;637D5B70&quot;/&gt;&lt;wsp:rsid wsp:val=&quot;637D74A2&quot;/&gt;&lt;wsp:rsid wsp:val=&quot;6381535B&quot;/&gt;&lt;wsp:rsid wsp:val=&quot;63844E4C&quot;/&gt;&lt;wsp:rsid wsp:val=&quot;63846BFA&quot;/&gt;&lt;wsp:rsid wsp:val=&quot;63864720&quot;/&gt;&lt;wsp:rsid wsp:val=&quot;6388493C&quot;/&gt;&lt;wsp:rsid wsp:val=&quot;638906B4&quot;/&gt;&lt;wsp:rsid wsp:val=&quot;63894210&quot;/&gt;&lt;wsp:rsid wsp:val=&quot;638A0244&quot;/&gt;&lt;wsp:rsid wsp:val=&quot;638D15D3&quot;/&gt;&lt;wsp:rsid wsp:val=&quot;639332E1&quot;/&gt;&lt;wsp:rsid wsp:val=&quot;6393508F&quot;/&gt;&lt;wsp:rsid wsp:val=&quot;6394356A&quot;/&gt;&lt;wsp:rsid wsp:val=&quot;63947179&quot;/&gt;&lt;wsp:rsid wsp:val=&quot;63950E07&quot;/&gt;&lt;wsp:rsid wsp:val=&quot;63971BF0&quot;/&gt;&lt;wsp:rsid wsp:val=&quot;6397692D&quot;/&gt;&lt;wsp:rsid wsp:val=&quot;639808F7&quot;/&gt;&lt;wsp:rsid wsp:val=&quot;639D5F0D&quot;/&gt;&lt;wsp:rsid wsp:val=&quot;639F3A33&quot;/&gt;&lt;wsp:rsid wsp:val=&quot;639F57E1&quot;/&gt;&lt;wsp:rsid wsp:val=&quot;63A1155A&quot;/&gt;&lt;wsp:rsid wsp:val=&quot;63A177AC&quot;/&gt;&lt;wsp:rsid wsp:val=&quot;63A23524&quot;/&gt;&lt;wsp:rsid wsp:val=&quot;63A30F39&quot;/&gt;&lt;wsp:rsid wsp:val=&quot;63A6642A&quot;/&gt;&lt;wsp:rsid wsp:val=&quot;63A70B3A&quot;/&gt;&lt;wsp:rsid wsp:val=&quot;63A728E8&quot;/&gt;&lt;wsp:rsid wsp:val=&quot;63A86BDE&quot;/&gt;&lt;wsp:rsid wsp:val=&quot;63AA739B&quot;/&gt;&lt;wsp:rsid wsp:val=&quot;63AE1EC8&quot;/&gt;&lt;wsp:rsid wsp:val=&quot;63AE7DF4&quot;/&gt;&lt;wsp:rsid wsp:val=&quot;63B2759E&quot;/&gt;&lt;wsp:rsid wsp:val=&quot;63B30A2E&quot;/&gt;&lt;wsp:rsid wsp:val=&quot;63B35731&quot;/&gt;&lt;wsp:rsid wsp:val=&quot;63B374DF&quot;/&gt;&lt;wsp:rsid wsp:val=&quot;63B52B0E&quot;/&gt;&lt;wsp:rsid wsp:val=&quot;63B53322&quot;/&gt;&lt;wsp:rsid wsp:val=&quot;63B55005&quot;/&gt;&lt;wsp:rsid wsp:val=&quot;63B55D20&quot;/&gt;&lt;wsp:rsid wsp:val=&quot;63B61BC6&quot;/&gt;&lt;wsp:rsid wsp:val=&quot;63B70D7D&quot;/&gt;&lt;wsp:rsid wsp:val=&quot;63B75221&quot;/&gt;&lt;wsp:rsid wsp:val=&quot;63B76FCF&quot;/&gt;&lt;wsp:rsid wsp:val=&quot;63B868A3&quot;/&gt;&lt;wsp:rsid wsp:val=&quot;63B919F1&quot;/&gt;&lt;wsp:rsid wsp:val=&quot;63BD210C&quot;/&gt;&lt;wsp:rsid wsp:val=&quot;63BE2F70&quot;/&gt;&lt;wsp:rsid wsp:val=&quot;63BF40D6&quot;/&gt;&lt;wsp:rsid wsp:val=&quot;63C139AA&quot;/&gt;&lt;wsp:rsid wsp:val=&quot;63C15078&quot;/&gt;&lt;wsp:rsid wsp:val=&quot;63C17E4E&quot;/&gt;&lt;wsp:rsid wsp:val=&quot;63C2075B&quot;/&gt;&lt;wsp:rsid wsp:val=&quot;63C27722&quot;/&gt;&lt;wsp:rsid wsp:val=&quot;63C40272&quot;/&gt;&lt;wsp:rsid wsp:val=&quot;63C41852&quot;/&gt;&lt;wsp:rsid wsp:val=&quot;63C60FC0&quot;/&gt;&lt;wsp:rsid wsp:val=&quot;63C61B2C&quot;/&gt;&lt;wsp:rsid wsp:val=&quot;63C65464&quot;/&gt;&lt;wsp:rsid wsp:val=&quot;63C70334&quot;/&gt;&lt;wsp:rsid wsp:val=&quot;63C70EAE&quot;/&gt;&lt;wsp:rsid wsp:val=&quot;63C74D38&quot;/&gt;&lt;wsp:rsid wsp:val=&quot;63C801D9&quot;/&gt;&lt;wsp:rsid wsp:val=&quot;63C811DC&quot;/&gt;&lt;wsp:rsid wsp:val=&quot;63C82F8A&quot;/&gt;&lt;wsp:rsid wsp:val=&quot;63C84053&quot;/&gt;&lt;wsp:rsid wsp:val=&quot;63C94F54&quot;/&gt;&lt;wsp:rsid wsp:val=&quot;63C96D02&quot;/&gt;&lt;wsp:rsid wsp:val=&quot;63CB4828&quot;/&gt;&lt;wsp:rsid wsp:val=&quot;63CB5574&quot;/&gt;&lt;wsp:rsid wsp:val=&quot;63CD585D&quot;/&gt;&lt;wsp:rsid wsp:val=&quot;63CE69D8&quot;/&gt;&lt;wsp:rsid wsp:val=&quot;63CF256B&quot;/&gt;&lt;wsp:rsid wsp:val=&quot;63CF3EF5&quot;/&gt;&lt;wsp:rsid wsp:val=&quot;63D00091&quot;/&gt;&lt;wsp:rsid wsp:val=&quot;63D17BC5&quot;/&gt;&lt;wsp:rsid wsp:val=&quot;63D17BFA&quot;/&gt;&lt;wsp:rsid wsp:val=&quot;63D22876&quot;/&gt;&lt;wsp:rsid wsp:val=&quot;63D23E09&quot;/&gt;&lt;wsp:rsid wsp:val=&quot;63D336DD&quot;/&gt;&lt;wsp:rsid wsp:val=&quot;63D368D7&quot;/&gt;&lt;wsp:rsid wsp:val=&quot;63D40BE9&quot;/&gt;&lt;wsp:rsid wsp:val=&quot;63D47B81&quot;/&gt;&lt;wsp:rsid wsp:val=&quot;63D511F7&quot;/&gt;&lt;wsp:rsid wsp:val=&quot;63D538F9&quot;/&gt;&lt;wsp:rsid wsp:val=&quot;63D556A7&quot;/&gt;&lt;wsp:rsid wsp:val=&quot;63D5650B&quot;/&gt;&lt;wsp:rsid wsp:val=&quot;63D77671&quot;/&gt;&lt;wsp:rsid wsp:val=&quot;63D80CF3&quot;/&gt;&lt;wsp:rsid wsp:val=&quot;63D86F45&quot;/&gt;&lt;wsp:rsid wsp:val=&quot;63D95197&quot;/&gt;&lt;wsp:rsid wsp:val=&quot;63DA3640&quot;/&gt;&lt;wsp:rsid wsp:val=&quot;63DB65C3&quot;/&gt;&lt;wsp:rsid wsp:val=&quot;63DC4C88&quot;/&gt;&lt;wsp:rsid wsp:val=&quot;63DF02D4&quot;/&gt;&lt;wsp:rsid wsp:val=&quot;63DF2082&quot;/&gt;&lt;wsp:rsid wsp:val=&quot;63DF6BCB&quot;/&gt;&lt;wsp:rsid wsp:val=&quot;63E2236B&quot;/&gt;&lt;wsp:rsid wsp:val=&quot;63E31B72&quot;/&gt;&lt;wsp:rsid wsp:val=&quot;63E37DC4&quot;/&gt;&lt;wsp:rsid wsp:val=&quot;63E8362C&quot;/&gt;&lt;wsp:rsid wsp:val=&quot;63E91153&quot;/&gt;&lt;wsp:rsid wsp:val=&quot;63E94CAF&quot;/&gt;&lt;wsp:rsid wsp:val=&quot;63EA73A4&quot;/&gt;&lt;wsp:rsid wsp:val=&quot;63EB4C62&quot;/&gt;&lt;wsp:rsid wsp:val=&quot;63EB4ECB&quot;/&gt;&lt;wsp:rsid wsp:val=&quot;63ED204F&quot;/&gt;&lt;wsp:rsid wsp:val=&quot;63EE6769&quot;/&gt;&lt;wsp:rsid wsp:val=&quot;63F0603D&quot;/&gt;&lt;wsp:rsid wsp:val=&quot;63F20007&quot;/&gt;&lt;wsp:rsid wsp:val=&quot;63F26259&quot;/&gt;&lt;wsp:rsid wsp:val=&quot;63F55D49&quot;/&gt;&lt;wsp:rsid wsp:val=&quot;63F7561D&quot;/&gt;&lt;wsp:rsid wsp:val=&quot;63F773CC&quot;/&gt;&lt;wsp:rsid wsp:val=&quot;63F91396&quot;/&gt;&lt;wsp:rsid wsp:val=&quot;63F975E8&quot;/&gt;&lt;wsp:rsid wsp:val=&quot;63FD075A&quot;/&gt;&lt;wsp:rsid wsp:val=&quot;63FF44D2&quot;/&gt;&lt;wsp:rsid wsp:val=&quot;63FF4772&quot;/&gt;&lt;wsp:rsid wsp:val=&quot;63FF5EE3&quot;/&gt;&lt;wsp:rsid wsp:val=&quot;6401649C&quot;/&gt;&lt;wsp:rsid wsp:val=&quot;64030466&quot;/&gt;&lt;wsp:rsid wsp:val=&quot;64032214&quot;/&gt;&lt;wsp:rsid wsp:val=&quot;64055F8C&quot;/&gt;&lt;wsp:rsid wsp:val=&quot;64061766&quot;/&gt;&lt;wsp:rsid wsp:val=&quot;64061D04&quot;/&gt;&lt;wsp:rsid wsp:val=&quot;64063AB3&quot;/&gt;&lt;wsp:rsid wsp:val=&quot;64065FA7&quot;/&gt;&lt;wsp:rsid wsp:val=&quot;6408782B&quot;/&gt;&lt;wsp:rsid wsp:val=&quot;640970FF&quot;/&gt;&lt;wsp:rsid wsp:val=&quot;640B10C9&quot;/&gt;&lt;wsp:rsid wsp:val=&quot;640B731B&quot;/&gt;&lt;wsp:rsid wsp:val=&quot;6410048D&quot;/&gt;&lt;wsp:rsid wsp:val=&quot;64102431&quot;/&gt;&lt;wsp:rsid wsp:val=&quot;64104931&quot;/&gt;&lt;wsp:rsid wsp:val=&quot;64106469&quot;/&gt;&lt;wsp:rsid wsp:val=&quot;641206A9&quot;/&gt;&lt;wsp:rsid wsp:val=&quot;64133D6A&quot;/&gt;&lt;wsp:rsid wsp:val=&quot;641362A1&quot;/&gt;&lt;wsp:rsid wsp:val=&quot;64144421&quot;/&gt;&lt;wsp:rsid wsp:val=&quot;64151F48&quot;/&gt;&lt;wsp:rsid wsp:val=&quot;64155AA4&quot;/&gt;&lt;wsp:rsid wsp:val=&quot;6416019A&quot;/&gt;&lt;wsp:rsid wsp:val=&quot;6416578E&quot;/&gt;&lt;wsp:rsid wsp:val=&quot;64167F7B&quot;/&gt;&lt;wsp:rsid wsp:val=&quot;64175CC0&quot;/&gt;&lt;wsp:rsid wsp:val=&quot;64177A6E&quot;/&gt;&lt;wsp:rsid wsp:val=&quot;641937E6&quot;/&gt;&lt;wsp:rsid wsp:val=&quot;641A755E&quot;/&gt;&lt;wsp:rsid wsp:val=&quot;641B57B0&quot;/&gt;&lt;wsp:rsid wsp:val=&quot;641C6E32&quot;/&gt;&lt;wsp:rsid wsp:val=&quot;641E0DFC&quot;/&gt;&lt;wsp:rsid wsp:val=&quot;64216B3E&quot;/&gt;&lt;wsp:rsid wsp:val=&quot;642277FE&quot;/&gt;&lt;wsp:rsid wsp:val=&quot;64234664&quot;/&gt;&lt;wsp:rsid wsp:val=&quot;64234D3C&quot;/&gt;&lt;wsp:rsid wsp:val=&quot;6424218B&quot;/&gt;&lt;wsp:rsid wsp:val=&quot;64252510&quot;/&gt;&lt;wsp:rsid wsp:val=&quot;642730B8&quot;/&gt;&lt;wsp:rsid wsp:val=&quot;64287ECD&quot;/&gt;&lt;wsp:rsid wsp:val=&quot;642D7291&quot;/&gt;&lt;wsp:rsid wsp:val=&quot;642E6B65&quot;/&gt;&lt;wsp:rsid wsp:val=&quot;642E7465&quot;/&gt;&lt;wsp:rsid wsp:val=&quot;642F125B&quot;/&gt;&lt;wsp:rsid wsp:val=&quot;642F1BE3&quot;/&gt;&lt;wsp:rsid wsp:val=&quot;642F4DB7&quot;/&gt;&lt;wsp:rsid wsp:val=&quot;643028DD&quot;/&gt;&lt;wsp:rsid wsp:val=&quot;64303292&quot;/&gt;&lt;wsp:rsid wsp:val=&quot;64340620&quot;/&gt;&lt;wsp:rsid wsp:val=&quot;64357EF4&quot;/&gt;&lt;wsp:rsid wsp:val=&quot;64370594&quot;/&gt;&lt;wsp:rsid wsp:val=&quot;64373C6C&quot;/&gt;&lt;wsp:rsid wsp:val=&quot;64395A85&quot;/&gt;&lt;wsp:rsid wsp:val=&quot;64395C36&quot;/&gt;&lt;wsp:rsid wsp:val=&quot;643B19AE&quot;/&gt;&lt;wsp:rsid wsp:val=&quot;643B64F1&quot;/&gt;&lt;wsp:rsid wsp:val=&quot;643C1282&quot;/&gt;&lt;wsp:rsid wsp:val=&quot;643E324C&quot;/&gt;&lt;wsp:rsid wsp:val=&quot;643E5896&quot;/&gt;&lt;wsp:rsid wsp:val=&quot;64405216&quot;/&gt;&lt;wsp:rsid wsp:val=&quot;64406FC4&quot;/&gt;&lt;wsp:rsid wsp:val=&quot;64426DE8&quot;/&gt;&lt;wsp:rsid wsp:val=&quot;64430863&quot;/&gt;&lt;wsp:rsid wsp:val=&quot;64451A7E&quot;/&gt;&lt;wsp:rsid wsp:val=&quot;64451BDD&quot;/&gt;&lt;wsp:rsid wsp:val=&quot;644545DB&quot;/&gt;&lt;wsp:rsid wsp:val=&quot;6446790D&quot;/&gt;&lt;wsp:rsid wsp:val=&quot;6448479B&quot;/&gt;&lt;wsp:rsid wsp:val=&quot;64487C27&quot;/&gt;&lt;wsp:rsid wsp:val=&quot;644B4E0B&quot;/&gt;&lt;wsp:rsid wsp:val=&quot;644B5969&quot;/&gt;&lt;wsp:rsid wsp:val=&quot;644D16E1&quot;/&gt;&lt;wsp:rsid wsp:val=&quot;644F0FB6&quot;/&gt;&lt;wsp:rsid wsp:val=&quot;64520AA6&quot;/&gt;&lt;wsp:rsid wsp:val=&quot;6452474A&quot;/&gt;&lt;wsp:rsid wsp:val=&quot;64550596&quot;/&gt;&lt;wsp:rsid wsp:val=&quot;645646AB&quot;/&gt;&lt;wsp:rsid wsp:val=&quot;645A795A&quot;/&gt;&lt;wsp:rsid wsp:val=&quot;645B3DFE&quot;/&gt;&lt;wsp:rsid wsp:val=&quot;645B7E78&quot;/&gt;&lt;wsp:rsid wsp:val=&quot;645C2560&quot;/&gt;&lt;wsp:rsid wsp:val=&quot;645C43B0&quot;/&gt;&lt;wsp:rsid wsp:val=&quot;645D6540&quot;/&gt;&lt;wsp:rsid wsp:val=&quot;645E569D&quot;/&gt;&lt;wsp:rsid wsp:val=&quot;645F013B&quot;/&gt;&lt;wsp:rsid wsp:val=&quot;64614447&quot;/&gt;&lt;wsp:rsid wsp:val=&quot;6461518D&quot;/&gt;&lt;wsp:rsid wsp:val=&quot;646507D9&quot;/&gt;&lt;wsp:rsid wsp:val=&quot;64654C7D&quot;/&gt;&lt;wsp:rsid wsp:val=&quot;64664551&quot;/&gt;&lt;wsp:rsid wsp:val=&quot;646709F5&quot;/&gt;&lt;wsp:rsid wsp:val=&quot;646802C9&quot;/&gt;&lt;wsp:rsid wsp:val=&quot;64682077&quot;/&gt;&lt;wsp:rsid wsp:val=&quot;646B6B0C&quot;/&gt;&lt;wsp:rsid wsp:val=&quot;646B7DB9&quot;/&gt;&lt;wsp:rsid wsp:val=&quot;646C600B&quot;/&gt;&lt;wsp:rsid wsp:val=&quot;646F1658&quot;/&gt;&lt;wsp:rsid wsp:val=&quot;646F78AA&quot;/&gt;&lt;wsp:rsid wsp:val=&quot;6472739A&quot;/&gt;&lt;wsp:rsid wsp:val=&quot;64747186&quot;/&gt;&lt;wsp:rsid wsp:val=&quot;64764597&quot;/&gt;&lt;wsp:rsid wsp:val=&quot;64764DFE&quot;/&gt;&lt;wsp:rsid wsp:val=&quot;647924D6&quot;/&gt;&lt;wsp:rsid wsp:val=&quot;647A1DAB&quot;/&gt;&lt;wsp:rsid wsp:val=&quot;647B173E&quot;/&gt;&lt;wsp:rsid wsp:val=&quot;647B5838&quot;/&gt;&lt;wsp:rsid wsp:val=&quot;647B624F&quot;/&gt;&lt;wsp:rsid wsp:val=&quot;647B7FFD&quot;/&gt;&lt;wsp:rsid wsp:val=&quot;647C1FC7&quot;/&gt;&lt;wsp:rsid wsp:val=&quot;647C3D75&quot;/&gt;&lt;wsp:rsid wsp:val=&quot;647C6CC8&quot;/&gt;&lt;wsp:rsid wsp:val=&quot;647D29C9&quot;/&gt;&lt;wsp:rsid wsp:val=&quot;64805613&quot;/&gt;&lt;wsp:rsid wsp:val=&quot;64805649&quot;/&gt;&lt;wsp:rsid wsp:val=&quot;64805BFE&quot;/&gt;&lt;wsp:rsid wsp:val=&quot;648275DD&quot;/&gt;&lt;wsp:rsid wsp:val=&quot;64835103&quot;/&gt;&lt;wsp:rsid wsp:val=&quot;64850E7B&quot;/&gt;&lt;wsp:rsid wsp:val=&quot;648614BB&quot;/&gt;&lt;wsp:rsid wsp:val=&quot;64882719&quot;/&gt;&lt;wsp:rsid wsp:val=&quot;648844C8&quot;/&gt;&lt;wsp:rsid wsp:val=&quot;6489157D&quot;/&gt;&lt;wsp:rsid wsp:val=&quot;648A0240&quot;/&gt;&lt;wsp:rsid wsp:val=&quot;648A3E9D&quot;/&gt;&lt;wsp:rsid wsp:val=&quot;648A446A&quot;/&gt;&lt;wsp:rsid wsp:val=&quot;648B3FB8&quot;/&gt;&lt;wsp:rsid wsp:val=&quot;648C045C&quot;/&gt;&lt;wsp:rsid wsp:val=&quot;648D1ADE&quot;/&gt;&lt;wsp:rsid wsp:val=&quot;648D7D30&quot;/&gt;&lt;wsp:rsid wsp:val=&quot;649317EA&quot;/&gt;&lt;wsp:rsid wsp:val=&quot;649461BE&quot;/&gt;&lt;wsp:rsid wsp:val=&quot;64950FB0&quot;/&gt;&lt;wsp:rsid wsp:val=&quot;64983A60&quot;/&gt;&lt;wsp:rsid wsp:val=&quot;64986E00&quot;/&gt;&lt;wsp:rsid wsp:val=&quot;64994927&quot;/&gt;&lt;wsp:rsid wsp:val=&quot;649B069F&quot;/&gt;&lt;wsp:rsid wsp:val=&quot;649E018F&quot;/&gt;&lt;wsp:rsid wsp:val=&quot;64A01811&quot;/&gt;&lt;wsp:rsid wsp:val=&quot;64A07A63&quot;/&gt;&lt;wsp:rsid wsp:val=&quot;64A10C94&quot;/&gt;&lt;wsp:rsid wsp:val=&quot;64A21A2D&quot;/&gt;&lt;wsp:rsid wsp:val=&quot;64A33930&quot;/&gt;&lt;wsp:rsid wsp:val=&quot;64A5243A&quot;/&gt;&lt;wsp:rsid wsp:val=&quot;64A55079&quot;/&gt;&lt;wsp:rsid wsp:val=&quot;64AA2690&quot;/&gt;&lt;wsp:rsid wsp:val=&quot;64AA6B34&quot;/&gt;&lt;wsp:rsid wsp:val=&quot;64AC31D6&quot;/&gt;&lt;wsp:rsid wsp:val=&quot;64AC55EF&quot;/&gt;&lt;wsp:rsid wsp:val=&quot;64AC6408&quot;/&gt;&lt;wsp:rsid wsp:val=&quot;64AD3F2E&quot;/&gt;&lt;wsp:rsid wsp:val=&quot;64B17EC2&quot;/&gt;&lt;wsp:rsid wsp:val=&quot;64B21544&quot;/&gt;&lt;wsp:rsid wsp:val=&quot;64B21B87&quot;/&gt;&lt;wsp:rsid wsp:val=&quot;64B41760&quot;/&gt;&lt;wsp:rsid wsp:val=&quot;64B452BD&quot;/&gt;&lt;wsp:rsid wsp:val=&quot;64B61035&quot;/&gt;&lt;wsp:rsid wsp:val=&quot;64B74DAD&quot;/&gt;&lt;wsp:rsid wsp:val=&quot;64B82FFF&quot;/&gt;&lt;wsp:rsid wsp:val=&quot;64B957DA&quot;/&gt;&lt;wsp:rsid wsp:val=&quot;64BB2AEF&quot;/&gt;&lt;wsp:rsid wsp:val=&quot;64BC58BD&quot;/&gt;&lt;wsp:rsid wsp:val=&quot;64BD0615&quot;/&gt;&lt;wsp:rsid wsp:val=&quot;64BE2D8D&quot;/&gt;&lt;wsp:rsid wsp:val=&quot;64BE438D&quot;/&gt;&lt;wsp:rsid wsp:val=&quot;64BF1012&quot;/&gt;&lt;wsp:rsid wsp:val=&quot;64BF17B2&quot;/&gt;&lt;wsp:rsid wsp:val=&quot;64C00105&quot;/&gt;&lt;wsp:rsid wsp:val=&quot;64C03C61&quot;/&gt;&lt;wsp:rsid wsp:val=&quot;64C179D9&quot;/&gt;&lt;wsp:rsid wsp:val=&quot;64C33752&quot;/&gt;&lt;wsp:rsid wsp:val=&quot;64C3600D&quot;/&gt;&lt;wsp:rsid wsp:val=&quot;64C5571C&quot;/&gt;&lt;wsp:rsid wsp:val=&quot;64C67DDE&quot;/&gt;&lt;wsp:rsid wsp:val=&quot;64C71494&quot;/&gt;&lt;wsp:rsid wsp:val=&quot;64C934FE&quot;/&gt;&lt;wsp:rsid wsp:val=&quot;64CA0F84&quot;/&gt;&lt;wsp:rsid wsp:val=&quot;64CA2D32&quot;/&gt;&lt;wsp:rsid wsp:val=&quot;64CA4AE0&quot;/&gt;&lt;wsp:rsid wsp:val=&quot;64CB56F9&quot;/&gt;&lt;wsp:rsid wsp:val=&quot;64CC3C50&quot;/&gt;&lt;wsp:rsid wsp:val=&quot;64CE2822&quot;/&gt;&lt;wsp:rsid wsp:val=&quot;64D140C0&quot;/&gt;&lt;wsp:rsid wsp:val=&quot;64D21BE7&quot;/&gt;&lt;wsp:rsid wsp:val=&quot;64D4018C&quot;/&gt;&lt;wsp:rsid wsp:val=&quot;64D4368D&quot;/&gt;&lt;wsp:rsid wsp:val=&quot;64D43BB1&quot;/&gt;&lt;wsp:rsid wsp:val=&quot;64D4595F&quot;/&gt;&lt;wsp:rsid wsp:val=&quot;64D4770D&quot;/&gt;&lt;wsp:rsid wsp:val=&quot;64D67929&quot;/&gt;&lt;wsp:rsid wsp:val=&quot;64D70FAB&quot;/&gt;&lt;wsp:rsid wsp:val=&quot;64D771FD&quot;/&gt;&lt;wsp:rsid wsp:val=&quot;64D836A1&quot;/&gt;&lt;wsp:rsid wsp:val=&quot;64D8723F&quot;/&gt;&lt;wsp:rsid wsp:val=&quot;64DA2C7F&quot;/&gt;&lt;wsp:rsid wsp:val=&quot;64DB0A9B&quot;/&gt;&lt;wsp:rsid wsp:val=&quot;64DB6CED&quot;/&gt;&lt;wsp:rsid wsp:val=&quot;64DC3A26&quot;/&gt;&lt;wsp:rsid wsp:val=&quot;64DD08C1&quot;/&gt;&lt;wsp:rsid wsp:val=&quot;64DD2A65&quot;/&gt;&lt;wsp:rsid wsp:val=&quot;64DE2339&quot;/&gt;&lt;wsp:rsid wsp:val=&quot;64E02555&quot;/&gt;&lt;wsp:rsid wsp:val=&quot;64E04304&quot;/&gt;&lt;wsp:rsid wsp:val=&quot;64E149E6&quot;/&gt;&lt;wsp:rsid wsp:val=&quot;64E24CD0&quot;/&gt;&lt;wsp:rsid wsp:val=&quot;64E35106&quot;/&gt;&lt;wsp:rsid wsp:val=&quot;64E35BA2&quot;/&gt;&lt;wsp:rsid wsp:val=&quot;64E70858&quot;/&gt;&lt;wsp:rsid wsp:val=&quot;64E835EB&quot;/&gt;&lt;wsp:rsid wsp:val=&quot;64E9765C&quot;/&gt;&lt;wsp:rsid wsp:val=&quot;64EA33D4&quot;/&gt;&lt;wsp:rsid wsp:val=&quot;64EE0C2F&quot;/&gt;&lt;wsp:rsid wsp:val=&quot;64EE4C72&quot;/&gt;&lt;wsp:rsid wsp:val=&quot;64EE6A20&quot;/&gt;&lt;wsp:rsid wsp:val=&quot;64EF4547&quot;/&gt;&lt;wsp:rsid wsp:val=&quot;64F1206D&quot;/&gt;&lt;wsp:rsid wsp:val=&quot;64F14763&quot;/&gt;&lt;wsp:rsid wsp:val=&quot;64F16511&quot;/&gt;&lt;wsp:rsid wsp:val=&quot;64F223F4&quot;/&gt;&lt;wsp:rsid wsp:val=&quot;64F31CDE&quot;/&gt;&lt;wsp:rsid wsp:val=&quot;64F41B5D&quot;/&gt;&lt;wsp:rsid wsp:val=&quot;64F47DAF&quot;/&gt;&lt;wsp:rsid wsp:val=&quot;64F531DE&quot;/&gt;&lt;wsp:rsid wsp:val=&quot;64F658D5&quot;/&gt;&lt;wsp:rsid wsp:val=&quot;64F8164D&quot;/&gt;&lt;wsp:rsid wsp:val=&quot;64F93617&quot;/&gt;&lt;wsp:rsid wsp:val=&quot;64FA3156&quot;/&gt;&lt;wsp:rsid wsp:val=&quot;64FD6C64&quot;/&gt;&lt;wsp:rsid wsp:val=&quot;64FE6262&quot;/&gt;&lt;wsp:rsid wsp:val=&quot;650049A6&quot;/&gt;&lt;wsp:rsid wsp:val=&quot;650224CC&quot;/&gt;&lt;wsp:rsid wsp:val=&quot;65046244&quot;/&gt;&lt;wsp:rsid wsp:val=&quot;65046EDB&quot;/&gt;&lt;wsp:rsid wsp:val=&quot;65047D7F&quot;/&gt;&lt;wsp:rsid wsp:val=&quot;65050F77&quot;/&gt;&lt;wsp:rsid wsp:val=&quot;65051FBC&quot;/&gt;&lt;wsp:rsid wsp:val=&quot;65052950&quot;/&gt;&lt;wsp:rsid wsp:val=&quot;650575AA&quot;/&gt;&lt;wsp:rsid wsp:val=&quot;65067DF9&quot;/&gt;&lt;wsp:rsid wsp:val=&quot;650700DC&quot;/&gt;&lt;wsp:rsid wsp:val=&quot;65075D34&quot;/&gt;&lt;wsp:rsid wsp:val=&quot;6509385A&quot;/&gt;&lt;wsp:rsid wsp:val=&quot;650A1380&quot;/&gt;&lt;wsp:rsid wsp:val=&quot;650A312E&quot;/&gt;&lt;wsp:rsid wsp:val=&quot;650A5824&quot;/&gt;&lt;wsp:rsid wsp:val=&quot;650B0753&quot;/&gt;&lt;wsp:rsid wsp:val=&quot;650C0660&quot;/&gt;&lt;wsp:rsid wsp:val=&quot;650C334B&quot;/&gt;&lt;wsp:rsid wsp:val=&quot;650D2572&quot;/&gt;&lt;wsp:rsid wsp:val=&quot;650D2C1F&quot;/&gt;&lt;wsp:rsid wsp:val=&quot;650E70C3&quot;/&gt;&lt;wsp:rsid wsp:val=&quot;650F4BE9&quot;/&gt;&lt;wsp:rsid wsp:val=&quot;650F65D3&quot;/&gt;&lt;wsp:rsid wsp:val=&quot;65130235&quot;/&gt;&lt;wsp:rsid wsp:val=&quot;65167D25&quot;/&gt;&lt;wsp:rsid wsp:val=&quot;65197815&quot;/&gt;&lt;wsp:rsid wsp:val=&quot;651A3869&quot;/&gt;&lt;wsp:rsid wsp:val=&quot;651D10B4&quot;/&gt;&lt;wsp:rsid wsp:val=&quot;651D2E62&quot;/&gt;&lt;wsp:rsid wsp:val=&quot;651E4C38&quot;/&gt;&lt;wsp:rsid wsp:val=&quot;651E4E2C&quot;/&gt;&lt;wsp:rsid wsp:val=&quot;651F307E&quot;/&gt;&lt;wsp:rsid wsp:val=&quot;65206DF6&quot;/&gt;&lt;wsp:rsid wsp:val=&quot;65222B6E&quot;/&gt;&lt;wsp:rsid wsp:val=&quot;6522491C&quot;/&gt;&lt;wsp:rsid wsp:val=&quot;652561BA&quot;/&gt;&lt;wsp:rsid wsp:val=&quot;65257F68&quot;/&gt;&lt;wsp:rsid wsp:val=&quot;65270472&quot;/&gt;&lt;wsp:rsid wsp:val=&quot;65271F32&quot;/&gt;&lt;wsp:rsid wsp:val=&quot;65283023&quot;/&gt;&lt;wsp:rsid wsp:val=&quot;6529060A&quot;/&gt;&lt;wsp:rsid wsp:val=&quot;65297A59&quot;/&gt;&lt;wsp:rsid wsp:val=&quot;652A37D1&quot;/&gt;&lt;wsp:rsid wsp:val=&quot;653105BE&quot;/&gt;&lt;wsp:rsid wsp:val=&quot;65314B5F&quot;/&gt;&lt;wsp:rsid wsp:val=&quot;6534475C&quot;/&gt;&lt;wsp:rsid wsp:val=&quot;653463FD&quot;/&gt;&lt;wsp:rsid wsp:val=&quot;6535464F&quot;/&gt;&lt;wsp:rsid wsp:val=&quot;653603C7&quot;/&gt;&lt;wsp:rsid wsp:val=&quot;65363F24&quot;/&gt;&lt;wsp:rsid wsp:val=&quot;65366619&quot;/&gt;&lt;wsp:rsid wsp:val=&quot;65373578&quot;/&gt;&lt;wsp:rsid wsp:val=&quot;65385EEE&quot;/&gt;&lt;wsp:rsid wsp:val=&quot;653A252B&quot;/&gt;&lt;wsp:rsid wsp:val=&quot;653B3C30&quot;/&gt;&lt;wsp:rsid wsp:val=&quot;653B59DE&quot;/&gt;&lt;wsp:rsid wsp:val=&quot;653D6AD9&quot;/&gt;&lt;wsp:rsid wsp:val=&quot;653E102A&quot;/&gt;&lt;wsp:rsid wsp:val=&quot;653F36D2&quot;/&gt;&lt;wsp:rsid wsp:val=&quot;653F54CE&quot;/&gt;&lt;wsp:rsid wsp:val=&quot;65401246&quot;/&gt;&lt;wsp:rsid wsp:val=&quot;65411462&quot;/&gt;&lt;wsp:rsid wsp:val=&quot;65436640&quot;/&gt;&lt;wsp:rsid wsp:val=&quot;65444892&quot;/&gt;&lt;wsp:rsid wsp:val=&quot;654523B9&quot;/&gt;&lt;wsp:rsid wsp:val=&quot;6546685C&quot;/&gt;&lt;wsp:rsid wsp:val=&quot;654725D5&quot;/&gt;&lt;wsp:rsid wsp:val=&quot;65476131&quot;/&gt;&lt;wsp:rsid wsp:val=&quot;6548255E&quot;/&gt;&lt;wsp:rsid wsp:val=&quot;654C1999&quot;/&gt;&lt;wsp:rsid wsp:val=&quot;654C6575&quot;/&gt;&lt;wsp:rsid wsp:val=&quot;654C7BEB&quot;/&gt;&lt;wsp:rsid wsp:val=&quot;654D5E54&quot;/&gt;&lt;wsp:rsid wsp:val=&quot;654E3187&quot;/&gt;&lt;wsp:rsid wsp:val=&quot;654F3237&quot;/&gt;&lt;wsp:rsid wsp:val=&quot;65533877&quot;/&gt;&lt;wsp:rsid wsp:val=&quot;65534AD5&quot;/&gt;&lt;wsp:rsid wsp:val=&quot;6555563A&quot;/&gt;&lt;wsp:rsid wsp:val=&quot;65562818&quot;/&gt;&lt;wsp:rsid wsp:val=&quot;65566374&quot;/&gt;&lt;wsp:rsid wsp:val=&quot;65577A76&quot;/&gt;&lt;wsp:rsid wsp:val=&quot;655A5107&quot;/&gt;&lt;wsp:rsid wsp:val=&quot;655B398A&quot;/&gt;&lt;wsp:rsid wsp:val=&quot;655D5954&quot;/&gt;&lt;wsp:rsid wsp:val=&quot;655F1E1A&quot;/&gt;&lt;wsp:rsid wsp:val=&quot;655F791E&quot;/&gt;&lt;wsp:rsid wsp:val=&quot;65605444&quot;/&gt;&lt;wsp:rsid wsp:val=&quot;6565085D&quot;/&gt;&lt;wsp:rsid wsp:val=&quot;65652A5B&quot;/&gt;&lt;wsp:rsid wsp:val=&quot;65654809&quot;/&gt;&lt;wsp:rsid wsp:val=&quot;65660CAD&quot;/&gt;&lt;wsp:rsid wsp:val=&quot;6569254B&quot;/&gt;&lt;wsp:rsid wsp:val=&quot;656B46CF&quot;/&gt;&lt;wsp:rsid wsp:val=&quot;656C203B&quot;/&gt;&lt;wsp:rsid wsp:val=&quot;656C5B5F&quot;/&gt;&lt;wsp:rsid wsp:val=&quot;656C5B97&quot;/&gt;&lt;wsp:rsid wsp:val=&quot;65702D9F&quot;/&gt;&lt;wsp:rsid wsp:val=&quot;65717652&quot;/&gt;&lt;wsp:rsid wsp:val=&quot;65735178&quot;/&gt;&lt;wsp:rsid wsp:val=&quot;65744A4C&quot;/&gt;&lt;wsp:rsid wsp:val=&quot;65752C9E&quot;/&gt;&lt;wsp:rsid wsp:val=&quot;65770F9E&quot;/&gt;&lt;wsp:rsid wsp:val=&quot;65784102&quot;/&gt;&lt;wsp:rsid wsp:val=&quot;657A02B4&quot;/&gt;&lt;wsp:rsid wsp:val=&quot;657A6506&quot;/&gt;&lt;wsp:rsid wsp:val=&quot;657D5FF6&quot;/&gt;&lt;wsp:rsid wsp:val=&quot;657E2F39&quot;/&gt;&lt;wsp:rsid wsp:val=&quot;65817895&quot;/&gt;&lt;wsp:rsid wsp:val=&quot;65866706&quot;/&gt;&lt;wsp:rsid wsp:val=&quot;65876AF7&quot;/&gt;&lt;wsp:rsid wsp:val=&quot;65876E75&quot;/&gt;&lt;wsp:rsid wsp:val=&quot;65881026&quot;/&gt;&lt;wsp:rsid wsp:val=&quot;6589499B&quot;/&gt;&lt;wsp:rsid wsp:val=&quot;658A7C58&quot;/&gt;&lt;wsp:rsid wsp:val=&quot;658E1FB1&quot;/&gt;&lt;wsp:rsid wsp:val=&quot;658E3D60&quot;/&gt;&lt;wsp:rsid wsp:val=&quot;658E7A69&quot;/&gt;&lt;wsp:rsid wsp:val=&quot;65904F5A&quot;/&gt;&lt;wsp:rsid wsp:val=&quot;65913850&quot;/&gt;&lt;wsp:rsid wsp:val=&quot;659155FE&quot;/&gt;&lt;wsp:rsid wsp:val=&quot;659163EA&quot;/&gt;&lt;wsp:rsid wsp:val=&quot;65930B2B&quot;/&gt;&lt;wsp:rsid wsp:val=&quot;65956E9C&quot;/&gt;&lt;wsp:rsid wsp:val=&quot;6597262F&quot;/&gt;&lt;wsp:rsid wsp:val=&quot;65982E30&quot;/&gt;&lt;wsp:rsid wsp:val=&quot;659A0C16&quot;/&gt;&lt;wsp:rsid wsp:val=&quot;659A2704&quot;/&gt;&lt;wsp:rsid wsp:val=&quot;659B206D&quot;/&gt;&lt;wsp:rsid wsp:val=&quot;659B5909&quot;/&gt;&lt;wsp:rsid wsp:val=&quot;659D0447&quot;/&gt;&lt;wsp:rsid wsp:val=&quot;659D1DBC&quot;/&gt;&lt;wsp:rsid wsp:val=&quot;65A11CE5&quot;/&gt;&lt;wsp:rsid wsp:val=&quot;65A215B9&quot;/&gt;&lt;wsp:rsid wsp:val=&quot;65A417D5&quot;/&gt;&lt;wsp:rsid wsp:val=&quot;65A44A7B&quot;/&gt;&lt;wsp:rsid wsp:val=&quot;65A45331&quot;/&gt;&lt;wsp:rsid wsp:val=&quot;65A6554D&quot;/&gt;&lt;wsp:rsid wsp:val=&quot;65A74D5F&quot;/&gt;&lt;wsp:rsid wsp:val=&quot;65A75A3F&quot;/&gt;&lt;wsp:rsid wsp:val=&quot;65A803C6&quot;/&gt;&lt;wsp:rsid wsp:val=&quot;65A90B99&quot;/&gt;&lt;wsp:rsid wsp:val=&quot;65AC2438&quot;/&gt;&lt;wsp:rsid wsp:val=&quot;65B25CA0&quot;/&gt;&lt;wsp:rsid wsp:val=&quot;65B337C6&quot;/&gt;&lt;wsp:rsid wsp:val=&quot;65B44217&quot;/&gt;&lt;wsp:rsid wsp:val=&quot;65B65064&quot;/&gt;&lt;wsp:rsid wsp:val=&quot;65BC6272&quot;/&gt;&lt;wsp:rsid wsp:val=&quot;65BD2897&quot;/&gt;&lt;wsp:rsid wsp:val=&quot;65BD3F77&quot;/&gt;&lt;wsp:rsid wsp:val=&quot;65BE21B3&quot;/&gt;&lt;wsp:rsid wsp:val=&quot;65BE7A9A&quot;/&gt;&lt;wsp:rsid wsp:val=&quot;65C07C91&quot;/&gt;&lt;wsp:rsid wsp:val=&quot;65C15EE3&quot;/&gt;&lt;wsp:rsid wsp:val=&quot;65C22647&quot;/&gt;&lt;wsp:rsid wsp:val=&quot;65C37EAD&quot;/&gt;&lt;wsp:rsid wsp:val=&quot;65C43C25&quot;/&gt;&lt;wsp:rsid wsp:val=&quot;65C634F9&quot;/&gt;&lt;wsp:rsid wsp:val=&quot;65C6799D&quot;/&gt;&lt;wsp:rsid wsp:val=&quot;65C82D60&quot;/&gt;&lt;wsp:rsid wsp:val=&quot;65C854C3&quot;/&gt;&lt;wsp:rsid wsp:val=&quot;65C92FEA&quot;/&gt;&lt;wsp:rsid wsp:val=&quot;65C96FBC&quot;/&gt;&lt;wsp:rsid wsp:val=&quot;65CB6D62&quot;/&gt;&lt;wsp:rsid wsp:val=&quot;65CD0D2C&quot;/&gt;&lt;wsp:rsid wsp:val=&quot;65D1748D&quot;/&gt;&lt;wsp:rsid wsp:val=&quot;65D35C16&quot;/&gt;&lt;wsp:rsid wsp:val=&quot;65D3619D&quot;/&gt;&lt;wsp:rsid wsp:val=&quot;65D379C4&quot;/&gt;&lt;wsp:rsid wsp:val=&quot;65D50ABD&quot;/&gt;&lt;wsp:rsid wsp:val=&quot;65D75707&quot;/&gt;&lt;wsp:rsid wsp:val=&quot;65DA0D53&quot;/&gt;&lt;wsp:rsid wsp:val=&quot;65DA51F7&quot;/&gt;&lt;wsp:rsid wsp:val=&quot;65DA6FA5&quot;/&gt;&lt;wsp:rsid wsp:val=&quot;65DB484A&quot;/&gt;&lt;wsp:rsid wsp:val=&quot;65DD6A95&quot;/&gt;&lt;wsp:rsid wsp:val=&quot;65DF280D&quot;/&gt;&lt;wsp:rsid wsp:val=&quot;65E05BD0&quot;/&gt;&lt;wsp:rsid wsp:val=&quot;65E120E1&quot;/&gt;&lt;wsp:rsid wsp:val=&quot;65E6594A&quot;/&gt;&lt;wsp:rsid wsp:val=&quot;65E676F8&quot;/&gt;&lt;wsp:rsid wsp:val=&quot;65E816C2&quot;/&gt;&lt;wsp:rsid wsp:val=&quot;65EE2A50&quot;/&gt;&lt;wsp:rsid wsp:val=&quot;65EE47FE&quot;/&gt;&lt;wsp:rsid wsp:val=&quot;65F10513&quot;/&gt;&lt;wsp:rsid wsp:val=&quot;65F22BB6&quot;/&gt;&lt;wsp:rsid wsp:val=&quot;65F35787&quot;/&gt;&lt;wsp:rsid wsp:val=&quot;65F8567D&quot;/&gt;&lt;wsp:rsid wsp:val=&quot;65F870F1&quot;/&gt;&lt;wsp:rsid wsp:val=&quot;65F9692B&quot;/&gt;&lt;wsp:rsid wsp:val=&quot;65F97EB8&quot;/&gt;&lt;wsp:rsid wsp:val=&quot;65FA31A3&quot;/&gt;&lt;wsp:rsid wsp:val=&quot;65FA7647&quot;/&gt;&lt;wsp:rsid wsp:val=&quot;65FC516D&quot;/&gt;&lt;wsp:rsid wsp:val=&quot;65FC6EF7&quot;/&gt;&lt;wsp:rsid wsp:val=&quot;65FC6F1B&quot;/&gt;&lt;wsp:rsid wsp:val=&quot;66012783&quot;/&gt;&lt;wsp:rsid wsp:val=&quot;66041731&quot;/&gt;&lt;wsp:rsid wsp:val=&quot;66053E26&quot;/&gt;&lt;wsp:rsid wsp:val=&quot;66063E90&quot;/&gt;&lt;wsp:rsid wsp:val=&quot;66065FEC&quot;/&gt;&lt;wsp:rsid wsp:val=&quot;66066425&quot;/&gt;&lt;wsp:rsid wsp:val=&quot;6607435A&quot;/&gt;&lt;wsp:rsid wsp:val=&quot;66091638&quot;/&gt;&lt;wsp:rsid wsp:val=&quot;66096324&quot;/&gt;&lt;wsp:rsid wsp:val=&quot;660B3602&quot;/&gt;&lt;wsp:rsid wsp:val=&quot;660B3A0E&quot;/&gt;&lt;wsp:rsid wsp:val=&quot;660B53B0&quot;/&gt;&lt;wsp:rsid wsp:val=&quot;660C1021&quot;/&gt;&lt;wsp:rsid wsp:val=&quot;660D1128&quot;/&gt;&lt;wsp:rsid wsp:val=&quot;660E4EA0&quot;/&gt;&lt;wsp:rsid wsp:val=&quot;660F30F2&quot;/&gt;&lt;wsp:rsid wsp:val=&quot;6611613F&quot;/&gt;&lt;wsp:rsid wsp:val=&quot;66141EEF&quot;/&gt;&lt;wsp:rsid wsp:val=&quot;66154481&quot;/&gt;&lt;wsp:rsid wsp:val=&quot;66155F50&quot;/&gt;&lt;wsp:rsid wsp:val=&quot;6615622F&quot;/&gt;&lt;wsp:rsid wsp:val=&quot;66157FDD&quot;/&gt;&lt;wsp:rsid wsp:val=&quot;661673E0&quot;/&gt;&lt;wsp:rsid wsp:val=&quot;6618187B&quot;/&gt;&lt;wsp:rsid wsp:val=&quot;66187ACD&quot;/&gt;&lt;wsp:rsid wsp:val=&quot;661A1A97&quot;/&gt;&lt;wsp:rsid wsp:val=&quot;661B3A5F&quot;/&gt;&lt;wsp:rsid wsp:val=&quot;661C580F&quot;/&gt;&lt;wsp:rsid wsp:val=&quot;661C75BD&quot;/&gt;&lt;wsp:rsid wsp:val=&quot;661E50E3&quot;/&gt;&lt;wsp:rsid wsp:val=&quot;66257C5E&quot;/&gt;&lt;wsp:rsid wsp:val=&quot;6626043C&quot;/&gt;&lt;wsp:rsid wsp:val=&quot;662621EA&quot;/&gt;&lt;wsp:rsid wsp:val=&quot;66263F98&quot;/&gt;&lt;wsp:rsid wsp:val=&quot;662841B4&quot;/&gt;&lt;wsp:rsid wsp:val=&quot;6628494E&quot;/&gt;&lt;wsp:rsid wsp:val=&quot;66291CDA&quot;/&gt;&lt;wsp:rsid wsp:val=&quot;66293A88&quot;/&gt;&lt;wsp:rsid wsp:val=&quot;662B15AE&quot;/&gt;&lt;wsp:rsid wsp:val=&quot;662C2D47&quot;/&gt;&lt;wsp:rsid wsp:val=&quot;662F16C8&quot;/&gt;&lt;wsp:rsid wsp:val=&quot;662F5543&quot;/&gt;&lt;wsp:rsid wsp:val=&quot;66302B58&quot;/&gt;&lt;wsp:rsid wsp:val=&quot;663150E3&quot;/&gt;&lt;wsp:rsid wsp:val=&quot;663629CA&quot;/&gt;&lt;wsp:rsid wsp:val=&quot;663761A5&quot;/&gt;&lt;wsp:rsid wsp:val=&quot;66383CCB&quot;/&gt;&lt;wsp:rsid wsp:val=&quot;663859C3&quot;/&gt;&lt;wsp:rsid wsp:val=&quot;66391F1D&quot;/&gt;&lt;wsp:rsid wsp:val=&quot;663C7C5F&quot;/&gt;&lt;wsp:rsid wsp:val=&quot;663D12E2&quot;/&gt;&lt;wsp:rsid wsp:val=&quot;663E7D2D&quot;/&gt;&lt;wsp:rsid wsp:val=&quot;663F505A&quot;/&gt;&lt;wsp:rsid wsp:val=&quot;66415276&quot;/&gt;&lt;wsp:rsid wsp:val=&quot;66434B4A&quot;/&gt;&lt;wsp:rsid wsp:val=&quot;66467226&quot;/&gt;&lt;wsp:rsid wsp:val=&quot;66481DB3&quot;/&gt;&lt;wsp:rsid wsp:val=&quot;66482160&quot;/&gt;&lt;wsp:rsid wsp:val=&quot;66495ED8&quot;/&gt;&lt;wsp:rsid wsp:val=&quot;664A237C&quot;/&gt;&lt;wsp:rsid wsp:val=&quot;664B7EA3&quot;/&gt;&lt;wsp:rsid wsp:val=&quot;664E34EF&quot;/&gt;&lt;wsp:rsid wsp:val=&quot;664F7993&quot;/&gt;&lt;wsp:rsid wsp:val=&quot;66501015&quot;/&gt;&lt;wsp:rsid wsp:val=&quot;66507267&quot;/&gt;&lt;wsp:rsid wsp:val=&quot;66544FA9&quot;/&gt;&lt;wsp:rsid wsp:val=&quot;66546D57&quot;/&gt;&lt;wsp:rsid wsp:val=&quot;6655487D&quot;/&gt;&lt;wsp:rsid wsp:val=&quot;66560D21&quot;/&gt;&lt;wsp:rsid wsp:val=&quot;66576847&quot;/&gt;&lt;wsp:rsid wsp:val=&quot;665808D4&quot;/&gt;&lt;wsp:rsid wsp:val=&quot;665925BF&quot;/&gt;&lt;wsp:rsid wsp:val=&quot;665931F4&quot;/&gt;&lt;wsp:rsid wsp:val=&quot;66594935&quot;/&gt;&lt;wsp:rsid wsp:val=&quot;665C20B0&quot;/&gt;&lt;wsp:rsid wsp:val=&quot;665C3E5E&quot;/&gt;&lt;wsp:rsid wsp:val=&quot;665E07E4&quot;/&gt;&lt;wsp:rsid wsp:val=&quot;665E3732&quot;/&gt;&lt;wsp:rsid wsp:val=&quot;665F74AA&quot;/&gt;&lt;wsp:rsid wsp:val=&quot;66623C97&quot;/&gt;&lt;wsp:rsid wsp:val=&quot;66644AC0&quot;/&gt;&lt;wsp:rsid wsp:val=&quot;66650F64&quot;/&gt;&lt;wsp:rsid wsp:val=&quot;66666A8A&quot;/&gt;&lt;wsp:rsid wsp:val=&quot;666A4179&quot;/&gt;&lt;wsp:rsid wsp:val=&quot;666B22F3&quot;/&gt;&lt;wsp:rsid wsp:val=&quot;666D7E19&quot;/&gt;&lt;wsp:rsid wsp:val=&quot;666F3B91&quot;/&gt;&lt;wsp:rsid wsp:val=&quot;66704F4C&quot;/&gt;&lt;wsp:rsid wsp:val=&quot;6672542F&quot;/&gt;&lt;wsp:rsid wsp:val=&quot;667271DD&quot;/&gt;&lt;wsp:rsid wsp:val=&quot;667473F9&quot;/&gt;&lt;wsp:rsid wsp:val=&quot;66756CCD&quot;/&gt;&lt;wsp:rsid wsp:val=&quot;66781110&quot;/&gt;&lt;wsp:rsid wsp:val=&quot;66783C17&quot;/&gt;&lt;wsp:rsid wsp:val=&quot;6679056C&quot;/&gt;&lt;wsp:rsid wsp:val=&quot;66794A10&quot;/&gt;&lt;wsp:rsid wsp:val=&quot;667A42E4&quot;/&gt;&lt;wsp:rsid wsp:val=&quot;667C4500&quot;/&gt;&lt;wsp:rsid wsp:val=&quot;667D2745&quot;/&gt;&lt;wsp:rsid wsp:val=&quot;667E2026&quot;/&gt;&lt;wsp:rsid wsp:val=&quot;667F18FA&quot;/&gt;&lt;wsp:rsid wsp:val=&quot;66815672&quot;/&gt;&lt;wsp:rsid wsp:val=&quot;66824BFA&quot;/&gt;&lt;wsp:rsid wsp:val=&quot;66833198&quot;/&gt;&lt;wsp:rsid wsp:val=&quot;66846F11&quot;/&gt;&lt;wsp:rsid wsp:val=&quot;66855163&quot;/&gt;&lt;wsp:rsid wsp:val=&quot;6688057E&quot;/&gt;&lt;wsp:rsid wsp:val=&quot;668A4527&quot;/&gt;&lt;wsp:rsid wsp:val=&quot;668B029F&quot;/&gt;&lt;wsp:rsid wsp:val=&quot;668D4017&quot;/&gt;&lt;wsp:rsid wsp:val=&quot;668E7F43&quot;/&gt;&lt;wsp:rsid wsp:val=&quot;668F5FE1&quot;/&gt;&lt;wsp:rsid wsp:val=&quot;669075D4&quot;/&gt;&lt;wsp:rsid wsp:val=&quot;6694184A&quot;/&gt;&lt;wsp:rsid wsp:val=&quot;66961D05&quot;/&gt;&lt;wsp:rsid wsp:val=&quot;669748D6&quot;/&gt;&lt;wsp:rsid wsp:val=&quot;66975BC3&quot;/&gt;&lt;wsp:rsid wsp:val=&quot;66975E95&quot;/&gt;&lt;wsp:rsid wsp:val=&quot;66990C0E&quot;/&gt;&lt;wsp:rsid wsp:val=&quot;66991DC7&quot;/&gt;&lt;wsp:rsid wsp:val=&quot;66993733&quot;/&gt;&lt;wsp:rsid wsp:val=&quot;669B2BD8&quot;/&gt;&lt;wsp:rsid wsp:val=&quot;669C06FE&quot;/&gt;&lt;wsp:rsid wsp:val=&quot;669C24AC&quot;/&gt;&lt;wsp:rsid wsp:val=&quot;669E6224&quot;/&gt;&lt;wsp:rsid wsp:val=&quot;66A03D4A&quot;/&gt;&lt;wsp:rsid wsp:val=&quot;66A11C6C&quot;/&gt;&lt;wsp:rsid wsp:val=&quot;66A14EEF&quot;/&gt;&lt;wsp:rsid wsp:val=&quot;66A25987&quot;/&gt;&lt;wsp:rsid wsp:val=&quot;66A31A8D&quot;/&gt;&lt;wsp:rsid wsp:val=&quot;66A32B8D&quot;/&gt;&lt;wsp:rsid wsp:val=&quot;66A3383B&quot;/&gt;&lt;wsp:rsid wsp:val=&quot;66A617FA&quot;/&gt;&lt;wsp:rsid wsp:val=&quot;66A650D9&quot;/&gt;&lt;wsp:rsid wsp:val=&quot;66A852F5&quot;/&gt;&lt;wsp:rsid wsp:val=&quot;66A870A3&quot;/&gt;&lt;wsp:rsid wsp:val=&quot;66AA6977&quot;/&gt;&lt;wsp:rsid wsp:val=&quot;66AD290B&quot;/&gt;&lt;wsp:rsid wsp:val=&quot;66AF3F8D&quot;/&gt;&lt;wsp:rsid wsp:val=&quot;66B07D06&quot;/&gt;&lt;wsp:rsid wsp:val=&quot;66B15F58&quot;/&gt;&lt;wsp:rsid wsp:val=&quot;66B1691C&quot;/&gt;&lt;wsp:rsid wsp:val=&quot;66B23A7E&quot;/&gt;&lt;wsp:rsid wsp:val=&quot;66B43DFE&quot;/&gt;&lt;wsp:rsid wsp:val=&quot;66B477F6&quot;/&gt;&lt;wsp:rsid wsp:val=&quot;66B50BA4&quot;/&gt;&lt;wsp:rsid wsp:val=&quot;66B617C0&quot;/&gt;&lt;wsp:rsid wsp:val=&quot;66B6356E&quot;/&gt;&lt;wsp:rsid wsp:val=&quot;66B754CF&quot;/&gt;&lt;wsp:rsid wsp:val=&quot;66B772E6&quot;/&gt;&lt;wsp:rsid wsp:val=&quot;66B8128A&quot;/&gt;&lt;wsp:rsid wsp:val=&quot;66B867E0&quot;/&gt;&lt;wsp:rsid wsp:val=&quot;66B9305E&quot;/&gt;&lt;wsp:rsid wsp:val=&quot;66BB5028&quot;/&gt;&lt;wsp:rsid wsp:val=&quot;66BC2B4E&quot;/&gt;&lt;wsp:rsid wsp:val=&quot;66C0263F&quot;/&gt;&lt;wsp:rsid wsp:val=&quot;66C04F72&quot;/&gt;&lt;wsp:rsid wsp:val=&quot;66C13CC1&quot;/&gt;&lt;wsp:rsid wsp:val=&quot;66C51A03&quot;/&gt;&lt;wsp:rsid wsp:val=&quot;66C551E2&quot;/&gt;&lt;wsp:rsid wsp:val=&quot;66C7577B&quot;/&gt;&lt;wsp:rsid wsp:val=&quot;66C91D02&quot;/&gt;&lt;wsp:rsid wsp:val=&quot;66C97765&quot;/&gt;&lt;wsp:rsid wsp:val=&quot;66CA5709&quot;/&gt;&lt;wsp:rsid wsp:val=&quot;66CC0D83&quot;/&gt;&lt;wsp:rsid wsp:val=&quot;66CE7576&quot;/&gt;&lt;wsp:rsid wsp:val=&quot;66CF2882&quot;/&gt;&lt;wsp:rsid wsp:val=&quot;66CF4630&quot;/&gt;&lt;wsp:rsid wsp:val=&quot;66D103A8&quot;/&gt;&lt;wsp:rsid wsp:val=&quot;66D20057&quot;/&gt;&lt;wsp:rsid wsp:val=&quot;66D32372&quot;/&gt;&lt;wsp:rsid wsp:val=&quot;66D71736&quot;/&gt;&lt;wsp:rsid wsp:val=&quot;66D87988&quot;/&gt;&lt;wsp:rsid wsp:val=&quot;66D95E57&quot;/&gt;&lt;wsp:rsid wsp:val=&quot;66D9725C&quot;/&gt;&lt;wsp:rsid wsp:val=&quot;66DB5200&quot;/&gt;&lt;wsp:rsid wsp:val=&quot;66DE0D17&quot;/&gt;&lt;wsp:rsid wsp:val=&quot;66E005EB&quot;/&gt;&lt;wsp:rsid wsp:val=&quot;66E02DA4&quot;/&gt;&lt;wsp:rsid wsp:val=&quot;66E20A12&quot;/&gt;&lt;wsp:rsid wsp:val=&quot;66E300DB&quot;/&gt;&lt;wsp:rsid wsp:val=&quot;66E61FFF&quot;/&gt;&lt;wsp:rsid wsp:val=&quot;66E621C0&quot;/&gt;&lt;wsp:rsid wsp:val=&quot;66E75E1D&quot;/&gt;&lt;wsp:rsid wsp:val=&quot;66E77BCB&quot;/&gt;&lt;wsp:rsid wsp:val=&quot;66E815AD&quot;/&gt;&lt;wsp:rsid wsp:val=&quot;66E83943&quot;/&gt;&lt;wsp:rsid wsp:val=&quot;66E92A3D&quot;/&gt;&lt;wsp:rsid wsp:val=&quot;66EB24C9&quot;/&gt;&lt;wsp:rsid wsp:val=&quot;66EC6F90&quot;/&gt;&lt;wsp:rsid wsp:val=&quot;66ED0F5A&quot;/&gt;&lt;wsp:rsid wsp:val=&quot;66ED4AB6&quot;/&gt;&lt;wsp:rsid wsp:val=&quot;66EE13A4&quot;/&gt;&lt;wsp:rsid wsp:val=&quot;66EF4CD2&quot;/&gt;&lt;wsp:rsid wsp:val=&quot;66EF6A80&quot;/&gt;&lt;wsp:rsid wsp:val=&quot;66F41291&quot;/&gt;&lt;wsp:rsid wsp:val=&quot;66F422E8&quot;/&gt;&lt;wsp:rsid wsp:val=&quot;66F44096&quot;/&gt;&lt;wsp:rsid wsp:val=&quot;66F81DD8&quot;/&gt;&lt;wsp:rsid wsp:val=&quot;66F83B86&quot;/&gt;&lt;wsp:rsid wsp:val=&quot;66FA6CD3&quot;/&gt;&lt;wsp:rsid wsp:val=&quot;66FC5818&quot;/&gt;&lt;wsp:rsid wsp:val=&quot;66FD119D&quot;/&gt;&lt;wsp:rsid wsp:val=&quot;66FE4F15&quot;/&gt;&lt;wsp:rsid wsp:val=&quot;66FE6CC3&quot;/&gt;&lt;wsp:rsid wsp:val=&quot;66FF0F75&quot;/&gt;&lt;wsp:rsid wsp:val=&quot;67000C8D&quot;/&gt;&lt;wsp:rsid wsp:val=&quot;67006EDF&quot;/&gt;&lt;wsp:rsid wsp:val=&quot;67010561&quot;/&gt;&lt;wsp:rsid wsp:val=&quot;67011AE9&quot;/&gt;&lt;wsp:rsid wsp:val=&quot;67017C22&quot;/&gt;&lt;wsp:rsid wsp:val=&quot;67030D86&quot;/&gt;&lt;wsp:rsid wsp:val=&quot;6707201B&quot;/&gt;&lt;wsp:rsid wsp:val=&quot;67072E52&quot;/&gt;&lt;wsp:rsid wsp:val=&quot;67077D99&quot;/&gt;&lt;wsp:rsid wsp:val=&quot;670818F0&quot;/&gt;&lt;wsp:rsid wsp:val=&quot;67087745&quot;/&gt;&lt;wsp:rsid wsp:val=&quot;67087B42&quot;/&gt;&lt;wsp:rsid wsp:val=&quot;670A38BA&quot;/&gt;&lt;wsp:rsid wsp:val=&quot;670C13E0&quot;/&gt;&lt;wsp:rsid wsp:val=&quot;670C7632&quot;/&gt;&lt;wsp:rsid wsp:val=&quot;670E33AA&quot;/&gt;&lt;wsp:rsid wsp:val=&quot;670F0ED0&quot;/&gt;&lt;wsp:rsid wsp:val=&quot;67114C48&quot;/&gt;&lt;wsp:rsid wsp:val=&quot;671169F6&quot;/&gt;&lt;wsp:rsid wsp:val=&quot;6712276E&quot;/&gt;&lt;wsp:rsid wsp:val=&quot;67135CAA&quot;/&gt;&lt;wsp:rsid wsp:val=&quot;67136C12&quot;/&gt;&lt;wsp:rsid wsp:val=&quot;671505CA&quot;/&gt;&lt;wsp:rsid wsp:val=&quot;6716225F&quot;/&gt;&lt;wsp:rsid wsp:val=&quot;67191C1F&quot;/&gt;&lt;wsp:rsid wsp:val=&quot;67191D4F&quot;/&gt;&lt;wsp:rsid wsp:val=&quot;671966A8&quot;/&gt;&lt;wsp:rsid wsp:val=&quot;671B5AC7&quot;/&gt;&lt;wsp:rsid wsp:val=&quot;671B7875&quot;/&gt;&lt;wsp:rsid wsp:val=&quot;671C1B08&quot;/&gt;&lt;wsp:rsid wsp:val=&quot;671D183F&quot;/&gt;&lt;wsp:rsid wsp:val=&quot;671E1113&quot;/&gt;&lt;wsp:rsid wsp:val=&quot;671F124A&quot;/&gt;&lt;wsp:rsid wsp:val=&quot;671F55B7&quot;/&gt;&lt;wsp:rsid wsp:val=&quot;67204E8B&quot;/&gt;&lt;wsp:rsid wsp:val=&quot;67206C39&quot;/&gt;&lt;wsp:rsid wsp:val=&quot;67241800&quot;/&gt;&lt;wsp:rsid wsp:val=&quot;67244F5F&quot;/&gt;&lt;wsp:rsid wsp:val=&quot;67255C66&quot;/&gt;&lt;wsp:rsid wsp:val=&quot;67256946&quot;/&gt;&lt;wsp:rsid wsp:val=&quot;67257BC4&quot;/&gt;&lt;wsp:rsid wsp:val=&quot;6727446C&quot;/&gt;&lt;wsp:rsid wsp:val=&quot;67277FC8&quot;/&gt;&lt;wsp:rsid wsp:val=&quot;67286A40&quot;/&gt;&lt;wsp:rsid wsp:val=&quot;672901E4&quot;/&gt;&lt;wsp:rsid wsp:val=&quot;672B56F4&quot;/&gt;&lt;wsp:rsid wsp:val=&quot;672C0A07&quot;/&gt;&lt;wsp:rsid wsp:val=&quot;672C7CD4&quot;/&gt;&lt;wsp:rsid wsp:val=&quot;672E28B2&quot;/&gt;&lt;wsp:rsid wsp:val=&quot;672E57FA&quot;/&gt;&lt;wsp:rsid wsp:val=&quot;672F3320&quot;/&gt;&lt;wsp:rsid wsp:val=&quot;673114E2&quot;/&gt;&lt;wsp:rsid wsp:val=&quot;673152EA&quot;/&gt;&lt;wsp:rsid wsp:val=&quot;67332E10&quot;/&gt;&lt;wsp:rsid wsp:val=&quot;67334BBF&quot;/&gt;&lt;wsp:rsid wsp:val=&quot;67346B89&quot;/&gt;&lt;wsp:rsid wsp:val=&quot;673512D8&quot;/&gt;&lt;wsp:rsid wsp:val=&quot;67367682&quot;/&gt;&lt;wsp:rsid wsp:val=&quot;67380427&quot;/&gt;&lt;wsp:rsid wsp:val=&quot;67383032&quot;/&gt;&lt;wsp:rsid wsp:val=&quot;6739419F&quot;/&gt;&lt;wsp:rsid wsp:val=&quot;67394B42&quot;/&gt;&lt;wsp:rsid wsp:val=&quot;67395F4D&quot;/&gt;&lt;wsp:rsid wsp:val=&quot;673B1CC5&quot;/&gt;&lt;wsp:rsid wsp:val=&quot;673F6A54&quot;/&gt;&lt;wsp:rsid wsp:val=&quot;673F7A07&quot;/&gt;&lt;wsp:rsid wsp:val=&quot;67401089&quot;/&gt;&lt;wsp:rsid wsp:val=&quot;6741564F&quot;/&gt;&lt;wsp:rsid wsp:val=&quot;67430B7A&quot;/&gt;&lt;wsp:rsid wsp:val=&quot;6747066A&quot;/&gt;&lt;wsp:rsid wsp:val=&quot;674848E9&quot;/&gt;&lt;wsp:rsid wsp:val=&quot;674A015A&quot;/&gt;&lt;wsp:rsid wsp:val=&quot;674A63AC&quot;/&gt;&lt;wsp:rsid wsp:val=&quot;674B0ED2&quot;/&gt;&lt;wsp:rsid wsp:val=&quot;674B143B&quot;/&gt;&lt;wsp:rsid wsp:val=&quot;674C13C9&quot;/&gt;&lt;wsp:rsid wsp:val=&quot;674C3ED2&quot;/&gt;&lt;wsp:rsid wsp:val=&quot;674E72A6&quot;/&gt;&lt;wsp:rsid wsp:val=&quot;6750022D&quot;/&gt;&lt;wsp:rsid wsp:val=&quot;675114E9&quot;/&gt;&lt;wsp:rsid wsp:val=&quot;67515045&quot;/&gt;&lt;wsp:rsid wsp:val=&quot;6751773B&quot;/&gt;&lt;wsp:rsid wsp:val=&quot;6753700F&quot;/&gt;&lt;wsp:rsid wsp:val=&quot;67542D87&quot;/&gt;&lt;wsp:rsid wsp:val=&quot;675445CD&quot;/&gt;&lt;wsp:rsid wsp:val=&quot;67566AFF&quot;/&gt;&lt;wsp:rsid wsp:val=&quot;67572F4E&quot;/&gt;&lt;wsp:rsid wsp:val=&quot;67580AC9&quot;/&gt;&lt;wsp:rsid wsp:val=&quot;67582877&quot;/&gt;&lt;wsp:rsid wsp:val=&quot;6759214B&quot;/&gt;&lt;wsp:rsid wsp:val=&quot;675A1C36&quot;/&gt;&lt;wsp:rsid wsp:val=&quot;675B2367&quot;/&gt;&lt;wsp:rsid wsp:val=&quot;675B2D5F&quot;/&gt;&lt;wsp:rsid wsp:val=&quot;6760172C&quot;/&gt;&lt;wsp:rsid wsp:val=&quot;676034DA&quot;/&gt;&lt;wsp:rsid wsp:val=&quot;6760797E&quot;/&gt;&lt;wsp:rsid wsp:val=&quot;676254A4&quot;/&gt;&lt;wsp:rsid wsp:val=&quot;6762658C&quot;/&gt;&lt;wsp:rsid wsp:val=&quot;67636EB6&quot;/&gt;&lt;wsp:rsid wsp:val=&quot;67650123&quot;/&gt;&lt;wsp:rsid wsp:val=&quot;676669E2&quot;/&gt;&lt;wsp:rsid wsp:val=&quot;67670484&quot;/&gt;&lt;wsp:rsid wsp:val=&quot;67672ABA&quot;/&gt;&lt;wsp:rsid wsp:val=&quot;676905E0&quot;/&gt;&lt;wsp:rsid wsp:val=&quot;67696832&quot;/&gt;&lt;wsp:rsid wsp:val=&quot;676A4358&quot;/&gt;&lt;wsp:rsid wsp:val=&quot;676A6106&quot;/&gt;&lt;wsp:rsid wsp:val=&quot;676B07FC&quot;/&gt;&lt;wsp:rsid wsp:val=&quot;676C00D0&quot;/&gt;&lt;wsp:rsid wsp:val=&quot;676F11D5&quot;/&gt;&lt;wsp:rsid wsp:val=&quot;676F196F&quot;/&gt;&lt;wsp:rsid wsp:val=&quot;67705236&quot;/&gt;&lt;wsp:rsid wsp:val=&quot;677403BA&quot;/&gt;&lt;wsp:rsid wsp:val=&quot;67746F85&quot;/&gt;&lt;wsp:rsid wsp:val=&quot;67753429&quot;/&gt;&lt;wsp:rsid wsp:val=&quot;677551D7&quot;/&gt;&lt;wsp:rsid wsp:val=&quot;67797A29&quot;/&gt;&lt;wsp:rsid wsp:val=&quot;677A33C6&quot;/&gt;&lt;wsp:rsid wsp:val=&quot;677B0314&quot;/&gt;&lt;wsp:rsid wsp:val=&quot;677B47B7&quot;/&gt;&lt;wsp:rsid wsp:val=&quot;677C605D&quot;/&gt;&lt;wsp:rsid wsp:val=&quot;677D22DE&quot;/&gt;&lt;wsp:rsid wsp:val=&quot;677D408C&quot;/&gt;&lt;wsp:rsid wsp:val=&quot;677F1C8E&quot;/&gt;&lt;wsp:rsid wsp:val=&quot;677F7E04&quot;/&gt;&lt;wsp:rsid wsp:val=&quot;6780592A&quot;/&gt;&lt;wsp:rsid wsp:val=&quot;6784541A&quot;/&gt;&lt;wsp:rsid wsp:val=&quot;67860D92&quot;/&gt;&lt;wsp:rsid wsp:val=&quot;678673E4&quot;/&gt;&lt;wsp:rsid wsp:val=&quot;6787315C&quot;/&gt;&lt;wsp:rsid wsp:val=&quot;67883263&quot;/&gt;&lt;wsp:rsid wsp:val=&quot;678834BD&quot;/&gt;&lt;wsp:rsid wsp:val=&quot;67892A30&quot;/&gt;&lt;wsp:rsid wsp:val=&quot;678A67A9&quot;/&gt;&lt;wsp:rsid wsp:val=&quot;678B49FB&quot;/&gt;&lt;wsp:rsid wsp:val=&quot;678E252D&quot;/&gt;&lt;wsp:rsid wsp:val=&quot;67902011&quot;/&gt;&lt;wsp:rsid wsp:val=&quot;679127AC&quot;/&gt;&lt;wsp:rsid wsp:val=&quot;67915D89&quot;/&gt;&lt;wsp:rsid wsp:val=&quot;679413D5&quot;/&gt;&lt;wsp:rsid wsp:val=&quot;679531A0&quot;/&gt;&lt;wsp:rsid wsp:val=&quot;6796514D&quot;/&gt;&lt;wsp:rsid wsp:val=&quot;67987117&quot;/&gt;&lt;wsp:rsid wsp:val=&quot;679A4C3E&quot;/&gt;&lt;wsp:rsid wsp:val=&quot;679A69EC&quot;/&gt;&lt;wsp:rsid wsp:val=&quot;679B1F3D&quot;/&gt;&lt;wsp:rsid wsp:val=&quot;679C2DC3&quot;/&gt;&lt;wsp:rsid wsp:val=&quot;679C6C08&quot;/&gt;&lt;wsp:rsid wsp:val=&quot;679D028A&quot;/&gt;&lt;wsp:rsid wsp:val=&quot;679D472E&quot;/&gt;&lt;wsp:rsid wsp:val=&quot;679D64DC&quot;/&gt;&lt;wsp:rsid wsp:val=&quot;679F02B4&quot;/&gt;&lt;wsp:rsid wsp:val=&quot;67A122A9&quot;/&gt;&lt;wsp:rsid wsp:val=&quot;67A127C2&quot;/&gt;&lt;wsp:rsid wsp:val=&quot;67A23AF2&quot;/&gt;&lt;wsp:rsid wsp:val=&quot;67A45ABC&quot;/&gt;&lt;wsp:rsid wsp:val=&quot;67A555B6&quot;/&gt;&lt;wsp:rsid wsp:val=&quot;67A61834&quot;/&gt;&lt;wsp:rsid wsp:val=&quot;67A84660&quot;/&gt;&lt;wsp:rsid wsp:val=&quot;67A91325&quot;/&gt;&lt;wsp:rsid wsp:val=&quot;67AA29A7&quot;/&gt;&lt;wsp:rsid wsp:val=&quot;67AC1177&quot;/&gt;&lt;wsp:rsid wsp:val=&quot;67AE1C1C&quot;/&gt;&lt;wsp:rsid wsp:val=&quot;67AE2497&quot;/&gt;&lt;wsp:rsid wsp:val=&quot;67AF1239&quot;/&gt;&lt;wsp:rsid wsp:val=&quot;67B0620F&quot;/&gt;&lt;wsp:rsid wsp:val=&quot;67B11F87&quot;/&gt;&lt;wsp:rsid wsp:val=&quot;67B51A77&quot;/&gt;&lt;wsp:rsid wsp:val=&quot;67B524DA&quot;/&gt;&lt;wsp:rsid wsp:val=&quot;67B6134C&quot;/&gt;&lt;wsp:rsid wsp:val=&quot;67B83777&quot;/&gt;&lt;wsp:rsid wsp:val=&quot;67B850C4&quot;/&gt;&lt;wsp:rsid wsp:val=&quot;67B918F5&quot;/&gt;&lt;wsp:rsid wsp:val=&quot;67BB4BB4&quot;/&gt;&lt;wsp:rsid wsp:val=&quot;67BC2E06&quot;/&gt;&lt;wsp:rsid wsp:val=&quot;67BF6452&quot;/&gt;&lt;wsp:rsid wsp:val=&quot;67C10A7D&quot;/&gt;&lt;wsp:rsid wsp:val=&quot;67C223E6&quot;/&gt;&lt;wsp:rsid wsp:val=&quot;67C43A69&quot;/&gt;&lt;wsp:rsid wsp:val=&quot;67C47F0C&quot;/&gt;&lt;wsp:rsid wsp:val=&quot;67C5088E&quot;/&gt;&lt;wsp:rsid wsp:val=&quot;67C61B84&quot;/&gt;&lt;wsp:rsid wsp:val=&quot;67C717AB&quot;/&gt;&lt;wsp:rsid wsp:val=&quot;67C8720F&quot;/&gt;&lt;wsp:rsid wsp:val=&quot;67CA3C10&quot;/&gt;&lt;wsp:rsid wsp:val=&quot;67CA4DF7&quot;/&gt;&lt;wsp:rsid wsp:val=&quot;67CB3049&quot;/&gt;&lt;wsp:rsid wsp:val=&quot;67CD770E&quot;/&gt;&lt;wsp:rsid wsp:val=&quot;67CE0D8B&quot;/&gt;&lt;wsp:rsid wsp:val=&quot;67CF405C&quot;/&gt;&lt;wsp:rsid wsp:val=&quot;67CF4511&quot;/&gt;&lt;wsp:rsid wsp:val=&quot;67CF5C52&quot;/&gt;&lt;wsp:rsid wsp:val=&quot;67D0065F&quot;/&gt;&lt;wsp:rsid wsp:val=&quot;67D22A2B&quot;/&gt;&lt;wsp:rsid wsp:val=&quot;67D35195&quot;/&gt;&lt;wsp:rsid wsp:val=&quot;67D35A63&quot;/&gt;&lt;wsp:rsid wsp:val=&quot;67D363A2&quot;/&gt;&lt;wsp:rsid wsp:val=&quot;67D87514&quot;/&gt;&lt;wsp:rsid wsp:val=&quot;67DA1624&quot;/&gt;&lt;wsp:rsid wsp:val=&quot;67DB0DB2&quot;/&gt;&lt;wsp:rsid wsp:val=&quot;67DD0FCE&quot;/&gt;&lt;wsp:rsid wsp:val=&quot;67E05496&quot;/&gt;&lt;wsp:rsid wsp:val=&quot;67E16926&quot;/&gt;&lt;wsp:rsid wsp:val=&quot;67E20393&quot;/&gt;&lt;wsp:rsid wsp:val=&quot;67E265E5&quot;/&gt;&lt;wsp:rsid wsp:val=&quot;67E4235D&quot;/&gt;&lt;wsp:rsid wsp:val=&quot;67E46F50&quot;/&gt;&lt;wsp:rsid wsp:val=&quot;67E51A4D&quot;/&gt;&lt;wsp:rsid wsp:val=&quot;67E57A45&quot;/&gt;&lt;wsp:rsid wsp:val=&quot;67E73BFB&quot;/&gt;&lt;wsp:rsid wsp:val=&quot;67E934CF&quot;/&gt;&lt;wsp:rsid wsp:val=&quot;67E97C88&quot;/&gt;&lt;wsp:rsid wsp:val=&quot;67EB36EB&quot;/&gt;&lt;wsp:rsid wsp:val=&quot;67EE31DB&quot;/&gt;&lt;wsp:rsid wsp:val=&quot;67EE4F89&quot;/&gt;&lt;wsp:rsid wsp:val=&quot;67F2247B&quot;/&gt;&lt;wsp:rsid wsp:val=&quot;67F22877&quot;/&gt;&lt;wsp:rsid wsp:val=&quot;67F51E74&quot;/&gt;&lt;wsp:rsid wsp:val=&quot;67F87BB6&quot;/&gt;&lt;wsp:rsid wsp:val=&quot;67FA3534&quot;/&gt;&lt;wsp:rsid wsp:val=&quot;67FA392E&quot;/&gt;&lt;wsp:rsid wsp:val=&quot;67FA56DC&quot;/&gt;&lt;wsp:rsid wsp:val=&quot;67FC76A6&quot;/&gt;&lt;wsp:rsid wsp:val=&quot;67FD6F7B&quot;/&gt;&lt;wsp:rsid wsp:val=&quot;67FF0F45&quot;/&gt;&lt;wsp:rsid wsp:val=&quot;67FF7197&quot;/&gt;&lt;wsp:rsid wsp:val=&quot;68012F0F&quot;/&gt;&lt;wsp:rsid wsp:val=&quot;680227E3&quot;/&gt;&lt;wsp:rsid wsp:val=&quot;6803682D&quot;/&gt;&lt;wsp:rsid wsp:val=&quot;68064081&quot;/&gt;&lt;wsp:rsid wsp:val=&quot;68071BA7&quot;/&gt;&lt;wsp:rsid wsp:val=&quot;68086659&quot;/&gt;&lt;wsp:rsid wsp:val=&quot;68091DC3&quot;/&gt;&lt;wsp:rsid wsp:val=&quot;68093B71&quot;/&gt;&lt;wsp:rsid wsp:val=&quot;68095B31&quot;/&gt;&lt;wsp:rsid wsp:val=&quot;680B78E9&quot;/&gt;&lt;wsp:rsid wsp:val=&quot;680C5410&quot;/&gt;&lt;wsp:rsid wsp:val=&quot;68104F00&quot;/&gt;&lt;wsp:rsid wsp:val=&quot;68120C78&quot;/&gt;&lt;wsp:rsid wsp:val=&quot;68126ECA&quot;/&gt;&lt;wsp:rsid wsp:val=&quot;68150768&quot;/&gt;&lt;wsp:rsid wsp:val=&quot;68172BC2&quot;/&gt;&lt;wsp:rsid wsp:val=&quot;681744E0&quot;/&gt;&lt;wsp:rsid wsp:val=&quot;68182006&quot;/&gt;&lt;wsp:rsid wsp:val=&quot;68183DB4&quot;/&gt;&lt;wsp:rsid wsp:val=&quot;681A7B2C&quot;/&gt;&lt;wsp:rsid wsp:val=&quot;681F3395&quot;/&gt;&lt;wsp:rsid wsp:val=&quot;681F6961&quot;/&gt;&lt;wsp:rsid wsp:val=&quot;6820312D&quot;/&gt;&lt;wsp:rsid wsp:val=&quot;68216989&quot;/&gt;&lt;wsp:rsid wsp:val=&quot;68224C33&quot;/&gt;&lt;wsp:rsid wsp:val=&quot;68246BFD&quot;/&gt;&lt;wsp:rsid wsp:val=&quot;6826129E&quot;/&gt;&lt;wsp:rsid wsp:val=&quot;68262FBC&quot;/&gt;&lt;wsp:rsid wsp:val=&quot;68264723&quot;/&gt;&lt;wsp:rsid wsp:val=&quot;68273FF7&quot;/&gt;&lt;wsp:rsid wsp:val=&quot;68282249&quot;/&gt;&lt;wsp:rsid wsp:val=&quot;68294213&quot;/&gt;&lt;wsp:rsid wsp:val=&quot;682A7955&quot;/&gt;&lt;wsp:rsid wsp:val=&quot;682B3AE8&quot;/&gt;&lt;wsp:rsid wsp:val=&quot;682B7A3B&quot;/&gt;&lt;wsp:rsid wsp:val=&quot;682C1C8B&quot;/&gt;&lt;wsp:rsid wsp:val=&quot;682D5AB2&quot;/&gt;&lt;wsp:rsid wsp:val=&quot;682D7860&quot;/&gt;&lt;wsp:rsid wsp:val=&quot;683055A2&quot;/&gt;&lt;wsp:rsid wsp:val=&quot;683243DC&quot;/&gt;&lt;wsp:rsid wsp:val=&quot;68334284&quot;/&gt;&lt;wsp:rsid wsp:val=&quot;683344CF&quot;/&gt;&lt;wsp:rsid wsp:val=&quot;68352BB8&quot;/&gt;&lt;wsp:rsid wsp:val=&quot;683536BE&quot;/&gt;&lt;wsp:rsid wsp:val=&quot;68354966&quot;/&gt;&lt;wsp:rsid wsp:val=&quot;68376930&quot;/&gt;&lt;wsp:rsid wsp:val=&quot;68394457&quot;/&gt;&lt;wsp:rsid wsp:val=&quot;683A1F7D&quot;/&gt;&lt;wsp:rsid wsp:val=&quot;683A3D2B&quot;/&gt;&lt;wsp:rsid wsp:val=&quot;683B7530&quot;/&gt;&lt;wsp:rsid wsp:val=&quot;683C7AA3&quot;/&gt;&lt;wsp:rsid wsp:val=&quot;683D06E9&quot;/&gt;&lt;wsp:rsid wsp:val=&quot;683E1A6D&quot;/&gt;&lt;wsp:rsid wsp:val=&quot;683E7CBF&quot;/&gt;&lt;wsp:rsid wsp:val=&quot;683F3A37&quot;/&gt;&lt;wsp:rsid wsp:val=&quot;683F57E5&quot;/&gt;&lt;wsp:rsid wsp:val=&quot;6841330B&quot;/&gt;&lt;wsp:rsid wsp:val=&quot;68420E31&quot;/&gt;&lt;wsp:rsid wsp:val=&quot;684352D5&quot;/&gt;&lt;wsp:rsid wsp:val=&quot;6844104D&quot;/&gt;&lt;wsp:rsid wsp:val=&quot;68442DFB&quot;/&gt;&lt;wsp:rsid wsp:val=&quot;68444BA9&quot;/&gt;&lt;wsp:rsid wsp:val=&quot;68464DC5&quot;/&gt;&lt;wsp:rsid wsp:val=&quot;68465D84&quot;/&gt;&lt;wsp:rsid wsp:val=&quot;6848194D&quot;/&gt;&lt;wsp:rsid wsp:val=&quot;684828EC&quot;/&gt;&lt;wsp:rsid wsp:val=&quot;6848469A&quot;/&gt;&lt;wsp:rsid wsp:val=&quot;68490DD6&quot;/&gt;&lt;wsp:rsid wsp:val=&quot;684B23DC&quot;/&gt;&lt;wsp:rsid wsp:val=&quot;684B418A&quot;/&gt;&lt;wsp:rsid wsp:val=&quot;684D2FFA&quot;/&gt;&lt;wsp:rsid wsp:val=&quot;6853303E&quot;/&gt;&lt;wsp:rsid wsp:val=&quot;68594AF9&quot;/&gt;&lt;wsp:rsid wsp:val=&quot;685968A7&quot;/&gt;&lt;wsp:rsid wsp:val=&quot;685C1945&quot;/&gt;&lt;wsp:rsid wsp:val=&quot;685F7F2A&quot;/&gt;&lt;wsp:rsid wsp:val=&quot;68610A2F&quot;/&gt;&lt;wsp:rsid wsp:val=&quot;6861575B&quot;/&gt;&lt;wsp:rsid wsp:val=&quot;686314D3&quot;/&gt;&lt;wsp:rsid wsp:val=&quot;68637725&quot;/&gt;&lt;wsp:rsid wsp:val=&quot;6865349E&quot;/&gt;&lt;wsp:rsid wsp:val=&quot;68660FC4&quot;/&gt;&lt;wsp:rsid wsp:val=&quot;686B1B0F&quot;/&gt;&lt;wsp:rsid wsp:val=&quot;686C7991&quot;/&gt;&lt;wsp:rsid wsp:val=&quot;686F7E78&quot;/&gt;&lt;wsp:rsid wsp:val=&quot;687215ED&quot;/&gt;&lt;wsp:rsid wsp:val=&quot;687409E3&quot;/&gt;&lt;wsp:rsid wsp:val=&quot;68751207&quot;/&gt;&lt;wsp:rsid wsp:val=&quot;68784853&quot;/&gt;&lt;wsp:rsid wsp:val=&quot;687C07E7&quot;/&gt;&lt;wsp:rsid wsp:val=&quot;687C4343&quot;/&gt;&lt;wsp:rsid wsp:val=&quot;687E455F&quot;/&gt;&lt;wsp:rsid wsp:val=&quot;687F20A7&quot;/&gt;&lt;wsp:rsid wsp:val=&quot;68805514&quot;/&gt;&lt;wsp:rsid wsp:val=&quot;6881195A&quot;/&gt;&lt;wsp:rsid wsp:val=&quot;68862E7C&quot;/&gt;&lt;wsp:rsid wsp:val=&quot;68880F3A&quot;/&gt;&lt;wsp:rsid wsp:val=&quot;68896A60&quot;/&gt;&lt;wsp:rsid wsp:val=&quot;688A1A85&quot;/&gt;&lt;wsp:rsid wsp:val=&quot;688A2F04&quot;/&gt;&lt;wsp:rsid wsp:val=&quot;688B0A2A&quot;/&gt;&lt;wsp:rsid wsp:val=&quot;688D02FE&quot;/&gt;&lt;wsp:rsid wsp:val=&quot;688D47A2&quot;/&gt;&lt;wsp:rsid wsp:val=&quot;688D6550&quot;/&gt;&lt;wsp:rsid wsp:val=&quot;688F37C9&quot;/&gt;&lt;wsp:rsid wsp:val=&quot;688F6A1C&quot;/&gt;&lt;wsp:rsid wsp:val=&quot;68910A8B&quot;/&gt;&lt;wsp:rsid wsp:val=&quot;68923B67&quot;/&gt;&lt;wsp:rsid wsp:val=&quot;68945B31&quot;/&gt;&lt;wsp:rsid wsp:val=&quot;68946CAB&quot;/&gt;&lt;wsp:rsid wsp:val=&quot;68953657&quot;/&gt;&lt;wsp:rsid wsp:val=&quot;68955405&quot;/&gt;&lt;wsp:rsid wsp:val=&quot;6896419C&quot;/&gt;&lt;wsp:rsid wsp:val=&quot;68975621&quot;/&gt;&lt;wsp:rsid wsp:val=&quot;68996CA3&quot;/&gt;&lt;wsp:rsid wsp:val=&quot;689E42BA&quot;/&gt;&lt;wsp:rsid wsp:val=&quot;689E7704&quot;/&gt;&lt;wsp:rsid wsp:val=&quot;68A044D6&quot;/&gt;&lt;wsp:rsid wsp:val=&quot;68A1024E&quot;/&gt;&lt;wsp:rsid wsp:val=&quot;68A11FFC&quot;/&gt;&lt;wsp:rsid wsp:val=&quot;68A338A0&quot;/&gt;&lt;wsp:rsid wsp:val=&quot;68A35D74&quot;/&gt;&lt;wsp:rsid wsp:val=&quot;68A43D86&quot;/&gt;&lt;wsp:rsid wsp:val=&quot;68A51AEC&quot;/&gt;&lt;wsp:rsid wsp:val=&quot;68A613C0&quot;/&gt;&lt;wsp:rsid wsp:val=&quot;68AB69D7&quot;/&gt;&lt;wsp:rsid wsp:val=&quot;68AF296B&quot;/&gt;&lt;wsp:rsid wsp:val=&quot;68AF32AA&quot;/&gt;&lt;wsp:rsid wsp:val=&quot;68AF4719&quot;/&gt;&lt;wsp:rsid wsp:val=&quot;68B00491&quot;/&gt;&lt;wsp:rsid wsp:val=&quot;68B166E3&quot;/&gt;&lt;wsp:rsid wsp:val=&quot;68B16EE8&quot;/&gt;&lt;wsp:rsid wsp:val=&quot;68B27D65&quot;/&gt;&lt;wsp:rsid wsp:val=&quot;68B63F43&quot;/&gt;&lt;wsp:rsid wsp:val=&quot;68B65AA7&quot;/&gt;&lt;wsp:rsid wsp:val=&quot;68B834D5&quot;/&gt;&lt;wsp:rsid wsp:val=&quot;68B84965&quot;/&gt;&lt;wsp:rsid wsp:val=&quot;68B95597&quot;/&gt;&lt;wsp:rsid wsp:val=&quot;68B95DF5&quot;/&gt;&lt;wsp:rsid wsp:val=&quot;68B97345&quot;/&gt;&lt;wsp:rsid wsp:val=&quot;68BA4E6C&quot;/&gt;&lt;wsp:rsid wsp:val=&quot;68BB30BE&quot;/&gt;&lt;wsp:rsid wsp:val=&quot;68BC0BE4&quot;/&gt;&lt;wsp:rsid wsp:val=&quot;68BC32E6&quot;/&gt;&lt;wsp:rsid wsp:val=&quot;68BC5088&quot;/&gt;&lt;wsp:rsid wsp:val=&quot;68BC531B&quot;/&gt;&lt;wsp:rsid wsp:val=&quot;68BC6E36&quot;/&gt;&lt;wsp:rsid wsp:val=&quot;68BE2BAE&quot;/&gt;&lt;wsp:rsid wsp:val=&quot;68BF2482&quot;/&gt;&lt;wsp:rsid wsp:val=&quot;68C06926&quot;/&gt;&lt;wsp:rsid wsp:val=&quot;68C36416&quot;/&gt;&lt;wsp:rsid wsp:val=&quot;68C57892&quot;/&gt;&lt;wsp:rsid wsp:val=&quot;68C74A62&quot;/&gt;&lt;wsp:rsid wsp:val=&quot;68C81889&quot;/&gt;&lt;wsp:rsid wsp:val=&quot;68CB194B&quot;/&gt;&lt;wsp:rsid wsp:val=&quot;68CC52CB&quot;/&gt;&lt;wsp:rsid wsp:val=&quot;68CD1043&quot;/&gt;&lt;wsp:rsid wsp:val=&quot;68CF4DBB&quot;/&gt;&lt;wsp:rsid wsp:val=&quot;68CF6B69&quot;/&gt;&lt;wsp:rsid wsp:val=&quot;68CF6B8B&quot;/&gt;&lt;wsp:rsid wsp:val=&quot;68D128E1&quot;/&gt;&lt;wsp:rsid wsp:val=&quot;68D16026&quot;/&gt;&lt;wsp:rsid wsp:val=&quot;68D20407&quot;/&gt;&lt;wsp:rsid wsp:val=&quot;68D221B5&quot;/&gt;&lt;wsp:rsid wsp:val=&quot;68D2550C&quot;/&gt;&lt;wsp:rsid wsp:val=&quot;68D423D1&quot;/&gt;&lt;wsp:rsid wsp:val=&quot;68D66149&quot;/&gt;&lt;wsp:rsid wsp:val=&quot;68D67EF7&quot;/&gt;&lt;wsp:rsid wsp:val=&quot;68D83F4F&quot;/&gt;&lt;wsp:rsid wsp:val=&quot;68D93544&quot;/&gt;&lt;wsp:rsid wsp:val=&quot;68DB3760&quot;/&gt;&lt;wsp:rsid wsp:val=&quot;68DB550E&quot;/&gt;&lt;wsp:rsid wsp:val=&quot;68DB72BC&quot;/&gt;&lt;wsp:rsid wsp:val=&quot;68DC1286&quot;/&gt;&lt;wsp:rsid wsp:val=&quot;68DC4DE2&quot;/&gt;&lt;wsp:rsid wsp:val=&quot;68DD3D60&quot;/&gt;&lt;wsp:rsid wsp:val=&quot;68DE0B5A&quot;/&gt;&lt;wsp:rsid wsp:val=&quot;68E1064A&quot;/&gt;&lt;wsp:rsid wsp:val=&quot;68E1689C&quot;/&gt;&lt;wsp:rsid wsp:val=&quot;68E320A9&quot;/&gt;&lt;wsp:rsid wsp:val=&quot;68E343C2&quot;/&gt;&lt;wsp:rsid wsp:val=&quot;68E5013A&quot;/&gt;&lt;wsp:rsid wsp:val=&quot;68E51EE8&quot;/&gt;&lt;wsp:rsid wsp:val=&quot;68EA39A3&quot;/&gt;&lt;wsp:rsid wsp:val=&quot;68EC771B&quot;/&gt;&lt;wsp:rsid wsp:val=&quot;68ED3493&quot;/&gt;&lt;wsp:rsid wsp:val=&quot;68EF08E9&quot;/&gt;&lt;wsp:rsid wsp:val=&quot;68EF4B15&quot;/&gt;&lt;wsp:rsid wsp:val=&quot;68EF720B&quot;/&gt;&lt;wsp:rsid wsp:val=&quot;68F03A70&quot;/&gt;&lt;wsp:rsid wsp:val=&quot;68F16ADF&quot;/&gt;&lt;wsp:rsid wsp:val=&quot;68F31B06&quot;/&gt;&lt;wsp:rsid wsp:val=&quot;68F34846&quot;/&gt;&lt;wsp:rsid wsp:val=&quot;68F35F86&quot;/&gt;&lt;wsp:rsid wsp:val=&quot;68F47416&quot;/&gt;&lt;wsp:rsid wsp:val=&quot;68F55EA4&quot;/&gt;&lt;wsp:rsid wsp:val=&quot;68F66048&quot;/&gt;&lt;wsp:rsid wsp:val=&quot;68F71B4A&quot;/&gt;&lt;wsp:rsid wsp:val=&quot;68F800AA&quot;/&gt;&lt;wsp:rsid wsp:val=&quot;68F91E38&quot;/&gt;&lt;wsp:rsid wsp:val=&quot;68FB170C&quot;/&gt;&lt;wsp:rsid wsp:val=&quot;68FB5BB0&quot;/&gt;&lt;wsp:rsid wsp:val=&quot;68FD36D6&quot;/&gt;&lt;wsp:rsid wsp:val=&quot;69012A9A&quot;/&gt;&lt;wsp:rsid wsp:val=&quot;6903064C&quot;/&gt;&lt;wsp:rsid wsp:val=&quot;69036813&quot;/&gt;&lt;wsp:rsid wsp:val=&quot;6905258B&quot;/&gt;&lt;wsp:rsid wsp:val=&quot;690600B1&quot;/&gt;&lt;wsp:rsid wsp:val=&quot;69076303&quot;/&gt;&lt;wsp:rsid wsp:val=&quot;69076D25&quot;/&gt;&lt;wsp:rsid wsp:val=&quot;6908207B&quot;/&gt;&lt;wsp:rsid wsp:val=&quot;690E58E3&quot;/&gt;&lt;wsp:rsid wsp:val=&quot;690F3409&quot;/&gt;&lt;wsp:rsid wsp:val=&quot;690F401E&quot;/&gt;&lt;wsp:rsid wsp:val=&quot;69110F2F&quot;/&gt;&lt;wsp:rsid wsp:val=&quot;69112693&quot;/&gt;&lt;wsp:rsid wsp:val=&quot;69112CDD&quot;/&gt;&lt;wsp:rsid wsp:val=&quot;69126A56&quot;/&gt;&lt;wsp:rsid wsp:val=&quot;691722BE&quot;/&gt;&lt;wsp:rsid wsp:val=&quot;6917406C&quot;/&gt;&lt;wsp:rsid wsp:val=&quot;69174D42&quot;/&gt;&lt;wsp:rsid wsp:val=&quot;69197DE4&quot;/&gt;&lt;wsp:rsid wsp:val=&quot;691E2683&quot;/&gt;&lt;wsp:rsid wsp:val=&quot;691E5254&quot;/&gt;&lt;wsp:rsid wsp:val=&quot;691E6DF0&quot;/&gt;&lt;wsp:rsid wsp:val=&quot;692073C4&quot;/&gt;&lt;wsp:rsid wsp:val=&quot;69216C99&quot;/&gt;&lt;wsp:rsid wsp:val=&quot;69236EB5&quot;/&gt;&lt;wsp:rsid wsp:val=&quot;69256789&quot;/&gt;&lt;wsp:rsid wsp:val=&quot;69260A8E&quot;/&gt;&lt;wsp:rsid wsp:val=&quot;692613ED&quot;/&gt;&lt;wsp:rsid wsp:val=&quot;69270753&quot;/&gt;&lt;wsp:rsid wsp:val=&quot;692844CB&quot;/&gt;&lt;wsp:rsid wsp:val=&quot;69286279&quot;/&gt;&lt;wsp:rsid wsp:val=&quot;692A1FF1&quot;/&gt;&lt;wsp:rsid wsp:val=&quot;692C3FBB&quot;/&gt;&lt;wsp:rsid wsp:val=&quot;692C6117&quot;/&gt;&lt;wsp:rsid wsp:val=&quot;692C7B17&quot;/&gt;&lt;wsp:rsid wsp:val=&quot;692D4EA0&quot;/&gt;&lt;wsp:rsid wsp:val=&quot;692E7D33&quot;/&gt;&lt;wsp:rsid wsp:val=&quot;692F7608&quot;/&gt;&lt;wsp:rsid wsp:val=&quot;69303AE6&quot;/&gt;&lt;wsp:rsid wsp:val=&quot;69307669&quot;/&gt;&lt;wsp:rsid wsp:val=&quot;693115D2&quot;/&gt;&lt;wsp:rsid wsp:val=&quot;69316E2F&quot;/&gt;&lt;wsp:rsid wsp:val=&quot;6933184E&quot;/&gt;&lt;wsp:rsid wsp:val=&quot;6933450B&quot;/&gt;&lt;wsp:rsid wsp:val=&quot;693370F8&quot;/&gt;&lt;wsp:rsid wsp:val=&quot;693469CC&quot;/&gt;&lt;wsp:rsid wsp:val=&quot;693571DC&quot;/&gt;&lt;wsp:rsid wsp:val=&quot;6936536D&quot;/&gt;&lt;wsp:rsid wsp:val=&quot;69366BE8&quot;/&gt;&lt;wsp:rsid wsp:val=&quot;69390486&quot;/&gt;&lt;wsp:rsid wsp:val=&quot;6939645A&quot;/&gt;&lt;wsp:rsid wsp:val=&quot;693C3AD3&quot;/&gt;&lt;wsp:rsid wsp:val=&quot;693D1D24&quot;/&gt;&lt;wsp:rsid wsp:val=&quot;693D7F76&quot;/&gt;&lt;wsp:rsid wsp:val=&quot;693E5A9D&quot;/&gt;&lt;wsp:rsid wsp:val=&quot;694035C3&quot;/&gt;&lt;wsp:rsid wsp:val=&quot;6942558D&quot;/&gt;&lt;wsp:rsid wsp:val=&quot;694330B3&quot;/&gt;&lt;wsp:rsid wsp:val=&quot;69442264&quot;/&gt;&lt;wsp:rsid wsp:val=&quot;6945507D&quot;/&gt;&lt;wsp:rsid wsp:val=&quot;69456E2B&quot;/&gt;&lt;wsp:rsid wsp:val=&quot;69457813&quot;/&gt;&lt;wsp:rsid wsp:val=&quot;69474951&quot;/&gt;&lt;wsp:rsid wsp:val=&quot;69482477&quot;/&gt;&lt;wsp:rsid wsp:val=&quot;69484834&quot;/&gt;&lt;wsp:rsid wsp:val=&quot;694876AE&quot;/&gt;&lt;wsp:rsid wsp:val=&quot;6949691B&quot;/&gt;&lt;wsp:rsid wsp:val=&quot;694A2693&quot;/&gt;&lt;wsp:rsid wsp:val=&quot;694B4F8E&quot;/&gt;&lt;wsp:rsid wsp:val=&quot;694C1F68&quot;/&gt;&lt;wsp:rsid wsp:val=&quot;694C3FC0&quot;/&gt;&lt;wsp:rsid wsp:val=&quot;694C5DD3&quot;/&gt;&lt;wsp:rsid wsp:val=&quot;694E000D&quot;/&gt;&lt;wsp:rsid wsp:val=&quot;694E2071&quot;/&gt;&lt;wsp:rsid wsp:val=&quot;694F1A58&quot;/&gt;&lt;wsp:rsid wsp:val=&quot;694F334A&quot;/&gt;&lt;wsp:rsid wsp:val=&quot;694F4082&quot;/&gt;&lt;wsp:rsid wsp:val=&quot;69531548&quot;/&gt;&lt;wsp:rsid wsp:val=&quot;6953779A&quot;/&gt;&lt;wsp:rsid wsp:val=&quot;69562DE6&quot;/&gt;&lt;wsp:rsid wsp:val=&quot;69564B94&quot;/&gt;&lt;wsp:rsid wsp:val=&quot;69584DB0&quot;/&gt;&lt;wsp:rsid wsp:val=&quot;69586450&quot;/&gt;&lt;wsp:rsid wsp:val=&quot;69586B5E&quot;/&gt;&lt;wsp:rsid wsp:val=&quot;695928D6&quot;/&gt;&lt;wsp:rsid wsp:val=&quot;69594684&quot;/&gt;&lt;wsp:rsid wsp:val=&quot;69597D05&quot;/&gt;&lt;wsp:rsid wsp:val=&quot;695B03FD&quot;/&gt;&lt;wsp:rsid wsp:val=&quot;695B1E07&quot;/&gt;&lt;wsp:rsid wsp:val=&quot;695B664F&quot;/&gt;&lt;wsp:rsid wsp:val=&quot;695D23C7&quot;/&gt;&lt;wsp:rsid wsp:val=&quot;695E1C9B&quot;/&gt;&lt;wsp:rsid wsp:val=&quot;695E7EED&quot;/&gt;&lt;wsp:rsid wsp:val=&quot;69623539&quot;/&gt;&lt;wsp:rsid wsp:val=&quot;69624685&quot;/&gt;&lt;wsp:rsid wsp:val=&quot;69627926&quot;/&gt;&lt;wsp:rsid wsp:val=&quot;69635503&quot;/&gt;&lt;wsp:rsid wsp:val=&quot;69646650&quot;/&gt;&lt;wsp:rsid wsp:val=&quot;69670B4F&quot;/&gt;&lt;wsp:rsid wsp:val=&quot;69676DA1&quot;/&gt;&lt;wsp:rsid wsp:val=&quot;696848C8&quot;/&gt;&lt;wsp:rsid wsp:val=&quot;69692B1A&quot;/&gt;&lt;wsp:rsid wsp:val=&quot;696C204E&quot;/&gt;&lt;wsp:rsid wsp:val=&quot;696D617A&quot;/&gt;&lt;wsp:rsid wsp:val=&quot;696E0130&quot;/&gt;&lt;wsp:rsid wsp:val=&quot;696E6382&quot;/&gt;&lt;wsp:rsid wsp:val=&quot;696F5C56&quot;/&gt;&lt;wsp:rsid wsp:val=&quot;697119CE&quot;/&gt;&lt;wsp:rsid wsp:val=&quot;69717C20&quot;/&gt;&lt;wsp:rsid wsp:val=&quot;697414BE&quot;/&gt;&lt;wsp:rsid wsp:val=&quot;6974326C&quot;/&gt;&lt;wsp:rsid wsp:val=&quot;69747710&quot;/&gt;&lt;wsp:rsid wsp:val=&quot;69754EBD&quot;/&gt;&lt;wsp:rsid wsp:val=&quot;69766163&quot;/&gt;&lt;wsp:rsid wsp:val=&quot;697706BC&quot;/&gt;&lt;wsp:rsid wsp:val=&quot;69780FAF&quot;/&gt;&lt;wsp:rsid wsp:val=&quot;69787200&quot;/&gt;&lt;wsp:rsid wsp:val=&quot;69790883&quot;/&gt;&lt;wsp:rsid wsp:val=&quot;697A3B33&quot;/&gt;&lt;wsp:rsid wsp:val=&quot;697B1C0E&quot;/&gt;&lt;wsp:rsid wsp:val=&quot;697B3329&quot;/&gt;&lt;wsp:rsid wsp:val=&quot;697B45FB&quot;/&gt;&lt;wsp:rsid wsp:val=&quot;697D0373&quot;/&gt;&lt;wsp:rsid wsp:val=&quot;698060B5&quot;/&gt;&lt;wsp:rsid wsp:val=&quot;69823BDB&quot;/&gt;&lt;wsp:rsid wsp:val=&quot;698257CF&quot;/&gt;&lt;wsp:rsid wsp:val=&quot;69841830&quot;/&gt;&lt;wsp:rsid wsp:val=&quot;69847FBD&quot;/&gt;&lt;wsp:rsid wsp:val=&quot;69877444&quot;/&gt;&lt;wsp:rsid wsp:val=&quot;698931BC&quot;/&gt;&lt;wsp:rsid wsp:val=&quot;69894F6A&quot;/&gt;&lt;wsp:rsid wsp:val=&quot;698A2A90&quot;/&gt;&lt;wsp:rsid wsp:val=&quot;698C05B6&quot;/&gt;&lt;wsp:rsid wsp:val=&quot;698E432E&quot;/&gt;&lt;wsp:rsid wsp:val=&quot;69933ADF&quot;/&gt;&lt;wsp:rsid wsp:val=&quot;6994390F&quot;/&gt;&lt;wsp:rsid wsp:val=&quot;69967687&quot;/&gt;&lt;wsp:rsid wsp:val=&quot;69990F25&quot;/&gt;&lt;wsp:rsid wsp:val=&quot;69992CD3&quot;/&gt;&lt;wsp:rsid wsp:val=&quot;699B4C9D&quot;/&gt;&lt;wsp:rsid wsp:val=&quot;699C0FE7&quot;/&gt;&lt;wsp:rsid wsp:val=&quot;699C1B1D&quot;/&gt;&lt;wsp:rsid wsp:val=&quot;699C25E5&quot;/&gt;&lt;wsp:rsid wsp:val=&quot;699D27C3&quot;/&gt;&lt;wsp:rsid wsp:val=&quot;699E7ECE&quot;/&gt;&lt;wsp:rsid wsp:val=&quot;69A022B3&quot;/&gt;&lt;wsp:rsid wsp:val=&quot;69A04061&quot;/&gt;&lt;wsp:rsid wsp:val=&quot;69A1303B&quot;/&gt;&lt;wsp:rsid wsp:val=&quot;69A51678&quot;/&gt;&lt;wsp:rsid wsp:val=&quot;69A52045&quot;/&gt;&lt;wsp:rsid wsp:val=&quot;69A62E9E&quot;/&gt;&lt;wsp:rsid wsp:val=&quot;69A73255&quot;/&gt;&lt;wsp:rsid wsp:val=&quot;69A73642&quot;/&gt;&lt;wsp:rsid wsp:val=&quot;69A91168&quot;/&gt;&lt;wsp:rsid wsp:val=&quot;69AA4EE0&quot;/&gt;&lt;wsp:rsid wsp:val=&quot;69AC2A06&quot;/&gt;&lt;wsp:rsid wsp:val=&quot;69AD1ECC&quot;/&gt;&lt;wsp:rsid wsp:val=&quot;69AE2C22&quot;/&gt;&lt;wsp:rsid wsp:val=&quot;69AE677E&quot;/&gt;&lt;wsp:rsid wsp:val=&quot;69AF24F6&quot;/&gt;&lt;wsp:rsid wsp:val=&quot;69B23F98&quot;/&gt;&lt;wsp:rsid wsp:val=&quot;69B41D9F&quot;/&gt;&lt;wsp:rsid wsp:val=&quot;69B47B0D&quot;/&gt;&lt;wsp:rsid wsp:val=&quot;69B61AD7&quot;/&gt;&lt;wsp:rsid wsp:val=&quot;69B63885&quot;/&gt;&lt;wsp:rsid wsp:val=&quot;69B875FD&quot;/&gt;&lt;wsp:rsid wsp:val=&quot;69BC1994&quot;/&gt;&lt;wsp:rsid wsp:val=&quot;69BC5AB8&quot;/&gt;&lt;wsp:rsid wsp:val=&quot;69BD4C13&quot;/&gt;&lt;wsp:rsid wsp:val=&quot;69BE2739&quot;/&gt;&lt;wsp:rsid wsp:val=&quot;69BE5A22&quot;/&gt;&lt;wsp:rsid wsp:val=&quot;69C02956&quot;/&gt;&lt;wsp:rsid wsp:val=&quot;69C2222A&quot;/&gt;&lt;wsp:rsid wsp:val=&quot;69C45FA2&quot;/&gt;&lt;wsp:rsid wsp:val=&quot;69C51D1A&quot;/&gt;&lt;wsp:rsid wsp:val=&quot;69C537C3&quot;/&gt;&lt;wsp:rsid wsp:val=&quot;69C62FCC&quot;/&gt;&lt;wsp:rsid wsp:val=&quot;69C67F6C&quot;/&gt;&lt;wsp:rsid wsp:val=&quot;69C80215&quot;/&gt;&lt;wsp:rsid wsp:val=&quot;69C9180A&quot;/&gt;&lt;wsp:rsid wsp:val=&quot;69C935B8&quot;/&gt;&lt;wsp:rsid wsp:val=&quot;69CA13F4&quot;/&gt;&lt;wsp:rsid wsp:val=&quot;69CA7330&quot;/&gt;&lt;wsp:rsid wsp:val=&quot;69CB5582&quot;/&gt;&lt;wsp:rsid wsp:val=&quot;69CC30A8&quot;/&gt;&lt;wsp:rsid wsp:val=&quot;69CC4E56&quot;/&gt;&lt;wsp:rsid wsp:val=&quot;69CC6A0F&quot;/&gt;&lt;wsp:rsid wsp:val=&quot;69CD5CFD&quot;/&gt;&lt;wsp:rsid wsp:val=&quot;69CE5072&quot;/&gt;&lt;wsp:rsid wsp:val=&quot;69D02B99&quot;/&gt;&lt;wsp:rsid wsp:val=&quot;69D23E98&quot;/&gt;&lt;wsp:rsid wsp:val=&quot;69D361E5&quot;/&gt;&lt;wsp:rsid wsp:val=&quot;69D41F5D&quot;/&gt;&lt;wsp:rsid wsp:val=&quot;69D44760&quot;/&gt;&lt;wsp:rsid wsp:val=&quot;69D56401&quot;/&gt;&lt;wsp:rsid wsp:val=&quot;69D57C48&quot;/&gt;&lt;wsp:rsid wsp:val=&quot;69D739F8&quot;/&gt;&lt;wsp:rsid wsp:val=&quot;69D837FB&quot;/&gt;&lt;wsp:rsid wsp:val=&quot;69D87C9F&quot;/&gt;&lt;wsp:rsid wsp:val=&quot;69D92DC0&quot;/&gt;&lt;wsp:rsid wsp:val=&quot;69DA2D2B&quot;/&gt;&lt;wsp:rsid wsp:val=&quot;69DA7573&quot;/&gt;&lt;wsp:rsid wsp:val=&quot;69DC2968&quot;/&gt;&lt;wsp:rsid wsp:val=&quot;69DD52B6&quot;/&gt;&lt;wsp:rsid wsp:val=&quot;69DF38CB&quot;/&gt;&lt;wsp:rsid wsp:val=&quot;69E043AA&quot;/&gt;&lt;wsp:rsid wsp:val=&quot;69E228CC&quot;/&gt;&lt;wsp:rsid wsp:val=&quot;69E41409&quot;/&gt;&lt;wsp:rsid wsp:val=&quot;69E421A0&quot;/&gt;&lt;wsp:rsid wsp:val=&quot;69E44896&quot;/&gt;&lt;wsp:rsid wsp:val=&quot;69E55F18&quot;/&gt;&lt;wsp:rsid wsp:val=&quot;69E76134&quot;/&gt;&lt;wsp:rsid wsp:val=&quot;69E860BE&quot;/&gt;&lt;wsp:rsid wsp:val=&quot;69E91EAC&quot;/&gt;&lt;wsp:rsid wsp:val=&quot;69E9754E&quot;/&gt;&lt;wsp:rsid wsp:val=&quot;69EB36E1&quot;/&gt;&lt;wsp:rsid wsp:val=&quot;69EC32FE&quot;/&gt;&lt;wsp:rsid wsp:val=&quot;69EC374B&quot;/&gt;&lt;wsp:rsid wsp:val=&quot;69EC72A7&quot;/&gt;&lt;wsp:rsid wsp:val=&quot;69EE07EF&quot;/&gt;&lt;wsp:rsid wsp:val=&quot;69EE301F&quot;/&gt;&lt;wsp:rsid wsp:val=&quot;69F04FE9&quot;/&gt;&lt;wsp:rsid wsp:val=&quot;69F12B0F&quot;/&gt;&lt;wsp:rsid wsp:val=&quot;69F34AD9&quot;/&gt;&lt;wsp:rsid wsp:val=&quot;69F36887&quot;/&gt;&lt;wsp:rsid wsp:val=&quot;69F37393&quot;/&gt;&lt;wsp:rsid wsp:val=&quot;69F50851&quot;/&gt;&lt;wsp:rsid wsp:val=&quot;69F60125&quot;/&gt;&lt;wsp:rsid wsp:val=&quot;69F66377&quot;/&gt;&lt;wsp:rsid wsp:val=&quot;69F745C9&quot;/&gt;&lt;wsp:rsid wsp:val=&quot;69FA0715&quot;/&gt;&lt;wsp:rsid wsp:val=&quot;69FB0ACA&quot;/&gt;&lt;wsp:rsid wsp:val=&quot;69FB2DF3&quot;/&gt;&lt;wsp:rsid wsp:val=&quot;69FB573C&quot;/&gt;&lt;wsp:rsid wsp:val=&quot;69FC4283&quot;/&gt;&lt;wsp:rsid wsp:val=&quot;69FD14B4&quot;/&gt;&lt;wsp:rsid wsp:val=&quot;69FD7706&quot;/&gt;&lt;wsp:rsid wsp:val=&quot;69FF347E&quot;/&gt;&lt;wsp:rsid wsp:val=&quot;69FF522C&quot;/&gt;&lt;wsp:rsid wsp:val=&quot;69FF6FDA&quot;/&gt;&lt;wsp:rsid wsp:val=&quot;6A002C04&quot;/&gt;&lt;wsp:rsid wsp:val=&quot;6A002C61&quot;/&gt;&lt;wsp:rsid wsp:val=&quot;6A002D52&quot;/&gt;&lt;wsp:rsid wsp:val=&quot;6A022F6E&quot;/&gt;&lt;wsp:rsid wsp:val=&quot;6A026ACA&quot;/&gt;&lt;wsp:rsid wsp:val=&quot;6A0445F0&quot;/&gt;&lt;wsp:rsid wsp:val=&quot;6A0665BA&quot;/&gt;&lt;wsp:rsid wsp:val=&quot;6A0740E0&quot;/&gt;&lt;wsp:rsid wsp:val=&quot;6A0942FC&quot;/&gt;&lt;wsp:rsid wsp:val=&quot;6A097E59&quot;/&gt;&lt;wsp:rsid wsp:val=&quot;6A0A597F&quot;/&gt;&lt;wsp:rsid wsp:val=&quot;6A0E1913&quot;/&gt;&lt;wsp:rsid wsp:val=&quot;6A0E36C1&quot;/&gt;&lt;wsp:rsid wsp:val=&quot;6A0E7063&quot;/&gt;&lt;wsp:rsid wsp:val=&quot;6A102F95&quot;/&gt;&lt;wsp:rsid wsp:val=&quot;6A1052CA&quot;/&gt;&lt;wsp:rsid wsp:val=&quot;6A136F29&quot;/&gt;&lt;wsp:rsid wsp:val=&quot;6A154A4F&quot;/&gt;&lt;wsp:rsid wsp:val=&quot;6A162576&quot;/&gt;&lt;wsp:rsid wsp:val=&quot;6A1707C7&quot;/&gt;&lt;wsp:rsid wsp:val=&quot;6A18009C&quot;/&gt;&lt;wsp:rsid wsp:val=&quot;6A1A02B8&quot;/&gt;&lt;wsp:rsid wsp:val=&quot;6A1A2066&quot;/&gt;&lt;wsp:rsid wsp:val=&quot;6A1C5DDE&quot;/&gt;&lt;wsp:rsid wsp:val=&quot;6A1D6ADE&quot;/&gt;&lt;wsp:rsid wsp:val=&quot;6A1F652A&quot;/&gt;&lt;wsp:rsid wsp:val=&quot;6A203D51&quot;/&gt;&lt;wsp:rsid wsp:val=&quot;6A204463&quot;/&gt;&lt;wsp:rsid wsp:val=&quot;6A2048FC&quot;/&gt;&lt;wsp:rsid wsp:val=&quot;6A2151A2&quot;/&gt;&lt;wsp:rsid wsp:val=&quot;6A215566&quot;/&gt;&lt;wsp:rsid wsp:val=&quot;6A233AA2&quot;/&gt;&lt;wsp:rsid wsp:val=&quot;6A242EE4&quot;/&gt;&lt;wsp:rsid wsp:val=&quot;6A244C92&quot;/&gt;&lt;wsp:rsid wsp:val=&quot;6A246A40&quot;/&gt;&lt;wsp:rsid wsp:val=&quot;6A255214&quot;/&gt;&lt;wsp:rsid wsp:val=&quot;6A2922A9&quot;/&gt;&lt;wsp:rsid wsp:val=&quot;6A2B4273&quot;/&gt;&lt;wsp:rsid wsp:val=&quot;6A2E5C82&quot;/&gt;&lt;wsp:rsid wsp:val=&quot;6A303637&quot;/&gt;&lt;wsp:rsid wsp:val=&quot;6A314661&quot;/&gt;&lt;wsp:rsid wsp:val=&quot;6A315D44&quot;/&gt;&lt;wsp:rsid wsp:val=&quot;6A325601&quot;/&gt;&lt;wsp:rsid wsp:val=&quot;6A3273AF&quot;/&gt;&lt;wsp:rsid wsp:val=&quot;6A330664&quot;/&gt;&lt;wsp:rsid wsp:val=&quot;6A342511&quot;/&gt;&lt;wsp:rsid wsp:val=&quot;6A372C18&quot;/&gt;&lt;wsp:rsid wsp:val=&quot;6A3749C6&quot;/&gt;&lt;wsp:rsid wsp:val=&quot;6A39656C&quot;/&gt;&lt;wsp:rsid wsp:val=&quot;6A3A2708&quot;/&gt;&lt;wsp:rsid wsp:val=&quot;6A3B3D8A&quot;/&gt;&lt;wsp:rsid wsp:val=&quot;6A3C6480&quot;/&gt;&lt;wsp:rsid wsp:val=&quot;6A3D3FA6&quot;/&gt;&lt;wsp:rsid wsp:val=&quot;6A3F387A&quot;/&gt;&lt;wsp:rsid wsp:val=&quot;6A3F7D1E&quot;/&gt;&lt;wsp:rsid wsp:val=&quot;6A4175F2&quot;/&gt;&lt;wsp:rsid wsp:val=&quot;6A42336B&quot;/&gt;&lt;wsp:rsid wsp:val=&quot;6A4315BC&quot;/&gt;&lt;wsp:rsid wsp:val=&quot;6A4610AD&quot;/&gt;&lt;wsp:rsid wsp:val=&quot;6A486BD3&quot;/&gt;&lt;wsp:rsid wsp:val=&quot;6A4964A7&quot;/&gt;&lt;wsp:rsid wsp:val=&quot;6A4B47ED&quot;/&gt;&lt;wsp:rsid wsp:val=&quot;6A4B68EB&quot;/&gt;&lt;wsp:rsid wsp:val=&quot;6A4C5F97&quot;/&gt;&lt;wsp:rsid wsp:val=&quot;6A4D243B&quot;/&gt;&lt;wsp:rsid wsp:val=&quot;6A4D41E9&quot;/&gt;&lt;wsp:rsid wsp:val=&quot;6A4E79CD&quot;/&gt;&lt;wsp:rsid wsp:val=&quot;6A4E7F61&quot;/&gt;&lt;wsp:rsid wsp:val=&quot;6A4F7217&quot;/&gt;&lt;wsp:rsid wsp:val=&quot;6A507835&quot;/&gt;&lt;wsp:rsid wsp:val=&quot;6A520EC7&quot;/&gt;&lt;wsp:rsid wsp:val=&quot;6A535578&quot;/&gt;&lt;wsp:rsid wsp:val=&quot;6A550E2D&quot;/&gt;&lt;wsp:rsid wsp:val=&quot;6A570BC4&quot;/&gt;&lt;wsp:rsid wsp:val=&quot;6A571163&quot;/&gt;&lt;wsp:rsid wsp:val=&quot;6A575068&quot;/&gt;&lt;wsp:rsid wsp:val=&quot;6A58493C&quot;/&gt;&lt;wsp:rsid wsp:val=&quot;6A586EF6&quot;/&gt;&lt;wsp:rsid wsp:val=&quot;6A5A06B4&quot;/&gt;&lt;wsp:rsid wsp:val=&quot;6A5A6906&quot;/&gt;&lt;wsp:rsid wsp:val=&quot;6A5C612F&quot;/&gt;&lt;wsp:rsid wsp:val=&quot;6A615EE7&quot;/&gt;&lt;wsp:rsid wsp:val=&quot;6A6257BB&quot;/&gt;&lt;wsp:rsid wsp:val=&quot;6A633A0D&quot;/&gt;&lt;wsp:rsid wsp:val=&quot;6A6652AB&quot;/&gt;&lt;wsp:rsid wsp:val=&quot;6A667059&quot;/&gt;&lt;wsp:rsid wsp:val=&quot;6A682DD1&quot;/&gt;&lt;wsp:rsid wsp:val=&quot;6A6908F7&quot;/&gt;&lt;wsp:rsid wsp:val=&quot;6A6B28C1&quot;/&gt;&lt;wsp:rsid wsp:val=&quot;6A6B3CAB&quot;/&gt;&lt;wsp:rsid wsp:val=&quot;6A6D488B&quot;/&gt;&lt;wsp:rsid wsp:val=&quot;6A6D6639&quot;/&gt;&lt;wsp:rsid wsp:val=&quot;6A6F5AC6&quot;/&gt;&lt;wsp:rsid wsp:val=&quot;6A701C86&quot;/&gt;&lt;wsp:rsid wsp:val=&quot;6A70612A&quot;/&gt;&lt;wsp:rsid wsp:val=&quot;6A723956&quot;/&gt;&lt;wsp:rsid wsp:val=&quot;6A73288F&quot;/&gt;&lt;wsp:rsid wsp:val=&quot;6A752FE8&quot;/&gt;&lt;wsp:rsid wsp:val=&quot;6A764478&quot;/&gt;&lt;wsp:rsid wsp:val=&quot;6A771266&quot;/&gt;&lt;wsp:rsid wsp:val=&quot;6A7774B8&quot;/&gt;&lt;wsp:rsid wsp:val=&quot;6A791969&quot;/&gt;&lt;wsp:rsid wsp:val=&quot;6A793230&quot;/&gt;&lt;wsp:rsid wsp:val=&quot;6A794FDE&quot;/&gt;&lt;wsp:rsid wsp:val=&quot;6A7A6FA8&quot;/&gt;&lt;wsp:rsid wsp:val=&quot;6A7C4ACE&quot;/&gt;&lt;wsp:rsid wsp:val=&quot;6A7C687C&quot;/&gt;&lt;wsp:rsid wsp:val=&quot;6A7F636D&quot;/&gt;&lt;wsp:rsid wsp:val=&quot;6A7F77C4&quot;/&gt;&lt;wsp:rsid wsp:val=&quot;6A815C41&quot;/&gt;&lt;wsp:rsid wsp:val=&quot;6A8219B9&quot;/&gt;&lt;wsp:rsid wsp:val=&quot;6A835D38&quot;/&gt;&lt;wsp:rsid wsp:val=&quot;6A841BD5&quot;/&gt;&lt;wsp:rsid wsp:val=&quot;6A842057&quot;/&gt;&lt;wsp:rsid wsp:val=&quot;6A88688D&quot;/&gt;&lt;wsp:rsid wsp:val=&quot;6A8A71EB&quot;/&gt;&lt;wsp:rsid wsp:val=&quot;6A8B2F63&quot;/&gt;&lt;wsp:rsid wsp:val=&quot;6A8C669E&quot;/&gt;&lt;wsp:rsid wsp:val=&quot;6A8D6A57&quot;/&gt;&lt;wsp:rsid wsp:val=&quot;6A8D6CDC&quot;/&gt;&lt;wsp:rsid wsp:val=&quot;6A8E035E&quot;/&gt;&lt;wsp:rsid wsp:val=&quot;6A8F4802&quot;/&gt;&lt;wsp:rsid wsp:val=&quot;6A8F6E4D&quot;/&gt;&lt;wsp:rsid wsp:val=&quot;6A901ED2&quot;/&gt;&lt;wsp:rsid wsp:val=&quot;6A9040D6&quot;/&gt;&lt;wsp:rsid wsp:val=&quot;6A9260A0&quot;/&gt;&lt;wsp:rsid wsp:val=&quot;6A9516EC&quot;/&gt;&lt;wsp:rsid wsp:val=&quot;6A96674C&quot;/&gt;&lt;wsp:rsid wsp:val=&quot;6A971908&quot;/&gt;&lt;wsp:rsid wsp:val=&quot;6A9736B6&quot;/&gt;&lt;wsp:rsid wsp:val=&quot;6A974EF2&quot;/&gt;&lt;wsp:rsid wsp:val=&quot;6A99742E&quot;/&gt;&lt;wsp:rsid wsp:val=&quot;6A9A353A&quot;/&gt;&lt;wsp:rsid wsp:val=&quot;6A9A4F55&quot;/&gt;&lt;wsp:rsid wsp:val=&quot;6A9E0AB3&quot;/&gt;&lt;wsp:rsid wsp:val=&quot;6A9E2C97&quot;/&gt;&lt;wsp:rsid wsp:val=&quot;6A9E4A45&quot;/&gt;&lt;wsp:rsid wsp:val=&quot;6AA15FA4&quot;/&gt;&lt;wsp:rsid wsp:val=&quot;6AA208C4&quot;/&gt;&lt;wsp:rsid wsp:val=&quot;6AA3205B&quot;/&gt;&lt;wsp:rsid wsp:val=&quot;6AA45DD3&quot;/&gt;&lt;wsp:rsid wsp:val=&quot;6AA47B81&quot;/&gt;&lt;wsp:rsid wsp:val=&quot;6AA61B4B&quot;/&gt;&lt;wsp:rsid wsp:val=&quot;6AA72CE0&quot;/&gt;&lt;wsp:rsid wsp:val=&quot;6AA858C3&quot;/&gt;&lt;wsp:rsid wsp:val=&quot;6AA87672&quot;/&gt;&lt;wsp:rsid wsp:val=&quot;6AA933EA&quot;/&gt;&lt;wsp:rsid wsp:val=&quot;6AAB0F10&quot;/&gt;&lt;wsp:rsid wsp:val=&quot;6AAB7162&quot;/&gt;&lt;wsp:rsid wsp:val=&quot;6AAE1120&quot;/&gt;&lt;wsp:rsid wsp:val=&quot;6AAF6C52&quot;/&gt;&lt;wsp:rsid wsp:val=&quot;6AB2229E&quot;/&gt;&lt;wsp:rsid wsp:val=&quot;6AB26742&quot;/&gt;&lt;wsp:rsid wsp:val=&quot;6AB3133E&quot;/&gt;&lt;wsp:rsid wsp:val=&quot;6AB37DC4&quot;/&gt;&lt;wsp:rsid wsp:val=&quot;6AB53B3C&quot;/&gt;&lt;wsp:rsid wsp:val=&quot;6AB57FE0&quot;/&gt;&lt;wsp:rsid wsp:val=&quot;6AB73D58&quot;/&gt;&lt;wsp:rsid wsp:val=&quot;6AB778B5&quot;/&gt;&lt;wsp:rsid wsp:val=&quot;6AB853DB&quot;/&gt;&lt;wsp:rsid wsp:val=&quot;6AB9187F&quot;/&gt;&lt;wsp:rsid wsp:val=&quot;6AB9362D&quot;/&gt;&lt;wsp:rsid wsp:val=&quot;6ABA73A5&quot;/&gt;&lt;wsp:rsid wsp:val=&quot;6ABE0C43&quot;/&gt;&lt;wsp:rsid wsp:val=&quot;6ABF49BB&quot;/&gt;&lt;wsp:rsid wsp:val=&quot;6AC00E5F&quot;/&gt;&lt;wsp:rsid wsp:val=&quot;6AC020D7&quot;/&gt;&lt;wsp:rsid wsp:val=&quot;6AC029BD&quot;/&gt;&lt;wsp:rsid wsp:val=&quot;6AC10733&quot;/&gt;&lt;wsp:rsid wsp:val=&quot;6AC2155B&quot;/&gt;&lt;wsp:rsid wsp:val=&quot;6AC3133E&quot;/&gt;&lt;wsp:rsid wsp:val=&quot;6AC344AB&quot;/&gt;&lt;wsp:rsid wsp:val=&quot;6AC36259&quot;/&gt;&lt;wsp:rsid wsp:val=&quot;6AC50223&quot;/&gt;&lt;wsp:rsid wsp:val=&quot;6AC63F9C&quot;/&gt;&lt;wsp:rsid wsp:val=&quot;6AC65D4A&quot;/&gt;&lt;wsp:rsid wsp:val=&quot;6AC87D14&quot;/&gt;&lt;wsp:rsid wsp:val=&quot;6AC975E8&quot;/&gt;&lt;wsp:rsid wsp:val=&quot;6ACA3A8C&quot;/&gt;&lt;wsp:rsid wsp:val=&quot;6ACA5C60&quot;/&gt;&lt;wsp:rsid wsp:val=&quot;6ACB15B2&quot;/&gt;&lt;wsp:rsid wsp:val=&quot;6ACC3B31&quot;/&gt;&lt;wsp:rsid wsp:val=&quot;6ACD532A&quot;/&gt;&lt;wsp:rsid wsp:val=&quot;6ACD70D8&quot;/&gt;&lt;wsp:rsid wsp:val=&quot;6AD05083&quot;/&gt;&lt;wsp:rsid wsp:val=&quot;6AD06BC8&quot;/&gt;&lt;wsp:rsid wsp:val=&quot;6AD13942&quot;/&gt;&lt;wsp:rsid wsp:val=&quot;6AD211B1&quot;/&gt;&lt;wsp:rsid wsp:val=&quot;6AD263C3&quot;/&gt;&lt;wsp:rsid wsp:val=&quot;6AD40467&quot;/&gt;&lt;wsp:rsid wsp:val=&quot;6AD411D9&quot;/&gt;&lt;wsp:rsid wsp:val=&quot;6AD541DF&quot;/&gt;&lt;wsp:rsid wsp:val=&quot;6AD55F8D&quot;/&gt;&lt;wsp:rsid wsp:val=&quot;6AD66324&quot;/&gt;&lt;wsp:rsid wsp:val=&quot;6AD77F57&quot;/&gt;&lt;wsp:rsid wsp:val=&quot;6ADA17F5&quot;/&gt;&lt;wsp:rsid wsp:val=&quot;6ADA35A3&quot;/&gt;&lt;wsp:rsid wsp:val=&quot;6ADC556D&quot;/&gt;&lt;wsp:rsid wsp:val=&quot;6ADD2FCC&quot;/&gt;&lt;wsp:rsid wsp:val=&quot;6ADE12E5&quot;/&gt;&lt;wsp:rsid wsp:val=&quot;6ADE3093&quot;/&gt;&lt;wsp:rsid wsp:val=&quot;6ADE7537&quot;/&gt;&lt;wsp:rsid wsp:val=&quot;6ADF0BB9&quot;/&gt;&lt;wsp:rsid wsp:val=&quot;6ADF127C&quot;/&gt;&lt;wsp:rsid wsp:val=&quot;6AE01C3A&quot;/&gt;&lt;wsp:rsid wsp:val=&quot;6AE01FA6&quot;/&gt;&lt;wsp:rsid wsp:val=&quot;6AE0505D&quot;/&gt;&lt;wsp:rsid wsp:val=&quot;6AE1287C&quot;/&gt;&lt;wsp:rsid wsp:val=&quot;6AE12B83&quot;/&gt;&lt;wsp:rsid wsp:val=&quot;6AE14931&quot;/&gt;&lt;wsp:rsid wsp:val=&quot;6AE306AA&quot;/&gt;&lt;wsp:rsid wsp:val=&quot;6AE508C6&quot;/&gt;&lt;wsp:rsid wsp:val=&quot;6AE52674&quot;/&gt;&lt;wsp:rsid wsp:val=&quot;6AE54422&quot;/&gt;&lt;wsp:rsid wsp:val=&quot;6AE6019A&quot;/&gt;&lt;wsp:rsid wsp:val=&quot;6AE70738&quot;/&gt;&lt;wsp:rsid wsp:val=&quot;6AE83F12&quot;/&gt;&lt;wsp:rsid wsp:val=&quot;6AE96852&quot;/&gt;&lt;wsp:rsid wsp:val=&quot;6AEA6B50&quot;/&gt;&lt;wsp:rsid wsp:val=&quot;6AEB3A02&quot;/&gt;&lt;wsp:rsid wsp:val=&quot;6AEB755E&quot;/&gt;&lt;wsp:rsid wsp:val=&quot;6AED19D9&quot;/&gt;&lt;wsp:rsid wsp:val=&quot;6AED78BD&quot;/&gt;&lt;wsp:rsid wsp:val=&quot;6AF01018&quot;/&gt;&lt;wsp:rsid wsp:val=&quot;6AF26B3F&quot;/&gt;&lt;wsp:rsid wsp:val=&quot;6AF36CDB&quot;/&gt;&lt;wsp:rsid wsp:val=&quot;6AF4016B&quot;/&gt;&lt;wsp:rsid wsp:val=&quot;6AF40B09&quot;/&gt;&lt;wsp:rsid wsp:val=&quot;6AF44665&quot;/&gt;&lt;wsp:rsid wsp:val=&quot;6AF503DD&quot;/&gt;&lt;wsp:rsid wsp:val=&quot;6AF6662F&quot;/&gt;&lt;wsp:rsid wsp:val=&quot;6AF87E20&quot;/&gt;&lt;wsp:rsid wsp:val=&quot;6AF944CC&quot;/&gt;&lt;wsp:rsid wsp:val=&quot;6AF9611F&quot;/&gt;&lt;wsp:rsid wsp:val=&quot;6AFA59F3&quot;/&gt;&lt;wsp:rsid wsp:val=&quot;6AFF2C57&quot;/&gt;&lt;wsp:rsid wsp:val=&quot;6AFF300A&quot;/&gt;&lt;wsp:rsid wsp:val=&quot;6AFF671E&quot;/&gt;&lt;wsp:rsid wsp:val=&quot;6B036F9E&quot;/&gt;&lt;wsp:rsid wsp:val=&quot;6B054AC4&quot;/&gt;&lt;wsp:rsid wsp:val=&quot;6B0625EA&quot;/&gt;&lt;wsp:rsid wsp:val=&quot;6B064398&quot;/&gt;&lt;wsp:rsid wsp:val=&quot;6B07083C&quot;/&gt;&lt;wsp:rsid wsp:val=&quot;6B0B7C00&quot;/&gt;&lt;wsp:rsid wsp:val=&quot;6B0C451A&quot;/&gt;&lt;wsp:rsid wsp:val=&quot;6B0C5E52&quot;/&gt;&lt;wsp:rsid wsp:val=&quot;6B0D5727&quot;/&gt;&lt;wsp:rsid wsp:val=&quot;6B0E5024&quot;/&gt;&lt;wsp:rsid wsp:val=&quot;6B105217&quot;/&gt;&lt;wsp:rsid wsp:val=&quot;6B1116BB&quot;/&gt;&lt;wsp:rsid wsp:val=&quot;6B120F8F&quot;/&gt;&lt;wsp:rsid wsp:val=&quot;6B15282D&quot;/&gt;&lt;wsp:rsid wsp:val=&quot;6B1637B6&quot;/&gt;&lt;wsp:rsid wsp:val=&quot;6B1765A5&quot;/&gt;&lt;wsp:rsid wsp:val=&quot;6B182A49&quot;/&gt;&lt;wsp:rsid wsp:val=&quot;6B187579&quot;/&gt;&lt;wsp:rsid wsp:val=&quot;6B19056F&quot;/&gt;&lt;wsp:rsid wsp:val=&quot;6B1940CB&quot;/&gt;&lt;wsp:rsid wsp:val=&quot;6B1B6095&quot;/&gt;&lt;wsp:rsid wsp:val=&quot;6B1B793F&quot;/&gt;&lt;wsp:rsid wsp:val=&quot;6B1C27D3&quot;/&gt;&lt;wsp:rsid wsp:val=&quot;6B1C3BBC&quot;/&gt;&lt;wsp:rsid wsp:val=&quot;6B1D005F&quot;/&gt;&lt;wsp:rsid wsp:val=&quot;6B1E7934&quot;/&gt;&lt;wsp:rsid wsp:val=&quot;6B223384&quot;/&gt;&lt;wsp:rsid wsp:val=&quot;6B250CC2&quot;/&gt;&lt;wsp:rsid wsp:val=&quot;6B272C8C&quot;/&gt;&lt;wsp:rsid wsp:val=&quot;6B2807B2&quot;/&gt;&lt;wsp:rsid wsp:val=&quot;6B282560&quot;/&gt;&lt;wsp:rsid wsp:val=&quot;6B283627&quot;/&gt;&lt;wsp:rsid wsp:val=&quot;6B291D9C&quot;/&gt;&lt;wsp:rsid wsp:val=&quot;6B2A0087&quot;/&gt;&lt;wsp:rsid wsp:val=&quot;6B2A277C&quot;/&gt;&lt;wsp:rsid wsp:val=&quot;6B2A501B&quot;/&gt;&lt;wsp:rsid wsp:val=&quot;6B2B460C&quot;/&gt;&lt;wsp:rsid wsp:val=&quot;6B2C2051&quot;/&gt;&lt;wsp:rsid wsp:val=&quot;6B2C59DC&quot;/&gt;&lt;wsp:rsid wsp:val=&quot;6B2E02FC&quot;/&gt;&lt;wsp:rsid wsp:val=&quot;6B2F38EF&quot;/&gt;&lt;wsp:rsid wsp:val=&quot;6B2F7D93&quot;/&gt;&lt;wsp:rsid wsp:val=&quot;6B321631&quot;/&gt;&lt;wsp:rsid wsp:val=&quot;6B322639&quot;/&gt;&lt;wsp:rsid wsp:val=&quot;6B32518D&quot;/&gt;&lt;wsp:rsid wsp:val=&quot;6B361121&quot;/&gt;&lt;wsp:rsid wsp:val=&quot;6B36165F&quot;/&gt;&lt;wsp:rsid wsp:val=&quot;6B3727A3&quot;/&gt;&lt;wsp:rsid wsp:val=&quot;6B383103&quot;/&gt;&lt;wsp:rsid wsp:val=&quot;6B396213&quot;/&gt;&lt;wsp:rsid wsp:val=&quot;6B39651C&quot;/&gt;&lt;wsp:rsid wsp:val=&quot;6B3B6738&quot;/&gt;&lt;wsp:rsid wsp:val=&quot;6B3C600C&quot;/&gt;&lt;wsp:rsid wsp:val=&quot;6B3D425E&quot;/&gt;&lt;wsp:rsid wsp:val=&quot;6B3E7FD6&quot;/&gt;&lt;wsp:rsid wsp:val=&quot;6B404453&quot;/&gt;&lt;wsp:rsid wsp:val=&quot;6B421D71&quot;/&gt;&lt;wsp:rsid wsp:val=&quot;6B4227D3&quot;/&gt;&lt;wsp:rsid wsp:val=&quot;6B451364&quot;/&gt;&lt;wsp:rsid wsp:val=&quot;6B4725E4&quot;/&gt;&lt;wsp:rsid wsp:val=&quot;6B482C03&quot;/&gt;&lt;wsp:rsid wsp:val=&quot;6B4A24D7&quot;/&gt;&lt;wsp:rsid wsp:val=&quot;6B4A697B&quot;/&gt;&lt;wsp:rsid wsp:val=&quot;6B4B3B36&quot;/&gt;&lt;wsp:rsid wsp:val=&quot;6B4C26F3&quot;/&gt;&lt;wsp:rsid wsp:val=&quot;6B4C44A1&quot;/&gt;&lt;wsp:rsid wsp:val=&quot;6B4D1FC7&quot;/&gt;&lt;wsp:rsid wsp:val=&quot;6B4E646B&quot;/&gt;&lt;wsp:rsid wsp:val=&quot;6B525ADE&quot;/&gt;&lt;wsp:rsid wsp:val=&quot;6B5275DD&quot;/&gt;&lt;wsp:rsid wsp:val=&quot;6B530B87&quot;/&gt;&lt;wsp:rsid wsp:val=&quot;6B533A81&quot;/&gt;&lt;wsp:rsid wsp:val=&quot;6B5415A7&quot;/&gt;&lt;wsp:rsid wsp:val=&quot;6B56531F&quot;/&gt;&lt;wsp:rsid wsp:val=&quot;6B5670CE&quot;/&gt;&lt;wsp:rsid wsp:val=&quot;6B594E10&quot;/&gt;&lt;wsp:rsid wsp:val=&quot;6B596BBE&quot;/&gt;&lt;wsp:rsid wsp:val=&quot;6B5C045C&quot;/&gt;&lt;wsp:rsid wsp:val=&quot;6B607F4C&quot;/&gt;&lt;wsp:rsid wsp:val=&quot;6B61607B&quot;/&gt;&lt;wsp:rsid wsp:val=&quot;6B623CC4&quot;/&gt;&lt;wsp:rsid wsp:val=&quot;6B625A72&quot;/&gt;&lt;wsp:rsid wsp:val=&quot;6B6317EA&quot;/&gt;&lt;wsp:rsid wsp:val=&quot;6B6537B4&quot;/&gt;&lt;wsp:rsid wsp:val=&quot;6B6663C0&quot;/&gt;&lt;wsp:rsid wsp:val=&quot;6B67752D&quot;/&gt;&lt;wsp:rsid wsp:val=&quot;6B685053&quot;/&gt;&lt;wsp:rsid wsp:val=&quot;6B6932A5&quot;/&gt;&lt;wsp:rsid wsp:val=&quot;6B6A0DCB&quot;/&gt;&lt;wsp:rsid wsp:val=&quot;6B6B029E&quot;/&gt;&lt;wsp:rsid wsp:val=&quot;6B6B6B6D&quot;/&gt;&lt;wsp:rsid wsp:val=&quot;6B6C069F&quot;/&gt;&lt;wsp:rsid wsp:val=&quot;6B6C68F1&quot;/&gt;&lt;wsp:rsid wsp:val=&quot;6B6D2669&quot;/&gt;&lt;wsp:rsid wsp:val=&quot;6B6E31C9&quot;/&gt;&lt;wsp:rsid wsp:val=&quot;6B6F018F&quot;/&gt;&lt;wsp:rsid wsp:val=&quot;6B713F07&quot;/&gt;&lt;wsp:rsid wsp:val=&quot;6B714110&quot;/&gt;&lt;wsp:rsid wsp:val=&quot;6B715CB5&quot;/&gt;&lt;wsp:rsid wsp:val=&quot;6B7215AE&quot;/&gt;&lt;wsp:rsid wsp:val=&quot;6B7255A0&quot;/&gt;&lt;wsp:rsid wsp:val=&quot;6B741C4A&quot;/&gt;&lt;wsp:rsid wsp:val=&quot;6B767770&quot;/&gt;&lt;wsp:rsid wsp:val=&quot;6B777044&quot;/&gt;&lt;wsp:rsid wsp:val=&quot;6B7B2FD8&quot;/&gt;&lt;wsp:rsid wsp:val=&quot;6B7B6B34&quot;/&gt;&lt;wsp:rsid wsp:val=&quot;6B7C2CD8&quot;/&gt;&lt;wsp:rsid wsp:val=&quot;6B7D28AC&quot;/&gt;&lt;wsp:rsid wsp:val=&quot;6B8005EE&quot;/&gt;&lt;wsp:rsid wsp:val=&quot;6B80414A&quot;/&gt;&lt;wsp:rsid wsp:val=&quot;6B81194E&quot;/&gt;&lt;wsp:rsid wsp:val=&quot;6B811C71&quot;/&gt;&lt;wsp:rsid wsp:val=&quot;6B826114&quot;/&gt;&lt;wsp:rsid wsp:val=&quot;6B841E8D&quot;/&gt;&lt;wsp:rsid wsp:val=&quot;6B855FC9&quot;/&gt;&lt;wsp:rsid wsp:val=&quot;6B8579B3&quot;/&gt;&lt;wsp:rsid wsp:val=&quot;6B8754D9&quot;/&gt;&lt;wsp:rsid wsp:val=&quot;6B882FFF&quot;/&gt;&lt;wsp:rsid wsp:val=&quot;6B8A321B&quot;/&gt;&lt;wsp:rsid wsp:val=&quot;6B8C0D41&quot;/&gt;&lt;wsp:rsid wsp:val=&quot;6B8D0FF1&quot;/&gt;&lt;wsp:rsid wsp:val=&quot;6B8E2D0B&quot;/&gt;&lt;wsp:rsid wsp:val=&quot;6B8F438D&quot;/&gt;&lt;wsp:rsid wsp:val=&quot;6B910106&quot;/&gt;&lt;wsp:rsid wsp:val=&quot;6B93163B&quot;/&gt;&lt;wsp:rsid wsp:val=&quot;6B934FA4&quot;/&gt;&lt;wsp:rsid wsp:val=&quot;6B946AC1&quot;/&gt;&lt;wsp:rsid wsp:val=&quot;6B947BF6&quot;/&gt;&lt;wsp:rsid wsp:val=&quot;6B95409A&quot;/&gt;&lt;wsp:rsid wsp:val=&quot;6B9611C2&quot;/&gt;&lt;wsp:rsid wsp:val=&quot;6B96571C&quot;/&gt;&lt;wsp:rsid wsp:val=&quot;6B99520C&quot;/&gt;&lt;wsp:rsid wsp:val=&quot;6B995C5F&quot;/&gt;&lt;wsp:rsid wsp:val=&quot;6B9A06A5&quot;/&gt;&lt;wsp:rsid wsp:val=&quot;6B9A5EED&quot;/&gt;&lt;wsp:rsid wsp:val=&quot;6B9B16D8&quot;/&gt;&lt;wsp:rsid wsp:val=&quot;6B9D6AAA&quot;/&gt;&lt;wsp:rsid wsp:val=&quot;6B9E7389&quot;/&gt;&lt;wsp:rsid wsp:val=&quot;6BA047ED&quot;/&gt;&lt;wsp:rsid wsp:val=&quot;6BA25323&quot;/&gt;&lt;wsp:rsid wsp:val=&quot;6BA270AA&quot;/&gt;&lt;wsp:rsid wsp:val=&quot;6BA442DD&quot;/&gt;&lt;wsp:rsid wsp:val=&quot;6BA55A78&quot;/&gt;&lt;wsp:rsid wsp:val=&quot;6BA625AC&quot;/&gt;&lt;wsp:rsid wsp:val=&quot;6BA73DCD&quot;/&gt;&lt;wsp:rsid wsp:val=&quot;6BA8544F&quot;/&gt;&lt;wsp:rsid wsp:val=&quot;6BA936A1&quot;/&gt;&lt;wsp:rsid wsp:val=&quot;6BAA7419&quot;/&gt;&lt;wsp:rsid wsp:val=&quot;6BAF67DE&quot;/&gt;&lt;wsp:rsid wsp:val=&quot;6BB00113&quot;/&gt;&lt;wsp:rsid wsp:val=&quot;6BB35604&quot;/&gt;&lt;wsp:rsid wsp:val=&quot;6BB42046&quot;/&gt;&lt;wsp:rsid wsp:val=&quot;6BB64010&quot;/&gt;&lt;wsp:rsid wsp:val=&quot;6BB65DBE&quot;/&gt;&lt;wsp:rsid wsp:val=&quot;6BB86C0A&quot;/&gt;&lt;wsp:rsid wsp:val=&quot;6BB87D88&quot;/&gt;&lt;wsp:rsid wsp:val=&quot;6BB92554&quot;/&gt;&lt;wsp:rsid wsp:val=&quot;6BBA6E3D&quot;/&gt;&lt;wsp:rsid wsp:val=&quot;6BBB33D4&quot;/&gt;&lt;wsp:rsid wsp:val=&quot;6BBD714D&quot;/&gt;&lt;wsp:rsid wsp:val=&quot;6BC009EB&quot;/&gt;&lt;wsp:rsid wsp:val=&quot;6BC32289&quot;/&gt;&lt;wsp:rsid wsp:val=&quot;6BC404DB&quot;/&gt;&lt;wsp:rsid wsp:val=&quot;6BC95AF1&quot;/&gt;&lt;wsp:rsid wsp:val=&quot;6BCC4CAB&quot;/&gt;&lt;wsp:rsid wsp:val=&quot;6BCE3108&quot;/&gt;&lt;wsp:rsid wsp:val=&quot;6BCE4EB6&quot;/&gt;&lt;wsp:rsid wsp:val=&quot;6BCF0C2E&quot;/&gt;&lt;wsp:rsid wsp:val=&quot;6BCF6E80&quot;/&gt;&lt;wsp:rsid wsp:val=&quot;6BD01E2A&quot;/&gt;&lt;wsp:rsid wsp:val=&quot;6BD051C5&quot;/&gt;&lt;wsp:rsid wsp:val=&quot;6BD06690&quot;/&gt;&lt;wsp:rsid wsp:val=&quot;6BD2201D&quot;/&gt;&lt;wsp:rsid wsp:val=&quot;6BD2767D&quot;/&gt;&lt;wsp:rsid wsp:val=&quot;6BD334AD&quot;/&gt;&lt;wsp:rsid wsp:val=&quot;6BD526E8&quot;/&gt;&lt;wsp:rsid wsp:val=&quot;6BD55A96&quot;/&gt;&lt;wsp:rsid wsp:val=&quot;6BD61FBC&quot;/&gt;&lt;wsp:rsid wsp:val=&quot;6BD821D8&quot;/&gt;&lt;wsp:rsid wsp:val=&quot;6BD83F86&quot;/&gt;&lt;wsp:rsid wsp:val=&quot;6BD91AAD&quot;/&gt;&lt;wsp:rsid wsp:val=&quot;6BD9385B&quot;/&gt;&lt;wsp:rsid wsp:val=&quot;6BD951E1&quot;/&gt;&lt;wsp:rsid wsp:val=&quot;6BDA7CFF&quot;/&gt;&lt;wsp:rsid wsp:val=&quot;6BDB3A77&quot;/&gt;&lt;wsp:rsid wsp:val=&quot;6BDB5825&quot;/&gt;&lt;wsp:rsid wsp:val=&quot;6BDD159D&quot;/&gt;&lt;wsp:rsid wsp:val=&quot;6BE04BE9&quot;/&gt;&lt;wsp:rsid wsp:val=&quot;6BE24E05&quot;/&gt;&lt;wsp:rsid wsp:val=&quot;6BE40B7D&quot;/&gt;&lt;wsp:rsid wsp:val=&quot;6BE50451&quot;/&gt;&lt;wsp:rsid wsp:val=&quot;6BE566A3&quot;/&gt;&lt;wsp:rsid wsp:val=&quot;6BE6092A&quot;/&gt;&lt;wsp:rsid wsp:val=&quot;6BE84243&quot;/&gt;&lt;wsp:rsid wsp:val=&quot;6BE96194&quot;/&gt;&lt;wsp:rsid wsp:val=&quot;6BEA5A68&quot;/&gt;&lt;wsp:rsid wsp:val=&quot;6BEB1F0C&quot;/&gt;&lt;wsp:rsid wsp:val=&quot;6BEB5CFD&quot;/&gt;&lt;wsp:rsid wsp:val=&quot;6BEC17E0&quot;/&gt;&lt;wsp:rsid wsp:val=&quot;6BEC7A32&quot;/&gt;&lt;wsp:rsid wsp:val=&quot;6BED447B&quot;/&gt;&lt;wsp:rsid wsp:val=&quot;6BEE37AA&quot;/&gt;&lt;wsp:rsid wsp:val=&quot;6BF012D0&quot;/&gt;&lt;wsp:rsid wsp:val=&quot;6BF1329A&quot;/&gt;&lt;wsp:rsid wsp:val=&quot;6BF6265F&quot;/&gt;&lt;wsp:rsid wsp:val=&quot;6BF863D7&quot;/&gt;&lt;wsp:rsid wsp:val=&quot;6BF95CAB&quot;/&gt;&lt;wsp:rsid wsp:val=&quot;6BFA1229&quot;/&gt;&lt;wsp:rsid wsp:val=&quot;6BFA1456&quot;/&gt;&lt;wsp:rsid wsp:val=&quot;6BFA214F&quot;/&gt;&lt;wsp:rsid wsp:val=&quot;6BFB1A23&quot;/&gt;&lt;wsp:rsid wsp:val=&quot;6BFD1C3F&quot;/&gt;&lt;wsp:rsid wsp:val=&quot;6C00528B&quot;/&gt;&lt;wsp:rsid wsp:val=&quot;6C007039&quot;/&gt;&lt;wsp:rsid wsp:val=&quot;6C012059&quot;/&gt;&lt;wsp:rsid wsp:val=&quot;6C022C8A&quot;/&gt;&lt;wsp:rsid wsp:val=&quot;6C027255&quot;/&gt;&lt;wsp:rsid wsp:val=&quot;6C042FCD&quot;/&gt;&lt;wsp:rsid wsp:val=&quot;6C0528A2&quot;/&gt;&lt;wsp:rsid wsp:val=&quot;6C0703C8&quot;/&gt;&lt;wsp:rsid wsp:val=&quot;6C07486C&quot;/&gt;&lt;wsp:rsid wsp:val=&quot;6C094140&quot;/&gt;&lt;wsp:rsid wsp:val=&quot;6C0A55FF&quot;/&gt;&lt;wsp:rsid wsp:val=&quot;6C0A7EB8&quot;/&gt;&lt;wsp:rsid wsp:val=&quot;6C0B21AE&quot;/&gt;&lt;wsp:rsid wsp:val=&quot;6C0C3C30&quot;/&gt;&lt;wsp:rsid wsp:val=&quot;6C0D38BE&quot;/&gt;&lt;wsp:rsid wsp:val=&quot;6C0E1756&quot;/&gt;&lt;wsp:rsid wsp:val=&quot;6C156F89&quot;/&gt;&lt;wsp:rsid wsp:val=&quot;6C172D01&quot;/&gt;&lt;wsp:rsid wsp:val=&quot;6C1A634D&quot;/&gt;&lt;wsp:rsid wsp:val=&quot;6C1B0562&quot;/&gt;&lt;wsp:rsid wsp:val=&quot;6C1D5E3D&quot;/&gt;&lt;wsp:rsid wsp:val=&quot;6C1F3963&quot;/&gt;&lt;wsp:rsid wsp:val=&quot;6C1F5711&quot;/&gt;&lt;wsp:rsid wsp:val=&quot;6C1F64E1&quot;/&gt;&lt;wsp:rsid wsp:val=&quot;6C2076DB&quot;/&gt;&lt;wsp:rsid wsp:val=&quot;6C222D40&quot;/&gt;&lt;wsp:rsid wsp:val=&quot;6C225202&quot;/&gt;&lt;wsp:rsid wsp:val=&quot;6C2365FB&quot;/&gt;&lt;wsp:rsid wsp:val=&quot;6C254CF9&quot;/&gt;&lt;wsp:rsid wsp:val=&quot;6C256AA0&quot;/&gt;&lt;wsp:rsid wsp:val=&quot;6C262F44&quot;/&gt;&lt;wsp:rsid wsp:val=&quot;6C266DB6&quot;/&gt;&lt;wsp:rsid wsp:val=&quot;6C272818&quot;/&gt;&lt;wsp:rsid wsp:val=&quot;6C2816D6&quot;/&gt;&lt;wsp:rsid wsp:val=&quot;6C2C42D2&quot;/&gt;&lt;wsp:rsid wsp:val=&quot;6C2E004A&quot;/&gt;&lt;wsp:rsid wsp:val=&quot;6C2F0A11&quot;/&gt;&lt;wsp:rsid wsp:val=&quot;6C303DC2&quot;/&gt;&lt;wsp:rsid wsp:val=&quot;6C3118E9&quot;/&gt;&lt;wsp:rsid wsp:val=&quot;6C315445&quot;/&gt;&lt;wsp:rsid wsp:val=&quot;6C323B8B&quot;/&gt;&lt;wsp:rsid wsp:val=&quot;6C33740F&quot;/&gt;&lt;wsp:rsid wsp:val=&quot;6C337F2A&quot;/&gt;&lt;wsp:rsid wsp:val=&quot;6C353187&quot;/&gt;&lt;wsp:rsid wsp:val=&quot;6C353CDA&quot;/&gt;&lt;wsp:rsid wsp:val=&quot;6C355B2F&quot;/&gt;&lt;wsp:rsid wsp:val=&quot;6C376EFF&quot;/&gt;&lt;wsp:rsid wsp:val=&quot;6C3A079D&quot;/&gt;&lt;wsp:rsid wsp:val=&quot;6C3A69EF&quot;/&gt;&lt;wsp:rsid wsp:val=&quot;6C3B62C3&quot;/&gt;&lt;wsp:rsid wsp:val=&quot;6C3D028D&quot;/&gt;&lt;wsp:rsid wsp:val=&quot;6C3D246C&quot;/&gt;&lt;wsp:rsid wsp:val=&quot;6C3F4006&quot;/&gt;&lt;wsp:rsid wsp:val=&quot;6C411B2C&quot;/&gt;&lt;wsp:rsid wsp:val=&quot;6C4433CA&quot;/&gt;&lt;wsp:rsid wsp:val=&quot;6C44786E&quot;/&gt;&lt;wsp:rsid wsp:val=&quot;6C465394&quot;/&gt;&lt;wsp:rsid wsp:val=&quot;6C492150&quot;/&gt;&lt;wsp:rsid wsp:val=&quot;6C49442A&quot;/&gt;&lt;wsp:rsid wsp:val=&quot;6C4A5B71&quot;/&gt;&lt;wsp:rsid wsp:val=&quot;6C4B6506&quot;/&gt;&lt;wsp:rsid wsp:val=&quot;6C4D6722&quot;/&gt;&lt;wsp:rsid wsp:val=&quot;6C4E249B&quot;/&gt;&lt;wsp:rsid wsp:val=&quot;6C4E72B1&quot;/&gt;&lt;wsp:rsid wsp:val=&quot;6C4F7452&quot;/&gt;&lt;wsp:rsid wsp:val=&quot;6C515AE7&quot;/&gt;&lt;wsp:rsid wsp:val=&quot;6C517895&quot;/&gt;&lt;wsp:rsid wsp:val=&quot;6C525C70&quot;/&gt;&lt;wsp:rsid wsp:val=&quot;6C533118&quot;/&gt;&lt;wsp:rsid wsp:val=&quot;6C537AB1&quot;/&gt;&lt;wsp:rsid wsp:val=&quot;6C553829&quot;/&gt;&lt;wsp:rsid wsp:val=&quot;6C557385&quot;/&gt;&lt;wsp:rsid wsp:val=&quot;6C567B8C&quot;/&gt;&lt;wsp:rsid wsp:val=&quot;6C5775A1&quot;/&gt;&lt;wsp:rsid wsp:val=&quot;6C594EFB&quot;/&gt;&lt;wsp:rsid wsp:val=&quot;6C5A066F&quot;/&gt;&lt;wsp:rsid wsp:val=&quot;6C5A499B&quot;/&gt;&lt;wsp:rsid wsp:val=&quot;6C5A72D1&quot;/&gt;&lt;wsp:rsid wsp:val=&quot;6C5C6966&quot;/&gt;&lt;wsp:rsid wsp:val=&quot;6C5D1A55&quot;/&gt;&lt;wsp:rsid wsp:val=&quot;6C5D26DE&quot;/&gt;&lt;wsp:rsid wsp:val=&quot;6C5D448C&quot;/&gt;&lt;wsp:rsid wsp:val=&quot;6C5E0930&quot;/&gt;&lt;wsp:rsid wsp:val=&quot;6C5E5AB6&quot;/&gt;&lt;wsp:rsid wsp:val=&quot;6C5F1FB2&quot;/&gt;&lt;wsp:rsid wsp:val=&quot;6C5F6456&quot;/&gt;&lt;wsp:rsid wsp:val=&quot;6C635F46&quot;/&gt;&lt;wsp:rsid wsp:val=&quot;6C636C38&quot;/&gt;&lt;wsp:rsid wsp:val=&quot;6C643A6C&quot;/&gt;&lt;wsp:rsid wsp:val=&quot;6C6475C8&quot;/&gt;&lt;wsp:rsid wsp:val=&quot;6C661592&quot;/&gt;&lt;wsp:rsid wsp:val=&quot;6C67530A&quot;/&gt;&lt;wsp:rsid wsp:val=&quot;6C68710C&quot;/&gt;&lt;wsp:rsid wsp:val=&quot;6C691082&quot;/&gt;&lt;wsp:rsid wsp:val=&quot;6C692E30&quot;/&gt;&lt;wsp:rsid wsp:val=&quot;6C6972D4&quot;/&gt;&lt;wsp:rsid wsp:val=&quot;6C6C0C5A&quot;/&gt;&lt;wsp:rsid wsp:val=&quot;6C6E0447&quot;/&gt;&lt;wsp:rsid wsp:val=&quot;6C6E6699&quot;/&gt;&lt;wsp:rsid wsp:val=&quot;6C6F3E6A&quot;/&gt;&lt;wsp:rsid wsp:val=&quot;6C711CE5&quot;/&gt;&lt;wsp:rsid wsp:val=&quot;6C727F37&quot;/&gt;&lt;wsp:rsid wsp:val=&quot;6C731F01&quot;/&gt;&lt;wsp:rsid wsp:val=&quot;6C735A5D&quot;/&gt;&lt;wsp:rsid wsp:val=&quot;6C7543F7&quot;/&gt;&lt;wsp:rsid wsp:val=&quot;6C75594E&quot;/&gt;&lt;wsp:rsid wsp:val=&quot;6C755C79&quot;/&gt;&lt;wsp:rsid wsp:val=&quot;6C757A27&quot;/&gt;&lt;wsp:rsid wsp:val=&quot;6C762F55&quot;/&gt;&lt;wsp:rsid wsp:val=&quot;6C7669B4&quot;/&gt;&lt;wsp:rsid wsp:val=&quot;6C77379F&quot;/&gt;&lt;wsp:rsid wsp:val=&quot;6C77554D&quot;/&gt;&lt;wsp:rsid wsp:val=&quot;6C7812C6&quot;/&gt;&lt;wsp:rsid wsp:val=&quot;6C7C0DB6&quot;/&gt;&lt;wsp:rsid wsp:val=&quot;6C7D068A&quot;/&gt;&lt;wsp:rsid wsp:val=&quot;6C7E0D8E&quot;/&gt;&lt;wsp:rsid wsp:val=&quot;6C7F08A6&quot;/&gt;&lt;wsp:rsid wsp:val=&quot;6C7F4402&quot;/&gt;&lt;wsp:rsid wsp:val=&quot;6C7F4E9A&quot;/&gt;&lt;wsp:rsid wsp:val=&quot;6C81461E&quot;/&gt;&lt;wsp:rsid wsp:val=&quot;6C823EF2&quot;/&gt;&lt;wsp:rsid wsp:val=&quot;6C830396&quot;/&gt;&lt;wsp:rsid wsp:val=&quot;6C832144&quot;/&gt;&lt;wsp:rsid wsp:val=&quot;6C845EBC&quot;/&gt;&lt;wsp:rsid wsp:val=&quot;6C8620F1&quot;/&gt;&lt;wsp:rsid wsp:val=&quot;6C866D48&quot;/&gt;&lt;wsp:rsid wsp:val=&quot;6C88141A&quot;/&gt;&lt;wsp:rsid wsp:val=&quot;6C89702F&quot;/&gt;&lt;wsp:rsid wsp:val=&quot;6C8B2DA7&quot;/&gt;&lt;wsp:rsid wsp:val=&quot;6C8B46C6&quot;/&gt;&lt;wsp:rsid wsp:val=&quot;6C8B5575&quot;/&gt;&lt;wsp:rsid wsp:val=&quot;6C8C2600&quot;/&gt;&lt;wsp:rsid wsp:val=&quot;6C8D2FC3&quot;/&gt;&lt;wsp:rsid wsp:val=&quot;6C8D73F3&quot;/&gt;&lt;wsp:rsid wsp:val=&quot;6C8E21D0&quot;/&gt;&lt;wsp:rsid wsp:val=&quot;6C8E2897&quot;/&gt;&lt;wsp:rsid wsp:val=&quot;6C9205D9&quot;/&gt;&lt;wsp:rsid wsp:val=&quot;6C922387&quot;/&gt;&lt;wsp:rsid wsp:val=&quot;6C937EAD&quot;/&gt;&lt;wsp:rsid wsp:val=&quot;6C951E77&quot;/&gt;&lt;wsp:rsid wsp:val=&quot;6C961BE6&quot;/&gt;&lt;wsp:rsid wsp:val=&quot;6C97799E&quot;/&gt;&lt;wsp:rsid wsp:val=&quot;6C991968&quot;/&gt;&lt;wsp:rsid wsp:val=&quot;6C9A56E0&quot;/&gt;&lt;wsp:rsid wsp:val=&quot;6C9A737F&quot;/&gt;&lt;wsp:rsid wsp:val=&quot;6C9C1458&quot;/&gt;&lt;wsp:rsid wsp:val=&quot;6C9C3206&quot;/&gt;&lt;wsp:rsid wsp:val=&quot;6C9C4FB4&quot;/&gt;&lt;wsp:rsid wsp:val=&quot;6C9E6F7E&quot;/&gt;&lt;wsp:rsid wsp:val=&quot;6C9F2CF6&quot;/&gt;&lt;wsp:rsid wsp:val=&quot;6CA34594&quot;/&gt;&lt;wsp:rsid wsp:val=&quot;6CA36342&quot;/&gt;&lt;wsp:rsid wsp:val=&quot;6CA40EF3&quot;/&gt;&lt;wsp:rsid wsp:val=&quot;6CA67BE1&quot;/&gt;&lt;wsp:rsid wsp:val=&quot;6CA75A03&quot;/&gt;&lt;wsp:rsid wsp:val=&quot;6CA83959&quot;/&gt;&lt;wsp:rsid wsp:val=&quot;6CAB297C&quot;/&gt;&lt;wsp:rsid wsp:val=&quot;6CAB3479&quot;/&gt;&lt;wsp:rsid wsp:val=&quot;6CAB51F7&quot;/&gt;&lt;wsp:rsid wsp:val=&quot;6CAD0F6F&quot;/&gt;&lt;wsp:rsid wsp:val=&quot;6CAE084F&quot;/&gt;&lt;wsp:rsid wsp:val=&quot;6CAE2F39&quot;/&gt;&lt;wsp:rsid wsp:val=&quot;6CAF118B&quot;/&gt;&lt;wsp:rsid wsp:val=&quot;6CB00A5F&quot;/&gt;&lt;wsp:rsid wsp:val=&quot;6CB27C7E&quot;/&gt;&lt;wsp:rsid wsp:val=&quot;6CB5251A&quot;/&gt;&lt;wsp:rsid wsp:val=&quot;6CB542C8&quot;/&gt;&lt;wsp:rsid wsp:val=&quot;6CB70040&quot;/&gt;&lt;wsp:rsid wsp:val=&quot;6CB93DB8&quot;/&gt;&lt;wsp:rsid wsp:val=&quot;6CBA7B30&quot;/&gt;&lt;wsp:rsid wsp:val=&quot;6CBB0C5F&quot;/&gt;&lt;wsp:rsid wsp:val=&quot;6CBE13CE&quot;/&gt;&lt;wsp:rsid wsp:val=&quot;6CBE15D4&quot;/&gt;&lt;wsp:rsid wsp:val=&quot;6CBE317C&quot;/&gt;&lt;wsp:rsid wsp:val=&quot;6CBE3BC9&quot;/&gt;&lt;wsp:rsid wsp:val=&quot;6CBF18B4&quot;/&gt;&lt;wsp:rsid wsp:val=&quot;6CBF32F2&quot;/&gt;&lt;wsp:rsid wsp:val=&quot;6CBF47ED&quot;/&gt;&lt;wsp:rsid wsp:val=&quot;6CC00209&quot;/&gt;&lt;wsp:rsid wsp:val=&quot;6CC14A1B&quot;/&gt;&lt;wsp:rsid wsp:val=&quot;6CC24BA2&quot;/&gt;&lt;wsp:rsid wsp:val=&quot;6CC25CE0&quot;/&gt;&lt;wsp:rsid wsp:val=&quot;6CC30793&quot;/&gt;&lt;wsp:rsid wsp:val=&quot;6CC4275D&quot;/&gt;&lt;wsp:rsid wsp:val=&quot;6CC60283&quot;/&gt;&lt;wsp:rsid wsp:val=&quot;6CC61C99&quot;/&gt;&lt;wsp:rsid wsp:val=&quot;6CC8224D&quot;/&gt;&lt;wsp:rsid wsp:val=&quot;6CC83FFB&quot;/&gt;&lt;wsp:rsid wsp:val=&quot;6CC85DA9&quot;/&gt;&lt;wsp:rsid wsp:val=&quot;6CC928F5&quot;/&gt;&lt;wsp:rsid wsp:val=&quot;6CCB584C&quot;/&gt;&lt;wsp:rsid wsp:val=&quot;6CCB5899&quot;/&gt;&lt;wsp:rsid wsp:val=&quot;6CCB7647&quot;/&gt;&lt;wsp:rsid wsp:val=&quot;6CCC3665&quot;/&gt;&lt;wsp:rsid wsp:val=&quot;6CCD1611&quot;/&gt;&lt;wsp:rsid wsp:val=&quot;6CCD33BF&quot;/&gt;&lt;wsp:rsid wsp:val=&quot;6CCE7137&quot;/&gt;&lt;wsp:rsid wsp:val=&quot;6CCF08E7&quot;/&gt;&lt;wsp:rsid wsp:val=&quot;6CD25B27&quot;/&gt;&lt;wsp:rsid wsp:val=&quot;6CD25F52&quot;/&gt;&lt;wsp:rsid wsp:val=&quot;6CD26C28&quot;/&gt;&lt;wsp:rsid wsp:val=&quot;6CD408C1&quot;/&gt;&lt;wsp:rsid wsp:val=&quot;6CD40BF2&quot;/&gt;&lt;wsp:rsid wsp:val=&quot;6CD52274&quot;/&gt;&lt;wsp:rsid wsp:val=&quot;6CD96208&quot;/&gt;&lt;wsp:rsid wsp:val=&quot;6CDE580B&quot;/&gt;&lt;wsp:rsid wsp:val=&quot;6CDF2E4F&quot;/&gt;&lt;wsp:rsid wsp:val=&quot;6CDF30F3&quot;/&gt;&lt;wsp:rsid wsp:val=&quot;6CE10C19&quot;/&gt;&lt;wsp:rsid wsp:val=&quot;6CE16E6B&quot;/&gt;&lt;wsp:rsid wsp:val=&quot;6CE30E35&quot;/&gt;&lt;wsp:rsid wsp:val=&quot;6CE626D3&quot;/&gt;&lt;wsp:rsid wsp:val=&quot;6CE7542D&quot;/&gt;&lt;wsp:rsid wsp:val=&quot;6CE801F9&quot;/&gt;&lt;wsp:rsid wsp:val=&quot;6CE8644B&quot;/&gt;&lt;wsp:rsid wsp:val=&quot;6CEA54EF&quot;/&gt;&lt;wsp:rsid wsp:val=&quot;6CEB1A97&quot;/&gt;&lt;wsp:rsid wsp:val=&quot;6CEB7E0F&quot;/&gt;&lt;wsp:rsid wsp:val=&quot;6CED06BA&quot;/&gt;&lt;wsp:rsid wsp:val=&quot;6CED5810&quot;/&gt;&lt;wsp:rsid wsp:val=&quot;6CEF1588&quot;/&gt;&lt;wsp:rsid wsp:val=&quot;6CF06332&quot;/&gt;&lt;wsp:rsid wsp:val=&quot;6CF21078&quot;/&gt;&lt;wsp:rsid wsp:val=&quot;6CF272CA&quot;/&gt;&lt;wsp:rsid wsp:val=&quot;6CF41A63&quot;/&gt;&lt;wsp:rsid wsp:val=&quot;6CF546C4&quot;/&gt;&lt;wsp:rsid wsp:val=&quot;6CF7043C&quot;/&gt;&lt;wsp:rsid wsp:val=&quot;6CF92406&quot;/&gt;&lt;wsp:rsid wsp:val=&quot;6CFA1CDB&quot;/&gt;&lt;wsp:rsid wsp:val=&quot;6CFA617E&quot;/&gt;&lt;wsp:rsid wsp:val=&quot;6CFC5A53&quot;/&gt;&lt;wsp:rsid wsp:val=&quot;6D06058D&quot;/&gt;&lt;wsp:rsid wsp:val=&quot;6D062D75&quot;/&gt;&lt;wsp:rsid wsp:val=&quot;6D0668D1&quot;/&gt;&lt;wsp:rsid wsp:val=&quot;6D08089B&quot;/&gt;&lt;wsp:rsid wsp:val=&quot;6D082649&quot;/&gt;&lt;wsp:rsid wsp:val=&quot;6D087F43&quot;/&gt;&lt;wsp:rsid wsp:val=&quot;6D094E33&quot;/&gt;&lt;wsp:rsid wsp:val=&quot;6D0B213A&quot;/&gt;&lt;wsp:rsid wsp:val=&quot;6D0B3EE8&quot;/&gt;&lt;wsp:rsid wsp:val=&quot;6D0C5E17&quot;/&gt;&lt;wsp:rsid wsp:val=&quot;6D0D1A0E&quot;/&gt;&lt;wsp:rsid wsp:val=&quot;6D0D5EB2&quot;/&gt;&lt;wsp:rsid wsp:val=&quot;6D0D75F0&quot;/&gt;&lt;wsp:rsid wsp:val=&quot;6D0D7B7C&quot;/&gt;&lt;wsp:rsid wsp:val=&quot;6D0D7C60&quot;/&gt;&lt;wsp:rsid wsp:val=&quot;6D106FB1&quot;/&gt;&lt;wsp:rsid wsp:val=&quot;6D107750&quot;/&gt;&lt;wsp:rsid wsp:val=&quot;6D1128EF&quot;/&gt;&lt;wsp:rsid wsp:val=&quot;6D115E07&quot;/&gt;&lt;wsp:rsid wsp:val=&quot;6D125276&quot;/&gt;&lt;wsp:rsid wsp:val=&quot;6D142D9C&quot;/&gt;&lt;wsp:rsid wsp:val=&quot;6D147240&quot;/&gt;&lt;wsp:rsid wsp:val=&quot;6D156B14&quot;/&gt;&lt;wsp:rsid wsp:val=&quot;6D176D30&quot;/&gt;&lt;wsp:rsid wsp:val=&quot;6D1A237D&quot;/&gt;&lt;wsp:rsid wsp:val=&quot;6D1E00BF&quot;/&gt;&lt;wsp:rsid wsp:val=&quot;6D1E1E6D&quot;/&gt;&lt;wsp:rsid wsp:val=&quot;6D20018F&quot;/&gt;&lt;wsp:rsid wsp:val=&quot;6D203E37&quot;/&gt;&lt;wsp:rsid wsp:val=&quot;6D216E91&quot;/&gt;&lt;wsp:rsid wsp:val=&quot;6D260D22&quot;/&gt;&lt;wsp:rsid wsp:val=&quot;6D264001&quot;/&gt;&lt;wsp:rsid wsp:val=&quot;6D2A0812&quot;/&gt;&lt;wsp:rsid wsp:val=&quot;6D2A25C0&quot;/&gt;&lt;wsp:rsid wsp:val=&quot;6D2A6A64&quot;/&gt;&lt;wsp:rsid wsp:val=&quot;6D2B4915&quot;/&gt;&lt;wsp:rsid wsp:val=&quot;6D2D0302&quot;/&gt;&lt;wsp:rsid wsp:val=&quot;6D2D3E5E&quot;/&gt;&lt;wsp:rsid wsp:val=&quot;6D301BA0&quot;/&gt;&lt;wsp:rsid wsp:val=&quot;6D30394E&quot;/&gt;&lt;wsp:rsid wsp:val=&quot;6D317DF2&quot;/&gt;&lt;wsp:rsid wsp:val=&quot;6D323B6A&quot;/&gt;&lt;wsp:rsid wsp:val=&quot;6D333A34&quot;/&gt;&lt;wsp:rsid wsp:val=&quot;6D3B2A1F&quot;/&gt;&lt;wsp:rsid wsp:val=&quot;6D3B47CD&quot;/&gt;&lt;wsp:rsid wsp:val=&quot;6D3C22F3&quot;/&gt;&lt;wsp:rsid wsp:val=&quot;6D3E250F&quot;/&gt;&lt;wsp:rsid wsp:val=&quot;6D3E42BD&quot;/&gt;&lt;wsp:rsid wsp:val=&quot;6D3E606B&quot;/&gt;&lt;wsp:rsid wsp:val=&quot;6D3F3718&quot;/&gt;&lt;wsp:rsid wsp:val=&quot;6D415B5B&quot;/&gt;&lt;wsp:rsid wsp:val=&quot;6D45389E&quot;/&gt;&lt;wsp:rsid wsp:val=&quot;6D45564C&quot;/&gt;&lt;wsp:rsid wsp:val=&quot;6D455E49&quot;/&gt;&lt;wsp:rsid wsp:val=&quot;6D4573FA&quot;/&gt;&lt;wsp:rsid wsp:val=&quot;6D464F20&quot;/&gt;&lt;wsp:rsid wsp:val=&quot;6D48513C&quot;/&gt;&lt;wsp:rsid wsp:val=&quot;6D486EEA&quot;/&gt;&lt;wsp:rsid wsp:val=&quot;6D492422&quot;/&gt;&lt;wsp:rsid wsp:val=&quot;6D49739B&quot;/&gt;&lt;wsp:rsid wsp:val=&quot;6D4A4A10&quot;/&gt;&lt;wsp:rsid wsp:val=&quot;6D4B0788&quot;/&gt;&lt;wsp:rsid wsp:val=&quot;6D4B1CBB&quot;/&gt;&lt;wsp:rsid wsp:val=&quot;6D4B2536&quot;/&gt;&lt;wsp:rsid wsp:val=&quot;6D4C4C2C&quot;/&gt;&lt;wsp:rsid wsp:val=&quot;6D4D2752&quot;/&gt;&lt;wsp:rsid wsp:val=&quot;6D4F2026&quot;/&gt;&lt;wsp:rsid wsp:val=&quot;6D513FF0&quot;/&gt;&lt;wsp:rsid wsp:val=&quot;6D515B2D&quot;/&gt;&lt;wsp:rsid wsp:val=&quot;6D525A65&quot;/&gt;&lt;wsp:rsid wsp:val=&quot;6D543AE1&quot;/&gt;&lt;wsp:rsid wsp:val=&quot;6D5533B5&quot;/&gt;&lt;wsp:rsid wsp:val=&quot;6D561A4E&quot;/&gt;&lt;wsp:rsid wsp:val=&quot;6D567859&quot;/&gt;&lt;wsp:rsid wsp:val=&quot;6D57537F&quot;/&gt;&lt;wsp:rsid wsp:val=&quot;6D5910F7&quot;/&gt;&lt;wsp:rsid wsp:val=&quot;6D5B6C1D&quot;/&gt;&lt;wsp:rsid wsp:val=&quot;6D5D6CA1&quot;/&gt;&lt;wsp:rsid wsp:val=&quot;6D5E2269&quot;/&gt;&lt;wsp:rsid wsp:val=&quot;6D5E495F&quot;/&gt;&lt;wsp:rsid wsp:val=&quot;6D611D5A&quot;/&gt;&lt;wsp:rsid wsp:val=&quot;6D611E86&quot;/&gt;&lt;wsp:rsid wsp:val=&quot;6D620976&quot;/&gt;&lt;wsp:rsid wsp:val=&quot;6D6261FE&quot;/&gt;&lt;wsp:rsid wsp:val=&quot;6D642862&quot;/&gt;&lt;wsp:rsid wsp:val=&quot;6D655CEE&quot;/&gt;&lt;wsp:rsid wsp:val=&quot;6D665378&quot;/&gt;&lt;wsp:rsid wsp:val=&quot;6D667370&quot;/&gt;&lt;wsp:rsid wsp:val=&quot;6D6830E8&quot;/&gt;&lt;wsp:rsid wsp:val=&quot;6D6860B5&quot;/&gt;&lt;wsp:rsid wsp:val=&quot;6D686F3E&quot;/&gt;&lt;wsp:rsid wsp:val=&quot;6D68758C&quot;/&gt;&lt;wsp:rsid wsp:val=&quot;6D6B4986&quot;/&gt;&lt;wsp:rsid wsp:val=&quot;6D6C2BD8&quot;/&gt;&lt;wsp:rsid wsp:val=&quot;6D6C3BC5&quot;/&gt;&lt;wsp:rsid wsp:val=&quot;6D6D6950&quot;/&gt;&lt;wsp:rsid wsp:val=&quot;6D6F45CA&quot;/&gt;&lt;wsp:rsid wsp:val=&quot;6D702546&quot;/&gt;&lt;wsp:rsid wsp:val=&quot;6D7054EE&quot;/&gt;&lt;wsp:rsid wsp:val=&quot;6D7139D6&quot;/&gt;&lt;wsp:rsid wsp:val=&quot;6D725D15&quot;/&gt;&lt;wsp:rsid wsp:val=&quot;6D7777CF&quot;/&gt;&lt;wsp:rsid wsp:val=&quot;6D794D39&quot;/&gt;&lt;wsp:rsid wsp:val=&quot;6D7952F5&quot;/&gt;&lt;wsp:rsid wsp:val=&quot;6D7970A3&quot;/&gt;&lt;wsp:rsid wsp:val=&quot;6D7A524D&quot;/&gt;&lt;wsp:rsid wsp:val=&quot;6D7B40DA&quot;/&gt;&lt;wsp:rsid wsp:val=&quot;6D7B72BF&quot;/&gt;&lt;wsp:rsid wsp:val=&quot;6D7C6B93&quot;/&gt;&lt;wsp:rsid wsp:val=&quot;6D7D3037&quot;/&gt;&lt;wsp:rsid wsp:val=&quot;6D7D46B3&quot;/&gt;&lt;wsp:rsid wsp:val=&quot;6D7E2D8E&quot;/&gt;&lt;wsp:rsid wsp:val=&quot;6D7E5FDA&quot;/&gt;&lt;wsp:rsid wsp:val=&quot;6D7F17B7&quot;/&gt;&lt;wsp:rsid wsp:val=&quot;6D800432&quot;/&gt;&lt;wsp:rsid wsp:val=&quot;6D80557B&quot;/&gt;&lt;wsp:rsid wsp:val=&quot;6D806684&quot;/&gt;&lt;wsp:rsid wsp:val=&quot;6D8141AA&quot;/&gt;&lt;wsp:rsid wsp:val=&quot;6D8343C6&quot;/&gt;&lt;wsp:rsid wsp:val=&quot;6D836174&quot;/&gt;&lt;wsp:rsid wsp:val=&quot;6D842C2A&quot;/&gt;&lt;wsp:rsid wsp:val=&quot;6D854A1D&quot;/&gt;&lt;wsp:rsid wsp:val=&quot;6D8656F8&quot;/&gt;&lt;wsp:rsid wsp:val=&quot;6D8A5EA7&quot;/&gt;&lt;wsp:rsid wsp:val=&quot;6D8A7502&quot;/&gt;&lt;wsp:rsid wsp:val=&quot;6D8C5028&quot;/&gt;&lt;wsp:rsid wsp:val=&quot;6D8D0DA1&quot;/&gt;&lt;wsp:rsid wsp:val=&quot;6D8F4B19&quot;/&gt;&lt;wsp:rsid wsp:val=&quot;6D9070B3&quot;/&gt;&lt;wsp:rsid wsp:val=&quot;6D9143ED&quot;/&gt;&lt;wsp:rsid wsp:val=&quot;6D920165&quot;/&gt;&lt;wsp:rsid wsp:val=&quot;6D9263B7&quot;/&gt;&lt;wsp:rsid wsp:val=&quot;6D940200&quot;/&gt;&lt;wsp:rsid wsp:val=&quot;6D965EA7&quot;/&gt;&lt;wsp:rsid wsp:val=&quot;6D997745&quot;/&gt;&lt;wsp:rsid wsp:val=&quot;6D9B34BE&quot;/&gt;&lt;wsp:rsid wsp:val=&quot;6D9D2BF3&quot;/&gt;&lt;wsp:rsid wsp:val=&quot;6D9E4D5C&quot;/&gt;&lt;wsp:rsid wsp:val=&quot;6D9F7350&quot;/&gt;&lt;wsp:rsid wsp:val=&quot;6DA02882&quot;/&gt;&lt;wsp:rsid wsp:val=&quot;6DA22804&quot;/&gt;&lt;wsp:rsid wsp:val=&quot;6DA2484C&quot;/&gt;&lt;wsp:rsid wsp:val=&quot;6DA265FA&quot;/&gt;&lt;wsp:rsid wsp:val=&quot;6DA32372&quot;/&gt;&lt;wsp:rsid wsp:val=&quot;6DA5562E&quot;/&gt;&lt;wsp:rsid wsp:val=&quot;6DA560EA&quot;/&gt;&lt;wsp:rsid wsp:val=&quot;6DA700B4&quot;/&gt;&lt;wsp:rsid wsp:val=&quot;6DA73066&quot;/&gt;&lt;wsp:rsid wsp:val=&quot;6DA73C10&quot;/&gt;&lt;wsp:rsid wsp:val=&quot;6DA85BDA&quot;/&gt;&lt;wsp:rsid wsp:val=&quot;6DAA3701&quot;/&gt;&lt;wsp:rsid wsp:val=&quot;6DAA3B67&quot;/&gt;&lt;wsp:rsid wsp:val=&quot;6DAA54AF&quot;/&gt;&lt;wsp:rsid wsp:val=&quot;6DAC7BC8&quot;/&gt;&lt;wsp:rsid wsp:val=&quot;6DAF0D17&quot;/&gt;&lt;wsp:rsid wsp:val=&quot;6DAF6F69&quot;/&gt;&lt;wsp:rsid wsp:val=&quot;6DB0319F&quot;/&gt;&lt;wsp:rsid wsp:val=&quot;6DB12CE1&quot;/&gt;&lt;wsp:rsid wsp:val=&quot;6DB1683D&quot;/&gt;&lt;wsp:rsid wsp:val=&quot;6DB2571B&quot;/&gt;&lt;wsp:rsid wsp:val=&quot;6DB30807&quot;/&gt;&lt;wsp:rsid wsp:val=&quot;6DB34098&quot;/&gt;&lt;wsp:rsid wsp:val=&quot;6DB36A59&quot;/&gt;&lt;wsp:rsid wsp:val=&quot;6DB477EA&quot;/&gt;&lt;wsp:rsid wsp:val=&quot;6DB545B6&quot;/&gt;&lt;wsp:rsid wsp:val=&quot;6DB602F7&quot;/&gt;&lt;wsp:rsid wsp:val=&quot;6DB620A5&quot;/&gt;&lt;wsp:rsid wsp:val=&quot;6DB63E53&quot;/&gt;&lt;wsp:rsid wsp:val=&quot;6DB66549&quot;/&gt;&lt;wsp:rsid wsp:val=&quot;6DB77BCC&quot;/&gt;&lt;wsp:rsid wsp:val=&quot;6DB8406F&quot;/&gt;&lt;wsp:rsid wsp:val=&quot;6DB85E1E&quot;/&gt;&lt;wsp:rsid wsp:val=&quot;6DB91B96&quot;/&gt;&lt;wsp:rsid wsp:val=&quot;6DBB590E&quot;/&gt;&lt;wsp:rsid wsp:val=&quot;6DBB76BC&quot;/&gt;&lt;wsp:rsid wsp:val=&quot;6DBD3434&quot;/&gt;&lt;wsp:rsid wsp:val=&quot;6DBE71AC&quot;/&gt;&lt;wsp:rsid wsp:val=&quot;6DBF603E&quot;/&gt;&lt;wsp:rsid wsp:val=&quot;6DC10FAB&quot;/&gt;&lt;wsp:rsid wsp:val=&quot;6DC11FEB&quot;/&gt;&lt;wsp:rsid wsp:val=&quot;6DC24EEE&quot;/&gt;&lt;wsp:rsid wsp:val=&quot;6DC36570&quot;/&gt;&lt;wsp:rsid wsp:val=&quot;6DC42A14&quot;/&gt;&lt;wsp:rsid wsp:val=&quot;6DC522E8&quot;/&gt;&lt;wsp:rsid wsp:val=&quot;6DC72505&quot;/&gt;&lt;wsp:rsid wsp:val=&quot;6DC742B3&quot;/&gt;&lt;wsp:rsid wsp:val=&quot;6DC9002B&quot;/&gt;&lt;wsp:rsid wsp:val=&quot;6DC9057F&quot;/&gt;&lt;wsp:rsid wsp:val=&quot;6DCA3DA3&quot;/&gt;&lt;wsp:rsid wsp:val=&quot;6DCA5B51&quot;/&gt;&lt;wsp:rsid wsp:val=&quot;6DCC7B1B&quot;/&gt;&lt;wsp:rsid wsp:val=&quot;6DCE3893&quot;/&gt;&lt;wsp:rsid wsp:val=&quot;6DCF4F15&quot;/&gt;&lt;wsp:rsid wsp:val=&quot;6DCF760B&quot;/&gt;&lt;wsp:rsid wsp:val=&quot;6DD025FD&quot;/&gt;&lt;wsp:rsid wsp:val=&quot;6DD10452&quot;/&gt;&lt;wsp:rsid wsp:val=&quot;6DD14B25&quot;/&gt;&lt;wsp:rsid wsp:val=&quot;6DD15131&quot;/&gt;&lt;wsp:rsid wsp:val=&quot;6DD24A05&quot;/&gt;&lt;wsp:rsid wsp:val=&quot;6DD30EA9&quot;/&gt;&lt;wsp:rsid wsp:val=&quot;6DD4077E&quot;/&gt;&lt;wsp:rsid wsp:val=&quot;6DD86BE4&quot;/&gt;&lt;wsp:rsid wsp:val=&quot;6DD9425F&quot;/&gt;&lt;wsp:rsid wsp:val=&quot;6DD94A2A&quot;/&gt;&lt;wsp:rsid wsp:val=&quot;6DD95D94&quot;/&gt;&lt;wsp:rsid wsp:val=&quot;6DDB7D5E&quot;/&gt;&lt;wsp:rsid wsp:val=&quot;6DDD3AD6&quot;/&gt;&lt;wsp:rsid wsp:val=&quot;6DDD7632&quot;/&gt;&lt;wsp:rsid wsp:val=&quot;6DDE1315&quot;/&gt;&lt;wsp:rsid wsp:val=&quot;6DDE7486&quot;/&gt;&lt;wsp:rsid wsp:val=&quot;6DDF6574&quot;/&gt;&lt;wsp:rsid wsp:val=&quot;6DE02FB4&quot;/&gt;&lt;wsp:rsid wsp:val=&quot;6DE10C0B&quot;/&gt;&lt;wsp:rsid wsp:val=&quot;6DE13E96&quot;/&gt;&lt;wsp:rsid wsp:val=&quot;6DE17F47&quot;/&gt;&lt;wsp:rsid wsp:val=&quot;6DE21E3D&quot;/&gt;&lt;wsp:rsid wsp:val=&quot;6DE22E9A&quot;/&gt;&lt;wsp:rsid wsp:val=&quot;6DE309C1&quot;/&gt;&lt;wsp:rsid wsp:val=&quot;6DE54739&quot;/&gt;&lt;wsp:rsid wsp:val=&quot;6DE6283F&quot;/&gt;&lt;wsp:rsid wsp:val=&quot;6DE72678&quot;/&gt;&lt;wsp:rsid wsp:val=&quot;6DE76703&quot;/&gt;&lt;wsp:rsid wsp:val=&quot;6DEA0FF9&quot;/&gt;&lt;wsp:rsid wsp:val=&quot;6DEC134B&quot;/&gt;&lt;wsp:rsid wsp:val=&quot;6DEC1F6B&quot;/&gt;&lt;wsp:rsid wsp:val=&quot;6DEC3D19&quot;/&gt;&lt;wsp:rsid wsp:val=&quot;6DED1CA3&quot;/&gt;&lt;wsp:rsid wsp:val=&quot;6DEE7A91&quot;/&gt;&lt;wsp:rsid wsp:val=&quot;6DF024BC&quot;/&gt;&lt;wsp:rsid wsp:val=&quot;6DF130DE&quot;/&gt;&lt;wsp:rsid wsp:val=&quot;6DF332FA&quot;/&gt;&lt;wsp:rsid wsp:val=&quot;6DF350A8&quot;/&gt;&lt;wsp:rsid wsp:val=&quot;6DF64B98&quot;/&gt;&lt;wsp:rsid wsp:val=&quot;6DF76735&quot;/&gt;&lt;wsp:rsid wsp:val=&quot;6DF93F3F&quot;/&gt;&lt;wsp:rsid wsp:val=&quot;6DFA4688&quot;/&gt;&lt;wsp:rsid wsp:val=&quot;6DFB0400&quot;/&gt;&lt;wsp:rsid wsp:val=&quot;6DFB56B9&quot;/&gt;&lt;wsp:rsid wsp:val=&quot;6DFD7CD4&quot;/&gt;&lt;wsp:rsid wsp:val=&quot;6DFF1C9E&quot;/&gt;&lt;wsp:rsid wsp:val=&quot;6DFF3D69&quot;/&gt;&lt;wsp:rsid wsp:val=&quot;6E005A16&quot;/&gt;&lt;wsp:rsid wsp:val=&quot;6E013993&quot;/&gt;&lt;wsp:rsid wsp:val=&quot;6E027280&quot;/&gt;&lt;wsp:rsid wsp:val=&quot;6E0472B5&quot;/&gt;&lt;wsp:rsid wsp:val=&quot;6E053030&quot;/&gt;&lt;wsp:rsid wsp:val=&quot;6E070B53&quot;/&gt;&lt;wsp:rsid wsp:val=&quot;6E076DA5&quot;/&gt;&lt;wsp:rsid wsp:val=&quot;6E080427&quot;/&gt;&lt;wsp:rsid wsp:val=&quot;6E090116&quot;/&gt;&lt;wsp:rsid wsp:val=&quot;6E0A3477&quot;/&gt;&lt;wsp:rsid wsp:val=&quot;6E0A7146&quot;/&gt;&lt;wsp:rsid wsp:val=&quot;6E0C43BB&quot;/&gt;&lt;wsp:rsid wsp:val=&quot;6E0C7F17&quot;/&gt;&lt;wsp:rsid wsp:val=&quot;6E0F17B6&quot;/&gt;&lt;wsp:rsid wsp:val=&quot;6E0F36C1&quot;/&gt;&lt;wsp:rsid wsp:val=&quot;6E105C5A&quot;/&gt;&lt;wsp:rsid wsp:val=&quot;6E1535B9&quot;/&gt;&lt;wsp:rsid wsp:val=&quot;6E162B44&quot;/&gt;&lt;wsp:rsid wsp:val=&quot;6E182D60&quot;/&gt;&lt;wsp:rsid wsp:val=&quot;6E1950AD&quot;/&gt;&lt;wsp:rsid wsp:val=&quot;6E1B45FE&quot;/&gt;&lt;wsp:rsid wsp:val=&quot;6E1B63AC&quot;/&gt;&lt;wsp:rsid wsp:val=&quot;6E1D2124&quot;/&gt;&lt;wsp:rsid wsp:val=&quot;6E1E7093&quot;/&gt;&lt;wsp:rsid wsp:val=&quot;6E1F3234&quot;/&gt;&lt;wsp:rsid wsp:val=&quot;6E1F7C4B&quot;/&gt;&lt;wsp:rsid wsp:val=&quot;6E2039C3&quot;/&gt;&lt;wsp:rsid wsp:val=&quot;6E217E67&quot;/&gt;&lt;wsp:rsid wsp:val=&quot;6E225129&quot;/&gt;&lt;wsp:rsid wsp:val=&quot;6E22598D&quot;/&gt;&lt;wsp:rsid wsp:val=&quot;6E260A53&quot;/&gt;&lt;wsp:rsid wsp:val=&quot;6E274D51&quot;/&gt;&lt;wsp:rsid wsp:val=&quot;6E277F63&quot;/&gt;&lt;wsp:rsid wsp:val=&quot;6E2A07E5&quot;/&gt;&lt;wsp:rsid wsp:val=&quot;6E2C0FA1&quot;/&gt;&lt;wsp:rsid wsp:val=&quot;6E2E7E8E&quot;/&gt;&lt;wsp:rsid wsp:val=&quot;6E33002A&quot;/&gt;&lt;wsp:rsid wsp:val=&quot;6E331948&quot;/&gt;&lt;wsp:rsid wsp:val=&quot;6E34753E&quot;/&gt;&lt;wsp:rsid wsp:val=&quot;6E3556C0&quot;/&gt;&lt;wsp:rsid wsp:val=&quot;6E35746E&quot;/&gt;&lt;wsp:rsid wsp:val=&quot;6E380FA9&quot;/&gt;&lt;wsp:rsid wsp:val=&quot;6E394AF1&quot;/&gt;&lt;wsp:rsid wsp:val=&quot;6E3A2CD6&quot;/&gt;&lt;wsp:rsid wsp:val=&quot;6E3A6CA9&quot;/&gt;&lt;wsp:rsid wsp:val=&quot;6E3B07FD&quot;/&gt;&lt;wsp:rsid wsp:val=&quot;6E3B25AB&quot;/&gt;&lt;wsp:rsid wsp:val=&quot;6E3C2BCA&quot;/&gt;&lt;wsp:rsid wsp:val=&quot;6E3D3C72&quot;/&gt;&lt;wsp:rsid wsp:val=&quot;6E3D4575&quot;/&gt;&lt;wsp:rsid wsp:val=&quot;6E3F02ED&quot;/&gt;&lt;wsp:rsid wsp:val=&quot;6E3F209B&quot;/&gt;&lt;wsp:rsid wsp:val=&quot;6E40502B&quot;/&gt;&lt;wsp:rsid wsp:val=&quot;6E414065&quot;/&gt;&lt;wsp:rsid wsp:val=&quot;6E4476B1&quot;/&gt;&lt;wsp:rsid wsp:val=&quot;6E454B50&quot;/&gt;&lt;wsp:rsid wsp:val=&quot;6E476B79&quot;/&gt;&lt;wsp:rsid wsp:val=&quot;6E493180&quot;/&gt;&lt;wsp:rsid wsp:val=&quot;6E4A0A40&quot;/&gt;&lt;wsp:rsid wsp:val=&quot;6E4B0D18&quot;/&gt;&lt;wsp:rsid wsp:val=&quot;6E4B6747&quot;/&gt;&lt;wsp:rsid wsp:val=&quot;6E4E67EA&quot;/&gt;&lt;wsp:rsid wsp:val=&quot;6E4F0C06&quot;/&gt;&lt;wsp:rsid wsp:val=&quot;6E5024FA&quot;/&gt;&lt;wsp:rsid wsp:val=&quot;6E510020&quot;/&gt;&lt;wsp:rsid wsp:val=&quot;6E514CED&quot;/&gt;&lt;wsp:rsid wsp:val=&quot;6E526272&quot;/&gt;&lt;wsp:rsid wsp:val=&quot;6E533D98&quot;/&gt;&lt;wsp:rsid wsp:val=&quot;6E5518BE&quot;/&gt;&lt;wsp:rsid wsp:val=&quot;6E58315D&quot;/&gt;&lt;wsp:rsid wsp:val=&quot;6E587601&quot;/&gt;&lt;wsp:rsid wsp:val=&quot;6E5A5127&quot;/&gt;&lt;wsp:rsid wsp:val=&quot;6E5B52BA&quot;/&gt;&lt;wsp:rsid wsp:val=&quot;6E5D0662&quot;/&gt;&lt;wsp:rsid wsp:val=&quot;6E5E05F4&quot;/&gt;&lt;wsp:rsid wsp:val=&quot;6E5E53C9&quot;/&gt;&lt;wsp:rsid wsp:val=&quot;6E5F098F&quot;/&gt;&lt;wsp:rsid wsp:val=&quot;6E5F44EB&quot;/&gt;&lt;wsp:rsid wsp:val=&quot;6E600263&quot;/&gt;&lt;wsp:rsid wsp:val=&quot;6E61112C&quot;/&gt;&lt;wsp:rsid wsp:val=&quot;6E661D1D&quot;/&gt;&lt;wsp:rsid wsp:val=&quot;6E666DD7&quot;/&gt;&lt;wsp:rsid wsp:val=&quot;6E6935BC&quot;/&gt;&lt;wsp:rsid wsp:val=&quot;6E6B10E2&quot;/&gt;&lt;wsp:rsid wsp:val=&quot;6E6C4E5A&quot;/&gt;&lt;wsp:rsid wsp:val=&quot;6E6D58F0&quot;/&gt;&lt;wsp:rsid wsp:val=&quot;6E6E2980&quot;/&gt;&lt;wsp:rsid wsp:val=&quot;6E6E472E&quot;/&gt;&lt;wsp:rsid wsp:val=&quot;6E707791&quot;/&gt;&lt;wsp:rsid wsp:val=&quot;6E716558&quot;/&gt;&lt;wsp:rsid wsp:val=&quot;6E7206C2&quot;/&gt;&lt;wsp:rsid wsp:val=&quot;6E733541&quot;/&gt;&lt;wsp:rsid wsp:val=&quot;6E737F96&quot;/&gt;&lt;wsp:rsid wsp:val=&quot;6E742C1A&quot;/&gt;&lt;wsp:rsid wsp:val=&quot;6E7469C7&quot;/&gt;&lt;wsp:rsid wsp:val=&quot;6E7475A2&quot;/&gt;&lt;wsp:rsid wsp:val=&quot;6E752083&quot;/&gt;&lt;wsp:rsid wsp:val=&quot;6E755ABD&quot;/&gt;&lt;wsp:rsid wsp:val=&quot;6E761835&quot;/&gt;&lt;wsp:rsid wsp:val=&quot;6E770482&quot;/&gt;&lt;wsp:rsid wsp:val=&quot;6E781A51&quot;/&gt;&lt;wsp:rsid wsp:val=&quot;6E7A30D3&quot;/&gt;&lt;wsp:rsid wsp:val=&quot;6E7A38D9&quot;/&gt;&lt;wsp:rsid wsp:val=&quot;6E7A7577&quot;/&gt;&lt;wsp:rsid wsp:val=&quot;6E7B6E4B&quot;/&gt;&lt;wsp:rsid wsp:val=&quot;6E7D2BC3&quot;/&gt;&lt;wsp:rsid wsp:val=&quot;6E7D7067&quot;/&gt;&lt;wsp:rsid wsp:val=&quot;6E7F06E9&quot;/&gt;&lt;wsp:rsid wsp:val=&quot;6E804461&quot;/&gt;&lt;wsp:rsid wsp:val=&quot;6E810905&quot;/&gt;&lt;wsp:rsid wsp:val=&quot;6E82642B&quot;/&gt;&lt;wsp:rsid wsp:val=&quot;6E874588&quot;/&gt;&lt;wsp:rsid wsp:val=&quot;6E8842D7&quot;/&gt;&lt;wsp:rsid wsp:val=&quot;6E890338&quot;/&gt;&lt;wsp:rsid wsp:val=&quot;6E8961B8&quot;/&gt;&lt;wsp:rsid wsp:val=&quot;6E896EA8&quot;/&gt;&lt;wsp:rsid wsp:val=&quot;6E8A5340&quot;/&gt;&lt;wsp:rsid wsp:val=&quot;6E8C2E06&quot;/&gt;&lt;wsp:rsid wsp:val=&quot;6E8D72AA&quot;/&gt;&lt;wsp:rsid wsp:val=&quot;6E8F5B5F&quot;/&gt;&lt;wsp:rsid wsp:val=&quot;6E900879&quot;/&gt;&lt;wsp:rsid wsp:val=&quot;6E922B12&quot;/&gt;&lt;wsp:rsid wsp:val=&quot;6E9323E7&quot;/&gt;&lt;wsp:rsid wsp:val=&quot;6E9422B2&quot;/&gt;&lt;wsp:rsid wsp:val=&quot;6E9A19C7&quot;/&gt;&lt;wsp:rsid wsp:val=&quot;6E9C74ED&quot;/&gt;&lt;wsp:rsid wsp:val=&quot;6E9E14B7&quot;/&gt;&lt;wsp:rsid wsp:val=&quot;6E9F6FDD&quot;/&gt;&lt;wsp:rsid wsp:val=&quot;6EA136DF&quot;/&gt;&lt;wsp:rsid wsp:val=&quot;6EA2087C&quot;/&gt;&lt;wsp:rsid wsp:val=&quot;6EA2262A&quot;/&gt;&lt;wsp:rsid wsp:val=&quot;6EA36ACE&quot;/&gt;&lt;wsp:rsid wsp:val=&quot;6EA42846&quot;/&gt;&lt;wsp:rsid wsp:val=&quot;6EA75E92&quot;/&gt;&lt;wsp:rsid wsp:val=&quot;6EA939B8&quot;/&gt;&lt;wsp:rsid wsp:val=&quot;6EA97E5C&quot;/&gt;&lt;wsp:rsid wsp:val=&quot;6EAB7671&quot;/&gt;&lt;wsp:rsid wsp:val=&quot;6EAC5256&quot;/&gt;&lt;wsp:rsid wsp:val=&quot;6EAD684E&quot;/&gt;&lt;wsp:rsid wsp:val=&quot;6EAE5472&quot;/&gt;&lt;wsp:rsid wsp:val=&quot;6EAE733F&quot;/&gt;&lt;wsp:rsid wsp:val=&quot;6EAF2053&quot;/&gt;&lt;wsp:rsid wsp:val=&quot;6EB011EB&quot;/&gt;&lt;wsp:rsid wsp:val=&quot;6EB365E5&quot;/&gt;&lt;wsp:rsid wsp:val=&quot;6EB42BD3&quot;/&gt;&lt;wsp:rsid wsp:val=&quot;6EB5235D&quot;/&gt;&lt;wsp:rsid wsp:val=&quot;6EB563D5&quot;/&gt;&lt;wsp:rsid wsp:val=&quot;6EB62DE8&quot;/&gt;&lt;wsp:rsid wsp:val=&quot;6EB81E4D&quot;/&gt;&lt;wsp:rsid wsp:val=&quot;6EB83BFB&quot;/&gt;&lt;wsp:rsid wsp:val=&quot;6EBC193D&quot;/&gt;&lt;wsp:rsid wsp:val=&quot;6EC0089A&quot;/&gt;&lt;wsp:rsid wsp:val=&quot;6EC16F54&quot;/&gt;&lt;wsp:rsid wsp:val=&quot;6EC24A7A&quot;/&gt;&lt;wsp:rsid wsp:val=&quot;6EC46A44&quot;/&gt;&lt;wsp:rsid wsp:val=&quot;6EC627BC&quot;/&gt;&lt;wsp:rsid wsp:val=&quot;6EC922AC&quot;/&gt;&lt;wsp:rsid wsp:val=&quot;6EC95E08&quot;/&gt;&lt;wsp:rsid wsp:val=&quot;6ECA39AD&quot;/&gt;&lt;wsp:rsid wsp:val=&quot;6ECB392F&quot;/&gt;&lt;wsp:rsid wsp:val=&quot;6ECB66B8&quot;/&gt;&lt;wsp:rsid wsp:val=&quot;6ECC3C23&quot;/&gt;&lt;wsp:rsid wsp:val=&quot;6ECF78C3&quot;/&gt;&lt;wsp:rsid wsp:val=&quot;6ED0239E&quot;/&gt;&lt;wsp:rsid wsp:val=&quot;6ED07197&quot;/&gt;&lt;wsp:rsid wsp:val=&quot;6ED0761A&quot;/&gt;&lt;wsp:rsid wsp:val=&quot;6ED13F5D&quot;/&gt;&lt;wsp:rsid wsp:val=&quot;6ED21161&quot;/&gt;&lt;wsp:rsid wsp:val=&quot;6ED3687D&quot;/&gt;&lt;wsp:rsid wsp:val=&quot;6ED50C51&quot;/&gt;&lt;wsp:rsid wsp:val=&quot;6ED529FF&quot;/&gt;&lt;wsp:rsid wsp:val=&quot;6ED70525&quot;/&gt;&lt;wsp:rsid wsp:val=&quot;6ED749C9&quot;/&gt;&lt;wsp:rsid wsp:val=&quot;6ED8604B&quot;/&gt;&lt;wsp:rsid wsp:val=&quot;6ED92677&quot;/&gt;&lt;wsp:rsid wsp:val=&quot;6ED9678D&quot;/&gt;&lt;wsp:rsid wsp:val=&quot;6EDA0016&quot;/&gt;&lt;wsp:rsid wsp:val=&quot;6EDC1FE0&quot;/&gt;&lt;wsp:rsid wsp:val=&quot;6EDC5B3C&quot;/&gt;&lt;wsp:rsid wsp:val=&quot;6EDD056B&quot;/&gt;&lt;wsp:rsid wsp:val=&quot;6EDD3662&quot;/&gt;&lt;wsp:rsid wsp:val=&quot;6EDD6664&quot;/&gt;&lt;wsp:rsid wsp:val=&quot;6EDF73DA&quot;/&gt;&lt;wsp:rsid wsp:val=&quot;6EE05E54&quot;/&gt;&lt;wsp:rsid wsp:val=&quot;6EE175F6&quot;/&gt;&lt;wsp:rsid wsp:val=&quot;6EE42C42&quot;/&gt;&lt;wsp:rsid wsp:val=&quot;6EE449F0&quot;/&gt;&lt;wsp:rsid wsp:val=&quot;6EE507FF&quot;/&gt;&lt;wsp:rsid wsp:val=&quot;6EE60768&quot;/&gt;&lt;wsp:rsid wsp:val=&quot;6EE64C0C&quot;/&gt;&lt;wsp:rsid wsp:val=&quot;6EE669BA&quot;/&gt;&lt;wsp:rsid wsp:val=&quot;6EE80984&quot;/&gt;&lt;wsp:rsid wsp:val=&quot;6EE90259&quot;/&gt;&lt;wsp:rsid wsp:val=&quot;6EE964AB&quot;/&gt;&lt;wsp:rsid wsp:val=&quot;6EEB3FD1&quot;/&gt;&lt;wsp:rsid wsp:val=&quot;6EEB76D5&quot;/&gt;&lt;wsp:rsid wsp:val=&quot;6EEF1974&quot;/&gt;&lt;wsp:rsid wsp:val=&quot;6EF03395&quot;/&gt;&lt;wsp:rsid wsp:val=&quot;6EF07839&quot;/&gt;&lt;wsp:rsid wsp:val=&quot;6EF32E85&quot;/&gt;&lt;wsp:rsid wsp:val=&quot;6EF410D7&quot;/&gt;&lt;wsp:rsid wsp:val=&quot;6EF44042&quot;/&gt;&lt;wsp:rsid wsp:val=&quot;6EF56BFD&quot;/&gt;&lt;wsp:rsid wsp:val=&quot;6EF72976&quot;/&gt;&lt;wsp:rsid wsp:val=&quot;6EF8049C&quot;/&gt;&lt;wsp:rsid wsp:val=&quot;6EF87108&quot;/&gt;&lt;wsp:rsid wsp:val=&quot;6EF966EE&quot;/&gt;&lt;wsp:rsid wsp:val=&quot;6EFB71CA&quot;/&gt;&lt;wsp:rsid wsp:val=&quot;6EFF182A&quot;/&gt;&lt;wsp:rsid wsp:val=&quot;6F03131A&quot;/&gt;&lt;wsp:rsid wsp:val=&quot;6F06705D&quot;/&gt;&lt;wsp:rsid wsp:val=&quot;6F076EA4&quot;/&gt;&lt;wsp:rsid wsp:val=&quot;6F0917CE&quot;/&gt;&lt;wsp:rsid wsp:val=&quot;6F0A08FB&quot;/&gt;&lt;wsp:rsid wsp:val=&quot;6F0B4673&quot;/&gt;&lt;wsp:rsid wsp:val=&quot;6F0C55FA&quot;/&gt;&lt;wsp:rsid wsp:val=&quot;6F0E2CEA&quot;/&gt;&lt;wsp:rsid wsp:val=&quot;6F0F5F11&quot;/&gt;&lt;wsp:rsid wsp:val=&quot;6F10216C&quot;/&gt;&lt;wsp:rsid wsp:val=&quot;6F1057E5&quot;/&gt;&lt;wsp:rsid wsp:val=&quot;6F107F60&quot;/&gt;&lt;wsp:rsid wsp:val=&quot;6F12311E&quot;/&gt;&lt;wsp:rsid wsp:val=&quot;6F125A01&quot;/&gt;&lt;wsp:rsid wsp:val=&quot;6F14379C&quot;/&gt;&lt;wsp:rsid wsp:val=&quot;6F152DFC&quot;/&gt;&lt;wsp:rsid wsp:val=&quot;6F1866F2&quot;/&gt;&lt;wsp:rsid wsp:val=&quot;6F190B3E&quot;/&gt;&lt;wsp:rsid wsp:val=&quot;6F194749&quot;/&gt;&lt;wsp:rsid wsp:val=&quot;6F1A6664&quot;/&gt;&lt;wsp:rsid wsp:val=&quot;6F1C23DC&quot;/&gt;&lt;wsp:rsid wsp:val=&quot;6F1E7F02&quot;/&gt;&lt;wsp:rsid wsp:val=&quot;6F225983&quot;/&gt;&lt;wsp:rsid wsp:val=&quot;6F233805&quot;/&gt;&lt;wsp:rsid wsp:val=&quot;6F235519&quot;/&gt;&lt;wsp:rsid wsp:val=&quot;6F241291&quot;/&gt;&lt;wsp:rsid wsp:val=&quot;6F2474E3&quot;/&gt;&lt;wsp:rsid wsp:val=&quot;6F26325B&quot;/&gt;&lt;wsp:rsid wsp:val=&quot;6F265009&quot;/&gt;&lt;wsp:rsid wsp:val=&quot;6F280D81&quot;/&gt;&lt;wsp:rsid wsp:val=&quot;6F282B2F&quot;/&gt;&lt;wsp:rsid wsp:val=&quot;6F2968A7&quot;/&gt;&lt;wsp:rsid wsp:val=&quot;6F2A2D4B&quot;/&gt;&lt;wsp:rsid wsp:val=&quot;6F2B6AC3&quot;/&gt;&lt;wsp:rsid wsp:val=&quot;6F2C3427&quot;/&gt;&lt;wsp:rsid wsp:val=&quot;6F2D0768&quot;/&gt;&lt;wsp:rsid wsp:val=&quot;6F2D283B&quot;/&gt;&lt;wsp:rsid wsp:val=&quot;6F2D45E9&quot;/&gt;&lt;wsp:rsid wsp:val=&quot;6F2E2059&quot;/&gt;&lt;wsp:rsid wsp:val=&quot;6F2F0361&quot;/&gt;&lt;wsp:rsid wsp:val=&quot;6F2F657B&quot;/&gt;&lt;wsp:rsid wsp:val=&quot;6F304979&quot;/&gt;&lt;wsp:rsid wsp:val=&quot;6F321C00&quot;/&gt;&lt;wsp:rsid wsp:val=&quot;6F327E52&quot;/&gt;&lt;wsp:rsid wsp:val=&quot;6F343B4A&quot;/&gt;&lt;wsp:rsid wsp:val=&quot;6F35349E&quot;/&gt;&lt;wsp:rsid wsp:val=&quot;6F377216&quot;/&gt;&lt;wsp:rsid wsp:val=&quot;6F3911E0&quot;/&gt;&lt;wsp:rsid wsp:val=&quot;6F39203E&quot;/&gt;&lt;wsp:rsid wsp:val=&quot;6F394D3C&quot;/&gt;&lt;wsp:rsid wsp:val=&quot;6F3A05FC&quot;/&gt;&lt;wsp:rsid wsp:val=&quot;6F3A119B&quot;/&gt;&lt;wsp:rsid wsp:val=&quot;6F40256E&quot;/&gt;&lt;wsp:rsid wsp:val=&quot;6F410095&quot;/&gt;&lt;wsp:rsid wsp:val=&quot;6F413BF1&quot;/&gt;&lt;wsp:rsid wsp:val=&quot;6F433E0D&quot;/&gt;&lt;wsp:rsid wsp:val=&quot;6F433F5B&quot;/&gt;&lt;wsp:rsid wsp:val=&quot;6F435BBB&quot;/&gt;&lt;wsp:rsid wsp:val=&quot;6F4427B8&quot;/&gt;&lt;wsp:rsid wsp:val=&quot;6F4656AB&quot;/&gt;&lt;wsp:rsid wsp:val=&quot;6F481423&quot;/&gt;&lt;wsp:rsid wsp:val=&quot;6F484F7F&quot;/&gt;&lt;wsp:rsid wsp:val=&quot;6F490CF7&quot;/&gt;&lt;wsp:rsid wsp:val=&quot;6F49605B&quot;/&gt;&lt;wsp:rsid wsp:val=&quot;6F4A00F0&quot;/&gt;&lt;wsp:rsid wsp:val=&quot;6F4A69AF&quot;/&gt;&lt;wsp:rsid wsp:val=&quot;6F4A6F49&quot;/&gt;&lt;wsp:rsid wsp:val=&quot;6F4B0F13&quot;/&gt;&lt;wsp:rsid wsp:val=&quot;6F4B3922&quot;/&gt;&lt;wsp:rsid wsp:val=&quot;6F4B4A6F&quot;/&gt;&lt;wsp:rsid wsp:val=&quot;6F4F4560&quot;/&gt;&lt;wsp:rsid wsp:val=&quot;6F4F630E&quot;/&gt;&lt;wsp:rsid wsp:val=&quot;6F5222A2&quot;/&gt;&lt;wsp:rsid wsp:val=&quot;6F525DFE&quot;/&gt;&lt;wsp:rsid wsp:val=&quot;6F5558EE&quot;/&gt;&lt;wsp:rsid wsp:val=&quot;6F5953DE&quot;/&gt;&lt;wsp:rsid wsp:val=&quot;6F596922&quot;/&gt;&lt;wsp:rsid wsp:val=&quot;6F5B73A8&quot;/&gt;&lt;wsp:rsid wsp:val=&quot;6F5C0A2B&quot;/&gt;&lt;wsp:rsid wsp:val=&quot;6F5C4ECE&quot;/&gt;&lt;wsp:rsid wsp:val=&quot;6F5C6C7D&quot;/&gt;&lt;wsp:rsid wsp:val=&quot;6F5D357D&quot;/&gt;&lt;wsp:rsid wsp:val=&quot;6F5E0C47&quot;/&gt;&lt;wsp:rsid wsp:val=&quot;6F60051B&quot;/&gt;&lt;wsp:rsid wsp:val=&quot;6F602316&quot;/&gt;&lt;wsp:rsid wsp:val=&quot;6F6049BF&quot;/&gt;&lt;wsp:rsid wsp:val=&quot;6F60676D&quot;/&gt;&lt;wsp:rsid wsp:val=&quot;6F616041&quot;/&gt;&lt;wsp:rsid wsp:val=&quot;6F624C36&quot;/&gt;&lt;wsp:rsid wsp:val=&quot;6F6417C4&quot;/&gt;&lt;wsp:rsid wsp:val=&quot;6F655B31&quot;/&gt;&lt;wsp:rsid wsp:val=&quot;6F6A1399&quot;/&gt;&lt;wsp:rsid wsp:val=&quot;6F6B5112&quot;/&gt;&lt;wsp:rsid wsp:val=&quot;6F6D2C38&quot;/&gt;&lt;wsp:rsid wsp:val=&quot;6F6D49E6&quot;/&gt;&lt;wsp:rsid wsp:val=&quot;6F6F075E&quot;/&gt;&lt;wsp:rsid wsp:val=&quot;6F6F58B2&quot;/&gt;&lt;wsp:rsid wsp:val=&quot;6F712728&quot;/&gt;&lt;wsp:rsid wsp:val=&quot;6F71329B&quot;/&gt;&lt;wsp:rsid wsp:val=&quot;6F7264A0&quot;/&gt;&lt;wsp:rsid wsp:val=&quot;6F767D3E&quot;/&gt;&lt;wsp:rsid wsp:val=&quot;6F7B35A7&quot;/&gt;&lt;wsp:rsid wsp:val=&quot;6F7C731F&quot;/&gt;&lt;wsp:rsid wsp:val=&quot;6F7C7F24&quot;/&gt;&lt;wsp:rsid wsp:val=&quot;6F7F4719&quot;/&gt;&lt;wsp:rsid wsp:val=&quot;6F800BBD&quot;/&gt;&lt;wsp:rsid wsp:val=&quot;6F806E0F&quot;/&gt;&lt;wsp:rsid wsp:val=&quot;6F810491&quot;/&gt;&lt;wsp:rsid wsp:val=&quot;6F8166E3&quot;/&gt;&lt;wsp:rsid wsp:val=&quot;6F854425&quot;/&gt;&lt;wsp:rsid wsp:val=&quot;6F8561D3&quot;/&gt;&lt;wsp:rsid wsp:val=&quot;6F857F81&quot;/&gt;&lt;wsp:rsid wsp:val=&quot;6F881820&quot;/&gt;&lt;wsp:rsid wsp:val=&quot;6F885CC3&quot;/&gt;&lt;wsp:rsid wsp:val=&quot;6F8B6A13&quot;/&gt;&lt;wsp:rsid wsp:val=&quot;6F8D5088&quot;/&gt;&lt;wsp:rsid wsp:val=&quot;6F8F0E00&quot;/&gt;&lt;wsp:rsid wsp:val=&quot;6F904979&quot;/&gt;&lt;wsp:rsid wsp:val=&quot;6F906926&quot;/&gt;&lt;wsp:rsid wsp:val=&quot;6F91461B&quot;/&gt;&lt;wsp:rsid wsp:val=&quot;6F916CF4&quot;/&gt;&lt;wsp:rsid wsp:val=&quot;6F936635&quot;/&gt;&lt;wsp:rsid wsp:val=&quot;6F975F07&quot;/&gt;&lt;wsp:rsid wsp:val=&quot;6F983FC7&quot;/&gt;&lt;wsp:rsid wsp:val=&quot;6F9B1553&quot;/&gt;&lt;wsp:rsid wsp:val=&quot;6F9B3C2B&quot;/&gt;&lt;wsp:rsid wsp:val=&quot;6F9B77A5&quot;/&gt;&lt;wsp:rsid wsp:val=&quot;6F9E1043&quot;/&gt;&lt;wsp:rsid wsp:val=&quot;6F9E54E7&quot;/&gt;&lt;wsp:rsid wsp:val=&quot;6FA0300D&quot;/&gt;&lt;wsp:rsid wsp:val=&quot;6FA04DBB&quot;/&gt;&lt;wsp:rsid wsp:val=&quot;6FA128E1&quot;/&gt;&lt;wsp:rsid wsp:val=&quot;6FA36659&quot;/&gt;&lt;wsp:rsid wsp:val=&quot;6FA50623&quot;/&gt;&lt;wsp:rsid wsp:val=&quot;6FA523D2&quot;/&gt;&lt;wsp:rsid wsp:val=&quot;6FA61EDA&quot;/&gt;&lt;wsp:rsid wsp:val=&quot;6FA7614A&quot;/&gt;&lt;wsp:rsid wsp:val=&quot;6FA81EC2&quot;/&gt;&lt;wsp:rsid wsp:val=&quot;6FAA79E8&quot;/&gt;&lt;wsp:rsid wsp:val=&quot;6FAC19B2&quot;/&gt;&lt;wsp:rsid wsp:val=&quot;6FAD1286&quot;/&gt;&lt;wsp:rsid wsp:val=&quot;6FAE13CB&quot;/&gt;&lt;wsp:rsid wsp:val=&quot;6FAF46CD&quot;/&gt;&lt;wsp:rsid wsp:val=&quot;6FAF4FFE&quot;/&gt;&lt;wsp:rsid wsp:val=&quot;6FB01F63&quot;/&gt;&lt;wsp:rsid wsp:val=&quot;6FB029E4&quot;/&gt;&lt;wsp:rsid wsp:val=&quot;6FB16FC8&quot;/&gt;&lt;wsp:rsid wsp:val=&quot;6FB22D40&quot;/&gt;&lt;wsp:rsid wsp:val=&quot;6FB46AB9&quot;/&gt;&lt;wsp:rsid wsp:val=&quot;6FB563EA&quot;/&gt;&lt;wsp:rsid wsp:val=&quot;6FB62831&quot;/&gt;&lt;wsp:rsid wsp:val=&quot;6FB645DF&quot;/&gt;&lt;wsp:rsid wsp:val=&quot;6FB75A30&quot;/&gt;&lt;wsp:rsid wsp:val=&quot;6FB97C2B&quot;/&gt;&lt;wsp:rsid wsp:val=&quot;6FBB7E47&quot;/&gt;&lt;wsp:rsid wsp:val=&quot;6FBC5841&quot;/&gt;&lt;wsp:rsid wsp:val=&quot;6FC050A5&quot;/&gt;&lt;wsp:rsid wsp:val=&quot;6FC211D5&quot;/&gt;&lt;wsp:rsid wsp:val=&quot;6FC34F4E&quot;/&gt;&lt;wsp:rsid wsp:val=&quot;6FC50CC6&quot;/&gt;&lt;wsp:rsid wsp:val=&quot;6FC54822&quot;/&gt;&lt;wsp:rsid wsp:val=&quot;6FC61E8F&quot;/&gt;&lt;wsp:rsid wsp:val=&quot;6FC84312&quot;/&gt;&lt;wsp:rsid wsp:val=&quot;6FCA62DC&quot;/&gt;&lt;wsp:rsid wsp:val=&quot;6FCC33F2&quot;/&gt;&lt;wsp:rsid wsp:val=&quot;6FCD1397&quot;/&gt;&lt;wsp:rsid wsp:val=&quot;6FCD43FB&quot;/&gt;&lt;wsp:rsid wsp:val=&quot;6FCF3CB7&quot;/&gt;&lt;wsp:rsid wsp:val=&quot;6FCF56A0&quot;/&gt;&lt;wsp:rsid wsp:val=&quot;6FD131C7&quot;/&gt;&lt;wsp:rsid wsp:val=&quot;6FD1766A&quot;/&gt;&lt;wsp:rsid wsp:val=&quot;6FD3397A&quot;/&gt;&lt;wsp:rsid wsp:val=&quot;6FD607DD&quot;/&gt;&lt;wsp:rsid wsp:val=&quot;6FD902CD&quot;/&gt;&lt;wsp:rsid wsp:val=&quot;6FD9207B&quot;/&gt;&lt;wsp:rsid wsp:val=&quot;6FD9651F&quot;/&gt;&lt;wsp:rsid wsp:val=&quot;6FDD552B&quot;/&gt;&lt;wsp:rsid wsp:val=&quot;6FDE42DA&quot;/&gt;&lt;wsp:rsid wsp:val=&quot;6FDE7692&quot;/&gt;&lt;wsp:rsid wsp:val=&quot;6FDF48FC&quot;/&gt;&lt;wsp:rsid wsp:val=&quot;6FDF7BD8&quot;/&gt;&lt;wsp:rsid wsp:val=&quot;6FE27182&quot;/&gt;&lt;wsp:rsid wsp:val=&quot;6FE32EFA&quot;/&gt;&lt;wsp:rsid wsp:val=&quot;6FE44A4D&quot;/&gt;&lt;wsp:rsid wsp:val=&quot;6FE733CE&quot;/&gt;&lt;wsp:rsid wsp:val=&quot;6FE80510&quot;/&gt;&lt;wsp:rsid wsp:val=&quot;6FE86762&quot;/&gt;&lt;wsp:rsid wsp:val=&quot;6FEC0000&quot;/&gt;&lt;wsp:rsid wsp:val=&quot;6FED3D79&quot;/&gt;&lt;wsp:rsid wsp:val=&quot;6FEE06D0&quot;/&gt;&lt;wsp:rsid wsp:val=&quot;6FEE1FCA&quot;/&gt;&lt;wsp:rsid wsp:val=&quot;6FEF7AF1&quot;/&gt;&lt;wsp:rsid wsp:val=&quot;6FF15617&quot;/&gt;&lt;wsp:rsid wsp:val=&quot;6FF2313D&quot;/&gt;&lt;wsp:rsid wsp:val=&quot;6FF36706&quot;/&gt;&lt;wsp:rsid wsp:val=&quot;6FF45107&quot;/&gt;&lt;wsp:rsid wsp:val=&quot;6FF60E7F&quot;/&gt;&lt;wsp:rsid wsp:val=&quot;6FF84BF7&quot;/&gt;&lt;wsp:rsid wsp:val=&quot;6FFB1D32&quot;/&gt;&lt;wsp:rsid wsp:val=&quot;6FFB46E7&quot;/&gt;&lt;wsp:rsid wsp:val=&quot;6FFB6495&quot;/&gt;&lt;wsp:rsid wsp:val=&quot;6FFC5590&quot;/&gt;&lt;wsp:rsid wsp:val=&quot;6FFD220E&quot;/&gt;&lt;wsp:rsid wsp:val=&quot;6FFD3FBC&quot;/&gt;&lt;wsp:rsid wsp:val=&quot;7000585A&quot;/&gt;&lt;wsp:rsid wsp:val=&quot;70025A76&quot;/&gt;&lt;wsp:rsid wsp:val=&quot;7004359C&quot;/&gt;&lt;wsp:rsid wsp:val=&quot;70045690&quot;/&gt;&lt;wsp:rsid wsp:val=&quot;70052E70&quot;/&gt;&lt;wsp:rsid wsp:val=&quot;70057314&quot;/&gt;&lt;wsp:rsid wsp:val=&quot;70074E3A&quot;/&gt;&lt;wsp:rsid wsp:val=&quot;70097B7B&quot;/&gt;&lt;wsp:rsid wsp:val=&quot;700A492A&quot;/&gt;&lt;wsp:rsid wsp:val=&quot;700E225C&quot;/&gt;&lt;wsp:rsid wsp:val=&quot;700F3CEF&quot;/&gt;&lt;wsp:rsid wsp:val=&quot;70100F70&quot;/&gt;&lt;wsp:rsid wsp:val=&quot;70117A67&quot;/&gt;&lt;wsp:rsid wsp:val=&quot;70123113&quot;/&gt;&lt;wsp:rsid wsp:val=&quot;701231C2&quot;/&gt;&lt;wsp:rsid wsp:val=&quot;701337DF&quot;/&gt;&lt;wsp:rsid wsp:val=&quot;701557A9&quot;/&gt;&lt;wsp:rsid wsp:val=&quot;701660F1&quot;/&gt;&lt;wsp:rsid wsp:val=&quot;701778DC&quot;/&gt;&lt;wsp:rsid wsp:val=&quot;701A2DBF&quot;/&gt;&lt;wsp:rsid wsp:val=&quot;701C3816&quot;/&gt;&lt;wsp:rsid wsp:val=&quot;701D28B0&quot;/&gt;&lt;wsp:rsid wsp:val=&quot;701D640C&quot;/&gt;&lt;wsp:rsid wsp:val=&quot;70205EFC&quot;/&gt;&lt;wsp:rsid wsp:val=&quot;70207CAA&quot;/&gt;&lt;wsp:rsid wsp:val=&quot;702208C9&quot;/&gt;&lt;wsp:rsid wsp:val=&quot;7023779A&quot;/&gt;&lt;wsp:rsid wsp:val=&quot;70246FB7&quot;/&gt;&lt;wsp:rsid wsp:val=&quot;7024730F&quot;/&gt;&lt;wsp:rsid wsp:val=&quot;70252028&quot;/&gt;&lt;wsp:rsid wsp:val=&quot;702A0B29&quot;/&gt;&lt;wsp:rsid wsp:val=&quot;702C664F&quot;/&gt;&lt;wsp:rsid wsp:val=&quot;702E23C7&quot;/&gt;&lt;wsp:rsid wsp:val=&quot;702E6455&quot;/&gt;&lt;wsp:rsid wsp:val=&quot;702F4391&quot;/&gt;&lt;wsp:rsid wsp:val=&quot;70311EB7&quot;/&gt;&lt;wsp:rsid wsp:val=&quot;703270B5&quot;/&gt;&lt;wsp:rsid wsp:val=&quot;70343755&quot;/&gt;&lt;wsp:rsid wsp:val=&quot;70357BF9&quot;/&gt;&lt;wsp:rsid wsp:val=&quot;7036127C&quot;/&gt;&lt;wsp:rsid wsp:val=&quot;703642F5&quot;/&gt;&lt;wsp:rsid wsp:val=&quot;7036571F&quot;/&gt;&lt;wsp:rsid wsp:val=&quot;703674CE&quot;/&gt;&lt;wsp:rsid wsp:val=&quot;70390D6C&quot;/&gt;&lt;wsp:rsid wsp:val=&quot;70392C76&quot;/&gt;&lt;wsp:rsid wsp:val=&quot;703B0F88&quot;/&gt;&lt;wsp:rsid wsp:val=&quot;703B2D36&quot;/&gt;&lt;wsp:rsid wsp:val=&quot;703D085C&quot;/&gt;&lt;wsp:rsid wsp:val=&quot;703D3F4C&quot;/&gt;&lt;wsp:rsid wsp:val=&quot;703D6AAE&quot;/&gt;&lt;wsp:rsid wsp:val=&quot;703F2826&quot;/&gt;&lt;wsp:rsid wsp:val=&quot;703F5309&quot;/&gt;&lt;wsp:rsid wsp:val=&quot;703F6E9D&quot;/&gt;&lt;wsp:rsid wsp:val=&quot;7040714E&quot;/&gt;&lt;wsp:rsid wsp:val=&quot;704240C4&quot;/&gt;&lt;wsp:rsid wsp:val=&quot;704265C0&quot;/&gt;&lt;wsp:rsid wsp:val=&quot;70436AA7&quot;/&gt;&lt;wsp:rsid wsp:val=&quot;704812DB&quot;/&gt;&lt;wsp:rsid wsp:val=&quot;70497201&quot;/&gt;&lt;wsp:rsid wsp:val=&quot;704A2F79&quot;/&gt;&lt;wsp:rsid wsp:val=&quot;704C4F43&quot;/&gt;&lt;wsp:rsid wsp:val=&quot;704C7C5C&quot;/&gt;&lt;wsp:rsid wsp:val=&quot;704E23DE&quot;/&gt;&lt;wsp:rsid wsp:val=&quot;704E4817&quot;/&gt;&lt;wsp:rsid wsp:val=&quot;704F233D&quot;/&gt;&lt;wsp:rsid wsp:val=&quot;704F4E9C&quot;/&gt;&lt;wsp:rsid wsp:val=&quot;70512559&quot;/&gt;&lt;wsp:rsid wsp:val=&quot;70514307&quot;/&gt;&lt;wsp:rsid wsp:val=&quot;70514CF5&quot;/&gt;&lt;wsp:rsid wsp:val=&quot;7053007F&quot;/&gt;&lt;wsp:rsid wsp:val=&quot;70531E2E&quot;/&gt;&lt;wsp:rsid wsp:val=&quot;70545BA6&quot;/&gt;&lt;wsp:rsid wsp:val=&quot;705636CC&quot;/&gt;&lt;wsp:rsid wsp:val=&quot;70567B70&quot;/&gt;&lt;wsp:rsid wsp:val=&quot;705838E8&quot;/&gt;&lt;wsp:rsid wsp:val=&quot;70585414&quot;/&gt;&lt;wsp:rsid wsp:val=&quot;705858AD&quot;/&gt;&lt;wsp:rsid wsp:val=&quot;70587444&quot;/&gt;&lt;wsp:rsid wsp:val=&quot;705D0EFE&quot;/&gt;&lt;wsp:rsid wsp:val=&quot;706109EE&quot;/&gt;&lt;wsp:rsid wsp:val=&quot;706109F2&quot;/&gt;&lt;wsp:rsid wsp:val=&quot;70621E82&quot;/&gt;&lt;wsp:rsid wsp:val=&quot;70626515&quot;/&gt;&lt;wsp:rsid wsp:val=&quot;7064228D&quot;/&gt;&lt;wsp:rsid wsp:val=&quot;7065282C&quot;/&gt;&lt;wsp:rsid wsp:val=&quot;70665935&quot;/&gt;&lt;wsp:rsid wsp:val=&quot;70671D7D&quot;/&gt;&lt;wsp:rsid wsp:val=&quot;70691651&quot;/&gt;&lt;wsp:rsid wsp:val=&quot;706A7177&quot;/&gt;&lt;wsp:rsid wsp:val=&quot;706B361B&quot;/&gt;&lt;wsp:rsid wsp:val=&quot;706C06D6&quot;/&gt;&lt;wsp:rsid wsp:val=&quot;706C2EEF&quot;/&gt;&lt;wsp:rsid wsp:val=&quot;706D1DD0&quot;/&gt;&lt;wsp:rsid wsp:val=&quot;706E0425&quot;/&gt;&lt;wsp:rsid wsp:val=&quot;706E487B&quot;/&gt;&lt;wsp:rsid wsp:val=&quot;706F478E&quot;/&gt;&lt;wsp:rsid wsp:val=&quot;706F509D&quot;/&gt;&lt;wsp:rsid wsp:val=&quot;707029DF&quot;/&gt;&lt;wsp:rsid wsp:val=&quot;7073427E&quot;/&gt;&lt;wsp:rsid wsp:val=&quot;70761788&quot;/&gt;&lt;wsp:rsid wsp:val=&quot;70761FC0&quot;/&gt;&lt;wsp:rsid wsp:val=&quot;707A385E&quot;/&gt;&lt;wsp:rsid wsp:val=&quot;707A560C&quot;/&gt;&lt;wsp:rsid wsp:val=&quot;707B3132&quot;/&gt;&lt;wsp:rsid wsp:val=&quot;707B75D6&quot;/&gt;&lt;wsp:rsid wsp:val=&quot;707D334E&quot;/&gt;&lt;wsp:rsid wsp:val=&quot;707F13AA&quot;/&gt;&lt;wsp:rsid wsp:val=&quot;707F70C6&quot;/&gt;&lt;wsp:rsid wsp:val=&quot;7080699B&quot;/&gt;&lt;wsp:rsid wsp:val=&quot;70822713&quot;/&gt;&lt;wsp:rsid wsp:val=&quot;708244C1&quot;/&gt;&lt;wsp:rsid wsp:val=&quot;7082717F&quot;/&gt;&lt;wsp:rsid wsp:val=&quot;70856B87&quot;/&gt;&lt;wsp:rsid wsp:val=&quot;70877D29&quot;/&gt;&lt;wsp:rsid wsp:val=&quot;70886657&quot;/&gt;&lt;wsp:rsid wsp:val=&quot;7089584F&quot;/&gt;&lt;wsp:rsid wsp:val=&quot;708B5A6B&quot;/&gt;&lt;wsp:rsid wsp:val=&quot;708E10B8&quot;/&gt;&lt;wsp:rsid wsp:val=&quot;708E25E0&quot;/&gt;&lt;wsp:rsid wsp:val=&quot;708E2E66&quot;/&gt;&lt;wsp:rsid wsp:val=&quot;708F6BDE&quot;/&gt;&lt;wsp:rsid wsp:val=&quot;70912956&quot;/&gt;&lt;wsp:rsid wsp:val=&quot;7093565C&quot;/&gt;&lt;wsp:rsid wsp:val=&quot;709541F4&quot;/&gt;&lt;wsp:rsid wsp:val=&quot;709661BE&quot;/&gt;&lt;wsp:rsid wsp:val=&quot;70967F6C&quot;/&gt;&lt;wsp:rsid wsp:val=&quot;70980188&quot;/&gt;&lt;wsp:rsid wsp:val=&quot;709A7A5C&quot;/&gt;&lt;wsp:rsid wsp:val=&quot;709D12FB&quot;/&gt;&lt;wsp:rsid wsp:val=&quot;709D579F&quot;/&gt;&lt;wsp:rsid wsp:val=&quot;709D754D&quot;/&gt;&lt;wsp:rsid wsp:val=&quot;709E1FE6&quot;/&gt;&lt;wsp:rsid wsp:val=&quot;709F1E24&quot;/&gt;&lt;wsp:rsid wsp:val=&quot;709F3565&quot;/&gt;&lt;wsp:rsid wsp:val=&quot;709F441D&quot;/&gt;&lt;wsp:rsid wsp:val=&quot;709F5073&quot;/&gt;&lt;wsp:rsid wsp:val=&quot;70A00DEB&quot;/&gt;&lt;wsp:rsid wsp:val=&quot;70A22DB5&quot;/&gt;&lt;wsp:rsid wsp:val=&quot;70A408C8&quot;/&gt;&lt;wsp:rsid wsp:val=&quot;70A42689&quot;/&gt;&lt;wsp:rsid wsp:val=&quot;70A650C3&quot;/&gt;&lt;wsp:rsid wsp:val=&quot;70A72179&quot;/&gt;&lt;wsp:rsid wsp:val=&quot;70A73F27&quot;/&gt;&lt;wsp:rsid wsp:val=&quot;70A804DF&quot;/&gt;&lt;wsp:rsid wsp:val=&quot;70A95EF1&quot;/&gt;&lt;wsp:rsid wsp:val=&quot;70AC59E2&quot;/&gt;&lt;wsp:rsid wsp:val=&quot;70AE3508&quot;/&gt;&lt;wsp:rsid wsp:val=&quot;70B16AF4&quot;/&gt;&lt;wsp:rsid wsp:val=&quot;70B30B1E&quot;/&gt;&lt;wsp:rsid wsp:val=&quot;70B328CC&quot;/&gt;&lt;wsp:rsid wsp:val=&quot;70B8153B&quot;/&gt;&lt;wsp:rsid wsp:val=&quot;70B84386&quot;/&gt;&lt;wsp:rsid wsp:val=&quot;70BA00FF&quot;/&gt;&lt;wsp:rsid wsp:val=&quot;70BA4F67&quot;/&gt;&lt;wsp:rsid wsp:val=&quot;70BB6F1C&quot;/&gt;&lt;wsp:rsid wsp:val=&quot;70BB79D3&quot;/&gt;&lt;wsp:rsid wsp:val=&quot;70BF3967&quot;/&gt;&lt;wsp:rsid wsp:val=&quot;70C0289D&quot;/&gt;&lt;wsp:rsid wsp:val=&quot;70C1323B&quot;/&gt;&lt;wsp:rsid wsp:val=&quot;70C251BD&quot;/&gt;&lt;wsp:rsid wsp:val=&quot;70C25205&quot;/&gt;&lt;wsp:rsid wsp:val=&quot;70C40F7D&quot;/&gt;&lt;wsp:rsid wsp:val=&quot;70C44AD9&quot;/&gt;&lt;wsp:rsid wsp:val=&quot;70C66AA3&quot;/&gt;&lt;wsp:rsid wsp:val=&quot;70C71B7C&quot;/&gt;&lt;wsp:rsid wsp:val=&quot;70C76378&quot;/&gt;&lt;wsp:rsid wsp:val=&quot;70C85E27&quot;/&gt;&lt;wsp:rsid wsp:val=&quot;70C90342&quot;/&gt;&lt;wsp:rsid wsp:val=&quot;70C920F0&quot;/&gt;&lt;wsp:rsid wsp:val=&quot;70CA394F&quot;/&gt;&lt;wsp:rsid wsp:val=&quot;70CB230C&quot;/&gt;&lt;wsp:rsid wsp:val=&quot;70CB5E68&quot;/&gt;&lt;wsp:rsid wsp:val=&quot;70CB652E&quot;/&gt;&lt;wsp:rsid wsp:val=&quot;70CC398E&quot;/&gt;&lt;wsp:rsid wsp:val=&quot;70CD6084&quot;/&gt;&lt;wsp:rsid wsp:val=&quot;70D10655&quot;/&gt;&lt;wsp:rsid wsp:val=&quot;70D21A8E&quot;/&gt;&lt;wsp:rsid wsp:val=&quot;70D25448&quot;/&gt;&lt;wsp:rsid wsp:val=&quot;70D32F6E&quot;/&gt;&lt;wsp:rsid wsp:val=&quot;70D475D2&quot;/&gt;&lt;wsp:rsid wsp:val=&quot;70D50A94&quot;/&gt;&lt;wsp:rsid wsp:val=&quot;70D527EE&quot;/&gt;&lt;wsp:rsid wsp:val=&quot;70D54F38&quot;/&gt;&lt;wsp:rsid wsp:val=&quot;70D56CE6&quot;/&gt;&lt;wsp:rsid wsp:val=&quot;70D72A5F&quot;/&gt;&lt;wsp:rsid wsp:val=&quot;70D77694&quot;/&gt;&lt;wsp:rsid wsp:val=&quot;70D80585&quot;/&gt;&lt;wsp:rsid wsp:val=&quot;70DA6015&quot;/&gt;&lt;wsp:rsid wsp:val=&quot;70DE203F&quot;/&gt;&lt;wsp:rsid wsp:val=&quot;70DF36C1&quot;/&gt;&lt;wsp:rsid wsp:val=&quot;70E138DD&quot;/&gt;&lt;wsp:rsid wsp:val=&quot;70E4517B&quot;/&gt;&lt;wsp:rsid wsp:val=&quot;70E46F2A&quot;/&gt;&lt;wsp:rsid wsp:val=&quot;70E60EF4&quot;/&gt;&lt;wsp:rsid wsp:val=&quot;70E64A50&quot;/&gt;&lt;wsp:rsid wsp:val=&quot;70E76A1A&quot;/&gt;&lt;wsp:rsid wsp:val=&quot;70E84C6C&quot;/&gt;&lt;wsp:rsid wsp:val=&quot;70E909E4&quot;/&gt;&lt;wsp:rsid wsp:val=&quot;70EA43C9&quot;/&gt;&lt;wsp:rsid wsp:val=&quot;70ED4030&quot;/&gt;&lt;wsp:rsid wsp:val=&quot;70ED448B&quot;/&gt;&lt;wsp:rsid wsp:val=&quot;70EE1B56&quot;/&gt;&lt;wsp:rsid wsp:val=&quot;70EE5F9E&quot;/&gt;&lt;wsp:rsid wsp:val=&quot;70EE5FFA&quot;/&gt;&lt;wsp:rsid wsp:val=&quot;70F01D72&quot;/&gt;&lt;wsp:rsid wsp:val=&quot;70F03B20&quot;/&gt;&lt;wsp:rsid wsp:val=&quot;70F2429C&quot;/&gt;&lt;wsp:rsid wsp:val=&quot;70F2563F&quot;/&gt;&lt;wsp:rsid wsp:val=&quot;70F52EE5&quot;/&gt;&lt;wsp:rsid wsp:val=&quot;70F57389&quot;/&gt;&lt;wsp:rsid wsp:val=&quot;70F74EAF&quot;/&gt;&lt;wsp:rsid wsp:val=&quot;70F86D26&quot;/&gt;&lt;wsp:rsid wsp:val=&quot;70F8771B&quot;/&gt;&lt;wsp:rsid wsp:val=&quot;70FA04FB&quot;/&gt;&lt;wsp:rsid wsp:val=&quot;70FC0717&quot;/&gt;&lt;wsp:rsid wsp:val=&quot;70FC24C5&quot;/&gt;&lt;wsp:rsid wsp:val=&quot;70FC4273&quot;/&gt;&lt;wsp:rsid wsp:val=&quot;70FF3D63&quot;/&gt;&lt;wsp:rsid wsp:val=&quot;70FF5B11&quot;/&gt;&lt;wsp:rsid wsp:val=&quot;70FF68A0&quot;/&gt;&lt;wsp:rsid wsp:val=&quot;71033854&quot;/&gt;&lt;wsp:rsid wsp:val=&quot;7104120B&quot;/&gt;&lt;wsp:rsid wsp:val=&quot;71044B32&quot;/&gt;&lt;wsp:rsid wsp:val=&quot;710475CC&quot;/&gt;&lt;wsp:rsid wsp:val=&quot;7105665F&quot;/&gt;&lt;wsp:rsid wsp:val=&quot;71077A7F&quot;/&gt;&lt;wsp:rsid wsp:val=&quot;71080E6A&quot;/&gt;&lt;wsp:rsid wsp:val=&quot;71094BE2&quot;/&gt;&lt;wsp:rsid wsp:val=&quot;710B095A&quot;/&gt;&lt;wsp:rsid wsp:val=&quot;710B19BB&quot;/&gt;&lt;wsp:rsid wsp:val=&quot;710C5CDD&quot;/&gt;&lt;wsp:rsid wsp:val=&quot;710D46D2&quot;/&gt;&lt;wsp:rsid wsp:val=&quot;710E21F8&quot;/&gt;&lt;wsp:rsid wsp:val=&quot;710F6395&quot;/&gt;&lt;wsp:rsid wsp:val=&quot;7110326C&quot;/&gt;&lt;wsp:rsid wsp:val=&quot;71107D1F&quot;/&gt;&lt;wsp:rsid wsp:val=&quot;71121CE9&quot;/&gt;&lt;wsp:rsid wsp:val=&quot;71123A97&quot;/&gt;&lt;wsp:rsid wsp:val=&quot;711315BD&quot;/&gt;&lt;wsp:rsid wsp:val=&quot;71135446&quot;/&gt;&lt;wsp:rsid wsp:val=&quot;71144A65&quot;/&gt;&lt;wsp:rsid wsp:val=&quot;71145A61&quot;/&gt;&lt;wsp:rsid wsp:val=&quot;71174B27&quot;/&gt;&lt;wsp:rsid wsp:val=&quot;711B5D6B&quot;/&gt;&lt;wsp:rsid wsp:val=&quot;711C2B67&quot;/&gt;&lt;wsp:rsid wsp:val=&quot;711C66C3&quot;/&gt;&lt;wsp:rsid wsp:val=&quot;711D3091&quot;/&gt;&lt;wsp:rsid wsp:val=&quot;711D41EA&quot;/&gt;&lt;wsp:rsid wsp:val=&quot;711E1E29&quot;/&gt;&lt;wsp:rsid wsp:val=&quot;711E68DF&quot;/&gt;&lt;wsp:rsid wsp:val=&quot;71202D96&quot;/&gt;&lt;wsp:rsid wsp:val=&quot;712107AA&quot;/&gt;&lt;wsp:rsid wsp:val=&quot;71213CDA&quot;/&gt;&lt;wsp:rsid wsp:val=&quot;71225601&quot;/&gt;&lt;wsp:rsid wsp:val=&quot;71237A52&quot;/&gt;&lt;wsp:rsid wsp:val=&quot;71257C6E&quot;/&gt;&lt;wsp:rsid wsp:val=&quot;71274B5F&quot;/&gt;&lt;wsp:rsid wsp:val=&quot;712B3716&quot;/&gt;&lt;wsp:rsid wsp:val=&quot;712C417C&quot;/&gt;&lt;wsp:rsid wsp:val=&quot;713056CE&quot;/&gt;&lt;wsp:rsid wsp:val=&quot;71324139&quot;/&gt;&lt;wsp:rsid wsp:val=&quot;71333A0D&quot;/&gt;&lt;wsp:rsid wsp:val=&quot;7134404F&quot;/&gt;&lt;wsp:rsid wsp:val=&quot;71347EB1&quot;/&gt;&lt;wsp:rsid wsp:val=&quot;71353C29&quot;/&gt;&lt;wsp:rsid wsp:val=&quot;71357785&quot;/&gt;&lt;wsp:rsid wsp:val=&quot;713779A1&quot;/&gt;&lt;wsp:rsid wsp:val=&quot;713C0B14&quot;/&gt;&lt;wsp:rsid wsp:val=&quot;713C657E&quot;/&gt;&lt;wsp:rsid wsp:val=&quot;713C6D66&quot;/&gt;&lt;wsp:rsid wsp:val=&quot;713F6856&quot;/&gt;&lt;wsp:rsid wsp:val=&quot;7141437C&quot;/&gt;&lt;wsp:rsid wsp:val=&quot;71415FD9&quot;/&gt;&lt;wsp:rsid wsp:val=&quot;71424DA3&quot;/&gt;&lt;wsp:rsid wsp:val=&quot;71444FD4&quot;/&gt;&lt;wsp:rsid wsp:val=&quot;714479C8&quot;/&gt;&lt;wsp:rsid wsp:val=&quot;714517AD&quot;/&gt;&lt;wsp:rsid wsp:val=&quot;71453E6C&quot;/&gt;&lt;wsp:rsid wsp:val=&quot;714632C2&quot;/&gt;&lt;wsp:rsid wsp:val=&quot;71467BE4&quot;/&gt;&lt;wsp:rsid wsp:val=&quot;71486FF1&quot;/&gt;&lt;wsp:rsid wsp:val=&quot;71493231&quot;/&gt;&lt;wsp:rsid wsp:val=&quot;714B0D57&quot;/&gt;&lt;wsp:rsid wsp:val=&quot;714B6FA9&quot;/&gt;&lt;wsp:rsid wsp:val=&quot;714E7896&quot;/&gt;&lt;wsp:rsid wsp:val=&quot;714F4CEB&quot;/&gt;&lt;wsp:rsid wsp:val=&quot;714F6A99&quot;/&gt;&lt;wsp:rsid wsp:val=&quot;71500A63&quot;/&gt;&lt;wsp:rsid wsp:val=&quot;715028AC&quot;/&gt;&lt;wsp:rsid wsp:val=&quot;7150636D&quot;/&gt;&lt;wsp:rsid wsp:val=&quot;71516148&quot;/&gt;&lt;wsp:rsid wsp:val=&quot;71526589&quot;/&gt;&lt;wsp:rsid wsp:val=&quot;71535E5D&quot;/&gt;&lt;wsp:rsid wsp:val=&quot;71542301&quot;/&gt;&lt;wsp:rsid wsp:val=&quot;71546D9B&quot;/&gt;&lt;wsp:rsid wsp:val=&quot;71551BD5&quot;/&gt;&lt;wsp:rsid wsp:val=&quot;7157594D&quot;/&gt;&lt;wsp:rsid wsp:val=&quot;715776FB&quot;/&gt;&lt;wsp:rsid wsp:val=&quot;715A543E&quot;/&gt;&lt;wsp:rsid wsp:val=&quot;715A71EC&quot;/&gt;&lt;wsp:rsid wsp:val=&quot;715B5300&quot;/&gt;&lt;wsp:rsid wsp:val=&quot;715C11B6&quot;/&gt;&lt;wsp:rsid wsp:val=&quot;715C2F64&quot;/&gt;&lt;wsp:rsid wsp:val=&quot;715D30C9&quot;/&gt;&lt;wsp:rsid wsp:val=&quot;715D46EB&quot;/&gt;&lt;wsp:rsid wsp:val=&quot;715E6CDC&quot;/&gt;&lt;wsp:rsid wsp:val=&quot;71614A1E&quot;/&gt;&lt;wsp:rsid wsp:val=&quot;71663DE2&quot;/&gt;&lt;wsp:rsid wsp:val=&quot;71687B5B&quot;/&gt;&lt;wsp:rsid wsp:val=&quot;7169742F&quot;/&gt;&lt;wsp:rsid wsp:val=&quot;716A585F&quot;/&gt;&lt;wsp:rsid wsp:val=&quot;716B13F9&quot;/&gt;&lt;wsp:rsid wsp:val=&quot;716C160F&quot;/&gt;&lt;wsp:rsid wsp:val=&quot;716F0EE9&quot;/&gt;&lt;wsp:rsid wsp:val=&quot;717007BD&quot;/&gt;&lt;wsp:rsid wsp:val=&quot;71702B61&quot;/&gt;&lt;wsp:rsid wsp:val=&quot;71706A0F&quot;/&gt;&lt;wsp:rsid wsp:val=&quot;717402AD&quot;/&gt;&lt;wsp:rsid wsp:val=&quot;717464FF&quot;/&gt;&lt;wsp:rsid wsp:val=&quot;717679C7&quot;/&gt;&lt;wsp:rsid wsp:val=&quot;71775FF0&quot;/&gt;&lt;wsp:rsid wsp:val=&quot;71777D9E&quot;/&gt;&lt;wsp:rsid wsp:val=&quot;717812F3&quot;/&gt;&lt;wsp:rsid wsp:val=&quot;717A3C13&quot;/&gt;&lt;wsp:rsid wsp:val=&quot;717B5AE0&quot;/&gt;&lt;wsp:rsid wsp:val=&quot;717C1858&quot;/&gt;&lt;wsp:rsid wsp:val=&quot;717C7162&quot;/&gt;&lt;wsp:rsid wsp:val=&quot;717E354C&quot;/&gt;&lt;wsp:rsid wsp:val=&quot;717E737E&quot;/&gt;&lt;wsp:rsid wsp:val=&quot;717F372C&quot;/&gt;&lt;wsp:rsid wsp:val=&quot;71802656&quot;/&gt;&lt;wsp:rsid wsp:val=&quot;718304F0&quot;/&gt;&lt;wsp:rsid wsp:val=&quot;71866233&quot;/&gt;&lt;wsp:rsid wsp:val=&quot;71867FE1&quot;/&gt;&lt;wsp:rsid wsp:val=&quot;71893C8D&quot;/&gt;&lt;wsp:rsid wsp:val=&quot;718A5D23&quot;/&gt;&lt;wsp:rsid wsp:val=&quot;718A7127&quot;/&gt;&lt;wsp:rsid wsp:val=&quot;718C1A9B&quot;/&gt;&lt;wsp:rsid wsp:val=&quot;718C3BCF&quot;/&gt;&lt;wsp:rsid wsp:val=&quot;718D136F&quot;/&gt;&lt;wsp:rsid wsp:val=&quot;718F6BAA&quot;/&gt;&lt;wsp:rsid wsp:val=&quot;718F6E95&quot;/&gt;&lt;wsp:rsid wsp:val=&quot;719170B1&quot;/&gt;&lt;wsp:rsid wsp:val=&quot;71922E29&quot;/&gt;&lt;wsp:rsid wsp:val=&quot;719426FE&quot;/&gt;&lt;wsp:rsid wsp:val=&quot;71950224&quot;/&gt;&lt;wsp:rsid wsp:val=&quot;719646C8&quot;/&gt;&lt;wsp:rsid wsp:val=&quot;719721EE&quot;/&gt;&lt;wsp:rsid wsp:val=&quot;71997D14&quot;/&gt;&lt;wsp:rsid wsp:val=&quot;719C06EE&quot;/&gt;&lt;wsp:rsid wsp:val=&quot;719E474F&quot;/&gt;&lt;wsp:rsid wsp:val=&quot;719F16DB&quot;/&gt;&lt;wsp:rsid wsp:val=&quot;71A05546&quot;/&gt;&lt;wsp:rsid wsp:val=&quot;71A14E1B&quot;/&gt;&lt;wsp:rsid wsp:val=&quot;71A16BC9&quot;/&gt;&lt;wsp:rsid wsp:val=&quot;71A52B5D&quot;/&gt;&lt;wsp:rsid wsp:val=&quot;71A87F57&quot;/&gt;&lt;wsp:rsid wsp:val=&quot;71A90121&quot;/&gt;&lt;wsp:rsid wsp:val=&quot;71A91862&quot;/&gt;&lt;wsp:rsid wsp:val=&quot;71A96411&quot;/&gt;&lt;wsp:rsid wsp:val=&quot;71AA3CCF&quot;/&gt;&lt;wsp:rsid wsp:val=&quot;71AB6CD0&quot;/&gt;&lt;wsp:rsid wsp:val=&quot;71AF12E6&quot;/&gt;&lt;wsp:rsid wsp:val=&quot;71B20480&quot;/&gt;&lt;wsp:rsid wsp:val=&quot;71B66B18&quot;/&gt;&lt;wsp:rsid wsp:val=&quot;71B72890&quot;/&gt;&lt;wsp:rsid wsp:val=&quot;71B763EC&quot;/&gt;&lt;wsp:rsid wsp:val=&quot;71B84A16&quot;/&gt;&lt;wsp:rsid wsp:val=&quot;71B96608&quot;/&gt;&lt;wsp:rsid wsp:val=&quot;71BA7C8A&quot;/&gt;&lt;wsp:rsid wsp:val=&quot;71BB412E&quot;/&gt;&lt;wsp:rsid wsp:val=&quot;71BC1C54&quot;/&gt;&lt;wsp:rsid wsp:val=&quot;71BC7CD8&quot;/&gt;&lt;wsp:rsid wsp:val=&quot;71C01745&quot;/&gt;&lt;wsp:rsid wsp:val=&quot;71C11019&quot;/&gt;&lt;wsp:rsid wsp:val=&quot;71C1726B&quot;/&gt;&lt;wsp:rsid wsp:val=&quot;71C254BD&quot;/&gt;&lt;wsp:rsid wsp:val=&quot;71C25AD2&quot;/&gt;&lt;wsp:rsid wsp:val=&quot;71C32FE3&quot;/&gt;&lt;wsp:rsid wsp:val=&quot;71C4751B&quot;/&gt;&lt;wsp:rsid wsp:val=&quot;71C70D25&quot;/&gt;&lt;wsp:rsid wsp:val=&quot;71C72AD3&quot;/&gt;&lt;wsp:rsid wsp:val=&quot;71CA25C3&quot;/&gt;&lt;wsp:rsid wsp:val=&quot;71CA4371&quot;/&gt;&lt;wsp:rsid wsp:val=&quot;71CA55E3&quot;/&gt;&lt;wsp:rsid wsp:val=&quot;71CC2394&quot;/&gt;&lt;wsp:rsid wsp:val=&quot;71CC34BB&quot;/&gt;&lt;wsp:rsid wsp:val=&quot;71CC5D92&quot;/&gt;&lt;wsp:rsid wsp:val=&quot;71CD20B4&quot;/&gt;&lt;wsp:rsid wsp:val=&quot;71CE0425&quot;/&gt;&lt;wsp:rsid wsp:val=&quot;71CF53DA&quot;/&gt;&lt;wsp:rsid wsp:val=&quot;71D115FD&quot;/&gt;&lt;wsp:rsid wsp:val=&quot;71D23226&quot;/&gt;&lt;wsp:rsid wsp:val=&quot;71D27F8A&quot;/&gt;&lt;wsp:rsid wsp:val=&quot;71D376CA&quot;/&gt;&lt;wsp:rsid wsp:val=&quot;71D46F9E&quot;/&gt;&lt;wsp:rsid wsp:val=&quot;71D6157A&quot;/&gt;&lt;wsp:rsid wsp:val=&quot;71D7083C&quot;/&gt;&lt;wsp:rsid wsp:val=&quot;71D7319F&quot;/&gt;&lt;wsp:rsid wsp:val=&quot;71D84CE0&quot;/&gt;&lt;wsp:rsid wsp:val=&quot;71D90A58&quot;/&gt;&lt;wsp:rsid wsp:val=&quot;71D92806&quot;/&gt;&lt;wsp:rsid wsp:val=&quot;71DA23B6&quot;/&gt;&lt;wsp:rsid wsp:val=&quot;71DA669B&quot;/&gt;&lt;wsp:rsid wsp:val=&quot;71DB032D&quot;/&gt;&lt;wsp:rsid wsp:val=&quot;71DB657E&quot;/&gt;&lt;wsp:rsid wsp:val=&quot;71DD22F7&quot;/&gt;&lt;wsp:rsid wsp:val=&quot;71DE1BCB&quot;/&gt;&lt;wsp:rsid wsp:val=&quot;71DE606F&quot;/&gt;&lt;wsp:rsid wsp:val=&quot;71E03B95&quot;/&gt;&lt;wsp:rsid wsp:val=&quot;71E05943&quot;/&gt;&lt;wsp:rsid wsp:val=&quot;71E116BB&quot;/&gt;&lt;wsp:rsid wsp:val=&quot;71E13469&quot;/&gt;&lt;wsp:rsid wsp:val=&quot;71E33685&quot;/&gt;&lt;wsp:rsid wsp:val=&quot;71E371E1&quot;/&gt;&lt;wsp:rsid wsp:val=&quot;71E573FD&quot;/&gt;&lt;wsp:rsid wsp:val=&quot;71E72C94&quot;/&gt;&lt;wsp:rsid wsp:val=&quot;71E73175&quot;/&gt;&lt;wsp:rsid wsp:val=&quot;71E74F23&quot;/&gt;&lt;wsp:rsid wsp:val=&quot;71E754CD&quot;/&gt;&lt;wsp:rsid wsp:val=&quot;71E76CD1&quot;/&gt;&lt;wsp:rsid wsp:val=&quot;71E80C9B&quot;/&gt;&lt;wsp:rsid wsp:val=&quot;71E84124&quot;/&gt;&lt;wsp:rsid wsp:val=&quot;71EA0570&quot;/&gt;&lt;wsp:rsid wsp:val=&quot;71EA6A44&quot;/&gt;&lt;wsp:rsid wsp:val=&quot;71EC21EE&quot;/&gt;&lt;wsp:rsid wsp:val=&quot;71ED23ED&quot;/&gt;&lt;wsp:rsid wsp:val=&quot;71ED62B2&quot;/&gt;&lt;wsp:rsid wsp:val=&quot;71EF202A&quot;/&gt;&lt;wsp:rsid wsp:val=&quot;71F118FE&quot;/&gt;&lt;wsp:rsid wsp:val=&quot;71F15DA2&quot;/&gt;&lt;wsp:rsid wsp:val=&quot;71F17B50&quot;/&gt;&lt;wsp:rsid wsp:val=&quot;71F24F18&quot;/&gt;&lt;wsp:rsid wsp:val=&quot;71F25676&quot;/&gt;&lt;wsp:rsid wsp:val=&quot;71F4319C&quot;/&gt;&lt;wsp:rsid wsp:val=&quot;71F633B8&quot;/&gt;&lt;wsp:rsid wsp:val=&quot;71F72C8D&quot;/&gt;&lt;wsp:rsid wsp:val=&quot;71F80EDE&quot;/&gt;&lt;wsp:rsid wsp:val=&quot;71F87130&quot;/&gt;&lt;wsp:rsid wsp:val=&quot;71F96A05&quot;/&gt;&lt;wsp:rsid wsp:val=&quot;71FB09CF&quot;/&gt;&lt;wsp:rsid wsp:val=&quot;71FB452B&quot;/&gt;&lt;wsp:rsid wsp:val=&quot;72007D93&quot;/&gt;&lt;wsp:rsid wsp:val=&quot;72021099&quot;/&gt;&lt;wsp:rsid wsp:val=&quot;720336C8&quot;/&gt;&lt;wsp:rsid wsp:val=&quot;72071122&quot;/&gt;&lt;wsp:rsid wsp:val=&quot;72077373&quot;/&gt;&lt;wsp:rsid wsp:val=&quot;7208345D&quot;/&gt;&lt;wsp:rsid wsp:val=&quot;72084977&quot;/&gt;&lt;wsp:rsid wsp:val=&quot;72084E9A&quot;/&gt;&lt;wsp:rsid wsp:val=&quot;720A29C0&quot;/&gt;&lt;wsp:rsid wsp:val=&quot;720A602E&quot;/&gt;&lt;wsp:rsid wsp:val=&quot;720C2BDC&quot;/&gt;&lt;wsp:rsid wsp:val=&quot;720C6738&quot;/&gt;&lt;wsp:rsid wsp:val=&quot;720E0702&quot;/&gt;&lt;wsp:rsid wsp:val=&quot;720F6228&quot;/&gt;&lt;wsp:rsid wsp:val=&quot;72111FA0&quot;/&gt;&lt;wsp:rsid wsp:val=&quot;72113D4E&quot;/&gt;&lt;wsp:rsid wsp:val=&quot;72121874&quot;/&gt;&lt;wsp:rsid wsp:val=&quot;72127391&quot;/&gt;&lt;wsp:rsid wsp:val=&quot;72135D18&quot;/&gt;&lt;wsp:rsid wsp:val=&quot;721573F6&quot;/&gt;&lt;wsp:rsid wsp:val=&quot;7216333F&quot;/&gt;&lt;wsp:rsid wsp:val=&quot;721671A2&quot;/&gt;&lt;wsp:rsid wsp:val=&quot;721675B7&quot;/&gt;&lt;wsp:rsid wsp:val=&quot;72181581&quot;/&gt;&lt;wsp:rsid wsp:val=&quot;72194693&quot;/&gt;&lt;wsp:rsid wsp:val=&quot;721A1B3C&quot;/&gt;&lt;wsp:rsid wsp:val=&quot;721B16E4&quot;/&gt;&lt;wsp:rsid wsp:val=&quot;721B1B84&quot;/&gt;&lt;wsp:rsid wsp:val=&quot;721B697B&quot;/&gt;&lt;wsp:rsid wsp:val=&quot;721E646B&quot;/&gt;&lt;wsp:rsid wsp:val=&quot;721F290F&quot;/&gt;&lt;wsp:rsid wsp:val=&quot;721F4534&quot;/&gt;&lt;wsp:rsid wsp:val=&quot;722021E3&quot;/&gt;&lt;wsp:rsid wsp:val=&quot;72203F91&quot;/&gt;&lt;wsp:rsid wsp:val=&quot;722241AD&quot;/&gt;&lt;wsp:rsid wsp:val=&quot;72233A82&quot;/&gt;&lt;wsp:rsid wsp:val=&quot;72235642&quot;/&gt;&lt;wsp:rsid wsp:val=&quot;72247F25&quot;/&gt;&lt;wsp:rsid wsp:val=&quot;72253C9E&quot;/&gt;&lt;wsp:rsid wsp:val=&quot;722577FA&quot;/&gt;&lt;wsp:rsid wsp:val=&quot;722640C6&quot;/&gt;&lt;wsp:rsid wsp:val=&quot;72266C97&quot;/&gt;&lt;wsp:rsid wsp:val=&quot;722717C4&quot;/&gt;&lt;wsp:rsid wsp:val=&quot;72273572&quot;/&gt;&lt;wsp:rsid wsp:val=&quot;72283D07&quot;/&gt;&lt;wsp:rsid wsp:val=&quot;722A12B4&quot;/&gt;&lt;wsp:rsid wsp:val=&quot;722B17DF&quot;/&gt;&lt;wsp:rsid wsp:val=&quot;722C13C8&quot;/&gt;&lt;wsp:rsid wsp:val=&quot;722C2B09&quot;/&gt;&lt;wsp:rsid wsp:val=&quot;722F0678&quot;/&gt;&lt;wsp:rsid wsp:val=&quot;722F2426&quot;/&gt;&lt;wsp:rsid wsp:val=&quot;72335BC4&quot;/&gt;&lt;wsp:rsid wsp:val=&quot;7234129A&quot;/&gt;&lt;wsp:rsid wsp:val=&quot;72343EE1&quot;/&gt;&lt;wsp:rsid wsp:val=&quot;72347A3D&quot;/&gt;&lt;wsp:rsid wsp:val=&quot;7238577F&quot;/&gt;&lt;wsp:rsid wsp:val=&quot;7238752D&quot;/&gt;&lt;wsp:rsid wsp:val=&quot;723932A5&quot;/&gt;&lt;wsp:rsid wsp:val=&quot;723A71F6&quot;/&gt;&lt;wsp:rsid wsp:val=&quot;723B0DCB&quot;/&gt;&lt;wsp:rsid wsp:val=&quot;723B443F&quot;/&gt;&lt;wsp:rsid wsp:val=&quot;723B526F&quot;/&gt;&lt;wsp:rsid wsp:val=&quot;723B701D&quot;/&gt;&lt;wsp:rsid wsp:val=&quot;72402885&quot;/&gt;&lt;wsp:rsid wsp:val=&quot;724072F8&quot;/&gt;&lt;wsp:rsid wsp:val=&quot;72410CCD&quot;/&gt;&lt;wsp:rsid wsp:val=&quot;72421D2B&quot;/&gt;&lt;wsp:rsid wsp:val=&quot;72435ED2&quot;/&gt;&lt;wsp:rsid wsp:val=&quot;724759C2&quot;/&gt;&lt;wsp:rsid wsp:val=&quot;72475FCF&quot;/&gt;&lt;wsp:rsid wsp:val=&quot;72477770&quot;/&gt;&lt;wsp:rsid wsp:val=&quot;72483102&quot;/&gt;&lt;wsp:rsid wsp:val=&quot;72497CB5&quot;/&gt;&lt;wsp:rsid wsp:val=&quot;724A1184&quot;/&gt;&lt;wsp:rsid wsp:val=&quot;724A7260&quot;/&gt;&lt;wsp:rsid wsp:val=&quot;724B263C&quot;/&gt;&lt;wsp:rsid wsp:val=&quot;724C2FD8&quot;/&gt;&lt;wsp:rsid wsp:val=&quot;724D022D&quot;/&gt;&lt;wsp:rsid wsp:val=&quot;724E4B0C&quot;/&gt;&lt;wsp:rsid wsp:val=&quot;72505075&quot;/&gt;&lt;wsp:rsid wsp:val=&quot;72514A93&quot;/&gt;&lt;wsp:rsid wsp:val=&quot;725325B9&quot;/&gt;&lt;wsp:rsid wsp:val=&quot;72534367&quot;/&gt;&lt;wsp:rsid wsp:val=&quot;72543F0C&quot;/&gt;&lt;wsp:rsid wsp:val=&quot;72547143&quot;/&gt;&lt;wsp:rsid wsp:val=&quot;72553024&quot;/&gt;&lt;wsp:rsid wsp:val=&quot;72556331&quot;/&gt;&lt;wsp:rsid wsp:val=&quot;72563E57&quot;/&gt;&lt;wsp:rsid wsp:val=&quot;72565C05&quot;/&gt;&lt;wsp:rsid wsp:val=&quot;7258197D&quot;/&gt;&lt;wsp:rsid wsp:val=&quot;725956F5&quot;/&gt;&lt;wsp:rsid wsp:val=&quot;725A5559&quot;/&gt;&lt;wsp:rsid wsp:val=&quot;725B4D57&quot;/&gt;&lt;wsp:rsid wsp:val=&quot;725D3437&quot;/&gt;&lt;wsp:rsid wsp:val=&quot;725E4ABA&quot;/&gt;&lt;wsp:rsid wsp:val=&quot;72600832&quot;/&gt;&lt;wsp:rsid wsp:val=&quot;72615AD0&quot;/&gt;&lt;wsp:rsid wsp:val=&quot;726227FC&quot;/&gt;&lt;wsp:rsid wsp:val=&quot;72640310&quot;/&gt;&lt;wsp:rsid wsp:val=&quot;72640322&quot;/&gt;&lt;wsp:rsid wsp:val=&quot;72646574&quot;/&gt;&lt;wsp:rsid wsp:val=&quot;72651AFE&quot;/&gt;&lt;wsp:rsid wsp:val=&quot;726522EC&quot;/&gt;&lt;wsp:rsid wsp:val=&quot;72671BC0&quot;/&gt;&lt;wsp:rsid wsp:val=&quot;726A16B0&quot;/&gt;&lt;wsp:rsid wsp:val=&quot;726A7902&quot;/&gt;&lt;wsp:rsid wsp:val=&quot;726B5B54&quot;/&gt;&lt;wsp:rsid wsp:val=&quot;726C50C5&quot;/&gt;&lt;wsp:rsid wsp:val=&quot;726C5A82&quot;/&gt;&lt;wsp:rsid wsp:val=&quot;726E11A1&quot;/&gt;&lt;wsp:rsid wsp:val=&quot;726E28BB&quot;/&gt;&lt;wsp:rsid wsp:val=&quot;726E2F4F&quot;/&gt;&lt;wsp:rsid wsp:val=&quot;726F4F19&quot;/&gt;&lt;wsp:rsid wsp:val=&quot;72702893&quot;/&gt;&lt;wsp:rsid wsp:val=&quot;7270316B&quot;/&gt;&lt;wsp:rsid wsp:val=&quot;7271034C&quot;/&gt;&lt;wsp:rsid wsp:val=&quot;72730565&quot;/&gt;&lt;wsp:rsid wsp:val=&quot;727442DD&quot;/&gt;&lt;wsp:rsid wsp:val=&quot;727646A3&quot;/&gt;&lt;wsp:rsid wsp:val=&quot;72783DCD&quot;/&gt;&lt;wsp:rsid wsp:val=&quot;72785B7B&quot;/&gt;&lt;wsp:rsid wsp:val=&quot;727A7B45&quot;/&gt;&lt;wsp:rsid wsp:val=&quot;727B1B10&quot;/&gt;&lt;wsp:rsid wsp:val=&quot;727C559D&quot;/&gt;&lt;wsp:rsid wsp:val=&quot;727F33AE&quot;/&gt;&lt;wsp:rsid wsp:val=&quot;72800ED4&quot;/&gt;&lt;wsp:rsid wsp:val=&quot;72802C82&quot;/&gt;&lt;wsp:rsid wsp:val=&quot;728323FB&quot;/&gt;&lt;wsp:rsid wsp:val=&quot;72834520&quot;/&gt;&lt;wsp:rsid wsp:val=&quot;72842772&quot;/&gt;&lt;wsp:rsid wsp:val=&quot;72850298&quot;/&gt;&lt;wsp:rsid wsp:val=&quot;7285473C&quot;/&gt;&lt;wsp:rsid wsp:val=&quot;728704B4&quot;/&gt;&lt;wsp:rsid wsp:val=&quot;72895FDA&quot;/&gt;&lt;wsp:rsid wsp:val=&quot;728A58AF&quot;/&gt;&lt;wsp:rsid wsp:val=&quot;728B1D53&quot;/&gt;&lt;wsp:rsid wsp:val=&quot;728B49B4&quot;/&gt;&lt;wsp:rsid wsp:val=&quot;728E1843&quot;/&gt;&lt;wsp:rsid wsp:val=&quot;728E35F1&quot;/&gt;&lt;wsp:rsid wsp:val=&quot;728E539F&quot;/&gt;&lt;wsp:rsid wsp:val=&quot;728F21C0&quot;/&gt;&lt;wsp:rsid wsp:val=&quot;72903084&quot;/&gt;&lt;wsp:rsid wsp:val=&quot;72907369&quot;/&gt;&lt;wsp:rsid wsp:val=&quot;72916C3D&quot;/&gt;&lt;wsp:rsid wsp:val=&quot;72930C07&quot;/&gt;&lt;wsp:rsid wsp:val=&quot;72961AC7&quot;/&gt;&lt;wsp:rsid wsp:val=&quot;72964253&quot;/&gt;&lt;wsp:rsid wsp:val=&quot;72987EF6&quot;/&gt;&lt;wsp:rsid wsp:val=&quot;72990C1E&quot;/&gt;&lt;wsp:rsid wsp:val=&quot;729A3D44&quot;/&gt;&lt;wsp:rsid wsp:val=&quot;729B5D0E&quot;/&gt;&lt;wsp:rsid wsp:val=&quot;729D1A86&quot;/&gt;&lt;wsp:rsid wsp:val=&quot;729D3834&quot;/&gt;&lt;wsp:rsid wsp:val=&quot;729F135A&quot;/&gt;&lt;wsp:rsid wsp:val=&quot;72A02B79&quot;/&gt;&lt;wsp:rsid wsp:val=&quot;72A050D2&quot;/&gt;&lt;wsp:rsid wsp:val=&quot;72A1574A&quot;/&gt;&lt;wsp:rsid wsp:val=&quot;72A5093A&quot;/&gt;&lt;wsp:rsid wsp:val=&quot;72A746B3&quot;/&gt;&lt;wsp:rsid wsp:val=&quot;72AA7CFF&quot;/&gt;&lt;wsp:rsid wsp:val=&quot;72AC285D&quot;/&gt;&lt;wsp:rsid wsp:val=&quot;72AC7F1B&quot;/&gt;&lt;wsp:rsid wsp:val=&quot;72AD517D&quot;/&gt;&lt;wsp:rsid wsp:val=&quot;72AE77EF&quot;/&gt;&lt;wsp:rsid wsp:val=&quot;72AF2E9B&quot;/&gt;&lt;wsp:rsid wsp:val=&quot;72AF5315&quot;/&gt;&lt;wsp:rsid wsp:val=&quot;72B03567&quot;/&gt;&lt;wsp:rsid wsp:val=&quot;72B1108D&quot;/&gt;&lt;wsp:rsid wsp:val=&quot;72B23B61&quot;/&gt;&lt;wsp:rsid wsp:val=&quot;72B312A9&quot;/&gt;&lt;wsp:rsid wsp:val=&quot;72B33057&quot;/&gt;&lt;wsp:rsid wsp:val=&quot;72B5390F&quot;/&gt;&lt;wsp:rsid wsp:val=&quot;72B62B48&quot;/&gt;&lt;wsp:rsid wsp:val=&quot;72B8241C&quot;/&gt;&lt;wsp:rsid wsp:val=&quot;72B87500&quot;/&gt;&lt;wsp:rsid wsp:val=&quot;72BB3CBA&quot;/&gt;&lt;wsp:rsid wsp:val=&quot;72BF0CD3&quot;/&gt;&lt;wsp:rsid wsp:val=&quot;72BF7592&quot;/&gt;&lt;wsp:rsid wsp:val=&quot;72BF7C4E&quot;/&gt;&lt;wsp:rsid wsp:val=&quot;72C06C31&quot;/&gt;&lt;wsp:rsid wsp:val=&quot;72C07522&quot;/&gt;&lt;wsp:rsid wsp:val=&quot;72C25801&quot;/&gt;&lt;wsp:rsid wsp:val=&quot;72C40DC1&quot;/&gt;&lt;wsp:rsid wsp:val=&quot;72C473A3&quot;/&gt;&lt;wsp:rsid wsp:val=&quot;72C62D8B&quot;/&gt;&lt;wsp:rsid wsp:val=&quot;72CC1ABA&quot;/&gt;&lt;wsp:rsid wsp:val=&quot;72CE4AD0&quot;/&gt;&lt;wsp:rsid wsp:val=&quot;72CE60E3&quot;/&gt;&lt;wsp:rsid wsp:val=&quot;72CE7E91&quot;/&gt;&lt;wsp:rsid wsp:val=&quot;72D03C09&quot;/&gt;&lt;wsp:rsid wsp:val=&quot;72D1172F&quot;/&gt;&lt;wsp:rsid wsp:val=&quot;72D11D1B&quot;/&gt;&lt;wsp:rsid wsp:val=&quot;72D134DE&quot;/&gt;&lt;wsp:rsid wsp:val=&quot;72D17BC7&quot;/&gt;&lt;wsp:rsid wsp:val=&quot;72D233B6&quot;/&gt;&lt;wsp:rsid wsp:val=&quot;72D27981&quot;/&gt;&lt;wsp:rsid wsp:val=&quot;72D354A8&quot;/&gt;&lt;wsp:rsid wsp:val=&quot;72D477F2&quot;/&gt;&lt;wsp:rsid wsp:val=&quot;72D51220&quot;/&gt;&lt;wsp:rsid wsp:val=&quot;72D57472&quot;/&gt;&lt;wsp:rsid wsp:val=&quot;72D60AF4&quot;/&gt;&lt;wsp:rsid wsp:val=&quot;72D62859&quot;/&gt;&lt;wsp:rsid wsp:val=&quot;72D74F98&quot;/&gt;&lt;wsp:rsid wsp:val=&quot;72D7552E&quot;/&gt;&lt;wsp:rsid wsp:val=&quot;72D80D10&quot;/&gt;&lt;wsp:rsid wsp:val=&quot;72D8187A&quot;/&gt;&lt;wsp:rsid wsp:val=&quot;72D969D4&quot;/&gt;&lt;wsp:rsid wsp:val=&quot;72DA05E4&quot;/&gt;&lt;wsp:rsid wsp:val=&quot;72DA4A88&quot;/&gt;&lt;wsp:rsid wsp:val=&quot;72DA6836&quot;/&gt;&lt;wsp:rsid wsp:val=&quot;72DB6D6B&quot;/&gt;&lt;wsp:rsid wsp:val=&quot;72DC25AE&quot;/&gt;&lt;wsp:rsid wsp:val=&quot;72DD6326&quot;/&gt;&lt;wsp:rsid wsp:val=&quot;72DF3E4C&quot;/&gt;&lt;wsp:rsid wsp:val=&quot;72DF5BFA&quot;/&gt;&lt;wsp:rsid wsp:val=&quot;72E2393D&quot;/&gt;&lt;wsp:rsid wsp:val=&quot;72E4155E&quot;/&gt;&lt;wsp:rsid wsp:val=&quot;72E571EB&quot;/&gt;&lt;wsp:rsid wsp:val=&quot;72E651DB&quot;/&gt;&lt;wsp:rsid wsp:val=&quot;72E66F89&quot;/&gt;&lt;wsp:rsid wsp:val=&quot;72E94CCB&quot;/&gt;&lt;wsp:rsid wsp:val=&quot;72EA4F96&quot;/&gt;&lt;wsp:rsid wsp:val=&quot;72EB0A43&quot;/&gt;&lt;wsp:rsid wsp:val=&quot;72EB459F&quot;/&gt;&lt;wsp:rsid wsp:val=&quot;72EC0317&quot;/&gt;&lt;wsp:rsid wsp:val=&quot;72EC2C5F&quot;/&gt;&lt;wsp:rsid wsp:val=&quot;72ED47BB&quot;/&gt;&lt;wsp:rsid wsp:val=&quot;72EE5E3E&quot;/&gt;&lt;wsp:rsid wsp:val=&quot;72F07B01&quot;/&gt;&lt;wsp:rsid wsp:val=&quot;72F13B80&quot;/&gt;&lt;wsp:rsid wsp:val=&quot;72F166AD&quot;/&gt;&lt;wsp:rsid wsp:val=&quot;72F47912&quot;/&gt;&lt;wsp:rsid wsp:val=&quot;72F5541E&quot;/&gt;&lt;wsp:rsid wsp:val=&quot;72F62F44&quot;/&gt;&lt;wsp:rsid wsp:val=&quot;72F63973&quot;/&gt;&lt;wsp:rsid wsp:val=&quot;72F71196&quot;/&gt;&lt;wsp:rsid wsp:val=&quot;72F773E8&quot;/&gt;&lt;wsp:rsid wsp:val=&quot;72FB055A&quot;/&gt;&lt;wsp:rsid wsp:val=&quot;72FD0776&quot;/&gt;&lt;wsp:rsid wsp:val=&quot;72FD2525&quot;/&gt;&lt;wsp:rsid wsp:val=&quot;73010A86&quot;/&gt;&lt;wsp:rsid wsp:val=&quot;73012015&quot;/&gt;&lt;wsp:rsid wsp:val=&quot;73025D8D&quot;/&gt;&lt;wsp:rsid wsp:val=&quot;730333A6&quot;/&gt;&lt;wsp:rsid wsp:val=&quot;73042CE3&quot;/&gt;&lt;wsp:rsid wsp:val=&quot;73047407&quot;/&gt;&lt;wsp:rsid wsp:val=&quot;730613D9&quot;/&gt;&lt;wsp:rsid wsp:val=&quot;7306762B&quot;/&gt;&lt;wsp:rsid wsp:val=&quot;73067BC6&quot;/&gt;&lt;wsp:rsid wsp:val=&quot;73075151&quot;/&gt;&lt;wsp:rsid wsp:val=&quot;73076EFF&quot;/&gt;&lt;wsp:rsid wsp:val=&quot;730D09BA&quot;/&gt;&lt;wsp:rsid wsp:val=&quot;730D6C0C&quot;/&gt;&lt;wsp:rsid wsp:val=&quot;730E4732&quot;/&gt;&lt;wsp:rsid wsp:val=&quot;731004AA&quot;/&gt;&lt;wsp:rsid wsp:val=&quot;73102258&quot;/&gt;&lt;wsp:rsid wsp:val=&quot;73122968&quot;/&gt;&lt;wsp:rsid wsp:val=&quot;73125FD0&quot;/&gt;&lt;wsp:rsid wsp:val=&quot;73132D7F&quot;/&gt;&lt;wsp:rsid wsp:val=&quot;731358A4&quot;/&gt;&lt;wsp:rsid wsp:val=&quot;73137F9A&quot;/&gt;&lt;wsp:rsid wsp:val=&quot;73177274&quot;/&gt;&lt;wsp:rsid wsp:val=&quot;73186D0D&quot;/&gt;&lt;wsp:rsid wsp:val=&quot;7318735E&quot;/&gt;&lt;wsp:rsid wsp:val=&quot;731A4E85&quot;/&gt;&lt;wsp:rsid wsp:val=&quot;731C0BFD&quot;/&gt;&lt;wsp:rsid wsp:val=&quot;731C29AB&quot;/&gt;&lt;wsp:rsid wsp:val=&quot;731C6E4F&quot;/&gt;&lt;wsp:rsid wsp:val=&quot;731D4975&quot;/&gt;&lt;wsp:rsid wsp:val=&quot;731E21D2&quot;/&gt;&lt;wsp:rsid wsp:val=&quot;731F249B&quot;/&gt;&lt;wsp:rsid wsp:val=&quot;731F5D5E&quot;/&gt;&lt;wsp:rsid wsp:val=&quot;73216213&quot;/&gt;&lt;wsp:rsid wsp:val=&quot;7321692F&quot;/&gt;&lt;wsp:rsid wsp:val=&quot;73237CEF&quot;/&gt;&lt;wsp:rsid wsp:val=&quot;73247AB1&quot;/&gt;&lt;wsp:rsid wsp:val=&quot;732857F3&quot;/&gt;&lt;wsp:rsid wsp:val=&quot;7329156C&quot;/&gt;&lt;wsp:rsid wsp:val=&quot;732A432B&quot;/&gt;&lt;wsp:rsid wsp:val=&quot;732C6966&quot;/&gt;&lt;wsp:rsid wsp:val=&quot;732D6613&quot;/&gt;&lt;wsp:rsid wsp:val=&quot;732E0930&quot;/&gt;&lt;wsp:rsid wsp:val=&quot;732F1E4E&quot;/&gt;&lt;wsp:rsid wsp:val=&quot;733028FA&quot;/&gt;&lt;wsp:rsid wsp:val=&quot;733046A8&quot;/&gt;&lt;wsp:rsid wsp:val=&quot;73320420&quot;/&gt;&lt;wsp:rsid wsp:val=&quot;733A72D5&quot;/&gt;&lt;wsp:rsid wsp:val=&quot;733C304D&quot;/&gt;&lt;wsp:rsid wsp:val=&quot;733D141E&quot;/&gt;&lt;wsp:rsid wsp:val=&quot;733F0D8F&quot;/&gt;&lt;wsp:rsid wsp:val=&quot;733F35F9&quot;/&gt;&lt;wsp:rsid wsp:val=&quot;733F6699&quot;/&gt;&lt;wsp:rsid wsp:val=&quot;73433FF4&quot;/&gt;&lt;wsp:rsid wsp:val=&quot;734343DB&quot;/&gt;&lt;wsp:rsid wsp:val=&quot;73441F01&quot;/&gt;&lt;wsp:rsid wsp:val=&quot;734463A5&quot;/&gt;&lt;wsp:rsid wsp:val=&quot;73463ECB&quot;/&gt;&lt;wsp:rsid wsp:val=&quot;73465C7A&quot;/&gt;&lt;wsp:rsid wsp:val=&quot;734671BA&quot;/&gt;&lt;wsp:rsid wsp:val=&quot;73467A28&quot;/&gt;&lt;wsp:rsid wsp:val=&quot;73497518&quot;/&gt;&lt;wsp:rsid wsp:val=&quot;734A16A2&quot;/&gt;&lt;wsp:rsid wsp:val=&quot;734B7734&quot;/&gt;&lt;wsp:rsid wsp:val=&quot;734C0DB6&quot;/&gt;&lt;wsp:rsid wsp:val=&quot;734D525A&quot;/&gt;&lt;wsp:rsid wsp:val=&quot;734E2D80&quot;/&gt;&lt;wsp:rsid wsp:val=&quot;7352461E&quot;/&gt;&lt;wsp:rsid wsp:val=&quot;735314CD&quot;/&gt;&lt;wsp:rsid wsp:val=&quot;73532145&quot;/&gt;&lt;wsp:rsid wsp:val=&quot;73541EE2&quot;/&gt;&lt;wsp:rsid wsp:val=&quot;73555EBD&quot;/&gt;&lt;wsp:rsid wsp:val=&quot;73572B6B&quot;/&gt;&lt;wsp:rsid wsp:val=&quot;73581EBE&quot;/&gt;&lt;wsp:rsid wsp:val=&quot;735859AD&quot;/&gt;&lt;wsp:rsid wsp:val=&quot;7358775B&quot;/&gt;&lt;wsp:rsid wsp:val=&quot;735A1725&quot;/&gt;&lt;wsp:rsid wsp:val=&quot;735B7814&quot;/&gt;&lt;wsp:rsid wsp:val=&quot;735C549D&quot;/&gt;&lt;wsp:rsid wsp:val=&quot;735C7A0B&quot;/&gt;&lt;wsp:rsid wsp:val=&quot;735D1F6A&quot;/&gt;&lt;wsp:rsid wsp:val=&quot;735E5441&quot;/&gt;&lt;wsp:rsid wsp:val=&quot;735E7467&quot;/&gt;&lt;wsp:rsid wsp:val=&quot;73607D61&quot;/&gt;&lt;wsp:rsid wsp:val=&quot;73610D05&quot;/&gt;&lt;wsp:rsid wsp:val=&quot;73612AB3&quot;/&gt;&lt;wsp:rsid wsp:val=&quot;73613DC2&quot;/&gt;&lt;wsp:rsid wsp:val=&quot;73614861&quot;/&gt;&lt;wsp:rsid wsp:val=&quot;73634A7D&quot;/&gt;&lt;wsp:rsid wsp:val=&quot;7363682B&quot;/&gt;&lt;wsp:rsid wsp:val=&quot;73667E4A&quot;/&gt;&lt;wsp:rsid wsp:val=&quot;73680CD0&quot;/&gt;&lt;wsp:rsid wsp:val=&quot;736A2F70&quot;/&gt;&lt;wsp:rsid wsp:val=&quot;736B08BB&quot;/&gt;&lt;wsp:rsid wsp:val=&quot;736B56E0&quot;/&gt;&lt;wsp:rsid wsp:val=&quot;736C78E6&quot;/&gt;&lt;wsp:rsid wsp:val=&quot;736D1458&quot;/&gt;&lt;wsp:rsid wsp:val=&quot;736D3206&quot;/&gt;&lt;wsp:rsid wsp:val=&quot;7370719A&quot;/&gt;&lt;wsp:rsid wsp:val=&quot;73722F12&quot;/&gt;&lt;wsp:rsid wsp:val=&quot;73724CC1&quot;/&gt;&lt;wsp:rsid wsp:val=&quot;73726A6F&quot;/&gt;&lt;wsp:rsid wsp:val=&quot;73727918&quot;/&gt;&lt;wsp:rsid wsp:val=&quot;73734595&quot;/&gt;&lt;wsp:rsid wsp:val=&quot;737427E7&quot;/&gt;&lt;wsp:rsid wsp:val=&quot;7375030D&quot;/&gt;&lt;wsp:rsid wsp:val=&quot;7375655F&quot;/&gt;&lt;wsp:rsid wsp:val=&quot;73761BD1&quot;/&gt;&lt;wsp:rsid wsp:val=&quot;73774085&quot;/&gt;&lt;wsp:rsid wsp:val=&quot;73774D90&quot;/&gt;&lt;wsp:rsid wsp:val=&quot;73792049&quot;/&gt;&lt;wsp:rsid wsp:val=&quot;737A2133&quot;/&gt;&lt;wsp:rsid wsp:val=&quot;737C20A7&quot;/&gt;&lt;wsp:rsid wsp:val=&quot;737E5413&quot;/&gt;&lt;wsp:rsid wsp:val=&quot;737F2F3A&quot;/&gt;&lt;wsp:rsid wsp:val=&quot;73813156&quot;/&gt;&lt;wsp:rsid wsp:val=&quot;738270AF&quot;/&gt;&lt;wsp:rsid wsp:val=&quot;73840550&quot;/&gt;&lt;wsp:rsid wsp:val=&quot;7384741D&quot;/&gt;&lt;wsp:rsid wsp:val=&quot;738546A7&quot;/&gt;&lt;wsp:rsid wsp:val=&quot;7386076C&quot;/&gt;&lt;wsp:rsid wsp:val=&quot;73892FCE&quot;/&gt;&lt;wsp:rsid wsp:val=&quot;738A025C&quot;/&gt;&lt;wsp:rsid wsp:val=&quot;738A445E&quot;/&gt;&lt;wsp:rsid wsp:val=&quot;738B5D82&quot;/&gt;&lt;wsp:rsid wsp:val=&quot;738F5872&quot;/&gt;&lt;wsp:rsid wsp:val=&quot;738F7621&quot;/&gt;&lt;wsp:rsid wsp:val=&quot;73922C6D&quot;/&gt;&lt;wsp:rsid wsp:val=&quot;73927111&quot;/&gt;&lt;wsp:rsid wsp:val=&quot;7395275D&quot;/&gt;&lt;wsp:rsid wsp:val=&quot;73973553&quot;/&gt;&lt;wsp:rsid wsp:val=&quot;7399049F&quot;/&gt;&lt;wsp:rsid wsp:val=&quot;7399224D&quot;/&gt;&lt;wsp:rsid wsp:val=&quot;739E7864&quot;/&gt;&lt;wsp:rsid wsp:val=&quot;73A0182E&quot;/&gt;&lt;wsp:rsid wsp:val=&quot;73A11102&quot;/&gt;&lt;wsp:rsid wsp:val=&quot;73A155A6&quot;/&gt;&lt;wsp:rsid wsp:val=&quot;73A3131E&quot;/&gt;&lt;wsp:rsid wsp:val=&quot;73A34E7A&quot;/&gt;&lt;wsp:rsid wsp:val=&quot;73A352B6&quot;/&gt;&lt;wsp:rsid wsp:val=&quot;73A429A0&quot;/&gt;&lt;wsp:rsid wsp:val=&quot;73A527A7&quot;/&gt;&lt;wsp:rsid wsp:val=&quot;73A6496A&quot;/&gt;&lt;wsp:rsid wsp:val=&quot;73A715D1&quot;/&gt;&lt;wsp:rsid wsp:val=&quot;73A77DFA&quot;/&gt;&lt;wsp:rsid wsp:val=&quot;73A8345D&quot;/&gt;&lt;wsp:rsid wsp:val=&quot;73A86557&quot;/&gt;&lt;wsp:rsid wsp:val=&quot;73A97805&quot;/&gt;&lt;wsp:rsid wsp:val=&quot;73AA26AC&quot;/&gt;&lt;wsp:rsid wsp:val=&quot;73AB01D2&quot;/&gt;&lt;wsp:rsid wsp:val=&quot;73AB0341&quot;/&gt;&lt;wsp:rsid wsp:val=&quot;73AB1F81&quot;/&gt;&lt;wsp:rsid wsp:val=&quot;73AB3D2F&quot;/&gt;&lt;wsp:rsid wsp:val=&quot;73AF2672&quot;/&gt;&lt;wsp:rsid wsp:val=&quot;73AF7CC3&quot;/&gt;&lt;wsp:rsid wsp:val=&quot;73B00F90&quot;/&gt;&lt;wsp:rsid wsp:val=&quot;73B13A3B&quot;/&gt;&lt;wsp:rsid wsp:val=&quot;73B21561&quot;/&gt;&lt;wsp:rsid wsp:val=&quot;73B221D9&quot;/&gt;&lt;wsp:rsid wsp:val=&quot;73B2330F&quot;/&gt;&lt;wsp:rsid wsp:val=&quot;73B269A7&quot;/&gt;&lt;wsp:rsid wsp:val=&quot;73B452D9&quot;/&gt;&lt;wsp:rsid wsp:val=&quot;73B47087&quot;/&gt;&lt;wsp:rsid wsp:val=&quot;73B470BB&quot;/&gt;&lt;wsp:rsid wsp:val=&quot;73B52DFF&quot;/&gt;&lt;wsp:rsid wsp:val=&quot;73B6400B&quot;/&gt;&lt;wsp:rsid wsp:val=&quot;73B66B46&quot;/&gt;&lt;wsp:rsid wsp:val=&quot;73B70925&quot;/&gt;&lt;wsp:rsid wsp:val=&quot;73B928EF&quot;/&gt;&lt;wsp:rsid wsp:val=&quot;73BC418E&quot;/&gt;&lt;wsp:rsid wsp:val=&quot;73BE077C&quot;/&gt;&lt;wsp:rsid wsp:val=&quot;73C03C7E&quot;/&gt;&lt;wsp:rsid wsp:val=&quot;73C10D0D&quot;/&gt;&lt;wsp:rsid wsp:val=&quot;73C3376E&quot;/&gt;&lt;wsp:rsid wsp:val=&quot;73C51AD5&quot;/&gt;&lt;wsp:rsid wsp:val=&quot;73C60B68&quot;/&gt;&lt;wsp:rsid wsp:val=&quot;73C66DBA&quot;/&gt;&lt;wsp:rsid wsp:val=&quot;73C87AE8&quot;/&gt;&lt;wsp:rsid wsp:val=&quot;73CD48A4&quot;/&gt;&lt;wsp:rsid wsp:val=&quot;73CF42D2&quot;/&gt;&lt;wsp:rsid wsp:val=&quot;73CF53E7&quot;/&gt;&lt;wsp:rsid wsp:val=&quot;73CF5C6F&quot;/&gt;&lt;wsp:rsid wsp:val=&quot;73D03795&quot;/&gt;&lt;wsp:rsid wsp:val=&quot;73D17C39&quot;/&gt;&lt;wsp:rsid wsp:val=&quot;73D2575F&quot;/&gt;&lt;wsp:rsid wsp:val=&quot;73D2750D&quot;/&gt;&lt;wsp:rsid wsp:val=&quot;73D33B63&quot;/&gt;&lt;wsp:rsid wsp:val=&quot;73D43285&quot;/&gt;&lt;wsp:rsid wsp:val=&quot;73D634A1&quot;/&gt;&lt;wsp:rsid wsp:val=&quot;73D6524F&quot;/&gt;&lt;wsp:rsid wsp:val=&quot;73D70FC8&quot;/&gt;&lt;wsp:rsid wsp:val=&quot;73D74B24&quot;/&gt;&lt;wsp:rsid wsp:val=&quot;73D9089C&quot;/&gt;&lt;wsp:rsid wsp:val=&quot;73D90FB9&quot;/&gt;&lt;wsp:rsid wsp:val=&quot;73D96AEE&quot;/&gt;&lt;wsp:rsid wsp:val=&quot;73DC038C&quot;/&gt;&lt;wsp:rsid wsp:val=&quot;73DC3D05&quot;/&gt;&lt;wsp:rsid wsp:val=&quot;73DD2807&quot;/&gt;&lt;wsp:rsid wsp:val=&quot;73DE2356&quot;/&gt;&lt;wsp:rsid wsp:val=&quot;73DE4104&quot;/&gt;&lt;wsp:rsid wsp:val=&quot;73E060CE&quot;/&gt;&lt;wsp:rsid wsp:val=&quot;73E13BF4&quot;/&gt;&lt;wsp:rsid wsp:val=&quot;73E159A2&quot;/&gt;&lt;wsp:rsid wsp:val=&quot;73E3171A&quot;/&gt;&lt;wsp:rsid wsp:val=&quot;73E7745D&quot;/&gt;&lt;wsp:rsid wsp:val=&quot;73E86D31&quot;/&gt;&lt;wsp:rsid wsp:val=&quot;73EA125D&quot;/&gt;&lt;wsp:rsid wsp:val=&quot;73EC4A73&quot;/&gt;&lt;wsp:rsid wsp:val=&quot;73EF4563&quot;/&gt;&lt;wsp:rsid wsp:val=&quot;73EF6311&quot;/&gt;&lt;wsp:rsid wsp:val=&quot;73F12089&quot;/&gt;&lt;wsp:rsid wsp:val=&quot;73F14D7C&quot;/&gt;&lt;wsp:rsid wsp:val=&quot;73F25E01&quot;/&gt;&lt;wsp:rsid wsp:val=&quot;73F41F8C&quot;/&gt;&lt;wsp:rsid wsp:val=&quot;73F456D6&quot;/&gt;&lt;wsp:rsid wsp:val=&quot;73F62D29&quot;/&gt;&lt;wsp:rsid wsp:val=&quot;73F73418&quot;/&gt;&lt;wsp:rsid wsp:val=&quot;73F751C6&quot;/&gt;&lt;wsp:rsid wsp:val=&quot;73F76F74&quot;/&gt;&lt;wsp:rsid wsp:val=&quot;73FB2F08&quot;/&gt;&lt;wsp:rsid wsp:val=&quot;73FB4CB6&quot;/&gt;&lt;wsp:rsid wsp:val=&quot;73FB6DEA&quot;/&gt;&lt;wsp:rsid wsp:val=&quot;73FC458A&quot;/&gt;&lt;wsp:rsid wsp:val=&quot;7400051E&quot;/&gt;&lt;wsp:rsid wsp:val=&quot;74017DF2&quot;/&gt;&lt;wsp:rsid wsp:val=&quot;7403558B&quot;/&gt;&lt;wsp:rsid wsp:val=&quot;74035919&quot;/&gt;&lt;wsp:rsid wsp:val=&quot;74051691&quot;/&gt;&lt;wsp:rsid wsp:val=&quot;74057258&quot;/&gt;&lt;wsp:rsid wsp:val=&quot;74065409&quot;/&gt;&lt;wsp:rsid wsp:val=&quot;74081892&quot;/&gt;&lt;wsp:rsid wsp:val=&quot;74085625&quot;/&gt;&lt;wsp:rsid wsp:val=&quot;74086FAA&quot;/&gt;&lt;wsp:rsid wsp:val=&quot;740A314B&quot;/&gt;&lt;wsp:rsid wsp:val=&quot;740B2406&quot;/&gt;&lt;wsp:rsid wsp:val=&quot;740C0C71&quot;/&gt;&lt;wsp:rsid wsp:val=&quot;740C6EC3&quot;/&gt;&lt;wsp:rsid wsp:val=&quot;740D6797&quot;/&gt;&lt;wsp:rsid wsp:val=&quot;740F250F&quot;/&gt;&lt;wsp:rsid wsp:val=&quot;740F42BD&quot;/&gt;&lt;wsp:rsid wsp:val=&quot;74100036&quot;/&gt;&lt;wsp:rsid wsp:val=&quot;74116287&quot;/&gt;&lt;wsp:rsid wsp:val=&quot;74121D96&quot;/&gt;&lt;wsp:rsid wsp:val=&quot;74141049&quot;/&gt;&lt;wsp:rsid wsp:val=&quot;74141576&quot;/&gt;&lt;wsp:rsid wsp:val=&quot;74161AF0&quot;/&gt;&lt;wsp:rsid wsp:val=&quot;741713C4&quot;/&gt;&lt;wsp:rsid wsp:val=&quot;74192817&quot;/&gt;&lt;wsp:rsid wsp:val=&quot;7419338E&quot;/&gt;&lt;wsp:rsid wsp:val=&quot;741D2E7E&quot;/&gt;&lt;wsp:rsid wsp:val=&quot;741E09A4&quot;/&gt;&lt;wsp:rsid wsp:val=&quot;741E793C&quot;/&gt;&lt;wsp:rsid wsp:val=&quot;741F125A&quot;/&gt;&lt;wsp:rsid wsp:val=&quot;7420296E&quot;/&gt;&lt;wsp:rsid wsp:val=&quot;742064CB&quot;/&gt;&lt;wsp:rsid wsp:val=&quot;74213FF1&quot;/&gt;&lt;wsp:rsid wsp:val=&quot;74220495&quot;/&gt;&lt;wsp:rsid wsp:val=&quot;742324DB&quot;/&gt;&lt;wsp:rsid wsp:val=&quot;74250490&quot;/&gt;&lt;wsp:rsid wsp:val=&quot;742627BF&quot;/&gt;&lt;wsp:rsid wsp:val=&quot;7426541A&quot;/&gt;&lt;wsp:rsid wsp:val=&quot;74275AAB&quot;/&gt;&lt;wsp:rsid wsp:val=&quot;7429238A&quot;/&gt;&lt;wsp:rsid wsp:val=&quot;742C1313&quot;/&gt;&lt;wsp:rsid wsp:val=&quot;742D6E39&quot;/&gt;&lt;wsp:rsid wsp:val=&quot;7431692A&quot;/&gt;&lt;wsp:rsid wsp:val=&quot;74363F40&quot;/&gt;&lt;wsp:rsid wsp:val=&quot;7438212D&quot;/&gt;&lt;wsp:rsid wsp:val=&quot;74390206&quot;/&gt;&lt;wsp:rsid wsp:val=&quot;74393A30&quot;/&gt;&lt;wsp:rsid wsp:val=&quot;743B50B2&quot;/&gt;&lt;wsp:rsid wsp:val=&quot;743D707D&quot;/&gt;&lt;wsp:rsid wsp:val=&quot;74401365&quot;/&gt;&lt;wsp:rsid wsp:val=&quot;74404DBF&quot;/&gt;&lt;wsp:rsid wsp:val=&quot;74420232&quot;/&gt;&lt;wsp:rsid wsp:val=&quot;744321B9&quot;/&gt;&lt;wsp:rsid wsp:val=&quot;7446238B&quot;/&gt;&lt;wsp:rsid wsp:val=&quot;74463A57&quot;/&gt;&lt;wsp:rsid wsp:val=&quot;74465BE9&quot;/&gt;&lt;wsp:rsid wsp:val=&quot;7447614D&quot;/&gt;&lt;wsp:rsid wsp:val=&quot;74477EFB&quot;/&gt;&lt;wsp:rsid wsp:val=&quot;74493C73&quot;/&gt;&lt;wsp:rsid wsp:val=&quot;744A2D86&quot;/&gt;&lt;wsp:rsid wsp:val=&quot;744A3547&quot;/&gt;&lt;wsp:rsid wsp:val=&quot;744C3764&quot;/&gt;&lt;wsp:rsid wsp:val=&quot;744E128A&quot;/&gt;&lt;wsp:rsid wsp:val=&quot;744F6DB0&quot;/&gt;&lt;wsp:rsid wsp:val=&quot;745054B7&quot;/&gt;&lt;wsp:rsid wsp:val=&quot;74505C61&quot;/&gt;&lt;wsp:rsid wsp:val=&quot;74510D7A&quot;/&gt;&lt;wsp:rsid wsp:val=&quot;745148D6&quot;/&gt;&lt;wsp:rsid wsp:val=&quot;7452571B&quot;/&gt;&lt;wsp:rsid wsp:val=&quot;74534AF2&quot;/&gt;&lt;wsp:rsid wsp:val=&quot;74546174&quot;/&gt;&lt;wsp:rsid wsp:val=&quot;74555AF6&quot;/&gt;&lt;wsp:rsid wsp:val=&quot;7456013E&quot;/&gt;&lt;wsp:rsid wsp:val=&quot;74575C64&quot;/&gt;&lt;wsp:rsid wsp:val=&quot;745A5E80&quot;/&gt;&lt;wsp:rsid wsp:val=&quot;745A783C&quot;/&gt;&lt;wsp:rsid wsp:val=&quot;745B519B&quot;/&gt;&lt;wsp:rsid wsp:val=&quot;745D327B&quot;/&gt;&lt;wsp:rsid wsp:val=&quot;745D70B1&quot;/&gt;&lt;wsp:rsid wsp:val=&quot;745E268C&quot;/&gt;&lt;wsp:rsid wsp:val=&quot;745E3944&quot;/&gt;&lt;wsp:rsid wsp:val=&quot;74600FBD&quot;/&gt;&lt;wsp:rsid wsp:val=&quot;746152C5&quot;/&gt;&lt;wsp:rsid wsp:val=&quot;74620891&quot;/&gt;&lt;wsp:rsid wsp:val=&quot;74630446&quot;/&gt;&lt;wsp:rsid wsp:val=&quot;7463285B&quot;/&gt;&lt;wsp:rsid wsp:val=&quot;74633F76&quot;/&gt;&lt;wsp:rsid wsp:val=&quot;74634609&quot;/&gt;&lt;wsp:rsid wsp:val=&quot;74642945&quot;/&gt;&lt;wsp:rsid wsp:val=&quot;7464622B&quot;/&gt;&lt;wsp:rsid wsp:val=&quot;74650381&quot;/&gt;&lt;wsp:rsid wsp:val=&quot;74654825&quot;/&gt;&lt;wsp:rsid wsp:val=&quot;74685BFA&quot;/&gt;&lt;wsp:rsid wsp:val=&quot;74687E72&quot;/&gt;&lt;wsp:rsid wsp:val=&quot;746A1E3C&quot;/&gt;&lt;wsp:rsid wsp:val=&quot;746B4C90&quot;/&gt;&lt;wsp:rsid wsp:val=&quot;746C6120&quot;/&gt;&lt;wsp:rsid wsp:val=&quot;746F2FAE&quot;/&gt;&lt;wsp:rsid wsp:val=&quot;74704AA1&quot;/&gt;&lt;wsp:rsid wsp:val=&quot;747131CA&quot;/&gt;&lt;wsp:rsid wsp:val=&quot;74733422&quot;/&gt;&lt;wsp:rsid wsp:val=&quot;74744A68&quot;/&gt;&lt;wsp:rsid wsp:val=&quot;7476258E&quot;/&gt;&lt;wsp:rsid wsp:val=&quot;74795BDB&quot;/&gt;&lt;wsp:rsid wsp:val=&quot;747B1953&quot;/&gt;&lt;wsp:rsid wsp:val=&quot;747B5DF7&quot;/&gt;&lt;wsp:rsid wsp:val=&quot;747B7BA5&quot;/&gt;&lt;wsp:rsid wsp:val=&quot;747F1338&quot;/&gt;&lt;wsp:rsid wsp:val=&quot;747F19C5&quot;/&gt;&lt;wsp:rsid wsp:val=&quot;747F7695&quot;/&gt;&lt;wsp:rsid wsp:val=&quot;74827185&quot;/&gt;&lt;wsp:rsid wsp:val=&quot;74836CEA&quot;/&gt;&lt;wsp:rsid wsp:val=&quot;748A603A&quot;/&gt;&lt;wsp:rsid wsp:val=&quot;748C0004&quot;/&gt;&lt;wsp:rsid wsp:val=&quot;748C1DB2&quot;/&gt;&lt;wsp:rsid wsp:val=&quot;748C590E&quot;/&gt;&lt;wsp:rsid wsp:val=&quot;748D1686&quot;/&gt;&lt;wsp:rsid wsp:val=&quot;748D6B9A&quot;/&gt;&lt;wsp:rsid wsp:val=&quot;748E78D8&quot;/&gt;&lt;wsp:rsid wsp:val=&quot;748F3650&quot;/&gt;&lt;wsp:rsid wsp:val=&quot;748F53FE&quot;/&gt;&lt;wsp:rsid wsp:val=&quot;749018A2&quot;/&gt;&lt;wsp:rsid wsp:val=&quot;74933360&quot;/&gt;&lt;wsp:rsid wsp:val=&quot;74934EEE&quot;/&gt;&lt;wsp:rsid wsp:val=&quot;74936C9D&quot;/&gt;&lt;wsp:rsid wsp:val=&quot;749649DF&quot;/&gt;&lt;wsp:rsid wsp:val=&quot;749768DC&quot;/&gt;&lt;wsp:rsid wsp:val=&quot;749869A9&quot;/&gt;&lt;wsp:rsid wsp:val=&quot;74993231&quot;/&gt;&lt;wsp:rsid wsp:val=&quot;7499378D&quot;/&gt;&lt;wsp:rsid wsp:val=&quot;749953DF&quot;/&gt;&lt;wsp:rsid wsp:val=&quot;749B1FF5&quot;/&gt;&lt;wsp:rsid wsp:val=&quot;749C3ABE&quot;/&gt;&lt;wsp:rsid wsp:val=&quot;749D6D74&quot;/&gt;&lt;wsp:rsid wsp:val=&quot;749E52B8&quot;/&gt;&lt;wsp:rsid wsp:val=&quot;74A0243F&quot;/&gt;&lt;wsp:rsid wsp:val=&quot;74A0585D&quot;/&gt;&lt;wsp:rsid wsp:val=&quot;74A11815&quot;/&gt;&lt;wsp:rsid wsp:val=&quot;74A23383&quot;/&gt;&lt;wsp:rsid wsp:val=&quot;74A470FC&quot;/&gt;&lt;wsp:rsid wsp:val=&quot;74A54E21&quot;/&gt;&lt;wsp:rsid wsp:val=&quot;74A72748&quot;/&gt;&lt;wsp:rsid wsp:val=&quot;74A733CB&quot;/&gt;&lt;wsp:rsid wsp:val=&quot;74A94712&quot;/&gt;&lt;wsp:rsid wsp:val=&quot;74A964C0&quot;/&gt;&lt;wsp:rsid wsp:val=&quot;74A96BA0&quot;/&gt;&lt;wsp:rsid wsp:val=&quot;74AA048A&quot;/&gt;&lt;wsp:rsid wsp:val=&quot;74AA2238&quot;/&gt;&lt;wsp:rsid wsp:val=&quot;74AC5FB0&quot;/&gt;&lt;wsp:rsid wsp:val=&quot;74AE3AD6&quot;/&gt;&lt;wsp:rsid wsp:val=&quot;74AE7F7A&quot;/&gt;&lt;wsp:rsid wsp:val=&quot;74AF784E&quot;/&gt;&lt;wsp:rsid wsp:val=&quot;74B113E2&quot;/&gt;&lt;wsp:rsid wsp:val=&quot;74B11819&quot;/&gt;&lt;wsp:rsid wsp:val=&quot;74B135C7&quot;/&gt;&lt;wsp:rsid wsp:val=&quot;74B36359&quot;/&gt;&lt;wsp:rsid wsp:val=&quot;74B530B7&quot;/&gt;&lt;wsp:rsid wsp:val=&quot;74B60BDD&quot;/&gt;&lt;wsp:rsid wsp:val=&quot;74B65081&quot;/&gt;&lt;wsp:rsid wsp:val=&quot;74B82BA7&quot;/&gt;&lt;wsp:rsid wsp:val=&quot;74B86703&quot;/&gt;&lt;wsp:rsid wsp:val=&quot;74BA79C2&quot;/&gt;&lt;wsp:rsid wsp:val=&quot;74BD0CA9&quot;/&gt;&lt;wsp:rsid wsp:val=&quot;74C14349&quot;/&gt;&lt;wsp:rsid wsp:val=&quot;74C34940&quot;/&gt;&lt;wsp:rsid wsp:val=&quot;74C36C69&quot;/&gt;&lt;wsp:rsid wsp:val=&quot;74C4154C&quot;/&gt;&lt;wsp:rsid wsp:val=&quot;74C50E20&quot;/&gt;&lt;wsp:rsid wsp:val=&quot;74C60F3B&quot;/&gt;&lt;wsp:rsid wsp:val=&quot;74C652C4&quot;/&gt;&lt;wsp:rsid wsp:val=&quot;74C96B62&quot;/&gt;&lt;wsp:rsid wsp:val=&quot;74CA6436&quot;/&gt;&lt;wsp:rsid wsp:val=&quot;74CB28DA&quot;/&gt;&lt;wsp:rsid wsp:val=&quot;74CC0400&quot;/&gt;&lt;wsp:rsid wsp:val=&quot;74CF694D&quot;/&gt;&lt;wsp:rsid wsp:val=&quot;74D07EF1&quot;/&gt;&lt;wsp:rsid wsp:val=&quot;74D15A17&quot;/&gt;&lt;wsp:rsid wsp:val=&quot;74D379E1&quot;/&gt;&lt;wsp:rsid wsp:val=&quot;74D55D60&quot;/&gt;&lt;wsp:rsid wsp:val=&quot;74D6127F&quot;/&gt;&lt;wsp:rsid wsp:val=&quot;74D6302D&quot;/&gt;&lt;wsp:rsid wsp:val=&quot;74D774D1&quot;/&gt;&lt;wsp:rsid wsp:val=&quot;74D80B53&quot;/&gt;&lt;wsp:rsid wsp:val=&quot;74D81140&quot;/&gt;&lt;wsp:rsid wsp:val=&quot;74DA0D6F&quot;/&gt;&lt;wsp:rsid wsp:val=&quot;74DA28B2&quot;/&gt;&lt;wsp:rsid wsp:val=&quot;74DB0C05&quot;/&gt;&lt;wsp:rsid wsp:val=&quot;74DB4EF0&quot;/&gt;&lt;wsp:rsid wsp:val=&quot;74DD43BC&quot;/&gt;&lt;wsp:rsid wsp:val=&quot;74DF0134&quot;/&gt;&lt;wsp:rsid wsp:val=&quot;74E22266&quot;/&gt;&lt;wsp:rsid wsp:val=&quot;74E25E76&quot;/&gt;&lt;wsp:rsid wsp:val=&quot;74E306DE&quot;/&gt;&lt;wsp:rsid wsp:val=&quot;74E4399C&quot;/&gt;&lt;wsp:rsid wsp:val=&quot;74E4513F&quot;/&gt;&lt;wsp:rsid wsp:val=&quot;74E474F8&quot;/&gt;&lt;wsp:rsid wsp:val=&quot;74E7348C&quot;/&gt;&lt;wsp:rsid wsp:val=&quot;74EB49E5&quot;/&gt;&lt;wsp:rsid wsp:val=&quot;74EB6AD9&quot;/&gt;&lt;wsp:rsid wsp:val=&quot;74EC0AA3&quot;/&gt;&lt;wsp:rsid wsp:val=&quot;74EC45FF&quot;/&gt;&lt;wsp:rsid wsp:val=&quot;74EE0377&quot;/&gt;&lt;wsp:rsid wsp:val=&quot;74F00559&quot;/&gt;&lt;wsp:rsid wsp:val=&quot;74F00593&quot;/&gt;&lt;wsp:rsid wsp:val=&quot;74F040EF&quot;/&gt;&lt;wsp:rsid wsp:val=&quot;74F14380&quot;/&gt;&lt;wsp:rsid wsp:val=&quot;74F31E31&quot;/&gt;&lt;wsp:rsid wsp:val=&quot;74F51DA9&quot;/&gt;&lt;wsp:rsid wsp:val=&quot;74F55BA9&quot;/&gt;&lt;wsp:rsid wsp:val=&quot;74F646C9&quot;/&gt;&lt;wsp:rsid wsp:val=&quot;74F6547D&quot;/&gt;&lt;wsp:rsid wsp:val=&quot;74F6722B&quot;/&gt;&lt;wsp:rsid wsp:val=&quot;74F80D0C&quot;/&gt;&lt;wsp:rsid wsp:val=&quot;74F811F5&quot;/&gt;&lt;wsp:rsid wsp:val=&quot;74FC0CE6&quot;/&gt;&lt;wsp:rsid wsp:val=&quot;74FC3A90&quot;/&gt;&lt;wsp:rsid wsp:val=&quot;74FD4A5E&quot;/&gt;&lt;wsp:rsid wsp:val=&quot;74FD680C&quot;/&gt;&lt;wsp:rsid wsp:val=&quot;74FE028A&quot;/&gt;&lt;wsp:rsid wsp:val=&quot;74FF4332&quot;/&gt;&lt;wsp:rsid wsp:val=&quot;7501034C&quot;/&gt;&lt;wsp:rsid wsp:val=&quot;750162FC&quot;/&gt;&lt;wsp:rsid wsp:val=&quot;75022074&quot;/&gt;&lt;wsp:rsid wsp:val=&quot;75030E0A&quot;/&gt;&lt;wsp:rsid wsp:val=&quot;75041019&quot;/&gt;&lt;wsp:rsid wsp:val=&quot;75047B9A&quot;/&gt;&lt;wsp:rsid wsp:val=&quot;750510BE&quot;/&gt;&lt;wsp:rsid wsp:val=&quot;750556C0&quot;/&gt;&lt;wsp:rsid wsp:val=&quot;750577C9&quot;/&gt;&lt;wsp:rsid wsp:val=&quot;75071439&quot;/&gt;&lt;wsp:rsid wsp:val=&quot;7508401D&quot;/&gt;&lt;wsp:rsid wsp:val=&quot;750951B1&quot;/&gt;&lt;wsp:rsid wsp:val=&quot;750B533F&quot;/&gt;&lt;wsp:rsid wsp:val=&quot;750B717B&quot;/&gt;&lt;wsp:rsid wsp:val=&quot;750D2EF3&quot;/&gt;&lt;wsp:rsid wsp:val=&quot;751112D1&quot;/&gt;&lt;wsp:rsid wsp:val=&quot;751122B7&quot;/&gt;&lt;wsp:rsid wsp:val=&quot;751270DE&quot;/&gt;&lt;wsp:rsid wsp:val=&quot;75157FF9&quot;/&gt;&lt;wsp:rsid wsp:val=&quot;751604C4&quot;/&gt;&lt;wsp:rsid wsp:val=&quot;751741F7&quot;/&gt;&lt;wsp:rsid wsp:val=&quot;7518395C&quot;/&gt;&lt;wsp:rsid wsp:val=&quot;75187339&quot;/&gt;&lt;wsp:rsid wsp:val=&quot;751A116C&quot;/&gt;&lt;wsp:rsid wsp:val=&quot;751A73BE&quot;/&gt;&lt;wsp:rsid wsp:val=&quot;751B4EE4&quot;/&gt;&lt;wsp:rsid wsp:val=&quot;751C3136&quot;/&gt;&lt;wsp:rsid wsp:val=&quot;751D0C5C&quot;/&gt;&lt;wsp:rsid wsp:val=&quot;751D2A0A&quot;/&gt;&lt;wsp:rsid wsp:val=&quot;751D6EAE&quot;/&gt;&lt;wsp:rsid wsp:val=&quot;751F6782&quot;/&gt;&lt;wsp:rsid wsp:val=&quot;75220020&quot;/&gt;&lt;wsp:rsid wsp:val=&quot;75243D99&quot;/&gt;&lt;wsp:rsid wsp:val=&quot;75263EB1&quot;/&gt;&lt;wsp:rsid wsp:val=&quot;75264D66&quot;/&gt;&lt;wsp:rsid wsp:val=&quot;75267B11&quot;/&gt;&lt;wsp:rsid wsp:val=&quot;75271ADB&quot;/&gt;&lt;wsp:rsid wsp:val=&quot;75273889&quot;/&gt;&lt;wsp:rsid wsp:val=&quot;75287970&quot;/&gt;&lt;wsp:rsid wsp:val=&quot;752C70F1&quot;/&gt;&lt;wsp:rsid wsp:val=&quot;752C7656&quot;/&gt;&lt;wsp:rsid wsp:val=&quot;752E10BB&quot;/&gt;&lt;wsp:rsid wsp:val=&quot;752E4C17&quot;/&gt;&lt;wsp:rsid wsp:val=&quot;752F1D11&quot;/&gt;&lt;wsp:rsid wsp:val=&quot;75322959&quot;/&gt;&lt;wsp:rsid wsp:val=&quot;7533222E&quot;/&gt;&lt;wsp:rsid wsp:val=&quot;75355AFA&quot;/&gt;&lt;wsp:rsid wsp:val=&quot;75355FA6&quot;/&gt;&lt;wsp:rsid wsp:val=&quot;75361B5B&quot;/&gt;&lt;wsp:rsid wsp:val=&quot;75371D1E&quot;/&gt;&lt;wsp:rsid wsp:val=&quot;753A180E&quot;/&gt;&lt;wsp:rsid wsp:val=&quot;753A7A60&quot;/&gt;&lt;wsp:rsid wsp:val=&quot;753B10E2&quot;/&gt;&lt;wsp:rsid wsp:val=&quot;753F0BD2&quot;/&gt;&lt;wsp:rsid wsp:val=&quot;753F4E8F&quot;/&gt;&lt;wsp:rsid wsp:val=&quot;753F5076&quot;/&gt;&lt;wsp:rsid wsp:val=&quot;7541494A&quot;/&gt;&lt;wsp:rsid wsp:val=&quot;7542070D&quot;/&gt;&lt;wsp:rsid wsp:val=&quot;75436915&quot;/&gt;&lt;wsp:rsid wsp:val=&quot;7544443B&quot;/&gt;&lt;wsp:rsid wsp:val=&quot;75472AE0&quot;/&gt;&lt;wsp:rsid wsp:val=&quot;75475CD9&quot;/&gt;&lt;wsp:rsid wsp:val=&quot;75477F0F&quot;/&gt;&lt;wsp:rsid wsp:val=&quot;75491A51&quot;/&gt;&lt;wsp:rsid wsp:val=&quot;754B3A1B&quot;/&gt;&lt;wsp:rsid wsp:val=&quot;754B57C9&quot;/&gt;&lt;wsp:rsid wsp:val=&quot;754B57CB&quot;/&gt;&lt;wsp:rsid wsp:val=&quot;754D1541&quot;/&gt;&lt;wsp:rsid wsp:val=&quot;754D6952&quot;/&gt;&lt;wsp:rsid wsp:val=&quot;754D7793&quot;/&gt;&lt;wsp:rsid wsp:val=&quot;754E350B&quot;/&gt;&lt;wsp:rsid wsp:val=&quot;754E52B9&quot;/&gt;&lt;wsp:rsid wsp:val=&quot;754E7067&quot;/&gt;&lt;wsp:rsid wsp:val=&quot;75504B8E&quot;/&gt;&lt;wsp:rsid wsp:val=&quot;755303BA&quot;/&gt;&lt;wsp:rsid wsp:val=&quot;75543C54&quot;/&gt;&lt;wsp:rsid wsp:val=&quot;75543E9D&quot;/&gt;&lt;wsp:rsid wsp:val=&quot;75550D6B&quot;/&gt;&lt;wsp:rsid wsp:val=&quot;75581C94&quot;/&gt;&lt;wsp:rsid wsp:val=&quot;755A1EB0&quot;/&gt;&lt;wsp:rsid wsp:val=&quot;755C79D6&quot;/&gt;&lt;wsp:rsid wsp:val=&quot;755D54FC&quot;/&gt;&lt;wsp:rsid wsp:val=&quot;755E374E&quot;/&gt;&lt;wsp:rsid wsp:val=&quot;755F1275&quot;/&gt;&lt;wsp:rsid wsp:val=&quot;75630D65&quot;/&gt;&lt;wsp:rsid wsp:val=&quot;75660B34&quot;/&gt;&lt;wsp:rsid wsp:val=&quot;75662603&quot;/&gt;&lt;wsp:rsid wsp:val=&quot;756643B1&quot;/&gt;&lt;wsp:rsid wsp:val=&quot;75680129&quot;/&gt;&lt;wsp:rsid wsp:val=&quot;75687F5F&quot;/&gt;&lt;wsp:rsid wsp:val=&quot;75695C4F&quot;/&gt;&lt;wsp:rsid wsp:val=&quot;756A6E80&quot;/&gt;&lt;wsp:rsid wsp:val=&quot;756B7C19&quot;/&gt;&lt;wsp:rsid wsp:val=&quot;756D1BE3&quot;/&gt;&lt;wsp:rsid wsp:val=&quot;756F1F12&quot;/&gt;&lt;wsp:rsid wsp:val=&quot;75701CEC&quot;/&gt;&lt;wsp:rsid wsp:val=&quot;75706FDE&quot;/&gt;&lt;wsp:rsid wsp:val=&quot;75713D43&quot;/&gt;&lt;wsp:rsid wsp:val=&quot;757312B7&quot;/&gt;&lt;wsp:rsid wsp:val=&quot;75750A98&quot;/&gt;&lt;wsp:rsid wsp:val=&quot;757545F4&quot;/&gt;&lt;wsp:rsid wsp:val=&quot;75792336&quot;/&gt;&lt;wsp:rsid wsp:val=&quot;757C1BE0&quot;/&gt;&lt;wsp:rsid wsp:val=&quot;757D281F&quot;/&gt;&lt;wsp:rsid wsp:val=&quot;75840CDB&quot;/&gt;&lt;wsp:rsid wsp:val=&quot;75852311&quot;/&gt;&lt;wsp:rsid wsp:val=&quot;758560D5&quot;/&gt;&lt;wsp:rsid wsp:val=&quot;75863566&quot;/&gt;&lt;wsp:rsid wsp:val=&quot;75864A53&quot;/&gt;&lt;wsp:rsid wsp:val=&quot;75874327&quot;/&gt;&lt;wsp:rsid wsp:val=&quot;75894543&quot;/&gt;&lt;wsp:rsid wsp:val=&quot;758B3E18&quot;/&gt;&lt;wsp:rsid wsp:val=&quot;758D193E&quot;/&gt;&lt;wsp:rsid wsp:val=&quot;758D5DE2&quot;/&gt;&lt;wsp:rsid wsp:val=&quot;758D7B90&quot;/&gt;&lt;wsp:rsid wsp:val=&quot;75932CCC&quot;/&gt;&lt;wsp:rsid wsp:val=&quot;75952577&quot;/&gt;&lt;wsp:rsid wsp:val=&quot;75952EE8&quot;/&gt;&lt;wsp:rsid wsp:val=&quot;75994786&quot;/&gt;&lt;wsp:rsid wsp:val=&quot;759A22AD&quot;/&gt;&lt;wsp:rsid wsp:val=&quot;759A405B&quot;/&gt;&lt;wsp:rsid wsp:val=&quot;75A105B2&quot;/&gt;&lt;wsp:rsid wsp:val=&quot;75A1363B&quot;/&gt;&lt;wsp:rsid wsp:val=&quot;75A31161&quot;/&gt;&lt;wsp:rsid wsp:val=&quot;75A44ED9&quot;/&gt;&lt;wsp:rsid wsp:val=&quot;75A60C51&quot;/&gt;&lt;wsp:rsid wsp:val=&quot;75A86778&quot;/&gt;&lt;wsp:rsid wsp:val=&quot;75A94E00&quot;/&gt;&lt;wsp:rsid wsp:val=&quot;75AA195E&quot;/&gt;&lt;wsp:rsid wsp:val=&quot;75AA6994&quot;/&gt;&lt;wsp:rsid wsp:val=&quot;75AC3D19&quot;/&gt;&lt;wsp:rsid wsp:val=&quot;75AD3D8E&quot;/&gt;&lt;wsp:rsid wsp:val=&quot;75AF3FAA&quot;/&gt;&lt;wsp:rsid wsp:val=&quot;75AF5D58&quot;/&gt;&lt;wsp:rsid wsp:val=&quot;75B07D22&quot;/&gt;&lt;wsp:rsid wsp:val=&quot;75B415C0&quot;/&gt;&lt;wsp:rsid wsp:val=&quot;75B50E95&quot;/&gt;&lt;wsp:rsid wsp:val=&quot;75B74C0D&quot;/&gt;&lt;wsp:rsid wsp:val=&quot;75B86623&quot;/&gt;&lt;wsp:rsid wsp:val=&quot;75B90653&quot;/&gt;&lt;wsp:rsid wsp:val=&quot;75B94E29&quot;/&gt;&lt;wsp:rsid wsp:val=&quot;75B95A33&quot;/&gt;&lt;wsp:rsid wsp:val=&quot;75BA294F&quot;/&gt;&lt;wsp:rsid wsp:val=&quot;75BE0042&quot;/&gt;&lt;wsp:rsid wsp:val=&quot;75BE41ED&quot;/&gt;&lt;wsp:rsid wsp:val=&quot;75BF3AC1&quot;/&gt;&lt;wsp:rsid wsp:val=&quot;75BF7F65&quot;/&gt;&lt;wsp:rsid wsp:val=&quot;75C13CDD&quot;/&gt;&lt;wsp:rsid wsp:val=&quot;75C31803&quot;/&gt;&lt;wsp:rsid wsp:val=&quot;75C537CD&quot;/&gt;&lt;wsp:rsid wsp:val=&quot;75C567D4&quot;/&gt;&lt;wsp:rsid wsp:val=&quot;75C630A2&quot;/&gt;&lt;wsp:rsid wsp:val=&quot;75C64E50&quot;/&gt;&lt;wsp:rsid wsp:val=&quot;75C80BC8&quot;/&gt;&lt;wsp:rsid wsp:val=&quot;75C86896&quot;/&gt;&lt;wsp:rsid wsp:val=&quot;75C97D26&quot;/&gt;&lt;wsp:rsid wsp:val=&quot;75CA0DE4&quot;/&gt;&lt;wsp:rsid wsp:val=&quot;75CB06B8&quot;/&gt;&lt;wsp:rsid wsp:val=&quot;75CC3AD6&quot;/&gt;&lt;wsp:rsid wsp:val=&quot;75D164B8&quot;/&gt;&lt;wsp:rsid wsp:val=&quot;75D21089&quot;/&gt;&lt;wsp:rsid wsp:val=&quot;75D457BF&quot;/&gt;&lt;wsp:rsid wsp:val=&quot;75D532E5&quot;/&gt;&lt;wsp:rsid wsp:val=&quot;75D94B83&quot;/&gt;&lt;wsp:rsid wsp:val=&quot;75DC0B17&quot;/&gt;&lt;wsp:rsid wsp:val=&quot;75DC28C5&quot;/&gt;&lt;wsp:rsid wsp:val=&quot;75DC4673&quot;/&gt;&lt;wsp:rsid wsp:val=&quot;75DF5F11&quot;/&gt;&lt;wsp:rsid wsp:val=&quot;75E23522&quot;/&gt;&lt;wsp:rsid wsp:val=&quot;75E2636A&quot;/&gt;&lt;wsp:rsid wsp:val=&quot;75E31EA6&quot;/&gt;&lt;wsp:rsid wsp:val=&quot;75E369BA&quot;/&gt;&lt;wsp:rsid wsp:val=&quot;75E53827&quot;/&gt;&lt;wsp:rsid wsp:val=&quot;75E643DE&quot;/&gt;&lt;wsp:rsid wsp:val=&quot;75E83018&quot;/&gt;&lt;wsp:rsid wsp:val=&quot;75EA4FE2&quot;/&gt;&lt;wsp:rsid wsp:val=&quot;75EB0D5A&quot;/&gt;&lt;wsp:rsid wsp:val=&quot;75EB0E21&quot;/&gt;&lt;wsp:rsid wsp:val=&quot;75ED09A5&quot;/&gt;&lt;wsp:rsid wsp:val=&quot;75ED6880&quot;/&gt;&lt;wsp:rsid wsp:val=&quot;75F145C2&quot;/&gt;&lt;wsp:rsid wsp:val=&quot;75F220E9&quot;/&gt;&lt;wsp:rsid wsp:val=&quot;75F23243&quot;/&gt;&lt;wsp:rsid wsp:val=&quot;75F255FC&quot;/&gt;&lt;wsp:rsid wsp:val=&quot;75F45E61&quot;/&gt;&lt;wsp:rsid wsp:val=&quot;75F54172&quot;/&gt;&lt;wsp:rsid wsp:val=&quot;75F55735&quot;/&gt;&lt;wsp:rsid wsp:val=&quot;75F714AD&quot;/&gt;&lt;wsp:rsid wsp:val=&quot;75F75951&quot;/&gt;&lt;wsp:rsid wsp:val=&quot;75F95225&quot;/&gt;&lt;wsp:rsid wsp:val=&quot;75FB10A4&quot;/&gt;&lt;wsp:rsid wsp:val=&quot;75FC370E&quot;/&gt;&lt;wsp:rsid wsp:val=&quot;75FD3C08&quot;/&gt;&lt;wsp:rsid wsp:val=&quot;75FE0A8D&quot;/&gt;&lt;wsp:rsid wsp:val=&quot;75FE45EA&quot;/&gt;&lt;wsp:rsid wsp:val=&quot;75FF0362&quot;/&gt;&lt;wsp:rsid wsp:val=&quot;75FF1FC7&quot;/&gt;&lt;wsp:rsid wsp:val=&quot;760000A9&quot;/&gt;&lt;wsp:rsid wsp:val=&quot;760029C6&quot;/&gt;&lt;wsp:rsid wsp:val=&quot;76004806&quot;/&gt;&lt;wsp:rsid wsp:val=&quot;7601232C&quot;/&gt;&lt;wsp:rsid wsp:val=&quot;760140DA&quot;/&gt;&lt;wsp:rsid wsp:val=&quot;76031347&quot;/&gt;&lt;wsp:rsid wsp:val=&quot;76037E52&quot;/&gt;&lt;wsp:rsid wsp:val=&quot;76044EB6&quot;/&gt;&lt;wsp:rsid wsp:val=&quot;76051E1C&quot;/&gt;&lt;wsp:rsid wsp:val=&quot;76067942&quot;/&gt;&lt;wsp:rsid wsp:val=&quot;76074262&quot;/&gt;&lt;wsp:rsid wsp:val=&quot;76081158&quot;/&gt;&lt;wsp:rsid wsp:val=&quot;7608190C&quot;/&gt;&lt;wsp:rsid wsp:val=&quot;76097EA0&quot;/&gt;&lt;wsp:rsid wsp:val=&quot;760A106F&quot;/&gt;&lt;wsp:rsid wsp:val=&quot;760A7AED&quot;/&gt;&lt;wsp:rsid wsp:val=&quot;760C31AA&quot;/&gt;&lt;wsp:rsid wsp:val=&quot;760D0CD1&quot;/&gt;&lt;wsp:rsid wsp:val=&quot;760D2A7F&quot;/&gt;&lt;wsp:rsid wsp:val=&quot;761024BB&quot;/&gt;&lt;wsp:rsid wsp:val=&quot;7610256F&quot;/&gt;&lt;wsp:rsid wsp:val=&quot;76104C5D&quot;/&gt;&lt;wsp:rsid wsp:val=&quot;76121A56&quot;/&gt;&lt;wsp:rsid wsp:val=&quot;761262E7&quot;/&gt;&lt;wsp:rsid wsp:val=&quot;761407FA&quot;/&gt;&lt;wsp:rsid wsp:val=&quot;7614205F&quot;/&gt;&lt;wsp:rsid wsp:val=&quot;76143E0D&quot;/&gt;&lt;wsp:rsid wsp:val=&quot;76191423&quot;/&gt;&lt;wsp:rsid wsp:val=&quot;761958C7&quot;/&gt;&lt;wsp:rsid wsp:val=&quot;761B163F&quot;/&gt;&lt;wsp:rsid wsp:val=&quot;761E2EDE&quot;/&gt;&lt;wsp:rsid wsp:val=&quot;761E337E&quot;/&gt;&lt;wsp:rsid wsp:val=&quot;761E4C8C&quot;/&gt;&lt;wsp:rsid wsp:val=&quot;761E6A3A&quot;/&gt;&lt;wsp:rsid wsp:val=&quot;7621652A&quot;/&gt;&lt;wsp:rsid wsp:val=&quot;76235D60&quot;/&gt;&lt;wsp:rsid wsp:val=&quot;7625426C&quot;/&gt;&lt;wsp:rsid wsp:val=&quot;76261D92&quot;/&gt;&lt;wsp:rsid wsp:val=&quot;76263B40&quot;/&gt;&lt;wsp:rsid wsp:val=&quot;76277FE4&quot;/&gt;&lt;wsp:rsid wsp:val=&quot;76283D5C&quot;/&gt;&lt;wsp:rsid wsp:val=&quot;762878B8&quot;/&gt;&lt;wsp:rsid wsp:val=&quot;762A7AD4&quot;/&gt;&lt;wsp:rsid wsp:val=&quot;762B73A9&quot;/&gt;&lt;wsp:rsid wsp:val=&quot;762D4ECF&quot;/&gt;&lt;wsp:rsid wsp:val=&quot;763224E5&quot;/&gt;&lt;wsp:rsid wsp:val=&quot;763241CE&quot;/&gt;&lt;wsp:rsid wsp:val=&quot;763444AF&quot;/&gt;&lt;wsp:rsid wsp:val=&quot;7635099D&quot;/&gt;&lt;wsp:rsid wsp:val=&quot;763521BC&quot;/&gt;&lt;wsp:rsid wsp:val=&quot;76377AFB&quot;/&gt;&lt;wsp:rsid wsp:val=&quot;76391AC6&quot;/&gt;&lt;wsp:rsid wsp:val=&quot;76397D18&quot;/&gt;&lt;wsp:rsid wsp:val=&quot;763B30F9&quot;/&gt;&lt;wsp:rsid wsp:val=&quot;763B3A90&quot;/&gt;&lt;wsp:rsid wsp:val=&quot;763C6907&quot;/&gt;&lt;wsp:rsid wsp:val=&quot;76402AE9&quot;/&gt;&lt;wsp:rsid wsp:val=&quot;76404C02&quot;/&gt;&lt;wsp:rsid wsp:val=&quot;764346F2&quot;/&gt;&lt;wsp:rsid wsp:val=&quot;76452218&quot;/&gt;&lt;wsp:rsid wsp:val=&quot;76467CD1&quot;/&gt;&lt;wsp:rsid wsp:val=&quot;76481D09&quot;/&gt;&lt;wsp:rsid wsp:val=&quot;764861AD&quot;/&gt;&lt;wsp:rsid wsp:val=&quot;76495614&quot;/&gt;&lt;wsp:rsid wsp:val=&quot;764A3CD3&quot;/&gt;&lt;wsp:rsid wsp:val=&quot;764A539C&quot;/&gt;&lt;wsp:rsid wsp:val=&quot;764A5806&quot;/&gt;&lt;wsp:rsid wsp:val=&quot;764C7A4B&quot;/&gt;&lt;wsp:rsid wsp:val=&quot;764D5571&quot;/&gt;&lt;wsp:rsid wsp:val=&quot;764D788C&quot;/&gt;&lt;wsp:rsid wsp:val=&quot;764E0DBE&quot;/&gt;&lt;wsp:rsid wsp:val=&quot;76507140&quot;/&gt;&lt;wsp:rsid wsp:val=&quot;76524935&quot;/&gt;&lt;wsp:rsid wsp:val=&quot;765406AD&quot;/&gt;&lt;wsp:rsid wsp:val=&quot;76544B51&quot;/&gt;&lt;wsp:rsid wsp:val=&quot;76564426&quot;/&gt;&lt;wsp:rsid wsp:val=&quot;765661D4&quot;/&gt;&lt;wsp:rsid wsp:val=&quot;76571F4C&quot;/&gt;&lt;wsp:rsid wsp:val=&quot;765B7C8E&quot;/&gt;&lt;wsp:rsid wsp:val=&quot;765C7562&quot;/&gt;&lt;wsp:rsid wsp:val=&quot;766034F6&quot;/&gt;&lt;wsp:rsid wsp:val=&quot;766052A4&quot;/&gt;&lt;wsp:rsid wsp:val=&quot;7662101C&quot;/&gt;&lt;wsp:rsid wsp:val=&quot;76634D94&quot;/&gt;&lt;wsp:rsid wsp:val=&quot;76636B42&quot;/&gt;&lt;wsp:rsid wsp:val=&quot;76654669&quot;/&gt;&lt;wsp:rsid wsp:val=&quot;76676633&quot;/&gt;&lt;wsp:rsid wsp:val=&quot;76685F07&quot;/&gt;&lt;wsp:rsid wsp:val=&quot;766A1C7F&quot;/&gt;&lt;wsp:rsid wsp:val=&quot;766B44F7&quot;/&gt;&lt;wsp:rsid wsp:val=&quot;766D0D29&quot;/&gt;&lt;wsp:rsid wsp:val=&quot;766D6E76&quot;/&gt;&lt;wsp:rsid wsp:val=&quot;766D79C1&quot;/&gt;&lt;wsp:rsid wsp:val=&quot;7671125F&quot;/&gt;&lt;wsp:rsid wsp:val=&quot;76732AF1&quot;/&gt;&lt;wsp:rsid wsp:val=&quot;76746D49&quot;/&gt;&lt;wsp:rsid wsp:val=&quot;76760624&quot;/&gt;&lt;wsp:rsid wsp:val=&quot;76767F28&quot;/&gt;&lt;wsp:rsid wsp:val=&quot;76790114&quot;/&gt;&lt;wsp:rsid wsp:val=&quot;767945B8&quot;/&gt;&lt;wsp:rsid wsp:val=&quot;76796366&quot;/&gt;&lt;wsp:rsid wsp:val=&quot;767B404B&quot;/&gt;&lt;wsp:rsid wsp:val=&quot;767E1BCE&quot;/&gt;&lt;wsp:rsid wsp:val=&quot;767E572A&quot;/&gt;&lt;wsp:rsid wsp:val=&quot;767F3E5C&quot;/&gt;&lt;wsp:rsid wsp:val=&quot;76816FC9&quot;/&gt;&lt;wsp:rsid wsp:val=&quot;768216BE&quot;/&gt;&lt;wsp:rsid wsp:val=&quot;7682346D&quot;/&gt;&lt;wsp:rsid wsp:val=&quot;768371E5&quot;/&gt;&lt;wsp:rsid wsp:val=&quot;768702BE&quot;/&gt;&lt;wsp:rsid wsp:val=&quot;76870EAD&quot;/&gt;&lt;wsp:rsid wsp:val=&quot;76880F72&quot;/&gt;&lt;wsp:rsid wsp:val=&quot;768A40CF&quot;/&gt;&lt;wsp:rsid wsp:val=&quot;768B79D3&quot;/&gt;&lt;wsp:rsid wsp:val=&quot;768C42EB&quot;/&gt;&lt;wsp:rsid wsp:val=&quot;768C438A&quot;/&gt;&lt;wsp:rsid wsp:val=&quot;768E1E11&quot;/&gt;&lt;wsp:rsid wsp:val=&quot;76911902&quot;/&gt;&lt;wsp:rsid wsp:val=&quot;76914B30&quot;/&gt;&lt;wsp:rsid wsp:val=&quot;769431A0&quot;/&gt;&lt;wsp:rsid wsp:val=&quot;76944F4E&quot;/&gt;&lt;wsp:rsid wsp:val=&quot;76946CFC&quot;/&gt;&lt;wsp:rsid wsp:val=&quot;76960CC6&quot;/&gt;&lt;wsp:rsid wsp:val=&quot;76982C90&quot;/&gt;&lt;wsp:rsid wsp:val=&quot;76984A3E&quot;/&gt;&lt;wsp:rsid wsp:val=&quot;769B008A&quot;/&gt;&lt;wsp:rsid wsp:val=&quot;769D2054&quot;/&gt;&lt;wsp:rsid wsp:val=&quot;769D3E02&quot;/&gt;&lt;wsp:rsid wsp:val=&quot;769E04A2&quot;/&gt;&lt;wsp:rsid wsp:val=&quot;769E5DCD&quot;/&gt;&lt;wsp:rsid wsp:val=&quot;76A258BD&quot;/&gt;&lt;wsp:rsid wsp:val=&quot;76A2766B&quot;/&gt;&lt;wsp:rsid wsp:val=&quot;76A41635&quot;/&gt;&lt;wsp:rsid wsp:val=&quot;76A5715B&quot;/&gt;&lt;wsp:rsid wsp:val=&quot;76A71125&quot;/&gt;&lt;wsp:rsid wsp:val=&quot;76A827A7&quot;/&gt;&lt;wsp:rsid wsp:val=&quot;76AC2297&quot;/&gt;&lt;wsp:rsid wsp:val=&quot;76AC673B&quot;/&gt;&lt;wsp:rsid wsp:val=&quot;76AD6949&quot;/&gt;&lt;wsp:rsid wsp:val=&quot;76AD7DBE&quot;/&gt;&lt;wsp:rsid wsp:val=&quot;76AE4262&quot;/&gt;&lt;wsp:rsid wsp:val=&quot;76B000B8&quot;/&gt;&lt;wsp:rsid wsp:val=&quot;76B13D52&quot;/&gt;&lt;wsp:rsid wsp:val=&quot;76B255A9&quot;/&gt;&lt;wsp:rsid wsp:val=&quot;76B4114C&quot;/&gt;&lt;wsp:rsid wsp:val=&quot;76B80C3C&quot;/&gt;&lt;wsp:rsid wsp:val=&quot;76B94231&quot;/&gt;&lt;wsp:rsid wsp:val=&quot;76BC122C&quot;/&gt;&lt;wsp:rsid wsp:val=&quot;76BD44A5&quot;/&gt;&lt;wsp:rsid wsp:val=&quot;76BE0607&quot;/&gt;&lt;wsp:rsid wsp:val=&quot;76C05D43&quot;/&gt;&lt;wsp:rsid wsp:val=&quot;76C2363A&quot;/&gt;&lt;wsp:rsid wsp:val=&quot;76C23869&quot;/&gt;&lt;wsp:rsid wsp:val=&quot;76C515AB&quot;/&gt;&lt;wsp:rsid wsp:val=&quot;76C9109B&quot;/&gt;&lt;wsp:rsid wsp:val=&quot;76CA0970&quot;/&gt;&lt;wsp:rsid wsp:val=&quot;76CA4B18&quot;/&gt;&lt;wsp:rsid wsp:val=&quot;76CB5809&quot;/&gt;&lt;wsp:rsid wsp:val=&quot;76CC0092&quot;/&gt;&lt;wsp:rsid wsp:val=&quot;76CC293A&quot;/&gt;&lt;wsp:rsid wsp:val=&quot;76CE0460&quot;/&gt;&lt;wsp:rsid wsp:val=&quot;76CF41D8&quot;/&gt;&lt;wsp:rsid wsp:val=&quot;76D11CFE&quot;/&gt;&lt;wsp:rsid wsp:val=&quot;76D161A2&quot;/&gt;&lt;wsp:rsid wsp:val=&quot;76D17F50&quot;/&gt;&lt;wsp:rsid wsp:val=&quot;76D65566&quot;/&gt;&lt;wsp:rsid wsp:val=&quot;76D715EF&quot;/&gt;&lt;wsp:rsid wsp:val=&quot;76D75E34&quot;/&gt;&lt;wsp:rsid wsp:val=&quot;76D812DE&quot;/&gt;&lt;wsp:rsid wsp:val=&quot;76D966AC&quot;/&gt;&lt;wsp:rsid wsp:val=&quot;76DA32A9&quot;/&gt;&lt;wsp:rsid wsp:val=&quot;76DA5057&quot;/&gt;&lt;wsp:rsid wsp:val=&quot;76DB3351&quot;/&gt;&lt;wsp:rsid wsp:val=&quot;76DB492B&quot;/&gt;&lt;wsp:rsid wsp:val=&quot;76DD490E&quot;/&gt;&lt;wsp:rsid wsp:val=&quot;76DF7E71&quot;/&gt;&lt;wsp:rsid wsp:val=&quot;76E00193&quot;/&gt;&lt;wsp:rsid wsp:val=&quot;76E063E5&quot;/&gt;&lt;wsp:rsid wsp:val=&quot;76E11AB7&quot;/&gt;&lt;wsp:rsid wsp:val=&quot;76E47C83&quot;/&gt;&lt;wsp:rsid wsp:val=&quot;76E77774&quot;/&gt;&lt;wsp:rsid wsp:val=&quot;76E8192A&quot;/&gt;&lt;wsp:rsid wsp:val=&quot;76E86DB9&quot;/&gt;&lt;wsp:rsid wsp:val=&quot;76EB3463&quot;/&gt;&lt;wsp:rsid wsp:val=&quot;76EC08E6&quot;/&gt;&lt;wsp:rsid wsp:val=&quot;76EE19B1&quot;/&gt;&lt;wsp:rsid wsp:val=&quot;76EE28B0&quot;/&gt;&lt;wsp:rsid wsp:val=&quot;76EE465E&quot;/&gt;&lt;wsp:rsid wsp:val=&quot;76F1414E&quot;/&gt;&lt;wsp:rsid wsp:val=&quot;76F361BD&quot;/&gt;&lt;wsp:rsid wsp:val=&quot;76F61765&quot;/&gt;&lt;wsp:rsid wsp:val=&quot;76F679B7&quot;/&gt;&lt;wsp:rsid wsp:val=&quot;76F746AB&quot;/&gt;&lt;wsp:rsid wsp:val=&quot;76FA74A7&quot;/&gt;&lt;wsp:rsid wsp:val=&quot;770025E3&quot;/&gt;&lt;wsp:rsid wsp:val=&quot;7700798F&quot;/&gt;&lt;wsp:rsid wsp:val=&quot;77024AC0&quot;/&gt;&lt;wsp:rsid wsp:val=&quot;77040CFC&quot;/&gt;&lt;wsp:rsid wsp:val=&quot;770420D4&quot;/&gt;&lt;wsp:rsid wsp:val=&quot;770519A8&quot;/&gt;&lt;wsp:rsid wsp:val=&quot;77057BFA&quot;/&gt;&lt;wsp:rsid wsp:val=&quot;77062342&quot;/&gt;&lt;wsp:rsid wsp:val=&quot;7706409E&quot;/&gt;&lt;wsp:rsid wsp:val=&quot;77075720&quot;/&gt;&lt;wsp:rsid wsp:val=&quot;77091498&quot;/&gt;&lt;wsp:rsid wsp:val=&quot;77092404&quot;/&gt;&lt;wsp:rsid wsp:val=&quot;7709593C&quot;/&gt;&lt;wsp:rsid wsp:val=&quot;770B3462&quot;/&gt;&lt;wsp:rsid wsp:val=&quot;770C0F88&quot;/&gt;&lt;wsp:rsid wsp:val=&quot;770C2D36&quot;/&gt;&lt;wsp:rsid wsp:val=&quot;770C71DA&quot;/&gt;&lt;wsp:rsid wsp:val=&quot;770F2826&quot;/&gt;&lt;wsp:rsid wsp:val=&quot;77130569&quot;/&gt;&lt;wsp:rsid wsp:val=&quot;77132AC7&quot;/&gt;&lt;wsp:rsid wsp:val=&quot;77147E3D&quot;/&gt;&lt;wsp:rsid wsp:val=&quot;77155DD6&quot;/&gt;&lt;wsp:rsid wsp:val=&quot;77161E07&quot;/&gt;&lt;wsp:rsid wsp:val=&quot;77185B7F&quot;/&gt;&lt;wsp:rsid wsp:val=&quot;771A18F7&quot;/&gt;&lt;wsp:rsid wsp:val=&quot;771A36A5&quot;/&gt;&lt;wsp:rsid wsp:val=&quot;771B11CB&quot;/&gt;&lt;wsp:rsid wsp:val=&quot;771C5CA9&quot;/&gt;&lt;wsp:rsid wsp:val=&quot;771D3195&quot;/&gt;&lt;wsp:rsid wsp:val=&quot;771E7C80&quot;/&gt;&lt;wsp:rsid wsp:val=&quot;77205ABA&quot;/&gt;&lt;wsp:rsid wsp:val=&quot;772067E2&quot;/&gt;&lt;wsp:rsid wsp:val=&quot;772207AC&quot;/&gt;&lt;wsp:rsid wsp:val=&quot;772462D2&quot;/&gt;&lt;wsp:rsid wsp:val=&quot;7726029C&quot;/&gt;&lt;wsp:rsid wsp:val=&quot;772674A3&quot;/&gt;&lt;wsp:rsid wsp:val=&quot;77275DC2&quot;/&gt;&lt;wsp:rsid wsp:val=&quot;7728424C&quot;/&gt;&lt;wsp:rsid wsp:val=&quot;77290C39&quot;/&gt;&lt;wsp:rsid wsp:val=&quot;772A140E&quot;/&gt;&lt;wsp:rsid wsp:val=&quot;772B4CFB&quot;/&gt;&lt;wsp:rsid wsp:val=&quot;772C39B6&quot;/&gt;&lt;wsp:rsid wsp:val=&quot;772C5186&quot;/&gt;&lt;wsp:rsid wsp:val=&quot;772F3393&quot;/&gt;&lt;wsp:rsid wsp:val=&quot;772F6DE2&quot;/&gt;&lt;wsp:rsid wsp:val=&quot;77304C77&quot;/&gt;&lt;wsp:rsid wsp:val=&quot;77324E93&quot;/&gt;&lt;wsp:rsid wsp:val=&quot;77364257&quot;/&gt;&lt;wsp:rsid wsp:val=&quot;77366005&quot;/&gt;&lt;wsp:rsid wsp:val=&quot;773724A9&quot;/&gt;&lt;wsp:rsid wsp:val=&quot;77387FCF&quot;/&gt;&lt;wsp:rsid wsp:val=&quot;773A0D9F&quot;/&gt;&lt;wsp:rsid wsp:val=&quot;773A3D47&quot;/&gt;&lt;wsp:rsid wsp:val=&quot;773F1BDB&quot;/&gt;&lt;wsp:rsid wsp:val=&quot;77420E4E&quot;/&gt;&lt;wsp:rsid wsp:val=&quot;774249AA&quot;/&gt;&lt;wsp:rsid wsp:val=&quot;77440722&quot;/&gt;&lt;wsp:rsid wsp:val=&quot;774424D0&quot;/&gt;&lt;wsp:rsid wsp:val=&quot;77456248&quot;/&gt;&lt;wsp:rsid wsp:val=&quot;774A6156&quot;/&gt;&lt;wsp:rsid wsp:val=&quot;774D3A7A&quot;/&gt;&lt;wsp:rsid wsp:val=&quot;774E15A1&quot;/&gt;&lt;wsp:rsid wsp:val=&quot;774E334F&quot;/&gt;&lt;wsp:rsid wsp:val=&quot;774E77D5&quot;/&gt;&lt;wsp:rsid wsp:val=&quot;774E77F3&quot;/&gt;&lt;wsp:rsid wsp:val=&quot;77514BED&quot;/&gt;&lt;wsp:rsid wsp:val=&quot;77516680&quot;/&gt;&lt;wsp:rsid wsp:val=&quot;77530965&quot;/&gt;&lt;wsp:rsid wsp:val=&quot;775C1F10&quot;/&gt;&lt;wsp:rsid wsp:val=&quot;775C3CBE&quot;/&gt;&lt;wsp:rsid wsp:val=&quot;775E5C88&quot;/&gt;&lt;wsp:rsid wsp:val=&quot;77621424&quot;/&gt;&lt;wsp:rsid wsp:val=&quot;7762586D&quot;/&gt;&lt;wsp:rsid wsp:val=&quot;7763052D&quot;/&gt;&lt;wsp:rsid wsp:val=&quot;77640DC4&quot;/&gt;&lt;wsp:rsid wsp:val=&quot;77660698&quot;/&gt;&lt;wsp:rsid wsp:val=&quot;776606EA&quot;/&gt;&lt;wsp:rsid wsp:val=&quot;776668EA&quot;/&gt;&lt;wsp:rsid wsp:val=&quot;7767024F&quot;/&gt;&lt;wsp:rsid wsp:val=&quot;776963DA&quot;/&gt;&lt;wsp:rsid wsp:val=&quot;776B4E89&quot;/&gt;&lt;wsp:rsid wsp:val=&quot;776E39F1&quot;/&gt;&lt;wsp:rsid wsp:val=&quot;776E579F&quot;/&gt;&lt;wsp:rsid wsp:val=&quot;777059BB&quot;/&gt;&lt;wsp:rsid wsp:val=&quot;77721D03&quot;/&gt;&lt;wsp:rsid wsp:val=&quot;777234E1&quot;/&gt;&lt;wsp:rsid wsp:val=&quot;77725362&quot;/&gt;&lt;wsp:rsid wsp:val=&quot;77731007&quot;/&gt;&lt;wsp:rsid wsp:val=&quot;77741A85&quot;/&gt;&lt;wsp:rsid wsp:val=&quot;77755AC3&quot;/&gt;&lt;wsp:rsid wsp:val=&quot;77762421&quot;/&gt;&lt;wsp:rsid wsp:val=&quot;77784870&quot;/&gt;&lt;wsp:rsid wsp:val=&quot;7778661E&quot;/&gt;&lt;wsp:rsid wsp:val=&quot;777C4360&quot;/&gt;&lt;wsp:rsid wsp:val=&quot;777C7EBC&quot;/&gt;&lt;wsp:rsid wsp:val=&quot;777D1E86&quot;/&gt;&lt;wsp:rsid wsp:val=&quot;777D3BB6&quot;/&gt;&lt;wsp:rsid wsp:val=&quot;777D3C34&quot;/&gt;&lt;wsp:rsid wsp:val=&quot;77811976&quot;/&gt;&lt;wsp:rsid wsp:val=&quot;7783749C&quot;/&gt;&lt;wsp:rsid wsp:val=&quot;77843214&quot;/&gt;&lt;wsp:rsid wsp:val=&quot;77846D70&quot;/&gt;&lt;wsp:rsid wsp:val=&quot;77857096&quot;/&gt;&lt;wsp:rsid wsp:val=&quot;77860D3A&quot;/&gt;&lt;wsp:rsid wsp:val=&quot;77862AE9&quot;/&gt;&lt;wsp:rsid wsp:val=&quot;778637D8&quot;/&gt;&lt;wsp:rsid wsp:val=&quot;778A35E9&quot;/&gt;&lt;wsp:rsid wsp:val=&quot;778B45A3&quot;/&gt;&lt;wsp:rsid wsp:val=&quot;778C3E77&quot;/&gt;&lt;wsp:rsid wsp:val=&quot;778D20C9&quot;/&gt;&lt;wsp:rsid wsp:val=&quot;778E4093&quot;/&gt;&lt;wsp:rsid wsp:val=&quot;778E7BEF&quot;/&gt;&lt;wsp:rsid wsp:val=&quot;77905715&quot;/&gt;&lt;wsp:rsid wsp:val=&quot;77925931&quot;/&gt;&lt;wsp:rsid wsp:val=&quot;77926AE4&quot;/&gt;&lt;wsp:rsid wsp:val=&quot;77933457&quot;/&gt;&lt;wsp:rsid wsp:val=&quot;7793469B&quot;/&gt;&lt;wsp:rsid wsp:val=&quot;77935205&quot;/&gt;&lt;wsp:rsid wsp:val=&quot;77951E3D&quot;/&gt;&lt;wsp:rsid wsp:val=&quot;77955421&quot;/&gt;&lt;wsp:rsid wsp:val=&quot;77961B8C&quot;/&gt;&lt;wsp:rsid wsp:val=&quot;77996CC0&quot;/&gt;&lt;wsp:rsid wsp:val=&quot;779A47E6&quot;/&gt;&lt;wsp:rsid wsp:val=&quot;779A6594&quot;/&gt;&lt;wsp:rsid wsp:val=&quot;779B0572&quot;/&gt;&lt;wsp:rsid wsp:val=&quot;779B4CA4&quot;/&gt;&lt;wsp:rsid wsp:val=&quot;779D7E32&quot;/&gt;&lt;wsp:rsid wsp:val=&quot;779E726F&quot;/&gt;&lt;wsp:rsid wsp:val=&quot;77A03606&quot;/&gt;&lt;wsp:rsid wsp:val=&quot;77A1170C&quot;/&gt;&lt;wsp:rsid wsp:val=&quot;77A15B74&quot;/&gt;&lt;wsp:rsid wsp:val=&quot;77A17922&quot;/&gt;&lt;wsp:rsid wsp:val=&quot;77A46D61&quot;/&gt;&lt;wsp:rsid wsp:val=&quot;77A47413&quot;/&gt;&lt;wsp:rsid wsp:val=&quot;77A613DD&quot;/&gt;&lt;wsp:rsid wsp:val=&quot;77A7663E&quot;/&gt;&lt;wsp:rsid wsp:val=&quot;77A85155&quot;/&gt;&lt;wsp:rsid wsp:val=&quot;77A94A29&quot;/&gt;&lt;wsp:rsid wsp:val=&quot;77AC54F3&quot;/&gt;&lt;wsp:rsid wsp:val=&quot;77AD276B&quot;/&gt;&lt;wsp:rsid wsp:val=&quot;77AD4519&quot;/&gt;&lt;wsp:rsid wsp:val=&quot;77AE0291&quot;/&gt;&lt;wsp:rsid wsp:val=&quot;77AF64E3&quot;/&gt;&lt;wsp:rsid wsp:val=&quot;77B27D81&quot;/&gt;&lt;wsp:rsid wsp:val=&quot;77B51620&quot;/&gt;&lt;wsp:rsid wsp:val=&quot;77B533CE&quot;/&gt;&lt;wsp:rsid wsp:val=&quot;77B56B1F&quot;/&gt;&lt;wsp:rsid wsp:val=&quot;77B70EF4&quot;/&gt;&lt;wsp:rsid wsp:val=&quot;77B91110&quot;/&gt;&lt;wsp:rsid wsp:val=&quot;77B91A3C&quot;/&gt;&lt;wsp:rsid wsp:val=&quot;77BC475C&quot;/&gt;&lt;wsp:rsid wsp:val=&quot;77BF304D&quot;/&gt;&lt;wsp:rsid wsp:val=&quot;77BF5FFA&quot;/&gt;&lt;wsp:rsid wsp:val=&quot;77C10022&quot;/&gt;&lt;wsp:rsid wsp:val=&quot;77C16217&quot;/&gt;&lt;wsp:rsid wsp:val=&quot;77C523BF&quot;/&gt;&lt;wsp:rsid wsp:val=&quot;77C60C6B&quot;/&gt;&lt;wsp:rsid wsp:val=&quot;77C67389&quot;/&gt;&lt;wsp:rsid wsp:val=&quot;77C81353&quot;/&gt;&lt;wsp:rsid wsp:val=&quot;77C90C27&quot;/&gt;&lt;wsp:rsid wsp:val=&quot;77CA50CB&quot;/&gt;&lt;wsp:rsid wsp:val=&quot;77CB2BF1&quot;/&gt;&lt;wsp:rsid wsp:val=&quot;77CB499F&quot;/&gt;&lt;wsp:rsid wsp:val=&quot;77CD6969&quot;/&gt;&lt;wsp:rsid wsp:val=&quot;77CE623E&quot;/&gt;&lt;wsp:rsid wsp:val=&quot;77CF26E1&quot;/&gt;&lt;wsp:rsid wsp:val=&quot;77D01FB6&quot;/&gt;&lt;wsp:rsid wsp:val=&quot;77D21742&quot;/&gt;&lt;wsp:rsid wsp:val=&quot;77D37580&quot;/&gt;&lt;wsp:rsid wsp:val=&quot;77D45F4A&quot;/&gt;&lt;wsp:rsid wsp:val=&quot;77D5581E&quot;/&gt;&lt;wsp:rsid wsp:val=&quot;77D575CC&quot;/&gt;&lt;wsp:rsid wsp:val=&quot;77D870BC&quot;/&gt;&lt;wsp:rsid wsp:val=&quot;77D93560&quot;/&gt;&lt;wsp:rsid wsp:val=&quot;77DA1086&quot;/&gt;&lt;wsp:rsid wsp:val=&quot;77DA4BE2&quot;/&gt;&lt;wsp:rsid wsp:val=&quot;77DC095A&quot;/&gt;&lt;wsp:rsid wsp:val=&quot;77DD6EF2&quot;/&gt;&lt;wsp:rsid wsp:val=&quot;77DE12E7&quot;/&gt;&lt;wsp:rsid wsp:val=&quot;77DF044B&quot;/&gt;&lt;wsp:rsid wsp:val=&quot;77DF669D&quot;/&gt;&lt;wsp:rsid wsp:val=&quot;77E15F71&quot;/&gt;&lt;wsp:rsid wsp:val=&quot;77E31CE9&quot;/&gt;&lt;wsp:rsid wsp:val=&quot;77E51F05&quot;/&gt;&lt;wsp:rsid wsp:val=&quot;77E616E5&quot;/&gt;&lt;wsp:rsid wsp:val=&quot;77E81E45&quot;/&gt;&lt;wsp:rsid wsp:val=&quot;77E837A3&quot;/&gt;&lt;wsp:rsid wsp:val=&quot;77E84005&quot;/&gt;&lt;wsp:rsid wsp:val=&quot;77EA751B&quot;/&gt;&lt;wsp:rsid wsp:val=&quot;77EE6736&quot;/&gt;&lt;wsp:rsid wsp:val=&quot;77EF68E0&quot;/&gt;&lt;wsp:rsid wsp:val=&quot;77F04406&quot;/&gt;&lt;wsp:rsid wsp:val=&quot;77F17B5B&quot;/&gt;&lt;wsp:rsid wsp:val=&quot;77F2017E&quot;/&gt;&lt;wsp:rsid wsp:val=&quot;77F24622&quot;/&gt;&lt;wsp:rsid wsp:val=&quot;77F42148&quot;/&gt;&lt;wsp:rsid wsp:val=&quot;77F71C38&quot;/&gt;&lt;wsp:rsid wsp:val=&quot;77F739E6&quot;/&gt;&lt;wsp:rsid wsp:val=&quot;77F94095&quot;/&gt;&lt;wsp:rsid wsp:val=&quot;77F9775E&quot;/&gt;&lt;wsp:rsid wsp:val=&quot;77FA34D6&quot;/&gt;&lt;wsp:rsid wsp:val=&quot;77FC0D3A&quot;/&gt;&lt;wsp:rsid wsp:val=&quot;77FC2DAB&quot;/&gt;&lt;wsp:rsid wsp:val=&quot;77FC724F&quot;/&gt;&lt;wsp:rsid wsp:val=&quot;77FF289B&quot;/&gt;&lt;wsp:rsid wsp:val=&quot;7801371C&quot;/&gt;&lt;wsp:rsid wsp:val=&quot;78014F60&quot;/&gt;&lt;wsp:rsid wsp:val=&quot;780305DD&quot;/&gt;&lt;wsp:rsid wsp:val=&quot;78030C0D&quot;/&gt;&lt;wsp:rsid wsp:val=&quot;7804209D&quot;/&gt;&lt;wsp:rsid wsp:val=&quot;780600CD&quot;/&gt;&lt;wsp:rsid wsp:val=&quot;78063C29&quot;/&gt;&lt;wsp:rsid wsp:val=&quot;780954C8&quot;/&gt;&lt;wsp:rsid wsp:val=&quot;780A196C&quot;/&gt;&lt;wsp:rsid wsp:val=&quot;780B56E4&quot;/&gt;&lt;wsp:rsid wsp:val=&quot;780B7492&quot;/&gt;&lt;wsp:rsid wsp:val=&quot;780F09F4&quot;/&gt;&lt;wsp:rsid wsp:val=&quot;780F51E9&quot;/&gt;&lt;wsp:rsid wsp:val=&quot;781118C2&quot;/&gt;&lt;wsp:rsid wsp:val=&quot;78120820&quot;/&gt;&lt;wsp:rsid wsp:val=&quot;78126A72&quot;/&gt;&lt;wsp:rsid wsp:val=&quot;78153E6C&quot;/&gt;&lt;wsp:rsid wsp:val=&quot;78175E36&quot;/&gt;&lt;wsp:rsid wsp:val=&quot;78177BE5&quot;/&gt;&lt;wsp:rsid wsp:val=&quot;781850C6&quot;/&gt;&lt;wsp:rsid wsp:val=&quot;78185266&quot;/&gt;&lt;wsp:rsid wsp:val=&quot;78191BAF&quot;/&gt;&lt;wsp:rsid wsp:val=&quot;7819395D&quot;/&gt;&lt;wsp:rsid wsp:val=&quot;78197E01&quot;/&gt;&lt;wsp:rsid wsp:val=&quot;781A1483&quot;/&gt;&lt;wsp:rsid wsp:val=&quot;781C2EF4&quot;/&gt;&lt;wsp:rsid wsp:val=&quot;781C51FB&quot;/&gt;&lt;wsp:rsid wsp:val=&quot;781C6122&quot;/&gt;&lt;wsp:rsid wsp:val=&quot;781E0F73&quot;/&gt;&lt;wsp:rsid wsp:val=&quot;781E5814&quot;/&gt;&lt;wsp:rsid wsp:val=&quot;781F5F02&quot;/&gt;&lt;wsp:rsid wsp:val=&quot;78200914&quot;/&gt;&lt;wsp:rsid wsp:val=&quot;7820118F&quot;/&gt;&lt;wsp:rsid wsp:val=&quot;782347DB&quot;/&gt;&lt;wsp:rsid wsp:val=&quot;782567A5&quot;/&gt;&lt;wsp:rsid wsp:val=&quot;78267E28&quot;/&gt;&lt;wsp:rsid wsp:val=&quot;78280044&quot;/&gt;&lt;wsp:rsid wsp:val=&quot;78283BA0&quot;/&gt;&lt;wsp:rsid wsp:val=&quot;782A5B6A&quot;/&gt;&lt;wsp:rsid wsp:val=&quot;782B3690&quot;/&gt;&lt;wsp:rsid wsp:val=&quot;782B3824&quot;/&gt;&lt;wsp:rsid wsp:val=&quot;782B4FD1&quot;/&gt;&lt;wsp:rsid wsp:val=&quot;783267CC&quot;/&gt;&lt;wsp:rsid wsp:val=&quot;78340796&quot;/&gt;&lt;wsp:rsid wsp:val=&quot;78342545&quot;/&gt;&lt;wsp:rsid wsp:val=&quot;78370287&quot;/&gt;&lt;wsp:rsid wsp:val=&quot;78372035&quot;/&gt;&lt;wsp:rsid wsp:val=&quot;78393FFF&quot;/&gt;&lt;wsp:rsid wsp:val=&quot;78397B5B&quot;/&gt;&lt;wsp:rsid wsp:val=&quot;783B1B25&quot;/&gt;&lt;wsp:rsid wsp:val=&quot;783B7D77&quot;/&gt;&lt;wsp:rsid wsp:val=&quot;783E0C02&quot;/&gt;&lt;wsp:rsid wsp:val=&quot;783E1615&quot;/&gt;&lt;wsp:rsid wsp:val=&quot;7840538D&quot;/&gt;&lt;wsp:rsid wsp:val=&quot;78411105&quot;/&gt;&lt;wsp:rsid wsp:val=&quot;78412EB3&quot;/&gt;&lt;wsp:rsid wsp:val=&quot;78414C61&quot;/&gt;&lt;wsp:rsid wsp:val=&quot;7842246B&quot;/&gt;&lt;wsp:rsid wsp:val=&quot;78434E7D&quot;/&gt;&lt;wsp:rsid wsp:val=&quot;7844495E&quot;/&gt;&lt;wsp:rsid wsp:val=&quot;784529A4&quot;/&gt;&lt;wsp:rsid wsp:val=&quot;78461E4F&quot;/&gt;&lt;wsp:rsid wsp:val=&quot;78462278&quot;/&gt;&lt;wsp:rsid wsp:val=&quot;78482494&quot;/&gt;&lt;wsp:rsid wsp:val=&quot;78497340&quot;/&gt;&lt;wsp:rsid wsp:val=&quot;784A33A1&quot;/&gt;&lt;wsp:rsid wsp:val=&quot;784A446A&quot;/&gt;&lt;wsp:rsid wsp:val=&quot;784A620C&quot;/&gt;&lt;wsp:rsid wsp:val=&quot;784C1F84&quot;/&gt;&lt;wsp:rsid wsp:val=&quot;784D023A&quot;/&gt;&lt;wsp:rsid wsp:val=&quot;784D7AAA&quot;/&gt;&lt;wsp:rsid wsp:val=&quot;784F35A8&quot;/&gt;&lt;wsp:rsid wsp:val=&quot;784F55D0&quot;/&gt;&lt;wsp:rsid wsp:val=&quot;78520C1D&quot;/&gt;&lt;wsp:rsid wsp:val=&quot;78540E39&quot;/&gt;&lt;wsp:rsid wsp:val=&quot;7854343D&quot;/&gt;&lt;wsp:rsid wsp:val=&quot;7855070D&quot;/&gt;&lt;wsp:rsid wsp:val=&quot;78570929&quot;/&gt;&lt;wsp:rsid wsp:val=&quot;78571CD3&quot;/&gt;&lt;wsp:rsid wsp:val=&quot;785726D7&quot;/&gt;&lt;wsp:rsid wsp:val=&quot;78574485&quot;/&gt;&lt;wsp:rsid wsp:val=&quot;785B21C7&quot;/&gt;&lt;wsp:rsid wsp:val=&quot;785C7CED&quot;/&gt;&lt;wsp:rsid wsp:val=&quot;785E5399&quot;/&gt;&lt;wsp:rsid wsp:val=&quot;7860333A&quot;/&gt;&lt;wsp:rsid wsp:val=&quot;786077DD&quot;/&gt;&lt;wsp:rsid wsp:val=&quot;78610809&quot;/&gt;&lt;wsp:rsid wsp:val=&quot;78615304&quot;/&gt;&lt;wsp:rsid wsp:val=&quot;78623556&quot;/&gt;&lt;wsp:rsid wsp:val=&quot;78650950&quot;/&gt;&lt;wsp:rsid wsp:val=&quot;78650EDE&quot;/&gt;&lt;wsp:rsid wsp:val=&quot;78654DF4&quot;/&gt;&lt;wsp:rsid wsp:val=&quot;78656BA2&quot;/&gt;&lt;wsp:rsid wsp:val=&quot;786646C8&quot;/&gt;&lt;wsp:rsid wsp:val=&quot;78670B6C&quot;/&gt;&lt;wsp:rsid wsp:val=&quot;78686692&quot;/&gt;&lt;wsp:rsid wsp:val=&quot;78697DBA&quot;/&gt;&lt;wsp:rsid wsp:val=&quot;786A065C&quot;/&gt;&lt;wsp:rsid wsp:val=&quot;786B1CDE&quot;/&gt;&lt;wsp:rsid wsp:val=&quot;786D1EFA&quot;/&gt;&lt;wsp:rsid wsp:val=&quot;786D3CA8&quot;/&gt;&lt;wsp:rsid wsp:val=&quot;787119EB&quot;/&gt;&lt;wsp:rsid wsp:val=&quot;78715547&quot;/&gt;&lt;wsp:rsid wsp:val=&quot;78743289&quot;/&gt;&lt;wsp:rsid wsp:val=&quot;78760DAF&quot;/&gt;&lt;wsp:rsid wsp:val=&quot;78762B5D&quot;/&gt;&lt;wsp:rsid wsp:val=&quot;78774B27&quot;/&gt;&lt;wsp:rsid wsp:val=&quot;78782D79&quot;/&gt;&lt;wsp:rsid wsp:val=&quot;7878384E&quot;/&gt;&lt;wsp:rsid wsp:val=&quot;787943FB&quot;/&gt;&lt;wsp:rsid wsp:val=&quot;787B63C5&quot;/&gt;&lt;wsp:rsid wsp:val=&quot;787C3EEC&quot;/&gt;&lt;wsp:rsid wsp:val=&quot;787E6574&quot;/&gt;&lt;wsp:rsid wsp:val=&quot;787E7C64&quot;/&gt;&lt;wsp:rsid wsp:val=&quot;7880578A&quot;/&gt;&lt;wsp:rsid wsp:val=&quot;78822A65&quot;/&gt;&lt;wsp:rsid wsp:val=&quot;78827754&quot;/&gt;&lt;wsp:rsid wsp:val=&quot;7883171E&quot;/&gt;&lt;wsp:rsid wsp:val=&quot;788334CC&quot;/&gt;&lt;wsp:rsid wsp:val=&quot;7883527A&quot;/&gt;&lt;wsp:rsid wsp:val=&quot;78836649&quot;/&gt;&lt;wsp:rsid wsp:val=&quot;78850FF2&quot;/&gt;&lt;wsp:rsid wsp:val=&quot;788555E3&quot;/&gt;&lt;wsp:rsid wsp:val=&quot;78855ED8&quot;/&gt;&lt;wsp:rsid wsp:val=&quot;788717DD&quot;/&gt;&lt;wsp:rsid wsp:val=&quot;78884C81&quot;/&gt;&lt;wsp:rsid wsp:val=&quot;788A03B6&quot;/&gt;&lt;wsp:rsid wsp:val=&quot;788A136D&quot;/&gt;&lt;wsp:rsid wsp:val=&quot;788A3512&quot;/&gt;&lt;wsp:rsid wsp:val=&quot;788A6608&quot;/&gt;&lt;wsp:rsid wsp:val=&quot;788A686C&quot;/&gt;&lt;wsp:rsid wsp:val=&quot;788B412F&quot;/&gt;&lt;wsp:rsid wsp:val=&quot;788C2381&quot;/&gt;&lt;wsp:rsid wsp:val=&quot;788D434B&quot;/&gt;&lt;wsp:rsid wsp:val=&quot;788D5D25&quot;/&gt;&lt;wsp:rsid wsp:val=&quot;788D60F9&quot;/&gt;&lt;wsp:rsid wsp:val=&quot;788F3C1F&quot;/&gt;&lt;wsp:rsid wsp:val=&quot;789154FC&quot;/&gt;&lt;wsp:rsid wsp:val=&quot;7892370F&quot;/&gt;&lt;wsp:rsid wsp:val=&quot;78944D1F&quot;/&gt;&lt;wsp:rsid wsp:val=&quot;78947487&quot;/&gt;&lt;wsp:rsid wsp:val=&quot;78972AD3&quot;/&gt;&lt;wsp:rsid wsp:val=&quot;78986183&quot;/&gt;&lt;wsp:rsid wsp:val=&quot;78986F77&quot;/&gt;&lt;wsp:rsid wsp:val=&quot;789B6A68&quot;/&gt;&lt;wsp:rsid wsp:val=&quot;789D458E&quot;/&gt;&lt;wsp:rsid wsp:val=&quot;789E02CE&quot;/&gt;&lt;wsp:rsid wsp:val=&quot;789E0306&quot;/&gt;&lt;wsp:rsid wsp:val=&quot;78A05C89&quot;/&gt;&lt;wsp:rsid wsp:val=&quot;78A05E2C&quot;/&gt;&lt;wsp:rsid wsp:val=&quot;78A222B9&quot;/&gt;&lt;wsp:rsid wsp:val=&quot;78A23952&quot;/&gt;&lt;wsp:rsid wsp:val=&quot;78A376CA&quot;/&gt;&lt;wsp:rsid wsp:val=&quot;78A5100B&quot;/&gt;&lt;wsp:rsid wsp:val=&quot;78A53442&quot;/&gt;&lt;wsp:rsid wsp:val=&quot;78A551F0&quot;/&gt;&lt;wsp:rsid wsp:val=&quot;78A70F68&quot;/&gt;&lt;wsp:rsid wsp:val=&quot;78A84CE1&quot;/&gt;&lt;wsp:rsid wsp:val=&quot;78A90480&quot;/&gt;&lt;wsp:rsid wsp:val=&quot;78A94CD1&quot;/&gt;&lt;wsp:rsid wsp:val=&quot;78AC7AAF&quot;/&gt;&lt;wsp:rsid wsp:val=&quot;78AD0549&quot;/&gt;&lt;wsp:rsid wsp:val=&quot;78AD54CB&quot;/&gt;&lt;wsp:rsid wsp:val=&quot;78AE679B&quot;/&gt;&lt;wsp:rsid wsp:val=&quot;78AF42C1&quot;/&gt;&lt;wsp:rsid wsp:val=&quot;78B418D7&quot;/&gt;&lt;wsp:rsid wsp:val=&quot;78B450B4&quot;/&gt;&lt;wsp:rsid wsp:val=&quot;78B6564F&quot;/&gt;&lt;wsp:rsid wsp:val=&quot;78B673FD&quot;/&gt;&lt;wsp:rsid wsp:val=&quot;78B67AE2&quot;/&gt;&lt;wsp:rsid wsp:val=&quot;78B77027&quot;/&gt;&lt;wsp:rsid wsp:val=&quot;78BD078C&quot;/&gt;&lt;wsp:rsid wsp:val=&quot;78BE3412&quot;/&gt;&lt;wsp:rsid wsp:val=&quot;78BE4504&quot;/&gt;&lt;wsp:rsid wsp:val=&quot;78BE5B70&quot;/&gt;&lt;wsp:rsid wsp:val=&quot;78BE5FE3&quot;/&gt;&lt;wsp:rsid wsp:val=&quot;78BE62B2&quot;/&gt;&lt;wsp:rsid wsp:val=&quot;78C0027C&quot;/&gt;&lt;wsp:rsid wsp:val=&quot;78C03D81&quot;/&gt;&lt;wsp:rsid wsp:val=&quot;78C20243&quot;/&gt;&lt;wsp:rsid wsp:val=&quot;78C25DA2&quot;/&gt;&lt;wsp:rsid wsp:val=&quot;78C31B1A&quot;/&gt;&lt;wsp:rsid wsp:val=&quot;78C338C8&quot;/&gt;&lt;wsp:rsid wsp:val=&quot;78C7099A&quot;/&gt;&lt;wsp:rsid wsp:val=&quot;78C733B9&quot;/&gt;&lt;wsp:rsid wsp:val=&quot;78C9039A&quot;/&gt;&lt;wsp:rsid wsp:val=&quot;78C935D5&quot;/&gt;&lt;wsp:rsid wsp:val=&quot;78CA2EA9&quot;/&gt;&lt;wsp:rsid wsp:val=&quot;78CA30F6&quot;/&gt;&lt;wsp:rsid wsp:val=&quot;78CA4C09&quot;/&gt;&lt;wsp:rsid wsp:val=&quot;78CC6C21&quot;/&gt;&lt;wsp:rsid wsp:val=&quot;78D22D18&quot;/&gt;&lt;wsp:rsid wsp:val=&quot;78D6184E&quot;/&gt;&lt;wsp:rsid wsp:val=&quot;78D65B77&quot;/&gt;&lt;wsp:rsid wsp:val=&quot;78D83818&quot;/&gt;&lt;wsp:rsid wsp:val=&quot;78DA6420&quot;/&gt;&lt;wsp:rsid wsp:val=&quot;78DA7590&quot;/&gt;&lt;wsp:rsid wsp:val=&quot;78DB4035&quot;/&gt;&lt;wsp:rsid wsp:val=&quot;78DB50B6&quot;/&gt;&lt;wsp:rsid wsp:val=&quot;78DB6BE4&quot;/&gt;&lt;wsp:rsid wsp:val=&quot;78DC222C&quot;/&gt;&lt;wsp:rsid wsp:val=&quot;78DD498A&quot;/&gt;&lt;wsp:rsid wsp:val=&quot;78DE6954&quot;/&gt;&lt;wsp:rsid wsp:val=&quot;78DF1567&quot;/&gt;&lt;wsp:rsid wsp:val=&quot;78DF7126&quot;/&gt;&lt;wsp:rsid wsp:val=&quot;78E0091E&quot;/&gt;&lt;wsp:rsid wsp:val=&quot;78E15AA7&quot;/&gt;&lt;wsp:rsid wsp:val=&quot;78E353DE&quot;/&gt;&lt;wsp:rsid wsp:val=&quot;78E35D19&quot;/&gt;&lt;wsp:rsid wsp:val=&quot;78E51A91&quot;/&gt;&lt;wsp:rsid wsp:val=&quot;78E57CE3&quot;/&gt;&lt;wsp:rsid wsp:val=&quot;78E66F3A&quot;/&gt;&lt;wsp:rsid wsp:val=&quot;78E7615E&quot;/&gt;&lt;wsp:rsid wsp:val=&quot;78E81581&quot;/&gt;&lt;wsp:rsid wsp:val=&quot;78EA52F9&quot;/&gt;&lt;wsp:rsid wsp:val=&quot;78EC1071&quot;/&gt;&lt;wsp:rsid wsp:val=&quot;78EE303B&quot;/&gt;&lt;wsp:rsid wsp:val=&quot;78EF0B61&quot;/&gt;&lt;wsp:rsid wsp:val=&quot;78EF46BD&quot;/&gt;&lt;wsp:rsid wsp:val=&quot;78F1477F&quot;/&gt;&lt;wsp:rsid wsp:val=&quot;78F30652&quot;/&gt;&lt;wsp:rsid wsp:val=&quot;78F41CD4&quot;/&gt;&lt;wsp:rsid wsp:val=&quot;78F46178&quot;/&gt;&lt;wsp:rsid wsp:val=&quot;78F85C68&quot;/&gt;&lt;wsp:rsid wsp:val=&quot;78F9378E&quot;/&gt;&lt;wsp:rsid wsp:val=&quot;78F9553C&quot;/&gt;&lt;wsp:rsid wsp:val=&quot;78FB12B4&quot;/&gt;&lt;wsp:rsid wsp:val=&quot;78FC1ED6&quot;/&gt;&lt;wsp:rsid wsp:val=&quot;78FF66E6&quot;/&gt;&lt;wsp:rsid wsp:val=&quot;79010967&quot;/&gt;&lt;wsp:rsid wsp:val=&quot;79014BF0&quot;/&gt;&lt;wsp:rsid wsp:val=&quot;7902172F&quot;/&gt;&lt;wsp:rsid wsp:val=&quot;79022643&quot;/&gt;&lt;wsp:rsid wsp:val=&quot;790243F1&quot;/&gt;&lt;wsp:rsid wsp:val=&quot;79030169&quot;/&gt;&lt;wsp:rsid wsp:val=&quot;79035A3D&quot;/&gt;&lt;wsp:rsid wsp:val=&quot;79040CED&quot;/&gt;&lt;wsp:rsid wsp:val=&quot;7904460D&quot;/&gt;&lt;wsp:rsid wsp:val=&quot;79052133&quot;/&gt;&lt;wsp:rsid wsp:val=&quot;79055BA7&quot;/&gt;&lt;wsp:rsid wsp:val=&quot;790740FD&quot;/&gt;&lt;wsp:rsid wsp:val=&quot;790939D1&quot;/&gt;&lt;wsp:rsid wsp:val=&quot;790A181D&quot;/&gt;&lt;wsp:rsid wsp:val=&quot;790A7749&quot;/&gt;&lt;wsp:rsid wsp:val=&quot;790C34C1&quot;/&gt;&lt;wsp:rsid wsp:val=&quot;790C526F&quot;/&gt;&lt;wsp:rsid wsp:val=&quot;790E0FE8&quot;/&gt;&lt;wsp:rsid wsp:val=&quot;790E7239&quot;/&gt;&lt;wsp:rsid wsp:val=&quot;790F4D60&quot;/&gt;&lt;wsp:rsid wsp:val=&quot;79105D70&quot;/&gt;&lt;wsp:rsid wsp:val=&quot;79112886&quot;/&gt;&lt;wsp:rsid wsp:val=&quot;79134850&quot;/&gt;&lt;wsp:rsid wsp:val=&quot;79144124&quot;/&gt;&lt;wsp:rsid wsp:val=&quot;791505C8&quot;/&gt;&lt;wsp:rsid wsp:val=&quot;79164340&quot;/&gt;&lt;wsp:rsid wsp:val=&quot;791660EE&quot;/&gt;&lt;wsp:rsid wsp:val=&quot;79175B42&quot;/&gt;&lt;wsp:rsid wsp:val=&quot;7918575E&quot;/&gt;&lt;wsp:rsid wsp:val=&quot;791A3913&quot;/&gt;&lt;wsp:rsid wsp:val=&quot;791A3E30&quot;/&gt;&lt;wsp:rsid wsp:val=&quot;791A5BDE&quot;/&gt;&lt;wsp:rsid wsp:val=&quot;791A693D&quot;/&gt;&lt;wsp:rsid wsp:val=&quot;791B299E&quot;/&gt;&lt;wsp:rsid wsp:val=&quot;791B54B2&quot;/&gt;&lt;wsp:rsid wsp:val=&quot;791E4FA3&quot;/&gt;&lt;wsp:rsid wsp:val=&quot;791F1447&quot;/&gt;&lt;wsp:rsid wsp:val=&quot;791F6F11&quot;/&gt;&lt;wsp:rsid wsp:val=&quot;79200D1B&quot;/&gt;&lt;wsp:rsid wsp:val=&quot;79202AC9&quot;/&gt;&lt;wsp:rsid wsp:val=&quot;79217840&quot;/&gt;&lt;wsp:rsid wsp:val=&quot;79224A93&quot;/&gt;&lt;wsp:rsid wsp:val=&quot;79246A5D&quot;/&gt;&lt;wsp:rsid wsp:val=&quot;79246F07&quot;/&gt;&lt;wsp:rsid wsp:val=&quot;792702FB&quot;/&gt;&lt;wsp:rsid wsp:val=&quot;79270F41&quot;/&gt;&lt;wsp:rsid wsp:val=&quot;7927654D&quot;/&gt;&lt;wsp:rsid wsp:val=&quot;79284F5D&quot;/&gt;&lt;wsp:rsid wsp:val=&quot;79294073&quot;/&gt;&lt;wsp:rsid wsp:val=&quot;79297BCF&quot;/&gt;&lt;wsp:rsid wsp:val=&quot;792A3948&quot;/&gt;&lt;wsp:rsid wsp:val=&quot;79312F28&quot;/&gt;&lt;wsp:rsid wsp:val=&quot;79330C25&quot;/&gt;&lt;wsp:rsid wsp:val=&quot;79334EF2&quot;/&gt;&lt;wsp:rsid wsp:val=&quot;793367B4&quot;/&gt;&lt;wsp:rsid wsp:val=&quot;79346574&quot;/&gt;&lt;wsp:rsid wsp:val=&quot;79382508&quot;/&gt;&lt;wsp:rsid wsp:val=&quot;79386064&quot;/&gt;&lt;wsp:rsid wsp:val=&quot;79395A06&quot;/&gt;&lt;wsp:rsid wsp:val=&quot;793B7903&quot;/&gt;&lt;wsp:rsid wsp:val=&quot;793C0847&quot;/&gt;&lt;wsp:rsid wsp:val=&quot;793D367B&quot;/&gt;&lt;wsp:rsid wsp:val=&quot;793D7B1F&quot;/&gt;&lt;wsp:rsid wsp:val=&quot;793E1FC4&quot;/&gt;&lt;wsp:rsid wsp:val=&quot;793F3897&quot;/&gt;&lt;wsp:rsid wsp:val=&quot;794013BD&quot;/&gt;&lt;wsp:rsid wsp:val=&quot;7940316B&quot;/&gt;&lt;wsp:rsid wsp:val=&quot;79403229&quot;/&gt;&lt;wsp:rsid wsp:val=&quot;79436833&quot;/&gt;&lt;wsp:rsid wsp:val=&quot;79442C5B&quot;/&gt;&lt;wsp:rsid wsp:val=&quot;79450781&quot;/&gt;&lt;wsp:rsid wsp:val=&quot;79454555&quot;/&gt;&lt;wsp:rsid wsp:val=&quot;79462DC9&quot;/&gt;&lt;wsp:rsid wsp:val=&quot;79472CD7&quot;/&gt;&lt;wsp:rsid wsp:val=&quot;794762A8&quot;/&gt;&lt;wsp:rsid wsp:val=&quot;79492020&quot;/&gt;&lt;wsp:rsid wsp:val=&quot;794C38BE&quot;/&gt;&lt;wsp:rsid wsp:val=&quot;794C5FB4&quot;/&gt;&lt;wsp:rsid wsp:val=&quot;794C7D62&quot;/&gt;&lt;wsp:rsid wsp:val=&quot;794E16AD&quot;/&gt;&lt;wsp:rsid wsp:val=&quot;794F04D8&quot;/&gt;&lt;wsp:rsid wsp:val=&quot;794F7F7D&quot;/&gt;&lt;wsp:rsid wsp:val=&quot;79507852&quot;/&gt;&lt;wsp:rsid wsp:val=&quot;79515378&quot;/&gt;&lt;wsp:rsid wsp:val=&quot;79517126&quot;/&gt;&lt;wsp:rsid wsp:val=&quot;7953020F&quot;/&gt;&lt;wsp:rsid wsp:val=&quot;795409C4&quot;/&gt;&lt;wsp:rsid wsp:val=&quot;7954169F&quot;/&gt;&lt;wsp:rsid wsp:val=&quot;79554E68&quot;/&gt;&lt;wsp:rsid wsp:val=&quot;79565C8F&quot;/&gt;&lt;wsp:rsid wsp:val=&quot;79570BE0&quot;/&gt;&lt;wsp:rsid wsp:val=&quot;79586707&quot;/&gt;&lt;wsp:rsid wsp:val=&quot;795A422D&quot;/&gt;&lt;wsp:rsid wsp:val=&quot;795A5FDB&quot;/&gt;&lt;wsp:rsid wsp:val=&quot;795B1D53&quot;/&gt;&lt;wsp:rsid wsp:val=&quot;795B7FFB&quot;/&gt;&lt;wsp:rsid wsp:val=&quot;795C7706&quot;/&gt;&lt;wsp:rsid wsp:val=&quot;795F5CE7&quot;/&gt;&lt;wsp:rsid wsp:val=&quot;796230E1&quot;/&gt;&lt;wsp:rsid wsp:val=&quot;79641194&quot;/&gt;&lt;wsp:rsid wsp:val=&quot;796432FD&quot;/&gt;&lt;wsp:rsid wsp:val=&quot;79646E59&quot;/&gt;&lt;wsp:rsid wsp:val=&quot;79677B15&quot;/&gt;&lt;wsp:rsid wsp:val=&quot;79694470&quot;/&gt;&lt;wsp:rsid wsp:val=&quot;796A7FA8&quot;/&gt;&lt;wsp:rsid wsp:val=&quot;796B643A&quot;/&gt;&lt;wsp:rsid wsp:val=&quot;796C21B2&quot;/&gt;&lt;wsp:rsid wsp:val=&quot;796C5D0E&quot;/&gt;&lt;wsp:rsid wsp:val=&quot;796C7DA7&quot;/&gt;&lt;wsp:rsid wsp:val=&quot;796E1A86&quot;/&gt;&lt;wsp:rsid wsp:val=&quot;79703A50&quot;/&gt;&lt;wsp:rsid wsp:val=&quot;79711576&quot;/&gt;&lt;wsp:rsid wsp:val=&quot;797177C8&quot;/&gt;&lt;wsp:rsid wsp:val=&quot;79725A1A&quot;/&gt;&lt;wsp:rsid wsp:val=&quot;79733540&quot;/&gt;&lt;wsp:rsid wsp:val=&quot;797608F4&quot;/&gt;&lt;wsp:rsid wsp:val=&quot;79764DDF&quot;/&gt;&lt;wsp:rsid wsp:val=&quot;7977760A&quot;/&gt;&lt;wsp:rsid wsp:val=&quot;79780B57&quot;/&gt;&lt;wsp:rsid wsp:val=&quot;79782905&quot;/&gt;&lt;wsp:rsid wsp:val=&quot;797846B3&quot;/&gt;&lt;wsp:rsid wsp:val=&quot;7978655F&quot;/&gt;&lt;wsp:rsid wsp:val=&quot;797C008D&quot;/&gt;&lt;wsp:rsid wsp:val=&quot;797C0647&quot;/&gt;&lt;wsp:rsid wsp:val=&quot;797D521B&quot;/&gt;&lt;wsp:rsid wsp:val=&quot;797D5D12&quot;/&gt;&lt;wsp:rsid wsp:val=&quot;797F0137&quot;/&gt;&lt;wsp:rsid wsp:val=&quot;797F2284&quot;/&gt;&lt;wsp:rsid wsp:val=&quot;79800E71&quot;/&gt;&lt;wsp:rsid wsp:val=&quot;79823784&quot;/&gt;&lt;wsp:rsid wsp:val=&quot;79824D37&quot;/&gt;&lt;wsp:rsid wsp:val=&quot;798451A5&quot;/&gt;&lt;wsp:rsid wsp:val=&quot;79866623&quot;/&gt;&lt;wsp:rsid wsp:val=&quot;79872B48&quot;/&gt;&lt;wsp:rsid wsp:val=&quot;79887A88&quot;/&gt;&lt;wsp:rsid wsp:val=&quot;798B088A&quot;/&gt;&lt;wsp:rsid wsp:val=&quot;798C63B0&quot;/&gt;&lt;wsp:rsid wsp:val=&quot;798E037A&quot;/&gt;&lt;wsp:rsid wsp:val=&quot;799040F2&quot;/&gt;&lt;wsp:rsid wsp:val=&quot;79905EA0&quot;/&gt;&lt;wsp:rsid wsp:val=&quot;79915775&quot;/&gt;&lt;wsp:rsid wsp:val=&quot;79921C19&quot;/&gt;&lt;wsp:rsid wsp:val=&quot;79933F60&quot;/&gt;&lt;wsp:rsid wsp:val=&quot;79955265&quot;/&gt;&lt;wsp:rsid wsp:val=&quot;79960FDD&quot;/&gt;&lt;wsp:rsid wsp:val=&quot;79961451&quot;/&gt;&lt;wsp:rsid wsp:val=&quot;79982FA7&quot;/&gt;&lt;wsp:rsid wsp:val=&quot;79986B03&quot;/&gt;&lt;wsp:rsid wsp:val=&quot;799B52C3&quot;/&gt;&lt;wsp:rsid wsp:val=&quot;799B65F3&quot;/&gt;&lt;wsp:rsid wsp:val=&quot;799C4845&quot;/&gt;&lt;wsp:rsid wsp:val=&quot;799D7107&quot;/&gt;&lt;wsp:rsid wsp:val=&quot;799F7E92&quot;/&gt;&lt;wsp:rsid wsp:val=&quot;79A33E26&quot;/&gt;&lt;wsp:rsid wsp:val=&quot;79A454A8&quot;/&gt;&lt;wsp:rsid wsp:val=&quot;79A47B9E&quot;/&gt;&lt;wsp:rsid wsp:val=&quot;79A623D6&quot;/&gt;&lt;wsp:rsid wsp:val=&quot;79A67472&quot;/&gt;&lt;wsp:rsid wsp:val=&quot;79A731EA&quot;/&gt;&lt;wsp:rsid wsp:val=&quot;79A74F98&quot;/&gt;&lt;wsp:rsid wsp:val=&quot;79A74FA7&quot;/&gt;&lt;wsp:rsid wsp:val=&quot;79AB2CDA&quot;/&gt;&lt;wsp:rsid wsp:val=&quot;79AB4A88&quot;/&gt;&lt;wsp:rsid wsp:val=&quot;79AC25AE&quot;/&gt;&lt;wsp:rsid wsp:val=&quot;79AD6A52&quot;/&gt;&lt;wsp:rsid wsp:val=&quot;79B002F1&quot;/&gt;&lt;wsp:rsid wsp:val=&quot;79B0209F&quot;/&gt;&lt;wsp:rsid wsp:val=&quot;79B06543&quot;/&gt;&lt;wsp:rsid wsp:val=&quot;79B17BC5&quot;/&gt;&lt;wsp:rsid wsp:val=&quot;79B24069&quot;/&gt;&lt;wsp:rsid wsp:val=&quot;79B3393D&quot;/&gt;&lt;wsp:rsid wsp:val=&quot;79B37DE1&quot;/&gt;&lt;wsp:rsid wsp:val=&quot;79B55907&quot;/&gt;&lt;wsp:rsid wsp:val=&quot;79B80F53&quot;/&gt;&lt;wsp:rsid wsp:val=&quot;79B871A5&quot;/&gt;&lt;wsp:rsid wsp:val=&quot;79B93FD2&quot;/&gt;&lt;wsp:rsid wsp:val=&quot;79BD0233&quot;/&gt;&lt;wsp:rsid wsp:val=&quot;79BD47BC&quot;/&gt;&lt;wsp:rsid wsp:val=&quot;79BD5FEF&quot;/&gt;&lt;wsp:rsid wsp:val=&quot;79BD656A&quot;/&gt;&lt;wsp:rsid wsp:val=&quot;79BE4E53&quot;/&gt;&lt;wsp:rsid wsp:val=&quot;79C124FE&quot;/&gt;&lt;wsp:rsid wsp:val=&quot;79C63670&quot;/&gt;&lt;wsp:rsid wsp:val=&quot;79C67B14&quot;/&gt;&lt;wsp:rsid wsp:val=&quot;79C778EB&quot;/&gt;&lt;wsp:rsid wsp:val=&quot;79C8563A&quot;/&gt;&lt;wsp:rsid wsp:val=&quot;79CA1A9B&quot;/&gt;&lt;wsp:rsid wsp:val=&quot;79CA7A1E&quot;/&gt;&lt;wsp:rsid wsp:val=&quot;79CB0C87&quot;/&gt;&lt;wsp:rsid wsp:val=&quot;79CB512B&quot;/&gt;&lt;wsp:rsid wsp:val=&quot;79CB6ED9&quot;/&gt;&lt;wsp:rsid wsp:val=&quot;79D00993&quot;/&gt;&lt;wsp:rsid wsp:val=&quot;79D02741&quot;/&gt;&lt;wsp:rsid wsp:val=&quot;79D0629D&quot;/&gt;&lt;wsp:rsid wsp:val=&quot;79D13345&quot;/&gt;&lt;wsp:rsid wsp:val=&quot;79D20267&quot;/&gt;&lt;wsp:rsid wsp:val=&quot;79D2705F&quot;/&gt;&lt;wsp:rsid wsp:val=&quot;79D55FA9&quot;/&gt;&lt;wsp:rsid wsp:val=&quot;79D57D57&quot;/&gt;&lt;wsp:rsid wsp:val=&quot;79D7587D&quot;/&gt;&lt;wsp:rsid wsp:val=&quot;79D81204&quot;/&gt;&lt;wsp:rsid wsp:val=&quot;79DA70F1&quot;/&gt;&lt;wsp:rsid wsp:val=&quot;79DC10E6&quot;/&gt;&lt;wsp:rsid wsp:val=&quot;79DF2984&quot;/&gt;&lt;wsp:rsid wsp:val=&quot;79E24222&quot;/&gt;&lt;wsp:rsid wsp:val=&quot;79E32474&quot;/&gt;&lt;wsp:rsid wsp:val=&quot;79E461EC&quot;/&gt;&lt;wsp:rsid wsp:val=&quot;79E61F64&quot;/&gt;&lt;wsp:rsid wsp:val=&quot;79E81839&quot;/&gt;&lt;wsp:rsid wsp:val=&quot;79E93803&quot;/&gt;&lt;wsp:rsid wsp:val=&quot;79E955B1&quot;/&gt;&lt;wsp:rsid wsp:val=&quot;79E9735F&quot;/&gt;&lt;wsp:rsid wsp:val=&quot;79EA61EA&quot;/&gt;&lt;wsp:rsid wsp:val=&quot;79EB1329&quot;/&gt;&lt;wsp:rsid wsp:val=&quot;79EB30D7&quot;/&gt;&lt;wsp:rsid wsp:val=&quot;79ED50A1&quot;/&gt;&lt;wsp:rsid wsp:val=&quot;79EE0E19&quot;/&gt;&lt;wsp:rsid wsp:val=&quot;79EF706B&quot;/&gt;&lt;wsp:rsid wsp:val=&quot;79F04B91&quot;/&gt;&lt;wsp:rsid wsp:val=&quot;79F0693F&quot;/&gt;&lt;wsp:rsid wsp:val=&quot;79F226B7&quot;/&gt;&lt;wsp:rsid wsp:val=&quot;79F3642F&quot;/&gt;&lt;wsp:rsid wsp:val=&quot;79F503F9&quot;/&gt;&lt;wsp:rsid wsp:val=&quot;79F53F55&quot;/&gt;&lt;wsp:rsid wsp:val=&quot;79F65ECE&quot;/&gt;&lt;wsp:rsid wsp:val=&quot;79F70513&quot;/&gt;&lt;wsp:rsid wsp:val=&quot;79F71A7C&quot;/&gt;&lt;wsp:rsid wsp:val=&quot;79FA2095&quot;/&gt;&lt;wsp:rsid wsp:val=&quot;79FE105C&quot;/&gt;&lt;wsp:rsid wsp:val=&quot;7A0423EA&quot;/&gt;&lt;wsp:rsid wsp:val=&quot;7A044199&quot;/&gt;&lt;wsp:rsid wsp:val=&quot;7A066163&quot;/&gt;&lt;wsp:rsid wsp:val=&quot;7A0917AF&quot;/&gt;&lt;wsp:rsid wsp:val=&quot;7A092C03&quot;/&gt;&lt;wsp:rsid wsp:val=&quot;7A0D129F&quot;/&gt;&lt;wsp:rsid wsp:val=&quot;7A100D8F&quot;/&gt;&lt;wsp:rsid wsp:val=&quot;7A102B3D&quot;/&gt;&lt;wsp:rsid wsp:val=&quot;7A106FE1&quot;/&gt;&lt;wsp:rsid wsp:val=&quot;7A13262E&quot;/&gt;&lt;wsp:rsid wsp:val=&quot;7A141089&quot;/&gt;&lt;wsp:rsid wsp:val=&quot;7A144D7D&quot;/&gt;&lt;wsp:rsid wsp:val=&quot;7A146AD1&quot;/&gt;&lt;wsp:rsid wsp:val=&quot;7A173ECC&quot;/&gt;&lt;wsp:rsid wsp:val=&quot;7A1A1C0E&quot;/&gt;&lt;wsp:rsid wsp:val=&quot;7A1A3B88&quot;/&gt;&lt;wsp:rsid wsp:val=&quot;7A1C5986&quot;/&gt;&lt;wsp:rsid wsp:val=&quot;7A2113E8&quot;/&gt;&lt;wsp:rsid wsp:val=&quot;7A24483B&quot;/&gt;&lt;wsp:rsid wsp:val=&quot;7A2465E9&quot;/&gt;&lt;wsp:rsid wsp:val=&quot;7A2605B3&quot;/&gt;&lt;wsp:rsid wsp:val=&quot;7A275D86&quot;/&gt;&lt;wsp:rsid wsp:val=&quot;7A281F9B&quot;/&gt;&lt;wsp:rsid wsp:val=&quot;7A28257D&quot;/&gt;&lt;wsp:rsid wsp:val=&quot;7A293BFF&quot;/&gt;&lt;wsp:rsid wsp:val=&quot;7A2A0A5F&quot;/&gt;&lt;wsp:rsid wsp:val=&quot;7A2B3E1B&quot;/&gt;&lt;wsp:rsid wsp:val=&quot;7A2B5BC9&quot;/&gt;&lt;wsp:rsid wsp:val=&quot;7A2B7977&quot;/&gt;&lt;wsp:rsid wsp:val=&quot;7A2C0507&quot;/&gt;&lt;wsp:rsid wsp:val=&quot;7A2C5F9D&quot;/&gt;&lt;wsp:rsid wsp:val=&quot;7A2D181E&quot;/&gt;&lt;wsp:rsid wsp:val=&quot;7A2D7B93&quot;/&gt;&lt;wsp:rsid wsp:val=&quot;7A2E4BCF&quot;/&gt;&lt;wsp:rsid wsp:val=&quot;7A301431&quot;/&gt;&lt;wsp:rsid wsp:val=&quot;7A304F8E&quot;/&gt;&lt;wsp:rsid wsp:val=&quot;7A31097F&quot;/&gt;&lt;wsp:rsid wsp:val=&quot;7A320D06&quot;/&gt;&lt;wsp:rsid wsp:val=&quot;7A326F58&quot;/&gt;&lt;wsp:rsid wsp:val=&quot;7A342CD0&quot;/&gt;&lt;wsp:rsid wsp:val=&quot;7A364017&quot;/&gt;&lt;wsp:rsid wsp:val=&quot;7A3727C0&quot;/&gt;&lt;wsp:rsid wsp:val=&quot;7A37456E&quot;/&gt;&lt;wsp:rsid wsp:val=&quot;7A383CAC&quot;/&gt;&lt;wsp:rsid wsp:val=&quot;7A392094&quot;/&gt;&lt;wsp:rsid wsp:val=&quot;7A3B3EC6&quot;/&gt;&lt;wsp:rsid wsp:val=&quot;7A3C3932&quot;/&gt;&lt;wsp:rsid wsp:val=&quot;7A3C7DD6&quot;/&gt;&lt;wsp:rsid wsp:val=&quot;7A3D1AF3&quot;/&gt;&lt;wsp:rsid wsp:val=&quot;7A3E58FC&quot;/&gt;&lt;wsp:rsid wsp:val=&quot;7A3E76AA&quot;/&gt;&lt;wsp:rsid wsp:val=&quot;7A401675&quot;/&gt;&lt;wsp:rsid wsp:val=&quot;7A41363F&quot;/&gt;&lt;wsp:rsid wsp:val=&quot;7A431E76&quot;/&gt;&lt;wsp:rsid wsp:val=&quot;7A456C8B&quot;/&gt;&lt;wsp:rsid wsp:val=&quot;7A462A03&quot;/&gt;&lt;wsp:rsid wsp:val=&quot;7A4A24F3&quot;/&gt;&lt;wsp:rsid wsp:val=&quot;7A4B0019&quot;/&gt;&lt;wsp:rsid wsp:val=&quot;7A4D3D91&quot;/&gt;&lt;wsp:rsid wsp:val=&quot;7A4E1337&quot;/&gt;&lt;wsp:rsid wsp:val=&quot;7A4F18B8&quot;/&gt;&lt;wsp:rsid wsp:val=&quot;7A505630&quot;/&gt;&lt;wsp:rsid wsp:val=&quot;7A5213A8&quot;/&gt;&lt;wsp:rsid wsp:val=&quot;7A5275FA&quot;/&gt;&lt;wsp:rsid wsp:val=&quot;7A540C7C&quot;/&gt;&lt;wsp:rsid wsp:val=&quot;7A545120&quot;/&gt;&lt;wsp:rsid wsp:val=&quot;7A56120A&quot;/&gt;&lt;wsp:rsid wsp:val=&quot;7A564142&quot;/&gt;&lt;wsp:rsid wsp:val=&quot;7A57269A&quot;/&gt;&lt;wsp:rsid wsp:val=&quot;7A5769BE&quot;/&gt;&lt;wsp:rsid wsp:val=&quot;7A594FBA&quot;/&gt;&lt;wsp:rsid wsp:val=&quot;7A5B64AE&quot;/&gt;&lt;wsp:rsid wsp:val=&quot;7A5C3FD5&quot;/&gt;&lt;wsp:rsid wsp:val=&quot;7A5C507C&quot;/&gt;&lt;wsp:rsid wsp:val=&quot;7A5C5D83&quot;/&gt;&lt;wsp:rsid wsp:val=&quot;7A5E5F9F&quot;/&gt;&lt;wsp:rsid wsp:val=&quot;7A603AC5&quot;/&gt;&lt;wsp:rsid wsp:val=&quot;7A61076D&quot;/&gt;&lt;wsp:rsid wsp:val=&quot;7A6115EB&quot;/&gt;&lt;wsp:rsid wsp:val=&quot;7A61783D&quot;/&gt;&lt;wsp:rsid wsp:val=&quot;7A623539&quot;/&gt;&lt;wsp:rsid wsp:val=&quot;7A627ABF&quot;/&gt;&lt;wsp:rsid wsp:val=&quot;7A635363&quot;/&gt;&lt;wsp:rsid wsp:val=&quot;7A637111&quot;/&gt;&lt;wsp:rsid wsp:val=&quot;7A655361&quot;/&gt;&lt;wsp:rsid wsp:val=&quot;7A6730A5&quot;/&gt;&lt;wsp:rsid wsp:val=&quot;7A68361F&quot;/&gt;&lt;wsp:rsid wsp:val=&quot;7A697680&quot;/&gt;&lt;wsp:rsid wsp:val=&quot;7A6B4218&quot;/&gt;&lt;wsp:rsid wsp:val=&quot;7A6E07E5&quot;/&gt;&lt;wsp:rsid wsp:val=&quot;7A6F1F5A&quot;/&gt;&lt;wsp:rsid wsp:val=&quot;7A6F34F2&quot;/&gt;&lt;wsp:rsid wsp:val=&quot;7A7237F8&quot;/&gt;&lt;wsp:rsid wsp:val=&quot;7A731BC2&quot;/&gt;&lt;wsp:rsid wsp:val=&quot;7A74131E&quot;/&gt;&lt;wsp:rsid wsp:val=&quot;7A747570&quot;/&gt;&lt;wsp:rsid wsp:val=&quot;7A770E0E&quot;/&gt;&lt;wsp:rsid wsp:val=&quot;7A772BBC&quot;/&gt;&lt;wsp:rsid wsp:val=&quot;7A773114&quot;/&gt;&lt;wsp:rsid wsp:val=&quot;7A792DD8&quot;/&gt;&lt;wsp:rsid wsp:val=&quot;7A795A34&quot;/&gt;&lt;wsp:rsid wsp:val=&quot;7A796935&quot;/&gt;&lt;wsp:rsid wsp:val=&quot;7A7E03EF&quot;/&gt;&lt;wsp:rsid wsp:val=&quot;7A7F0704&quot;/&gt;&lt;wsp:rsid wsp:val=&quot;7A7F1A71&quot;/&gt;&lt;wsp:rsid wsp:val=&quot;7A804167&quot;/&gt;&lt;wsp:rsid wsp:val=&quot;7A8265E1&quot;/&gt;&lt;wsp:rsid wsp:val=&quot;7A831561&quot;/&gt;&lt;wsp:rsid wsp:val=&quot;7A8349DB&quot;/&gt;&lt;wsp:rsid wsp:val=&quot;7A8377B3&quot;/&gt;&lt;wsp:rsid wsp:val=&quot;7A862E00&quot;/&gt;&lt;wsp:rsid wsp:val=&quot;7A877DFD&quot;/&gt;&lt;wsp:rsid wsp:val=&quot;7A88414E&quot;/&gt;&lt;wsp:rsid wsp:val=&quot;7A884DCA&quot;/&gt;&lt;wsp:rsid wsp:val=&quot;7A8A28F0&quot;/&gt;&lt;wsp:rsid wsp:val=&quot;7A8B158A&quot;/&gt;&lt;wsp:rsid wsp:val=&quot;7A8D211A&quot;/&gt;&lt;wsp:rsid wsp:val=&quot;7A8E7600&quot;/&gt;&lt;wsp:rsid wsp:val=&quot;7A923C54&quot;/&gt;&lt;wsp:rsid wsp:val=&quot;7A923E9A&quot;/&gt;&lt;wsp:rsid wsp:val=&quot;7A9279F6&quot;/&gt;&lt;wsp:rsid wsp:val=&quot;7A9419C0&quot;/&gt;&lt;wsp:rsid wsp:val=&quot;7A943D7D&quot;/&gt;&lt;wsp:rsid wsp:val=&quot;7A957BAE&quot;/&gt;&lt;wsp:rsid wsp:val=&quot;7A97325F&quot;/&gt;&lt;wsp:rsid wsp:val=&quot;7A9A51C6&quot;/&gt;&lt;wsp:rsid wsp:val=&quot;7A9B2D4F&quot;/&gt;&lt;wsp:rsid wsp:val=&quot;7A9D6AC7&quot;/&gt;&lt;wsp:rsid wsp:val=&quot;7A9F594C&quot;/&gt;&lt;wsp:rsid wsp:val=&quot;7AA03EC1&quot;/&gt;&lt;wsp:rsid wsp:val=&quot;7AA15E8B&quot;/&gt;&lt;wsp:rsid wsp:val=&quot;7AA17C39&quot;/&gt;&lt;wsp:rsid wsp:val=&quot;7AA41A6E&quot;/&gt;&lt;wsp:rsid wsp:val=&quot;7AA5772A&quot;/&gt;&lt;wsp:rsid wsp:val=&quot;7AA877CA&quot;/&gt;&lt;wsp:rsid wsp:val=&quot;7AAB0B58&quot;/&gt;&lt;wsp:rsid wsp:val=&quot;7AAB33B9&quot;/&gt;&lt;wsp:rsid wsp:val=&quot;7AAC0AB8&quot;/&gt;&lt;wsp:rsid wsp:val=&quot;7AAC2004&quot;/&gt;&lt;wsp:rsid wsp:val=&quot;7AAC3494&quot;/&gt;&lt;wsp:rsid wsp:val=&quot;7AAC4F5C&quot;/&gt;&lt;wsp:rsid wsp:val=&quot;7AAD21E0&quot;/&gt;&lt;wsp:rsid wsp:val=&quot;7AAD65DE&quot;/&gt;&lt;wsp:rsid wsp:val=&quot;7AB12572&quot;/&gt;&lt;wsp:rsid wsp:val=&quot;7AB2554D&quot;/&gt;&lt;wsp:rsid wsp:val=&quot;7AB61937&quot;/&gt;&lt;wsp:rsid wsp:val=&quot;7AB65C87&quot;/&gt;&lt;wsp:rsid wsp:val=&quot;7AB91427&quot;/&gt;&lt;wsp:rsid wsp:val=&quot;7AB931D5&quot;/&gt;&lt;wsp:rsid wsp:val=&quot;7AB94F83&quot;/&gt;&lt;wsp:rsid wsp:val=&quot;7ABA4357&quot;/&gt;&lt;wsp:rsid wsp:val=&quot;7ABB0CFB&quot;/&gt;&lt;wsp:rsid wsp:val=&quot;7ABB4C43&quot;/&gt;&lt;wsp:rsid wsp:val=&quot;7ABB519F&quot;/&gt;&lt;wsp:rsid wsp:val=&quot;7ABC1261&quot;/&gt;&lt;wsp:rsid wsp:val=&quot;7ABC4A73&quot;/&gt;&lt;wsp:rsid wsp:val=&quot;7ABD2CC5&quot;/&gt;&lt;wsp:rsid wsp:val=&quot;7ABE2599&quot;/&gt;&lt;wsp:rsid wsp:val=&quot;7AC04563&quot;/&gt;&lt;wsp:rsid wsp:val=&quot;7AC2422A&quot;/&gt;&lt;wsp:rsid wsp:val=&quot;7AC2652D&quot;/&gt;&lt;wsp:rsid wsp:val=&quot;7AC35E02&quot;/&gt;&lt;wsp:rsid wsp:val=&quot;7AC37551&quot;/&gt;&lt;wsp:rsid wsp:val=&quot;7AC51B7A&quot;/&gt;&lt;wsp:rsid wsp:val=&quot;7AC5601E&quot;/&gt;&lt;wsp:rsid wsp:val=&quot;7AC676A0&quot;/&gt;&lt;wsp:rsid wsp:val=&quot;7AC94AB2&quot;/&gt;&lt;wsp:rsid wsp:val=&quot;7AC97B81&quot;/&gt;&lt;wsp:rsid wsp:val=&quot;7ACA53E2&quot;/&gt;&lt;wsp:rsid wsp:val=&quot;7ACB00AE&quot;/&gt;&lt;wsp:rsid wsp:val=&quot;7ACB52DC&quot;/&gt;&lt;wsp:rsid wsp:val=&quot;7ACC2F08&quot;/&gt;&lt;wsp:rsid wsp:val=&quot;7ACC75D7&quot;/&gt;&lt;wsp:rsid wsp:val=&quot;7ACE0067&quot;/&gt;&lt;wsp:rsid wsp:val=&quot;7ACE4ED2&quot;/&gt;&lt;wsp:rsid wsp:val=&quot;7AD03284&quot;/&gt;&lt;wsp:rsid wsp:val=&quot;7AD1051F&quot;/&gt;&lt;wsp:rsid wsp:val=&quot;7AD149C3&quot;/&gt;&lt;wsp:rsid wsp:val=&quot;7AD3164A&quot;/&gt;&lt;wsp:rsid wsp:val=&quot;7AD449B5&quot;/&gt;&lt;wsp:rsid wsp:val=&quot;7AD63B30&quot;/&gt;&lt;wsp:rsid wsp:val=&quot;7AD710E4&quot;/&gt;&lt;wsp:rsid wsp:val=&quot;7AD72F66&quot;/&gt;&lt;wsp:rsid wsp:val=&quot;7AD74DE8&quot;/&gt;&lt;wsp:rsid wsp:val=&quot;7AD973D3&quot;/&gt;&lt;wsp:rsid wsp:val=&quot;7ADB139D&quot;/&gt;&lt;wsp:rsid wsp:val=&quot;7ADB7D95&quot;/&gt;&lt;wsp:rsid wsp:val=&quot;7ADC6EC3&quot;/&gt;&lt;wsp:rsid wsp:val=&quot;7ADE6238&quot;/&gt;&lt;wsp:rsid wsp:val=&quot;7AE00762&quot;/&gt;&lt;wsp:rsid wsp:val=&quot;7AE03DFA&quot;/&gt;&lt;wsp:rsid wsp:val=&quot;7AE04C06&quot;/&gt;&lt;wsp:rsid wsp:val=&quot;7AE069B4&quot;/&gt;&lt;wsp:rsid wsp:val=&quot;7AE2097E&quot;/&gt;&lt;wsp:rsid wsp:val=&quot;7AE244DA&quot;/&gt;&lt;wsp:rsid wsp:val=&quot;7AE446F6&quot;/&gt;&lt;wsp:rsid wsp:val=&quot;7AE5221C&quot;/&gt;&lt;wsp:rsid wsp:val=&quot;7AE53337&quot;/&gt;&lt;wsp:rsid wsp:val=&quot;7AE55D78&quot;/&gt;&lt;wsp:rsid wsp:val=&quot;7AE61EF5&quot;/&gt;&lt;wsp:rsid wsp:val=&quot;7AE66FA7&quot;/&gt;&lt;wsp:rsid wsp:val=&quot;7AE77D42&quot;/&gt;&lt;wsp:rsid wsp:val=&quot;7AE85868&quot;/&gt;&lt;wsp:rsid wsp:val=&quot;7AE91D0C&quot;/&gt;&lt;wsp:rsid wsp:val=&quot;7AE91FA6&quot;/&gt;&lt;wsp:rsid wsp:val=&quot;7AEA7832&quot;/&gt;&lt;wsp:rsid wsp:val=&quot;7AEC5358&quot;/&gt;&lt;wsp:rsid wsp:val=&quot;7AED2E7F&quot;/&gt;&lt;wsp:rsid wsp:val=&quot;7AEF309B&quot;/&gt;&lt;wsp:rsid wsp:val=&quot;7AEF6BF7&quot;/&gt;&lt;wsp:rsid wsp:val=&quot;7AF1471D&quot;/&gt;&lt;wsp:rsid wsp:val=&quot;7AF216B7&quot;/&gt;&lt;wsp:rsid wsp:val=&quot;7AF406B1&quot;/&gt;&lt;wsp:rsid wsp:val=&quot;7AF4245F&quot;/&gt;&lt;wsp:rsid wsp:val=&quot;7AF43FB8&quot;/&gt;&lt;wsp:rsid wsp:val=&quot;7AF75AAB&quot;/&gt;&lt;wsp:rsid wsp:val=&quot;7AF81F4F&quot;/&gt;&lt;wsp:rsid wsp:val=&quot;7AF91823&quot;/&gt;&lt;wsp:rsid wsp:val=&quot;7AF95CC7&quot;/&gt;&lt;wsp:rsid wsp:val=&quot;7AF97A75&quot;/&gt;&lt;wsp:rsid wsp:val=&quot;7AFB2C7A&quot;/&gt;&lt;wsp:rsid wsp:val=&quot;7AFB37ED&quot;/&gt;&lt;wsp:rsid wsp:val=&quot;7AFD1314&quot;/&gt;&lt;wsp:rsid wsp:val=&quot;7B000E04&quot;/&gt;&lt;wsp:rsid wsp:val=&quot;7B007056&quot;/&gt;&lt;wsp:rsid wsp:val=&quot;7B02692A&quot;/&gt;&lt;wsp:rsid wsp:val=&quot;7B030BB8&quot;/&gt;&lt;wsp:rsid wsp:val=&quot;7B046B46&quot;/&gt;&lt;wsp:rsid wsp:val=&quot;7B0501C8&quot;/&gt;&lt;wsp:rsid wsp:val=&quot;7B05466C&quot;/&gt;&lt;wsp:rsid wsp:val=&quot;7B05641A&quot;/&gt;&lt;wsp:rsid wsp:val=&quot;7B056CAC&quot;/&gt;&lt;wsp:rsid wsp:val=&quot;7B0570B5&quot;/&gt;&lt;wsp:rsid wsp:val=&quot;7B0614CE&quot;/&gt;&lt;wsp:rsid wsp:val=&quot;7B090C39&quot;/&gt;&lt;wsp:rsid wsp:val=&quot;7B0A28DC&quot;/&gt;&lt;wsp:rsid wsp:val=&quot;7B0C59FB&quot;/&gt;&lt;wsp:rsid wsp:val=&quot;7B0F54EB&quot;/&gt;&lt;wsp:rsid wsp:val=&quot;7B113011&quot;/&gt;&lt;wsp:rsid wsp:val=&quot;7B114DBF&quot;/&gt;&lt;wsp:rsid wsp:val=&quot;7B116B6D&quot;/&gt;&lt;wsp:rsid wsp:val=&quot;7B1211B1&quot;/&gt;&lt;wsp:rsid wsp:val=&quot;7B1448AF&quot;/&gt;&lt;wsp:rsid wsp:val=&quot;7B14665D&quot;/&gt;&lt;wsp:rsid wsp:val=&quot;7B160FC2&quot;/&gt;&lt;wsp:rsid wsp:val=&quot;7B164183&quot;/&gt;&lt;wsp:rsid wsp:val=&quot;7B166879&quot;/&gt;&lt;wsp:rsid wsp:val=&quot;7B197943&quot;/&gt;&lt;wsp:rsid wsp:val=&quot;7B1A0118&quot;/&gt;&lt;wsp:rsid wsp:val=&quot;7B1B3E90&quot;/&gt;&lt;wsp:rsid wsp:val=&quot;7B1C4E34&quot;/&gt;&lt;wsp:rsid wsp:val=&quot;7B1D03F0&quot;/&gt;&lt;wsp:rsid wsp:val=&quot;7B1D19B6&quot;/&gt;&lt;wsp:rsid wsp:val=&quot;7B1E74DC&quot;/&gt;&lt;wsp:rsid wsp:val=&quot;7B1F572E&quot;/&gt;&lt;wsp:rsid wsp:val=&quot;7B203254&quot;/&gt;&lt;wsp:rsid wsp:val=&quot;7B211776&quot;/&gt;&lt;wsp:rsid wsp:val=&quot;7B234AF2&quot;/&gt;&lt;wsp:rsid wsp:val=&quot;7B241E85&quot;/&gt;&lt;wsp:rsid wsp:val=&quot;7B25086A&quot;/&gt;&lt;wsp:rsid wsp:val=&quot;7B2508E0&quot;/&gt;&lt;wsp:rsid wsp:val=&quot;7B256ABC&quot;/&gt;&lt;wsp:rsid wsp:val=&quot;7B272834&quot;/&gt;&lt;wsp:rsid wsp:val=&quot;7B2766DE&quot;/&gt;&lt;wsp:rsid wsp:val=&quot;7B276DA3&quot;/&gt;&lt;wsp:rsid wsp:val=&quot;7B2809C3&quot;/&gt;&lt;wsp:rsid wsp:val=&quot;7B2965AD&quot;/&gt;&lt;wsp:rsid wsp:val=&quot;7B2A5E81&quot;/&gt;&lt;wsp:rsid wsp:val=&quot;7B2A7C2F&quot;/&gt;&lt;wsp:rsid wsp:val=&quot;7B2F16E9&quot;/&gt;&lt;wsp:rsid wsp:val=&quot;7B2F3497&quot;/&gt;&lt;wsp:rsid wsp:val=&quot;7B310FBD&quot;/&gt;&lt;wsp:rsid wsp:val=&quot;7B31720F&quot;/&gt;&lt;wsp:rsid wsp:val=&quot;7B340AAD&quot;/&gt;&lt;wsp:rsid wsp:val=&quot;7B34197A&quot;/&gt;&lt;wsp:rsid wsp:val=&quot;7B346CFF&quot;/&gt;&lt;wsp:rsid wsp:val=&quot;7B3665D4&quot;/&gt;&lt;wsp:rsid wsp:val=&quot;7B38234C&quot;/&gt;&lt;wsp:rsid wsp:val=&quot;7B3A2568&quot;/&gt;&lt;wsp:rsid wsp:val=&quot;7B3A4316&quot;/&gt;&lt;wsp:rsid wsp:val=&quot;7B3D5BB4&quot;/&gt;&lt;wsp:rsid wsp:val=&quot;7B3F6A8D&quot;/&gt;&lt;wsp:rsid wsp:val=&quot;7B407452&quot;/&gt;&lt;wsp:rsid wsp:val=&quot;7B420EAF&quot;/&gt;&lt;wsp:rsid wsp:val=&quot;7B42540E&quot;/&gt;&lt;wsp:rsid wsp:val=&quot;7B427D7A&quot;/&gt;&lt;wsp:rsid wsp:val=&quot;7B430CF1&quot;/&gt;&lt;wsp:rsid wsp:val=&quot;7B451DEC&quot;/&gt;&lt;wsp:rsid wsp:val=&quot;7B454A69&quot;/&gt;&lt;wsp:rsid wsp:val=&quot;7B4707E1&quot;/&gt;&lt;wsp:rsid wsp:val=&quot;7B474C85&quot;/&gt;&lt;wsp:rsid wsp:val=&quot;7B4909FD&quot;/&gt;&lt;wsp:rsid wsp:val=&quot;7B4A207F&quot;/&gt;&lt;wsp:rsid wsp:val=&quot;7B4E05AB&quot;/&gt;&lt;wsp:rsid wsp:val=&quot;7B4E7DC1&quot;/&gt;&lt;wsp:rsid wsp:val=&quot;7B503B39&quot;/&gt;&lt;wsp:rsid wsp:val=&quot;7B542EFE&quot;/&gt;&lt;wsp:rsid wsp:val=&quot;7B5443C8&quot;/&gt;&lt;wsp:rsid wsp:val=&quot;7B551150&quot;/&gt;&lt;wsp:rsid wsp:val=&quot;7B567BE1&quot;/&gt;&lt;wsp:rsid wsp:val=&quot;7B5761A4&quot;/&gt;&lt;wsp:rsid wsp:val=&quot;7B5A6766&quot;/&gt;&lt;wsp:rsid wsp:val=&quot;7B5B0730&quot;/&gt;&lt;wsp:rsid wsp:val=&quot;7B5B603A&quot;/&gt;&lt;wsp:rsid wsp:val=&quot;7B5D6256&quot;/&gt;&lt;wsp:rsid wsp:val=&quot;7B6018A2&quot;/&gt;&lt;wsp:rsid wsp:val=&quot;7B6149EA&quot;/&gt;&lt;wsp:rsid wsp:val=&quot;7B615D46&quot;/&gt;&lt;wsp:rsid wsp:val=&quot;7B641393&quot;/&gt;&lt;wsp:rsid wsp:val=&quot;7B6475E5&quot;/&gt;&lt;wsp:rsid wsp:val=&quot;7B66335D&quot;/&gt;&lt;wsp:rsid wsp:val=&quot;7B670E83&quot;/&gt;&lt;wsp:rsid wsp:val=&quot;7B6770D5&quot;/&gt;&lt;wsp:rsid wsp:val=&quot;7B686D42&quot;/&gt;&lt;wsp:rsid wsp:val=&quot;7B687129&quot;/&gt;&lt;wsp:rsid wsp:val=&quot;7B691CFA&quot;/&gt;&lt;wsp:rsid wsp:val=&quot;7B694BFB&quot;/&gt;&lt;wsp:rsid wsp:val=&quot;7B6969A9&quot;/&gt;&lt;wsp:rsid wsp:val=&quot;7B6A1C3D&quot;/&gt;&lt;wsp:rsid wsp:val=&quot;7B6A44CF&quot;/&gt;&lt;wsp:rsid wsp:val=&quot;7B6B0973&quot;/&gt;&lt;wsp:rsid wsp:val=&quot;7B6C46EB&quot;/&gt;&lt;wsp:rsid wsp:val=&quot;7B6D1DAC&quot;/&gt;&lt;wsp:rsid wsp:val=&quot;7B6E0463&quot;/&gt;&lt;wsp:rsid wsp:val=&quot;7B6E3FBF&quot;/&gt;&lt;wsp:rsid wsp:val=&quot;7B6E5D6D&quot;/&gt;&lt;wsp:rsid wsp:val=&quot;7B711D02&quot;/&gt;&lt;wsp:rsid wsp:val=&quot;7B7315D6&quot;/&gt;&lt;wsp:rsid wsp:val=&quot;7B743FDB&quot;/&gt;&lt;wsp:rsid wsp:val=&quot;7B7535A0&quot;/&gt;&lt;wsp:rsid wsp:val=&quot;7B7A6E08&quot;/&gt;&lt;wsp:rsid wsp:val=&quot;7B7B048A&quot;/&gt;&lt;wsp:rsid wsp:val=&quot;7B7B2B53&quot;/&gt;&lt;wsp:rsid wsp:val=&quot;7B7B7DB6&quot;/&gt;&lt;wsp:rsid wsp:val=&quot;7B7D2454&quot;/&gt;&lt;wsp:rsid wsp:val=&quot;7B7F4F51&quot;/&gt;&lt;wsp:rsid wsp:val=&quot;7B82586C&quot;/&gt;&lt;wsp:rsid wsp:val=&quot;7B841746&quot;/&gt;&lt;wsp:rsid wsp:val=&quot;7B841A35&quot;/&gt;&lt;wsp:rsid wsp:val=&quot;7B857C91&quot;/&gt;&lt;wsp:rsid wsp:val=&quot;7B863F31&quot;/&gt;&lt;wsp:rsid wsp:val=&quot;7B864E6F&quot;/&gt;&lt;wsp:rsid wsp:val=&quot;7B871525&quot;/&gt;&lt;wsp:rsid wsp:val=&quot;7B875283&quot;/&gt;&lt;wsp:rsid wsp:val=&quot;7B885DF9&quot;/&gt;&lt;wsp:rsid wsp:val=&quot;7B890DF9&quot;/&gt;&lt;wsp:rsid wsp:val=&quot;7B892BA7&quot;/&gt;&lt;wsp:rsid wsp:val=&quot;7B8C2698&quot;/&gt;&lt;wsp:rsid wsp:val=&quot;7B8C6B3B&quot;/&gt;&lt;wsp:rsid wsp:val=&quot;7B8D4F30&quot;/&gt;&lt;wsp:rsid wsp:val=&quot;7B8F0435&quot;/&gt;&lt;wsp:rsid wsp:val=&quot;7B8F3F36&quot;/&gt;&lt;wsp:rsid wsp:val=&quot;7B900E48&quot;/&gt;&lt;wsp:rsid wsp:val=&quot;7B936DF3&quot;/&gt;&lt;wsp:rsid wsp:val=&quot;7B950D81&quot;/&gt;&lt;wsp:rsid wsp:val=&quot;7B9559F0&quot;/&gt;&lt;wsp:rsid wsp:val=&quot;7B9652C4&quot;/&gt;&lt;wsp:rsid wsp:val=&quot;7B987833&quot;/&gt;&lt;wsp:rsid wsp:val=&quot;7B997698&quot;/&gt;&lt;wsp:rsid wsp:val=&quot;7B9D2AF7&quot;/&gt;&lt;wsp:rsid wsp:val=&quot;7B9D6653&quot;/&gt;&lt;wsp:rsid wsp:val=&quot;7B9E0939&quot;/&gt;&lt;wsp:rsid wsp:val=&quot;7B9F23CB&quot;/&gt;&lt;wsp:rsid wsp:val=&quot;7BA06143&quot;/&gt;&lt;wsp:rsid wsp:val=&quot;7BA14395&quot;/&gt;&lt;wsp:rsid wsp:val=&quot;7BA21EBB&quot;/&gt;&lt;wsp:rsid wsp:val=&quot;7BA25995&quot;/&gt;&lt;wsp:rsid wsp:val=&quot;7BA45C33&quot;/&gt;&lt;wsp:rsid wsp:val=&quot;7BA774D1&quot;/&gt;&lt;wsp:rsid wsp:val=&quot;7BA9149B&quot;/&gt;&lt;wsp:rsid wsp:val=&quot;7BAB6FC2&quot;/&gt;&lt;wsp:rsid wsp:val=&quot;7BAC2D3A&quot;/&gt;&lt;wsp:rsid wsp:val=&quot;7BAC4AE8&quot;/&gt;&lt;wsp:rsid wsp:val=&quot;7BAD6F9E&quot;/&gt;&lt;wsp:rsid wsp:val=&quot;7BB10350&quot;/&gt;&lt;wsp:rsid wsp:val=&quot;7BB302F8&quot;/&gt;&lt;wsp:rsid wsp:val=&quot;7BB340C8&quot;/&gt;&lt;wsp:rsid wsp:val=&quot;7BB442A0&quot;/&gt;&lt;wsp:rsid wsp:val=&quot;7BB46E71&quot;/&gt;&lt;wsp:rsid wsp:val=&quot;7BB551E1&quot;/&gt;&lt;wsp:rsid wsp:val=&quot;7BB73BB8&quot;/&gt;&lt;wsp:rsid wsp:val=&quot;7BB87930&quot;/&gt;&lt;wsp:rsid wsp:val=&quot;7BBC14BA&quot;/&gt;&lt;wsp:rsid wsp:val=&quot;7BBD3591&quot;/&gt;&lt;wsp:rsid wsp:val=&quot;7BBF2A6D&quot;/&gt;&lt;wsp:rsid wsp:val=&quot;7BBF30A8&quot;/&gt;&lt;wsp:rsid wsp:val=&quot;7BBF481B&quot;/&gt;&lt;wsp:rsid wsp:val=&quot;7BC43D95&quot;/&gt;&lt;wsp:rsid wsp:val=&quot;7BC52CCB&quot;/&gt;&lt;wsp:rsid wsp:val=&quot;7BC6204D&quot;/&gt;&lt;wsp:rsid wsp:val=&quot;7BC65BA9&quot;/&gt;&lt;wsp:rsid wsp:val=&quot;7BC71922&quot;/&gt;&lt;wsp:rsid wsp:val=&quot;7BC938EC&quot;/&gt;&lt;wsp:rsid wsp:val=&quot;7BCC50F8&quot;/&gt;&lt;wsp:rsid wsp:val=&quot;7BD06197&quot;/&gt;&lt;wsp:rsid wsp:val=&quot;7BD209F2&quot;/&gt;&lt;wsp:rsid wsp:val=&quot;7BD227A0&quot;/&gt;&lt;wsp:rsid wsp:val=&quot;7BD52290&quot;/&gt;&lt;wsp:rsid wsp:val=&quot;7BD55DED&quot;/&gt;&lt;wsp:rsid wsp:val=&quot;7BD61B65&quot;/&gt;&lt;wsp:rsid wsp:val=&quot;7BD75A22&quot;/&gt;&lt;wsp:rsid wsp:val=&quot;7BD823A4&quot;/&gt;&lt;wsp:rsid wsp:val=&quot;7BDA1655&quot;/&gt;&lt;wsp:rsid wsp:val=&quot;7BDA3403&quot;/&gt;&lt;wsp:rsid wsp:val=&quot;7BDA78A7&quot;/&gt;&lt;wsp:rsid wsp:val=&quot;7BDC191D&quot;/&gt;&lt;wsp:rsid wsp:val=&quot;7BDD2EF3&quot;/&gt;&lt;wsp:rsid wsp:val=&quot;7BDF0A19&quot;/&gt;&lt;wsp:rsid wsp:val=&quot;7BDF310F&quot;/&gt;&lt;wsp:rsid wsp:val=&quot;7BDF4EBD&quot;/&gt;&lt;wsp:rsid wsp:val=&quot;7BE2675B&quot;/&gt;&lt;wsp:rsid wsp:val=&quot;7BE424D4&quot;/&gt;&lt;wsp:rsid wsp:val=&quot;7BE6624C&quot;/&gt;&lt;wsp:rsid wsp:val=&quot;7BE67FFA&quot;/&gt;&lt;wsp:rsid wsp:val=&quot;7BE91898&quot;/&gt;&lt;wsp:rsid wsp:val=&quot;7BE97AEA&quot;/&gt;&lt;wsp:rsid wsp:val=&quot;7BEA7D4F&quot;/&gt;&lt;wsp:rsid wsp:val=&quot;7BEC1860&quot;/&gt;&lt;wsp:rsid wsp:val=&quot;7BEE7DDE&quot;/&gt;&lt;wsp:rsid wsp:val=&quot;7BF00E78&quot;/&gt;&lt;wsp:rsid wsp:val=&quot;7BF070CA&quot;/&gt;&lt;wsp:rsid wsp:val=&quot;7BF1074D&quot;/&gt;&lt;wsp:rsid wsp:val=&quot;7BF24BF0&quot;/&gt;&lt;wsp:rsid wsp:val=&quot;7BF36B62&quot;/&gt;&lt;wsp:rsid wsp:val=&quot;7BF73FB5&quot;/&gt;&lt;wsp:rsid wsp:val=&quot;7BF81544&quot;/&gt;&lt;wsp:rsid wsp:val=&quot;7BF81ADB&quot;/&gt;&lt;wsp:rsid wsp:val=&quot;7BF85F7F&quot;/&gt;&lt;wsp:rsid wsp:val=&quot;7BF94115&quot;/&gt;&lt;wsp:rsid wsp:val=&quot;7BFA5853&quot;/&gt;&lt;wsp:rsid wsp:val=&quot;7BFB7EC5&quot;/&gt;&lt;wsp:rsid wsp:val=&quot;7BFC781D&quot;/&gt;&lt;wsp:rsid wsp:val=&quot;7BFD3595&quot;/&gt;&lt;wsp:rsid wsp:val=&quot;7BFE412C&quot;/&gt;&lt;wsp:rsid wsp:val=&quot;7BFF10BB&quot;/&gt;&lt;wsp:rsid wsp:val=&quot;7BFF730D&quot;/&gt;&lt;wsp:rsid wsp:val=&quot;7C013085&quot;/&gt;&lt;wsp:rsid wsp:val=&quot;7C01581E&quot;/&gt;&lt;wsp:rsid wsp:val=&quot;7C02295A&quot;/&gt;&lt;wsp:rsid wsp:val=&quot;7C030BAC&quot;/&gt;&lt;wsp:rsid wsp:val=&quot;7C032A6B&quot;/&gt;&lt;wsp:rsid wsp:val=&quot;7C044924&quot;/&gt;&lt;wsp:rsid wsp:val=&quot;7C06244A&quot;/&gt;&lt;wsp:rsid wsp:val=&quot;7C0641F8&quot;/&gt;&lt;wsp:rsid wsp:val=&quot;7C091F3A&quot;/&gt;&lt;wsp:rsid wsp:val=&quot;7C0B7A60&quot;/&gt;&lt;wsp:rsid wsp:val=&quot;7C0D1A2A&quot;/&gt;&lt;wsp:rsid wsp:val=&quot;7C0E18D7&quot;/&gt;&lt;wsp:rsid wsp:val=&quot;7C0E7550&quot;/&gt;&lt;wsp:rsid wsp:val=&quot;7C10151B&quot;/&gt;&lt;wsp:rsid wsp:val=&quot;7C134B67&quot;/&gt;&lt;wsp:rsid wsp:val=&quot;7C1354EF&quot;/&gt;&lt;wsp:rsid wsp:val=&quot;7C142DB9&quot;/&gt;&lt;wsp:rsid wsp:val=&quot;7C15363D&quot;/&gt;&lt;wsp:rsid wsp:val=&quot;7C156B31&quot;/&gt;&lt;wsp:rsid wsp:val=&quot;7C157102&quot;/&gt;&lt;wsp:rsid wsp:val=&quot;7C174657&quot;/&gt;&lt;wsp:rsid wsp:val=&quot;7C18217D&quot;/&gt;&lt;wsp:rsid wsp:val=&quot;7C183F2B&quot;/&gt;&lt;wsp:rsid wsp:val=&quot;7C1903CF&quot;/&gt;&lt;wsp:rsid wsp:val=&quot;7C1F175E&quot;/&gt;&lt;wsp:rsid wsp:val=&quot;7C1F39FE&quot;/&gt;&lt;wsp:rsid wsp:val=&quot;7C1F52BA&quot;/&gt;&lt;wsp:rsid wsp:val=&quot;7C211032&quot;/&gt;&lt;wsp:rsid wsp:val=&quot;7C2154D6&quot;/&gt;&lt;wsp:rsid wsp:val=&quot;7C2171A3&quot;/&gt;&lt;wsp:rsid wsp:val=&quot;7C246653&quot;/&gt;&lt;wsp:rsid wsp:val=&quot;7C262AEC&quot;/&gt;&lt;wsp:rsid wsp:val=&quot;7C296138&quot;/&gt;&lt;wsp:rsid wsp:val=&quot;7C2A2C16&quot;/&gt;&lt;wsp:rsid wsp:val=&quot;7C2B3C5E&quot;/&gt;&lt;wsp:rsid wsp:val=&quot;7C2D3E7B&quot;/&gt;&lt;wsp:rsid wsp:val=&quot;7C2D5C29&quot;/&gt;&lt;wsp:rsid wsp:val=&quot;7C2D79D7&quot;/&gt;&lt;wsp:rsid wsp:val=&quot;7C2E048F&quot;/&gt;&lt;wsp:rsid wsp:val=&quot;7C2E374F&quot;/&gt;&lt;wsp:rsid wsp:val=&quot;7C322B65&quot;/&gt;&lt;wsp:rsid wsp:val=&quot;7C350F81&quot;/&gt;&lt;wsp:rsid wsp:val=&quot;7C354ADD&quot;/&gt;&lt;wsp:rsid wsp:val=&quot;7C370855&quot;/&gt;&lt;wsp:rsid wsp:val=&quot;7C372603&quot;/&gt;&lt;wsp:rsid wsp:val=&quot;7C3945CD&quot;/&gt;&lt;wsp:rsid wsp:val=&quot;7C3A0345&quot;/&gt;&lt;wsp:rsid wsp:val=&quot;7C3C2310&quot;/&gt;&lt;wsp:rsid wsp:val=&quot;7C3C5C2A&quot;/&gt;&lt;wsp:rsid wsp:val=&quot;7C3D07C3&quot;/&gt;&lt;wsp:rsid wsp:val=&quot;7C3E0A71&quot;/&gt;&lt;wsp:rsid wsp:val=&quot;7C3F595C&quot;/&gt;&lt;wsp:rsid wsp:val=&quot;7C4111CA&quot;/&gt;&lt;wsp:rsid wsp:val=&quot;7C417926&quot;/&gt;&lt;wsp:rsid wsp:val=&quot;7C4371FA&quot;/&gt;&lt;wsp:rsid wsp:val=&quot;7C4411C4&quot;/&gt;&lt;wsp:rsid wsp:val=&quot;7C442F72&quot;/&gt;&lt;wsp:rsid wsp:val=&quot;7C457B4B&quot;/&gt;&lt;wsp:rsid wsp:val=&quot;7C460A98&quot;/&gt;&lt;wsp:rsid wsp:val=&quot;7C460FDB&quot;/&gt;&lt;wsp:rsid wsp:val=&quot;7C46568D&quot;/&gt;&lt;wsp:rsid wsp:val=&quot;7C484810&quot;/&gt;&lt;wsp:rsid wsp:val=&quot;7C4B2553&quot;/&gt;&lt;wsp:rsid wsp:val=&quot;7C4B4301&quot;/&gt;&lt;wsp:rsid wsp:val=&quot;7C4B60AF&quot;/&gt;&lt;wsp:rsid wsp:val=&quot;7C4D323B&quot;/&gt;&lt;wsp:rsid wsp:val=&quot;7C4E5B9F&quot;/&gt;&lt;wsp:rsid wsp:val=&quot;7C4F2043&quot;/&gt;&lt;wsp:rsid wsp:val=&quot;7C5036C5&quot;/&gt;&lt;wsp:rsid wsp:val=&quot;7C5238E1&quot;/&gt;&lt;wsp:rsid wsp:val=&quot;7C525607&quot;/&gt;&lt;wsp:rsid wsp:val=&quot;7C5331B5&quot;/&gt;&lt;wsp:rsid wsp:val=&quot;7C55517F&quot;/&gt;&lt;wsp:rsid wsp:val=&quot;7C570EF7&quot;/&gt;&lt;wsp:rsid wsp:val=&quot;7C590215&quot;/&gt;&lt;wsp:rsid wsp:val=&quot;7C5A2796&quot;/&gt;&lt;wsp:rsid wsp:val=&quot;7C5A4544&quot;/&gt;&lt;wsp:rsid wsp:val=&quot;7C5B09E8&quot;/&gt;&lt;wsp:rsid wsp:val=&quot;7C5E4034&quot;/&gt;&lt;wsp:rsid wsp:val=&quot;7C5F1B5A&quot;/&gt;&lt;wsp:rsid wsp:val=&quot;7C5F1B82&quot;/&gt;&lt;wsp:rsid wsp:val=&quot;7C601079&quot;/&gt;&lt;wsp:rsid wsp:val=&quot;7C605FFE&quot;/&gt;&lt;wsp:rsid wsp:val=&quot;7C617073&quot;/&gt;&lt;wsp:rsid wsp:val=&quot;7C63164A&quot;/&gt;&lt;wsp:rsid wsp:val=&quot;7C6333F8&quot;/&gt;&lt;wsp:rsid wsp:val=&quot;7C6453C2&quot;/&gt;&lt;wsp:rsid wsp:val=&quot;7C66113B&quot;/&gt;&lt;wsp:rsid wsp:val=&quot;7C684EB3&quot;/&gt;&lt;wsp:rsid wsp:val=&quot;7C6B04FF&quot;/&gt;&lt;wsp:rsid wsp:val=&quot;7C6B5616&quot;/&gt;&lt;wsp:rsid wsp:val=&quot;7C6B6751&quot;/&gt;&lt;wsp:rsid wsp:val=&quot;7C6B7A54&quot;/&gt;&lt;wsp:rsid wsp:val=&quot;7C6C5AC7&quot;/&gt;&lt;wsp:rsid wsp:val=&quot;7C6D007A&quot;/&gt;&lt;wsp:rsid wsp:val=&quot;7C6D4277&quot;/&gt;&lt;wsp:rsid wsp:val=&quot;7C6D5616&quot;/&gt;&lt;wsp:rsid wsp:val=&quot;7C6D5F2E&quot;/&gt;&lt;wsp:rsid wsp:val=&quot;7C701FB9&quot;/&gt;&lt;wsp:rsid wsp:val=&quot;7C7056D8&quot;/&gt;&lt;wsp:rsid wsp:val=&quot;7C705B15&quot;/&gt;&lt;wsp:rsid wsp:val=&quot;7C75312C&quot;/&gt;&lt;wsp:rsid wsp:val=&quot;7C7553A2&quot;/&gt;&lt;wsp:rsid wsp:val=&quot;7C7554E9&quot;/&gt;&lt;wsp:rsid wsp:val=&quot;7C7575D0&quot;/&gt;&lt;wsp:rsid wsp:val=&quot;7C765821&quot;/&gt;&lt;wsp:rsid wsp:val=&quot;7C790E6E&quot;/&gt;&lt;wsp:rsid wsp:val=&quot;7C7A4BE6&quot;/&gt;&lt;wsp:rsid wsp:val=&quot;7C7E0232&quot;/&gt;&lt;wsp:rsid wsp:val=&quot;7C7E1AF1&quot;/&gt;&lt;wsp:rsid wsp:val=&quot;7C7F66B9&quot;/&gt;&lt;wsp:rsid wsp:val=&quot;7C80044E&quot;/&gt;&lt;wsp:rsid wsp:val=&quot;7C8021FC&quot;/&gt;&lt;wsp:rsid wsp:val=&quot;7C817D22&quot;/&gt;&lt;wsp:rsid wsp:val=&quot;7C831CEC&quot;/&gt;&lt;wsp:rsid wsp:val=&quot;7C833A9B&quot;/&gt;&lt;wsp:rsid wsp:val=&quot;7C887303&quot;/&gt;&lt;wsp:rsid wsp:val=&quot;7C8A0E4F&quot;/&gt;&lt;wsp:rsid wsp:val=&quot;7C8B6DF3&quot;/&gt;&lt;wsp:rsid wsp:val=&quot;7C8C67B6&quot;/&gt;&lt;wsp:rsid wsp:val=&quot;7C8D2B6B&quot;/&gt;&lt;wsp:rsid wsp:val=&quot;7C8E41ED&quot;/&gt;&lt;wsp:rsid wsp:val=&quot;7C8F243F&quot;/&gt;&lt;wsp:rsid wsp:val=&quot;7C9061B7&quot;/&gt;&lt;wsp:rsid wsp:val=&quot;7C94199E&quot;/&gt;&lt;wsp:rsid wsp:val=&quot;7C947A56&quot;/&gt;&lt;wsp:rsid wsp:val=&quot;7C9712F4&quot;/&gt;&lt;wsp:rsid wsp:val=&quot;7C975798&quot;/&gt;&lt;wsp:rsid wsp:val=&quot;7C977546&quot;/&gt;&lt;wsp:rsid wsp:val=&quot;7C9960B9&quot;/&gt;&lt;wsp:rsid wsp:val=&quot;7C997985&quot;/&gt;&lt;wsp:rsid wsp:val=&quot;7C9B5288&quot;/&gt;&lt;wsp:rsid wsp:val=&quot;7C9C2DAE&quot;/&gt;&lt;wsp:rsid wsp:val=&quot;7C9C65D2&quot;/&gt;&lt;wsp:rsid wsp:val=&quot;7C9D1B23&quot;/&gt;&lt;wsp:rsid wsp:val=&quot;7C9E6B26&quot;/&gt;&lt;wsp:rsid wsp:val=&quot;7CA12173&quot;/&gt;&lt;wsp:rsid wsp:val=&quot;7CA3413D&quot;/&gt;&lt;wsp:rsid wsp:val=&quot;7CA36E25&quot;/&gt;&lt;wsp:rsid wsp:val=&quot;7CA419F6&quot;/&gt;&lt;wsp:rsid wsp:val=&quot;7CA51C63&quot;/&gt;&lt;wsp:rsid wsp:val=&quot;7CA67789&quot;/&gt;&lt;wsp:rsid wsp:val=&quot;7CA73C2D&quot;/&gt;&lt;wsp:rsid wsp:val=&quot;7CAA54CB&quot;/&gt;&lt;wsp:rsid wsp:val=&quot;7CAB16E6&quot;/&gt;&lt;wsp:rsid wsp:val=&quot;7CAB2FF1&quot;/&gt;&lt;wsp:rsid wsp:val=&quot;7CAB4D9F&quot;/&gt;&lt;wsp:rsid wsp:val=&quot;7CAE58D3&quot;/&gt;&lt;wsp:rsid wsp:val=&quot;7CAE62A4&quot;/&gt;&lt;wsp:rsid wsp:val=&quot;7CB1685A&quot;/&gt;&lt;wsp:rsid wsp:val=&quot;7CB24380&quot;/&gt;&lt;wsp:rsid wsp:val=&quot;7CB2612E&quot;/&gt;&lt;wsp:rsid wsp:val=&quot;7CB414EB&quot;/&gt;&lt;wsp:rsid wsp:val=&quot;7CB443E4&quot;/&gt;&lt;wsp:rsid wsp:val=&quot;7CB52486&quot;/&gt;&lt;wsp:rsid wsp:val=&quot;7CB63E70&quot;/&gt;&lt;wsp:rsid wsp:val=&quot;7CB73744&quot;/&gt;&lt;wsp:rsid wsp:val=&quot;7CB93960&quot;/&gt;&lt;wsp:rsid wsp:val=&quot;7CB9570E&quot;/&gt;&lt;wsp:rsid wsp:val=&quot;7CB97A54&quot;/&gt;&lt;wsp:rsid wsp:val=&quot;7CBA26A7&quot;/&gt;&lt;wsp:rsid wsp:val=&quot;7CBA32DC&quot;/&gt;&lt;wsp:rsid wsp:val=&quot;7CBA4FE2&quot;/&gt;&lt;wsp:rsid wsp:val=&quot;7CBA733C&quot;/&gt;&lt;wsp:rsid wsp:val=&quot;7CBB1486&quot;/&gt;&lt;wsp:rsid wsp:val=&quot;7CBB3234&quot;/&gt;&lt;wsp:rsid wsp:val=&quot;7CBC110D&quot;/&gt;&lt;wsp:rsid wsp:val=&quot;7CBC51FE&quot;/&gt;&lt;wsp:rsid wsp:val=&quot;7CBC6FAC&quot;/&gt;&lt;wsp:rsid wsp:val=&quot;7CC04CEF&quot;/&gt;&lt;wsp:rsid wsp:val=&quot;7CC06A9D&quot;/&gt;&lt;wsp:rsid wsp:val=&quot;7CC174D4&quot;/&gt;&lt;wsp:rsid wsp:val=&quot;7CC3658D&quot;/&gt;&lt;wsp:rsid wsp:val=&quot;7CC61BD9&quot;/&gt;&lt;wsp:rsid wsp:val=&quot;7CC6544B&quot;/&gt;&lt;wsp:rsid wsp:val=&quot;7CC77E2B&quot;/&gt;&lt;wsp:rsid wsp:val=&quot;7CCC3693&quot;/&gt;&lt;wsp:rsid wsp:val=&quot;7CCF6CE0&quot;/&gt;&lt;wsp:rsid wsp:val=&quot;7CD04806&quot;/&gt;&lt;wsp:rsid wsp:val=&quot;7CD10CAA&quot;/&gt;&lt;wsp:rsid wsp:val=&quot;7CD24A22&quot;/&gt;&lt;wsp:rsid wsp:val=&quot;7CD41612&quot;/&gt;&lt;wsp:rsid wsp:val=&quot;7CD460A4&quot;/&gt;&lt;wsp:rsid wsp:val=&quot;7CD46F1F&quot;/&gt;&lt;wsp:rsid wsp:val=&quot;7CD56132&quot;/&gt;&lt;wsp:rsid wsp:val=&quot;7CD6079C&quot;/&gt;&lt;wsp:rsid wsp:val=&quot;7CDA0507&quot;/&gt;&lt;wsp:rsid wsp:val=&quot;7CDB38D7&quot;/&gt;&lt;wsp:rsid wsp:val=&quot;7CDB7433&quot;/&gt;&lt;wsp:rsid wsp:val=&quot;7CDB7F75&quot;/&gt;&lt;wsp:rsid wsp:val=&quot;7CDD764F&quot;/&gt;&lt;wsp:rsid wsp:val=&quot;7CDE0A96&quot;/&gt;&lt;wsp:rsid wsp:val=&quot;7CDE5175&quot;/&gt;&lt;wsp:rsid wsp:val=&quot;7CDF5BE8&quot;/&gt;&lt;wsp:rsid wsp:val=&quot;7CE00EED&quot;/&gt;&lt;wsp:rsid wsp:val=&quot;7CE10508&quot;/&gt;&lt;wsp:rsid wsp:val=&quot;7CE3278B&quot;/&gt;&lt;wsp:rsid wsp:val=&quot;7CE36A7B&quot;/&gt;&lt;wsp:rsid wsp:val=&quot;7CE64029&quot;/&gt;&lt;wsp:rsid wsp:val=&quot;7CE65DD7&quot;/&gt;&lt;wsp:rsid wsp:val=&quot;7CE7227B&quot;/&gt;&lt;wsp:rsid wsp:val=&quot;7CE81B50&quot;/&gt;&lt;wsp:rsid wsp:val=&quot;7CE87DA1&quot;/&gt;&lt;wsp:rsid wsp:val=&quot;7CEA3B1A&quot;/&gt;&lt;wsp:rsid wsp:val=&quot;7CEA58C8&quot;/&gt;&lt;wsp:rsid wsp:val=&quot;7CEC1640&quot;/&gt;&lt;wsp:rsid wsp:val=&quot;7CED360A&quot;/&gt;&lt;wsp:rsid wsp:val=&quot;7CED3947&quot;/&gt;&lt;wsp:rsid wsp:val=&quot;7CED53B8&quot;/&gt;&lt;wsp:rsid wsp:val=&quot;7CED670E&quot;/&gt;&lt;wsp:rsid wsp:val=&quot;7CED6AAB&quot;/&gt;&lt;wsp:rsid wsp:val=&quot;7CEF7382&quot;/&gt;&lt;wsp:rsid wsp:val=&quot;7CF013CC&quot;/&gt;&lt;wsp:rsid wsp:val=&quot;7CF16C56&quot;/&gt;&lt;wsp:rsid wsp:val=&quot;7CF229CE&quot;/&gt;&lt;wsp:rsid wsp:val=&quot;7CF36E72&quot;/&gt;&lt;wsp:rsid wsp:val=&quot;7CF44998&quot;/&gt;&lt;wsp:rsid wsp:val=&quot;7CF6426C&quot;/&gt;&lt;wsp:rsid wsp:val=&quot;7CF7337E&quot;/&gt;&lt;wsp:rsid wsp:val=&quot;7CF77FE5&quot;/&gt;&lt;wsp:rsid wsp:val=&quot;7CF8424B&quot;/&gt;&lt;wsp:rsid wsp:val=&quot;7CF90201&quot;/&gt;&lt;wsp:rsid wsp:val=&quot;7CF9504E&quot;/&gt;&lt;wsp:rsid wsp:val=&quot;7CFB6428&quot;/&gt;&lt;wsp:rsid wsp:val=&quot;7CFD1A9F&quot;/&gt;&lt;wsp:rsid wsp:val=&quot;7CFD384D&quot;/&gt;&lt;wsp:rsid wsp:val=&quot;7CFE75C5&quot;/&gt;&lt;wsp:rsid wsp:val=&quot;7D0050EB&quot;/&gt;&lt;wsp:rsid wsp:val=&quot;7D016B7E&quot;/&gt;&lt;wsp:rsid wsp:val=&quot;7D0239FF&quot;/&gt;&lt;wsp:rsid wsp:val=&quot;7D052445&quot;/&gt;&lt;wsp:rsid wsp:val=&quot;7D052701&quot;/&gt;&lt;wsp:rsid wsp:val=&quot;7D056BA5&quot;/&gt;&lt;wsp:rsid wsp:val=&quot;7D0607E8&quot;/&gt;&lt;wsp:rsid wsp:val=&quot;7D061599&quot;/&gt;&lt;wsp:rsid wsp:val=&quot;7D0739BA&quot;/&gt;&lt;wsp:rsid wsp:val=&quot;7D07647A&quot;/&gt;&lt;wsp:rsid wsp:val=&quot;7D080444&quot;/&gt;&lt;wsp:rsid wsp:val=&quot;7D083996&quot;/&gt;&lt;wsp:rsid wsp:val=&quot;7D0A7D18&quot;/&gt;&lt;wsp:rsid wsp:val=&quot;7D0B2882&quot;/&gt;&lt;wsp:rsid wsp:val=&quot;7D0B583E&quot;/&gt;&lt;wsp:rsid wsp:val=&quot;7D0C7F34&quot;/&gt;&lt;wsp:rsid wsp:val=&quot;7D0D4954&quot;/&gt;&lt;wsp:rsid wsp:val=&quot;7D0F17D2&quot;/&gt;&lt;wsp:rsid wsp:val=&quot;7D1110A6&quot;/&gt;&lt;wsp:rsid wsp:val=&quot;7D124E1E&quot;/&gt;&lt;wsp:rsid wsp:val=&quot;7D133070&quot;/&gt;&lt;wsp:rsid wsp:val=&quot;7D1868D9&quot;/&gt;&lt;wsp:rsid wsp:val=&quot;7D186F3E&quot;/&gt;&lt;wsp:rsid wsp:val=&quot;7D1961AD&quot;/&gt;&lt;wsp:rsid wsp:val=&quot;7D1B0177&quot;/&gt;&lt;wsp:rsid wsp:val=&quot;7D1B1F25&quot;/&gt;&lt;wsp:rsid wsp:val=&quot;7D1B3CD3&quot;/&gt;&lt;wsp:rsid wsp:val=&quot;7D1C187F&quot;/&gt;&lt;wsp:rsid wsp:val=&quot;7D1D3EEF&quot;/&gt;&lt;wsp:rsid wsp:val=&quot;7D20753B&quot;/&gt;&lt;wsp:rsid wsp:val=&quot;7D232E8C&quot;/&gt;&lt;wsp:rsid wsp:val=&quot;7D2431E0&quot;/&gt;&lt;wsp:rsid wsp:val=&quot;7D250FF6&quot;/&gt;&lt;wsp:rsid wsp:val=&quot;7D2565CF&quot;/&gt;&lt;wsp:rsid wsp:val=&quot;7D267526&quot;/&gt;&lt;wsp:rsid wsp:val=&quot;7D2708CA&quot;/&gt;&lt;wsp:rsid wsp:val=&quot;7D2A03BA&quot;/&gt;&lt;wsp:rsid wsp:val=&quot;7D2A2168&quot;/&gt;&lt;wsp:rsid wsp:val=&quot;7D2B0EB1&quot;/&gt;&lt;wsp:rsid wsp:val=&quot;7D2C4132&quot;/&gt;&lt;wsp:rsid wsp:val=&quot;7D2E5C49&quot;/&gt;&lt;wsp:rsid wsp:val=&quot;7D2F3C22&quot;/&gt;&lt;wsp:rsid wsp:val=&quot;7D3251DF&quot;/&gt;&lt;wsp:rsid wsp:val=&quot;7D3354C1&quot;/&gt;&lt;wsp:rsid wsp:val=&quot;7D341239&quot;/&gt;&lt;wsp:rsid wsp:val=&quot;7D364FB1&quot;/&gt;&lt;wsp:rsid wsp:val=&quot;7D376633&quot;/&gt;&lt;wsp:rsid wsp:val=&quot;7D380D29&quot;/&gt;&lt;wsp:rsid wsp:val=&quot;7D3905FD&quot;/&gt;&lt;wsp:rsid wsp:val=&quot;7D391DCB&quot;/&gt;&lt;wsp:rsid wsp:val=&quot;7D39684F&quot;/&gt;&lt;wsp:rsid wsp:val=&quot;7D3D00ED&quot;/&gt;&lt;wsp:rsid wsp:val=&quot;7D40007C&quot;/&gt;&lt;wsp:rsid wsp:val=&quot;7D4023B4&quot;/&gt;&lt;wsp:rsid wsp:val=&quot;7D40373A&quot;/&gt;&lt;wsp:rsid wsp:val=&quot;7D424CD4&quot;/&gt;&lt;wsp:rsid wsp:val=&quot;7D44147C&quot;/&gt;&lt;wsp:rsid wsp:val=&quot;7D444E48&quot;/&gt;&lt;wsp:rsid wsp:val=&quot;7D456FA2&quot;/&gt;&lt;wsp:rsid wsp:val=&quot;7D474AC8&quot;/&gt;&lt;wsp:rsid wsp:val=&quot;7D484972&quot;/&gt;&lt;wsp:rsid wsp:val=&quot;7D494BA7&quot;/&gt;&lt;wsp:rsid wsp:val=&quot;7D496A92&quot;/&gt;&lt;wsp:rsid wsp:val=&quot;7D4A0A5C&quot;/&gt;&lt;wsp:rsid wsp:val=&quot;7D4B59EB&quot;/&gt;&lt;wsp:rsid wsp:val=&quot;7D4E33DB&quot;/&gt;&lt;wsp:rsid wsp:val=&quot;7D4F6073&quot;/&gt;&lt;wsp:rsid wsp:val=&quot;7D4F7E21&quot;/&gt;&lt;wsp:rsid wsp:val=&quot;7D511DEB&quot;/&gt;&lt;wsp:rsid wsp:val=&quot;7D52346D&quot;/&gt;&lt;wsp:rsid wsp:val=&quot;7D524328&quot;/&gt;&lt;wsp:rsid wsp:val=&quot;7D5316BF&quot;/&gt;&lt;wsp:rsid wsp:val=&quot;7D540579&quot;/&gt;&lt;wsp:rsid wsp:val=&quot;7D5771AB&quot;/&gt;&lt;wsp:rsid wsp:val=&quot;7D592A4D&quot;/&gt;&lt;wsp:rsid wsp:val=&quot;7D5947FB&quot;/&gt;&lt;wsp:rsid wsp:val=&quot;7D5B4A17&quot;/&gt;&lt;wsp:rsid wsp:val=&quot;7D5E0064&quot;/&gt;&lt;wsp:rsid wsp:val=&quot;7D5E40CD&quot;/&gt;&lt;wsp:rsid wsp:val=&quot;7D5E674A&quot;/&gt;&lt;wsp:rsid wsp:val=&quot;7D5F3C88&quot;/&gt;&lt;wsp:rsid wsp:val=&quot;7D5F62B6&quot;/&gt;&lt;wsp:rsid wsp:val=&quot;7D6003A6&quot;/&gt;&lt;wsp:rsid wsp:val=&quot;7D601980&quot;/&gt;&lt;wsp:rsid wsp:val=&quot;7D60202E&quot;/&gt;&lt;wsp:rsid wsp:val=&quot;7D652E27&quot;/&gt;&lt;wsp:rsid wsp:val=&quot;7D67516A&quot;/&gt;&lt;wsp:rsid wsp:val=&quot;7D67555F&quot;/&gt;&lt;wsp:rsid wsp:val=&quot;7D692C90&quot;/&gt;&lt;wsp:rsid wsp:val=&quot;7D697134&quot;/&gt;&lt;wsp:rsid wsp:val=&quot;7D6A07B6&quot;/&gt;&lt;wsp:rsid wsp:val=&quot;7D6B1788&quot;/&gt;&lt;wsp:rsid wsp:val=&quot;7D6B2EAC&quot;/&gt;&lt;wsp:rsid wsp:val=&quot;7D6C09D3&quot;/&gt;&lt;wsp:rsid wsp:val=&quot;7D6D33E9&quot;/&gt;&lt;wsp:rsid wsp:val=&quot;7D6E02A7&quot;/&gt;&lt;wsp:rsid wsp:val=&quot;7D6E474B&quot;/&gt;&lt;wsp:rsid wsp:val=&quot;7D6F5120&quot;/&gt;&lt;wsp:rsid wsp:val=&quot;7D711B45&quot;/&gt;&lt;wsp:rsid wsp:val=&quot;7D7274AA&quot;/&gt;&lt;wsp:rsid wsp:val=&quot;7D731D61&quot;/&gt;&lt;wsp:rsid wsp:val=&quot;7D73234A&quot;/&gt;&lt;wsp:rsid wsp:val=&quot;7D7635FF&quot;/&gt;&lt;wsp:rsid wsp:val=&quot;7D7706BD&quot;/&gt;&lt;wsp:rsid wsp:val=&quot;7D777879&quot;/&gt;&lt;wsp:rsid wsp:val=&quot;7D781125&quot;/&gt;&lt;wsp:rsid wsp:val=&quot;7D782ED3&quot;/&gt;&lt;wsp:rsid wsp:val=&quot;7D787377&quot;/&gt;&lt;wsp:rsid wsp:val=&quot;7D796C4C&quot;/&gt;&lt;wsp:rsid wsp:val=&quot;7D7A3160&quot;/&gt;&lt;wsp:rsid wsp:val=&quot;7D7B29C4&quot;/&gt;&lt;wsp:rsid wsp:val=&quot;7D7E2356&quot;/&gt;&lt;wsp:rsid wsp:val=&quot;7D7F0706&quot;/&gt;&lt;wsp:rsid wsp:val=&quot;7D7F24B4&quot;/&gt;&lt;wsp:rsid wsp:val=&quot;7D80128F&quot;/&gt;&lt;wsp:rsid wsp:val=&quot;7D801F0B&quot;/&gt;&lt;wsp:rsid wsp:val=&quot;7D80622C&quot;/&gt;&lt;wsp:rsid wsp:val=&quot;7D807FDA&quot;/&gt;&lt;wsp:rsid wsp:val=&quot;7D831878&quot;/&gt;&lt;wsp:rsid wsp:val=&quot;7D8361C8&quot;/&gt;&lt;wsp:rsid wsp:val=&quot;7D844A87&quot;/&gt;&lt;wsp:rsid wsp:val=&quot;7D8555F0&quot;/&gt;&lt;wsp:rsid wsp:val=&quot;7D860E2B&quot;/&gt;&lt;wsp:rsid wsp:val=&quot;7D871368&quot;/&gt;&lt;wsp:rsid wsp:val=&quot;7D89592A&quot;/&gt;&lt;wsp:rsid wsp:val=&quot;7D8A2C07&quot;/&gt;&lt;wsp:rsid wsp:val=&quot;7D8B70AB&quot;/&gt;&lt;wsp:rsid wsp:val=&quot;7D8C4BD1&quot;/&gt;&lt;wsp:rsid wsp:val=&quot;7D8C6DBE&quot;/&gt;&lt;wsp:rsid wsp:val=&quot;7D8E0949&quot;/&gt;&lt;wsp:rsid wsp:val=&quot;7D8E26F7&quot;/&gt;&lt;wsp:rsid wsp:val=&quot;7D8F646F&quot;/&gt;&lt;wsp:rsid wsp:val=&quot;7D8F7DEC&quot;/&gt;&lt;wsp:rsid wsp:val=&quot;7D9121E7&quot;/&gt;&lt;wsp:rsid wsp:val=&quot;7D92689C&quot;/&gt;&lt;wsp:rsid wsp:val=&quot;7D9336CB&quot;/&gt;&lt;wsp:rsid wsp:val=&quot;7D9341B1&quot;/&gt;&lt;wsp:rsid wsp:val=&quot;7D937D0D&quot;/&gt;&lt;wsp:rsid wsp:val=&quot;7D9677FD&quot;/&gt;&lt;wsp:rsid wsp:val=&quot;7D972E83&quot;/&gt;&lt;wsp:rsid wsp:val=&quot;7D9817C8&quot;/&gt;&lt;wsp:rsid wsp:val=&quot;7D983576&quot;/&gt;&lt;wsp:rsid wsp:val=&quot;7D98438D&quot;/&gt;&lt;wsp:rsid wsp:val=&quot;7D985324&quot;/&gt;&lt;wsp:rsid wsp:val=&quot;7D9A72EE&quot;/&gt;&lt;wsp:rsid wsp:val=&quot;7D9B3066&quot;/&gt;&lt;wsp:rsid wsp:val=&quot;7D9C18D5&quot;/&gt;&lt;wsp:rsid wsp:val=&quot;7D9E2DD0&quot;/&gt;&lt;wsp:rsid wsp:val=&quot;7DA0067C&quot;/&gt;&lt;wsp:rsid wsp:val=&quot;7DA261A2&quot;/&gt;&lt;wsp:rsid wsp:val=&quot;7DA4016C&quot;/&gt;&lt;wsp:rsid wsp:val=&quot;7DA55C93&quot;/&gt;&lt;wsp:rsid wsp:val=&quot;7DA63EE4&quot;/&gt;&lt;wsp:rsid wsp:val=&quot;7DA71A0B&quot;/&gt;&lt;wsp:rsid wsp:val=&quot;7DA912DF&quot;/&gt;&lt;wsp:rsid wsp:val=&quot;7DAA5DED&quot;/&gt;&lt;wsp:rsid wsp:val=&quot;7DAB14FB&quot;/&gt;&lt;wsp:rsid wsp:val=&quot;7DAC2806&quot;/&gt;&lt;wsp:rsid wsp:val=&quot;7DAE0FEB&quot;/&gt;&lt;wsp:rsid wsp:val=&quot;7DAE4B47&quot;/&gt;&lt;wsp:rsid wsp:val=&quot;7DAF266D&quot;/&gt;&lt;wsp:rsid wsp:val=&quot;7DB008BF&quot;/&gt;&lt;wsp:rsid wsp:val=&quot;7DB14637&quot;/&gt;&lt;wsp:rsid wsp:val=&quot;7DB3215D&quot;/&gt;&lt;wsp:rsid wsp:val=&quot;7DB52379&quot;/&gt;&lt;wsp:rsid wsp:val=&quot;7DB54128&quot;/&gt;&lt;wsp:rsid wsp:val=&quot;7DB61C4E&quot;/&gt;&lt;wsp:rsid wsp:val=&quot;7DB859C6&quot;/&gt;&lt;wsp:rsid wsp:val=&quot;7DB94E07&quot;/&gt;&lt;wsp:rsid wsp:val=&quot;7DBB2AB4&quot;/&gt;&lt;wsp:rsid wsp:val=&quot;7DBB7264&quot;/&gt;&lt;wsp:rsid wsp:val=&quot;7DBD122E&quot;/&gt;&lt;wsp:rsid wsp:val=&quot;7DBD4D8A&quot;/&gt;&lt;wsp:rsid wsp:val=&quot;7DBF0B02&quot;/&gt;&lt;wsp:rsid wsp:val=&quot;7DBF6B39&quot;/&gt;&lt;wsp:rsid wsp:val=&quot;7DC10D1E&quot;/&gt;&lt;wsp:rsid wsp:val=&quot;7DC425BD&quot;/&gt;&lt;wsp:rsid wsp:val=&quot;7DC46119&quot;/&gt;&lt;wsp:rsid wsp:val=&quot;7DC73E5B&quot;/&gt;&lt;wsp:rsid wsp:val=&quot;7DCA74A7&quot;/&gt;&lt;wsp:rsid wsp:val=&quot;7DCC321F&quot;/&gt;&lt;wsp:rsid wsp:val=&quot;7DCC3C07&quot;/&gt;&lt;wsp:rsid wsp:val=&quot;7DCD56F2&quot;/&gt;&lt;wsp:rsid wsp:val=&quot;7DD02D0F&quot;/&gt;&lt;wsp:rsid wsp:val=&quot;7DD06D82&quot;/&gt;&lt;wsp:rsid wsp:val=&quot;7DD16A88&quot;/&gt;&lt;wsp:rsid wsp:val=&quot;7DD24CD9&quot;/&gt;&lt;wsp:rsid wsp:val=&quot;7DD32800&quot;/&gt;&lt;wsp:rsid wsp:val=&quot;7DD56578&quot;/&gt;&lt;wsp:rsid wsp:val=&quot;7DD8176D&quot;/&gt;&lt;wsp:rsid wsp:val=&quot;7DD87E16&quot;/&gt;&lt;wsp:rsid wsp:val=&quot;7DD918A9&quot;/&gt;&lt;wsp:rsid wsp:val=&quot;7DD95881&quot;/&gt;&lt;wsp:rsid wsp:val=&quot;7DDC7906&quot;/&gt;&lt;wsp:rsid wsp:val=&quot;7DDC79A9&quot;/&gt;&lt;wsp:rsid wsp:val=&quot;7DDD542C&quot;/&gt;&lt;wsp:rsid wsp:val=&quot;7DDD6DD3&quot;/&gt;&lt;wsp:rsid wsp:val=&quot;7DDF2F52&quot;/&gt;&lt;wsp:rsid wsp:val=&quot;7DDF73F6&quot;/&gt;&lt;wsp:rsid wsp:val=&quot;7DE06CCB&quot;/&gt;&lt;wsp:rsid wsp:val=&quot;7DE14F1D&quot;/&gt;&lt;wsp:rsid wsp:val=&quot;7DE20C95&quot;/&gt;&lt;wsp:rsid wsp:val=&quot;7DE44A0D&quot;/&gt;&lt;wsp:rsid wsp:val=&quot;7DE467BB&quot;/&gt;&lt;wsp:rsid wsp:val=&quot;7DE47E14&quot;/&gt;&lt;wsp:rsid wsp:val=&quot;7DE93DD1&quot;/&gt;&lt;wsp:rsid wsp:val=&quot;7DEB5D9B&quot;/&gt;&lt;wsp:rsid wsp:val=&quot;7DEB7B49&quot;/&gt;&lt;wsp:rsid wsp:val=&quot;7DEC38C1&quot;/&gt;&lt;wsp:rsid wsp:val=&quot;7DED1B13&quot;/&gt;&lt;wsp:rsid wsp:val=&quot;7DF05160&quot;/&gt;&lt;wsp:rsid wsp:val=&quot;7DF34C50&quot;/&gt;&lt;wsp:rsid wsp:val=&quot;7DF369FE&quot;/&gt;&lt;wsp:rsid wsp:val=&quot;7DF509C8&quot;/&gt;&lt;wsp:rsid wsp:val=&quot;7DF52776&quot;/&gt;&lt;wsp:rsid wsp:val=&quot;7DF53919&quot;/&gt;&lt;wsp:rsid wsp:val=&quot;7DF6029C&quot;/&gt;&lt;wsp:rsid wsp:val=&quot;7DF73FD2&quot;/&gt;&lt;wsp:rsid wsp:val=&quot;7DF82266&quot;/&gt;&lt;wsp:rsid wsp:val=&quot;7DFA0355&quot;/&gt;&lt;wsp:rsid wsp:val=&quot;7DFC1D56&quot;/&gt;&lt;wsp:rsid wsp:val=&quot;7DFD162B&quot;/&gt;&lt;wsp:rsid wsp:val=&quot;7DFD20AA&quot;/&gt;&lt;wsp:rsid wsp:val=&quot;7DFD5ACF&quot;/&gt;&lt;wsp:rsid wsp:val=&quot;7DFD787D&quot;/&gt;&lt;wsp:rsid wsp:val=&quot;7DFF35F5&quot;/&gt;&lt;wsp:rsid wsp:val=&quot;7DFF53A3&quot;/&gt;&lt;wsp:rsid wsp:val=&quot;7E000A2B&quot;/&gt;&lt;wsp:rsid wsp:val=&quot;7E003F9D&quot;/&gt;&lt;wsp:rsid wsp:val=&quot;7E024E93&quot;/&gt;&lt;wsp:rsid wsp:val=&quot;7E026C41&quot;/&gt;&lt;wsp:rsid wsp:val=&quot;7E040C0B&quot;/&gt;&lt;wsp:rsid wsp:val=&quot;7E0429B9&quot;/&gt;&lt;wsp:rsid wsp:val=&quot;7E096221&quot;/&gt;&lt;wsp:rsid wsp:val=&quot;7E0977F0&quot;/&gt;&lt;wsp:rsid wsp:val=&quot;7E097FCF&quot;/&gt;&lt;wsp:rsid wsp:val=&quot;7E0B01EB&quot;/&gt;&lt;wsp:rsid wsp:val=&quot;7E0B1F99&quot;/&gt;&lt;wsp:rsid wsp:val=&quot;7E0B673C&quot;/&gt;&lt;wsp:rsid wsp:val=&quot;7E0C7AC0&quot;/&gt;&lt;wsp:rsid wsp:val=&quot;7E0E5F91&quot;/&gt;&lt;wsp:rsid wsp:val=&quot;7E121076&quot;/&gt;&lt;wsp:rsid wsp:val=&quot;7E123328&quot;/&gt;&lt;wsp:rsid wsp:val=&quot;7E125FC0&quot;/&gt;&lt;wsp:rsid wsp:val=&quot;7E130E4E&quot;/&gt;&lt;wsp:rsid wsp:val=&quot;7E1352F2&quot;/&gt;&lt;wsp:rsid wsp:val=&quot;7E1370A0&quot;/&gt;&lt;wsp:rsid wsp:val=&quot;7E140841&quot;/&gt;&lt;wsp:rsid wsp:val=&quot;7E142CC9&quot;/&gt;&lt;wsp:rsid wsp:val=&quot;7E155919&quot;/&gt;&lt;wsp:rsid wsp:val=&quot;7E156974&quot;/&gt;&lt;wsp:rsid wsp:val=&quot;7E1626EC&quot;/&gt;&lt;wsp:rsid wsp:val=&quot;7E1846B6&quot;/&gt;&lt;wsp:rsid wsp:val=&quot;7E186464&quot;/&gt;&lt;wsp:rsid wsp:val=&quot;7E196427&quot;/&gt;&lt;wsp:rsid wsp:val=&quot;7E1A042F&quot;/&gt;&lt;wsp:rsid wsp:val=&quot;7E1C41A7&quot;/&gt;&lt;wsp:rsid wsp:val=&quot;7E1C5F55&quot;/&gt;&lt;wsp:rsid wsp:val=&quot;7E1E7F1F&quot;/&gt;&lt;wsp:rsid wsp:val=&quot;7E1F3C97&quot;/&gt;&lt;wsp:rsid wsp:val=&quot;7E2059DB&quot;/&gt;&lt;wsp:rsid wsp:val=&quot;7E21356B&quot;/&gt;&lt;wsp:rsid wsp:val=&quot;7E215319&quot;/&gt;&lt;wsp:rsid wsp:val=&quot;7E235535&quot;/&gt;&lt;wsp:rsid wsp:val=&quot;7E244E09&quot;/&gt;&lt;wsp:rsid wsp:val=&quot;7E2651F7&quot;/&gt;&lt;wsp:rsid wsp:val=&quot;7E2A3C98&quot;/&gt;&lt;wsp:rsid wsp:val=&quot;7E2B43EA&quot;/&gt;&lt;wsp:rsid wsp:val=&quot;7E2B727B&quot;/&gt;&lt;wsp:rsid wsp:val=&quot;7E2D0162&quot;/&gt;&lt;wsp:rsid wsp:val=&quot;7E2E3EDA&quot;/&gt;&lt;wsp:rsid wsp:val=&quot;7E2E5C88&quot;/&gt;&lt;wsp:rsid wsp:val=&quot;7E3037AE&quot;/&gt;&lt;wsp:rsid wsp:val=&quot;7E327526&quot;/&gt;&lt;wsp:rsid wsp:val=&quot;7E34648B&quot;/&gt;&lt;wsp:rsid wsp:val=&quot;7E350DC4&quot;/&gt;&lt;wsp:rsid wsp:val=&quot;7E357016&quot;/&gt;&lt;wsp:rsid wsp:val=&quot;7E394D59&quot;/&gt;&lt;wsp:rsid wsp:val=&quot;7E3A287F&quot;/&gt;&lt;wsp:rsid wsp:val=&quot;7E3C60AD&quot;/&gt;&lt;wsp:rsid wsp:val=&quot;7E3C65F7&quot;/&gt;&lt;wsp:rsid wsp:val=&quot;7E3D5ECB&quot;/&gt;&lt;wsp:rsid wsp:val=&quot;7E3F60E7&quot;/&gt;&lt;wsp:rsid wsp:val=&quot;7E405EBE&quot;/&gt;&lt;wsp:rsid wsp:val=&quot;7E4234E1&quot;/&gt;&lt;wsp:rsid wsp:val=&quot;7E423C46&quot;/&gt;&lt;wsp:rsid wsp:val=&quot;7E431733&quot;/&gt;&lt;wsp:rsid wsp:val=&quot;7E464D80&quot;/&gt;&lt;wsp:rsid wsp:val=&quot;7E4B05E8&quot;/&gt;&lt;wsp:rsid wsp:val=&quot;7E4B4A8C&quot;/&gt;&lt;wsp:rsid wsp:val=&quot;7E4D4360&quot;/&gt;&lt;wsp:rsid wsp:val=&quot;7E4E5849&quot;/&gt;&lt;wsp:rsid wsp:val=&quot;7E5020A2&quot;/&gt;&lt;wsp:rsid wsp:val=&quot;7E505BFE&quot;/&gt;&lt;wsp:rsid wsp:val=&quot;7E510584&quot;/&gt;&lt;wsp:rsid wsp:val=&quot;7E551467&quot;/&gt;&lt;wsp:rsid wsp:val=&quot;7E573431&quot;/&gt;&lt;wsp:rsid wsp:val=&quot;7E582D05&quot;/&gt;&lt;wsp:rsid wsp:val=&quot;7E5971A9&quot;/&gt;&lt;wsp:rsid wsp:val=&quot;7E5A4CCF&quot;/&gt;&lt;wsp:rsid wsp:val=&quot;7E5E656D&quot;/&gt;&lt;wsp:rsid wsp:val=&quot;7E5F1447&quot;/&gt;&lt;wsp:rsid wsp:val=&quot;7E621509&quot;/&gt;&lt;wsp:rsid wsp:val=&quot;7E627771&quot;/&gt;&lt;wsp:rsid wsp:val=&quot;7E631DD5&quot;/&gt;&lt;wsp:rsid wsp:val=&quot;7E633AAA&quot;/&gt;&lt;wsp:rsid wsp:val=&quot;7E633B84&quot;/&gt;&lt;wsp:rsid wsp:val=&quot;7E635932&quot;/&gt;&lt;wsp:rsid wsp:val=&quot;7E665422&quot;/&gt;&lt;wsp:rsid wsp:val=&quot;7E6A6190&quot;/&gt;&lt;wsp:rsid wsp:val=&quot;7E6B58D5&quot;/&gt;&lt;wsp:rsid wsp:val=&quot;7E6D4A02&quot;/&gt;&lt;wsp:rsid wsp:val=&quot;7E6E4135&quot;/&gt;&lt;wsp:rsid wsp:val=&quot;7E6F7507&quot;/&gt;&lt;wsp:rsid wsp:val=&quot;7E70004F&quot;/&gt;&lt;wsp:rsid wsp:val=&quot;7E703825&quot;/&gt;&lt;wsp:rsid wsp:val=&quot;7E725B75&quot;/&gt;&lt;wsp:rsid wsp:val=&quot;7E7757D5&quot;/&gt;&lt;wsp:rsid wsp:val=&quot;7E7933A7&quot;/&gt;&lt;wsp:rsid wsp:val=&quot;7E7A0ECD&quot;/&gt;&lt;wsp:rsid wsp:val=&quot;7E7A2C7B&quot;/&gt;&lt;wsp:rsid wsp:val=&quot;7E7A711F&quot;/&gt;&lt;wsp:rsid wsp:val=&quot;7E7E6C0F&quot;/&gt;&lt;wsp:rsid wsp:val=&quot;7E7F0292&quot;/&gt;&lt;wsp:rsid wsp:val=&quot;7E7F64E4&quot;/&gt;&lt;wsp:rsid wsp:val=&quot;7E81400A&quot;/&gt;&lt;wsp:rsid wsp:val=&quot;7E834226&quot;/&gt;&lt;wsp:rsid wsp:val=&quot;7E857F9E&quot;/&gt;&lt;wsp:rsid wsp:val=&quot;7E861620&quot;/&gt;&lt;wsp:rsid wsp:val=&quot;7E8807F6&quot;/&gt;&lt;wsp:rsid wsp:val=&quot;7E8835EA&quot;/&gt;&lt;wsp:rsid wsp:val=&quot;7E891110&quot;/&gt;&lt;wsp:rsid wsp:val=&quot;7E8A4D88&quot;/&gt;&lt;wsp:rsid wsp:val=&quot;7E8A5B6F&quot;/&gt;&lt;wsp:rsid wsp:val=&quot;7E8B30DA&quot;/&gt;&lt;wsp:rsid wsp:val=&quot;7E8B6C36&quot;/&gt;&lt;wsp:rsid wsp:val=&quot;7E8C49F5&quot;/&gt;&lt;wsp:rsid wsp:val=&quot;7E8D44C5&quot;/&gt;&lt;wsp:rsid wsp:val=&quot;7E8D6E52&quot;/&gt;&lt;wsp:rsid wsp:val=&quot;7E8E6727&quot;/&gt;&lt;wsp:rsid wsp:val=&quot;7E8F2BCB&quot;/&gt;&lt;wsp:rsid wsp:val=&quot;7E902E46&quot;/&gt;&lt;wsp:rsid wsp:val=&quot;7E906943&quot;/&gt;&lt;wsp:rsid wsp:val=&quot;7E924469&quot;/&gt;&lt;wsp:rsid wsp:val=&quot;7E933E58&quot;/&gt;&lt;wsp:rsid wsp:val=&quot;7E9401E1&quot;/&gt;&lt;wsp:rsid wsp:val=&quot;7E971A7F&quot;/&gt;&lt;wsp:rsid wsp:val=&quot;7E975577&quot;/&gt;&lt;wsp:rsid wsp:val=&quot;7E9957F7&quot;/&gt;&lt;wsp:rsid wsp:val=&quot;7E9A3EF8&quot;/&gt;&lt;wsp:rsid wsp:val=&quot;7E9B6AC9&quot;/&gt;&lt;wsp:rsid wsp:val=&quot;7E9C13E9&quot;/&gt;&lt;wsp:rsid wsp:val=&quot;7E9C48E7&quot;/&gt;&lt;wsp:rsid wsp:val=&quot;7E9E2E0E&quot;/&gt;&lt;wsp:rsid wsp:val=&quot;7E9F0934&quot;/&gt;&lt;wsp:rsid wsp:val=&quot;7E9F26E2&quot;/&gt;&lt;wsp:rsid wsp:val=&quot;7EA128FE&quot;/&gt;&lt;wsp:rsid wsp:val=&quot;7EA321D2&quot;/&gt;&lt;wsp:rsid wsp:val=&quot;7EA5419C&quot;/&gt;&lt;wsp:rsid wsp:val=&quot;7EA61CC2&quot;/&gt;&lt;wsp:rsid wsp:val=&quot;7EA83C8C&quot;/&gt;&lt;wsp:rsid wsp:val=&quot;7EA85A3A&quot;/&gt;&lt;wsp:rsid wsp:val=&quot;7EA877E8&quot;/&gt;&lt;wsp:rsid wsp:val=&quot;7EAA17B2&quot;/&gt;&lt;wsp:rsid wsp:val=&quot;7EAB50F7&quot;/&gt;&lt;wsp:rsid wsp:val=&quot;7EAB7A4E&quot;/&gt;&lt;wsp:rsid wsp:val=&quot;7EAD3051&quot;/&gt;&lt;wsp:rsid wsp:val=&quot;7EAD3724&quot;/&gt;&lt;wsp:rsid wsp:val=&quot;7EAD4DFF&quot;/&gt;&lt;wsp:rsid wsp:val=&quot;7EB0669D&quot;/&gt;&lt;wsp:rsid wsp:val=&quot;7EB138C0&quot;/&gt;&lt;wsp:rsid wsp:val=&quot;7EB24D50&quot;/&gt;&lt;wsp:rsid wsp:val=&quot;7EB268B9&quot;/&gt;&lt;wsp:rsid wsp:val=&quot;7EB40DB1&quot;/&gt;&lt;wsp:rsid wsp:val=&quot;7EB42631&quot;/&gt;&lt;wsp:rsid wsp:val=&quot;7EB451A2&quot;/&gt;&lt;wsp:rsid wsp:val=&quot;7EB61686&quot;/&gt;&lt;wsp:rsid wsp:val=&quot;7EB75C7D&quot;/&gt;&lt;wsp:rsid wsp:val=&quot;7EBA751C&quot;/&gt;&lt;wsp:rsid wsp:val=&quot;7EBC3294&quot;/&gt;&lt;wsp:rsid wsp:val=&quot;7EBD7E66&quot;/&gt;&lt;wsp:rsid wsp:val=&quot;7EBF08B1&quot;/&gt;&lt;wsp:rsid wsp:val=&quot;7EC00FD6&quot;/&gt;&lt;wsp:rsid wsp:val=&quot;7EC16AFC&quot;/&gt;&lt;wsp:rsid wsp:val=&quot;7EC2593C&quot;/&gt;&lt;wsp:rsid wsp:val=&quot;7EC363D0&quot;/&gt;&lt;wsp:rsid wsp:val=&quot;7EC5039A&quot;/&gt;&lt;wsp:rsid wsp:val=&quot;7EC50D5E&quot;/&gt;&lt;wsp:rsid wsp:val=&quot;7EC531C6&quot;/&gt;&lt;wsp:rsid wsp:val=&quot;7EC65EC0&quot;/&gt;&lt;wsp:rsid wsp:val=&quot;7EC81C39&quot;/&gt;&lt;wsp:rsid wsp:val=&quot;7EC860DC&quot;/&gt;&lt;wsp:rsid wsp:val=&quot;7EC9775F&quot;/&gt;&lt;wsp:rsid wsp:val=&quot;7ECA59B1&quot;/&gt;&lt;wsp:rsid wsp:val=&quot;7ECC2D22&quot;/&gt;&lt;wsp:rsid wsp:val=&quot;7ECD54A1&quot;/&gt;&lt;wsp:rsid wsp:val=&quot;7ECF746B&quot;/&gt;&lt;wsp:rsid wsp:val=&quot;7ED06D3F&quot;/&gt;&lt;wsp:rsid wsp:val=&quot;7ED14F91&quot;/&gt;&lt;wsp:rsid wsp:val=&quot;7ED20D09&quot;/&gt;&lt;wsp:rsid wsp:val=&quot;7ED22AB7&quot;/&gt;&lt;wsp:rsid wsp:val=&quot;7ED3017A&quot;/&gt;&lt;wsp:rsid wsp:val=&quot;7ED405DD&quot;/&gt;&lt;wsp:rsid wsp:val=&quot;7ED4682F&quot;/&gt;&lt;wsp:rsid wsp:val=&quot;7ED54355&quot;/&gt;&lt;wsp:rsid wsp:val=&quot;7ED607F9&quot;/&gt;&lt;wsp:rsid wsp:val=&quot;7ED93E46&quot;/&gt;&lt;wsp:rsid wsp:val=&quot;7ED97EFB&quot;/&gt;&lt;wsp:rsid wsp:val=&quot;7EDA196C&quot;/&gt;&lt;wsp:rsid wsp:val=&quot;7EDA1D53&quot;/&gt;&lt;wsp:rsid wsp:val=&quot;7EDB7BBE&quot;/&gt;&lt;wsp:rsid wsp:val=&quot;7EDC1B88&quot;/&gt;&lt;wsp:rsid wsp:val=&quot;7EDC7492&quot;/&gt;&lt;wsp:rsid wsp:val=&quot;7EDE320A&quot;/&gt;&lt;wsp:rsid wsp:val=&quot;7EDE76AE&quot;/&gt;&lt;wsp:rsid wsp:val=&quot;7EE051FD&quot;/&gt;&lt;wsp:rsid wsp:val=&quot;7EE10F4C&quot;/&gt;&lt;wsp:rsid wsp:val=&quot;7EE12CFA&quot;/&gt;&lt;wsp:rsid wsp:val=&quot;7EE30820&quot;/&gt;&lt;wsp:rsid wsp:val=&quot;7EE747B5&quot;/&gt;&lt;wsp:rsid wsp:val=&quot;7EE8052D&quot;/&gt;&lt;wsp:rsid wsp:val=&quot;7EED169F&quot;/&gt;&lt;wsp:rsid wsp:val=&quot;7EED5B43&quot;/&gt;&lt;wsp:rsid wsp:val=&quot;7EEF71C5&quot;/&gt;&lt;wsp:rsid wsp:val=&quot;7EF00CCA&quot;/&gt;&lt;wsp:rsid wsp:val=&quot;7EF02F3D&quot;/&gt;&lt;wsp:rsid wsp:val=&quot;7EF03E00&quot;/&gt;&lt;wsp:rsid wsp:val=&quot;7EF20AA2&quot;/&gt;&lt;wsp:rsid wsp:val=&quot;7EF23899&quot;/&gt;&lt;wsp:rsid wsp:val=&quot;7EF40C80&quot;/&gt;&lt;wsp:rsid wsp:val=&quot;7EF415E7&quot;/&gt;&lt;wsp:rsid wsp:val=&quot;7EF42A2E&quot;/&gt;&lt;wsp:rsid wsp:val=&quot;7EF649F8&quot;/&gt;&lt;wsp:rsid wsp:val=&quot;7EF7251E&quot;/&gt;&lt;wsp:rsid wsp:val=&quot;7EF742CC&quot;/&gt;&lt;wsp:rsid wsp:val=&quot;7EF931C4&quot;/&gt;&lt;wsp:rsid wsp:val=&quot;7EFA0B2A&quot;/&gt;&lt;wsp:rsid wsp:val=&quot;7EFB3DBC&quot;/&gt;&lt;wsp:rsid wsp:val=&quot;7EFC5D86&quot;/&gt;&lt;wsp:rsid wsp:val=&quot;7EFE38AC&quot;/&gt;&lt;wsp:rsid wsp:val=&quot;7F001CE7&quot;/&gt;&lt;wsp:rsid wsp:val=&quot;7F0215EE&quot;/&gt;&lt;wsp:rsid wsp:val=&quot;7F032C71&quot;/&gt;&lt;wsp:rsid wsp:val=&quot;7F054C3B&quot;/&gt;&lt;wsp:rsid wsp:val=&quot;7F062761&quot;/&gt;&lt;wsp:rsid wsp:val=&quot;7F0709B3&quot;/&gt;&lt;wsp:rsid wsp:val=&quot;7F076C05&quot;/&gt;&lt;wsp:rsid wsp:val=&quot;7F0A3FFF&quot;/&gt;&lt;wsp:rsid wsp:val=&quot;7F0C281B&quot;/&gt;&lt;wsp:rsid wsp:val=&quot;7F0F1615&quot;/&gt;&lt;wsp:rsid wsp:val=&quot;7F0F5AB9&quot;/&gt;&lt;wsp:rsid wsp:val=&quot;7F0F7867&quot;/&gt;&lt;wsp:rsid wsp:val=&quot;7F1042DC&quot;/&gt;&lt;wsp:rsid wsp:val=&quot;7F122CEE&quot;/&gt;&lt;wsp:rsid wsp:val=&quot;7F127358&quot;/&gt;&lt;wsp:rsid wsp:val=&quot;7F141322&quot;/&gt;&lt;wsp:rsid wsp:val=&quot;7F1430D0&quot;/&gt;&lt;wsp:rsid wsp:val=&quot;7F1629A4&quot;/&gt;&lt;wsp:rsid wsp:val=&quot;7F166E48&quot;/&gt;&lt;wsp:rsid wsp:val=&quot;7F17164A&quot;/&gt;&lt;wsp:rsid wsp:val=&quot;7F17496E&quot;/&gt;&lt;wsp:rsid wsp:val=&quot;7F182BC0&quot;/&gt;&lt;wsp:rsid wsp:val=&quot;7F1B620C&quot;/&gt;&lt;wsp:rsid wsp:val=&quot;7F1B7CAE&quot;/&gt;&lt;wsp:rsid wsp:val=&quot;7F1C287F&quot;/&gt;&lt;wsp:rsid wsp:val=&quot;7F1C3D32&quot;/&gt;&lt;wsp:rsid wsp:val=&quot;7F207CC7&quot;/&gt;&lt;wsp:rsid wsp:val=&quot;7F211349&quot;/&gt;&lt;wsp:rsid wsp:val=&quot;7F2257ED&quot;/&gt;&lt;wsp:rsid wsp:val=&quot;7F241613&quot;/&gt;&lt;wsp:rsid wsp:val=&quot;7F250E39&quot;/&gt;&lt;wsp:rsid wsp:val=&quot;7F253C46&quot;/&gt;&lt;wsp:rsid wsp:val=&quot;7F264BB1&quot;/&gt;&lt;wsp:rsid wsp:val=&quot;7F2770C2&quot;/&gt;&lt;wsp:rsid wsp:val=&quot;7F294E83&quot;/&gt;&lt;wsp:rsid wsp:val=&quot;7F2A46A1&quot;/&gt;&lt;wsp:rsid wsp:val=&quot;7F2A6313&quot;/&gt;&lt;wsp:rsid wsp:val=&quot;7F2C21C7&quot;/&gt;&lt;wsp:rsid wsp:val=&quot;7F2D4191&quot;/&gt;&lt;wsp:rsid wsp:val=&quot;7F2E7F2D&quot;/&gt;&lt;wsp:rsid wsp:val=&quot;7F2F3A66&quot;/&gt;&lt;wsp:rsid wsp:val=&quot;7F2F7F0A&quot;/&gt;&lt;wsp:rsid wsp:val=&quot;7F315A30&quot;/&gt;&lt;wsp:rsid wsp:val=&quot;7F323556&quot;/&gt;&lt;wsp:rsid wsp:val=&quot;7F327676&quot;/&gt;&lt;wsp:rsid wsp:val=&quot;7F34107C&quot;/&gt;&lt;wsp:rsid wsp:val=&quot;7F3472CE&quot;/&gt;&lt;wsp:rsid wsp:val=&quot;7F385E37&quot;/&gt;&lt;wsp:rsid wsp:val=&quot;7F392B36&quot;/&gt;&lt;wsp:rsid wsp:val=&quot;7F393237&quot;/&gt;&lt;wsp:rsid wsp:val=&quot;7F3A0C3E&quot;/&gt;&lt;wsp:rsid wsp:val=&quot;7F3B065C&quot;/&gt;&lt;wsp:rsid wsp:val=&quot;7F3D43D5&quot;/&gt;&lt;wsp:rsid wsp:val=&quot;7F3E2029&quot;/&gt;&lt;wsp:rsid wsp:val=&quot;7F401C7A&quot;/&gt;&lt;wsp:rsid wsp:val=&quot;7F420B28&quot;/&gt;&lt;wsp:rsid wsp:val=&quot;7F425A2A&quot;/&gt;&lt;wsp:rsid wsp:val=&quot;7F437511&quot;/&gt;&lt;wsp:rsid wsp:val=&quot;7F4514DB&quot;/&gt;&lt;wsp:rsid wsp:val=&quot;7F453289&quot;/&gt;&lt;wsp:rsid wsp:val=&quot;7F45772D&quot;/&gt;&lt;wsp:rsid wsp:val=&quot;7F4643AB&quot;/&gt;&lt;wsp:rsid wsp:val=&quot;7F4734A5&quot;/&gt;&lt;wsp:rsid wsp:val=&quot;7F475253&quot;/&gt;&lt;wsp:rsid wsp:val=&quot;7F482D79&quot;/&gt;&lt;wsp:rsid wsp:val=&quot;7F496799&quot;/&gt;&lt;wsp:rsid wsp:val=&quot;7F4A08A0&quot;/&gt;&lt;wsp:rsid wsp:val=&quot;7F4A4D43&quot;/&gt;&lt;wsp:rsid wsp:val=&quot;7F4A6AF1&quot;/&gt;&lt;wsp:rsid wsp:val=&quot;7F4D5B65&quot;/&gt;&lt;wsp:rsid wsp:val=&quot;7F4F235A&quot;/&gt;&lt;wsp:rsid wsp:val=&quot;7F52633B&quot;/&gt;&lt;wsp:rsid wsp:val=&quot;7F565496&quot;/&gt;&lt;wsp:rsid wsp:val=&quot;7F5867C0&quot;/&gt;&lt;wsp:rsid wsp:val=&quot;7F587460&quot;/&gt;&lt;wsp:rsid wsp:val=&quot;7F596D35&quot;/&gt;&lt;wsp:rsid wsp:val=&quot;7F5B1BB7&quot;/&gt;&lt;wsp:rsid wsp:val=&quot;7F5B30BB&quot;/&gt;&lt;wsp:rsid wsp:val=&quot;7F5C05D3&quot;/&gt;&lt;wsp:rsid wsp:val=&quot;7F5D4E94&quot;/&gt;&lt;wsp:rsid wsp:val=&quot;7F5F07EF&quot;/&gt;&lt;wsp:rsid wsp:val=&quot;7F623E3B&quot;/&gt;&lt;wsp:rsid wsp:val=&quot;7F625BE9&quot;/&gt;&lt;wsp:rsid wsp:val=&quot;7F642A82&quot;/&gt;&lt;wsp:rsid wsp:val=&quot;7F65392B&quot;/&gt;&lt;wsp:rsid wsp:val=&quot;7F66411F&quot;/&gt;&lt;wsp:rsid wsp:val=&quot;7F671451&quot;/&gt;&lt;wsp:rsid wsp:val=&quot;7F6749FC&quot;/&gt;&lt;wsp:rsid wsp:val=&quot;7F686806&quot;/&gt;&lt;wsp:rsid wsp:val=&quot;7F6C0C97&quot;/&gt;&lt;wsp:rsid wsp:val=&quot;7F6C4CBA&quot;/&gt;&lt;wsp:rsid wsp:val=&quot;7F6F6558&quot;/&gt;&lt;wsp:rsid wsp:val=&quot;7F700A57&quot;/&gt;&lt;wsp:rsid wsp:val=&quot;7F720EA7&quot;/&gt;&lt;wsp:rsid wsp:val=&quot;7F722CA2&quot;/&gt;&lt;wsp:rsid wsp:val=&quot;7F737DF6&quot;/&gt;&lt;wsp:rsid wsp:val=&quot;7F74591C&quot;/&gt;&lt;wsp:rsid wsp:val=&quot;7F754A2B&quot;/&gt;&lt;wsp:rsid wsp:val=&quot;7F761695&quot;/&gt;&lt;wsp:rsid wsp:val=&quot;7F765B38&quot;/&gt;&lt;wsp:rsid wsp:val=&quot;7F7678E7&quot;/&gt;&lt;wsp:rsid wsp:val=&quot;7F7818B1&quot;/&gt;&lt;wsp:rsid wsp:val=&quot;7F78540D&quot;/&gt;&lt;wsp:rsid wsp:val=&quot;7F7B472A&quot;/&gt;&lt;wsp:rsid wsp:val=&quot;7F7F5C7C&quot;/&gt;&lt;wsp:rsid wsp:val=&quot;7F824394&quot;/&gt;&lt;wsp:rsid wsp:val=&quot;7F82628B&quot;/&gt;&lt;wsp:rsid wsp:val=&quot;7F842003&quot;/&gt;&lt;wsp:rsid wsp:val=&quot;7F8457DC&quot;/&gt;&lt;wsp:rsid wsp:val=&quot;7F846F1D&quot;/&gt;&lt;wsp:rsid wsp:val=&quot;7F8518D8&quot;/&gt;&lt;wsp:rsid wsp:val=&quot;7F855246&quot;/&gt;&lt;wsp:rsid wsp:val=&quot;7F855D7C&quot;/&gt;&lt;wsp:rsid wsp:val=&quot;7F857B2A&quot;/&gt;&lt;wsp:rsid wsp:val=&quot;7F871AF4&quot;/&gt;&lt;wsp:rsid wsp:val=&quot;7F8813C8&quot;/&gt;&lt;wsp:rsid wsp:val=&quot;7F8879AA&quot;/&gt;&lt;wsp:rsid wsp:val=&quot;7F892B1E&quot;/&gt;&lt;wsp:rsid wsp:val=&quot;7F8C0EB8&quot;/&gt;&lt;wsp:rsid wsp:val=&quot;7F8F4102&quot;/&gt;&lt;wsp:rsid wsp:val=&quot;7F914720&quot;/&gt;&lt;wsp:rsid wsp:val=&quot;7F925AEA&quot;/&gt;&lt;wsp:rsid wsp:val=&quot;7F932247&quot;/&gt;&lt;wsp:rsid wsp:val=&quot;7F963AE5&quot;/&gt;&lt;wsp:rsid wsp:val=&quot;7F970ECA&quot;/&gt;&lt;wsp:rsid wsp:val=&quot;7F98785D&quot;/&gt;&lt;wsp:rsid wsp:val=&quot;7F997CB3&quot;/&gt;&lt;wsp:rsid wsp:val=&quot;7F9B734D&quot;/&gt;&lt;wsp:rsid wsp:val=&quot;7F9D1317&quot;/&gt;&lt;wsp:rsid wsp:val=&quot;7F9D6634&quot;/&gt;&lt;wsp:rsid wsp:val=&quot;7F9F508F&quot;/&gt;&lt;wsp:rsid wsp:val=&quot;7F9F6E3D&quot;/&gt;&lt;wsp:rsid wsp:val=&quot;7FA03EF9&quot;/&gt;&lt;wsp:rsid wsp:val=&quot;7FA426A6&quot;/&gt;&lt;wsp:rsid wsp:val=&quot;7FA44454&quot;/&gt;&lt;wsp:rsid wsp:val=&quot;7FA56256&quot;/&gt;&lt;wsp:rsid wsp:val=&quot;7FA610A8&quot;/&gt;&lt;wsp:rsid wsp:val=&quot;7FA676E6&quot;/&gt;&lt;wsp:rsid wsp:val=&quot;7FA73F44&quot;/&gt;&lt;wsp:rsid wsp:val=&quot;7FA77392&quot;/&gt;&lt;wsp:rsid wsp:val=&quot;7FA93855&quot;/&gt;&lt;wsp:rsid wsp:val=&quot;7FA97CBC&quot;/&gt;&lt;wsp:rsid wsp:val=&quot;7FAA68F3&quot;/&gt;&lt;wsp:rsid wsp:val=&quot;7FAC4C99&quot;/&gt;&lt;wsp:rsid wsp:val=&quot;7FAC50B6&quot;/&gt;&lt;wsp:rsid wsp:val=&quot;7FAE0F2C&quot;/&gt;&lt;wsp:rsid wsp:val=&quot;7FAF0FC2&quot;/&gt;&lt;wsp:rsid wsp:val=&quot;7FAF2DF8&quot;/&gt;&lt;wsp:rsid wsp:val=&quot;7FB14DC3&quot;/&gt;&lt;wsp:rsid wsp:val=&quot;7FB273CA&quot;/&gt;&lt;wsp:rsid wsp:val=&quot;7FB36445&quot;/&gt;&lt;wsp:rsid wsp:val=&quot;7FB4040F&quot;/&gt;&lt;wsp:rsid wsp:val=&quot;7FB421BD&quot;/&gt;&lt;wsp:rsid wsp:val=&quot;7FB65F35&quot;/&gt;&lt;wsp:rsid wsp:val=&quot;7FB671DB&quot;/&gt;&lt;wsp:rsid wsp:val=&quot;7FBA5A25&quot;/&gt;&lt;wsp:rsid wsp:val=&quot;7FBA6FEC&quot;/&gt;&lt;wsp:rsid wsp:val=&quot;7FBA7941&quot;/&gt;&lt;wsp:rsid wsp:val=&quot;7FBB7440&quot;/&gt;&lt;wsp:rsid wsp:val=&quot;7FBD44DD&quot;/&gt;&lt;wsp:rsid wsp:val=&quot;7FBD5515&quot;/&gt;&lt;wsp:rsid wsp:val=&quot;7FBE4DEA&quot;/&gt;&lt;wsp:rsid wsp:val=&quot;7FC00B62&quot;/&gt;&lt;wsp:rsid wsp:val=&quot;7FC02E5E&quot;/&gt;&lt;wsp:rsid wsp:val=&quot;7FC27C35&quot;/&gt;&lt;wsp:rsid wsp:val=&quot;7FC30BE7&quot;/&gt;&lt;wsp:rsid wsp:val=&quot;7FC32F20&quot;/&gt;&lt;wsp:rsid wsp:val=&quot;7FC44AF6&quot;/&gt;&lt;wsp:rsid wsp:val=&quot;7FC5261C&quot;/&gt;&lt;wsp:rsid wsp:val=&quot;7FC56178&quot;/&gt;&lt;wsp:rsid wsp:val=&quot;7FC632C4&quot;/&gt;&lt;wsp:rsid wsp:val=&quot;7FC65272&quot;/&gt;&lt;wsp:rsid wsp:val=&quot;7FC70142&quot;/&gt;&lt;wsp:rsid wsp:val=&quot;7FC84033&quot;/&gt;&lt;wsp:rsid wsp:val=&quot;7FC9210C&quot;/&gt;&lt;wsp:rsid wsp:val=&quot;7FC93EBA&quot;/&gt;&lt;wsp:rsid wsp:val=&quot;7FC95C68&quot;/&gt;&lt;wsp:rsid wsp:val=&quot;7FCA378E&quot;/&gt;&lt;wsp:rsid wsp:val=&quot;7FCA6AE1&quot;/&gt;&lt;wsp:rsid wsp:val=&quot;7FCB55CD&quot;/&gt;&lt;wsp:rsid wsp:val=&quot;7FCB6A2C&quot;/&gt;&lt;wsp:rsid wsp:val=&quot;7FCB7C32&quot;/&gt;&lt;wsp:rsid wsp:val=&quot;7FCC39AA&quot;/&gt;&lt;wsp:rsid wsp:val=&quot;7FCE14D1&quot;/&gt;&lt;wsp:rsid wsp:val=&quot;7FD0349B&quot;/&gt;&lt;wsp:rsid wsp:val=&quot;7FD12D6F&quot;/&gt;&lt;wsp:rsid wsp:val=&quot;7FD34D39&quot;/&gt;&lt;wsp:rsid wsp:val=&quot;7FD40A33&quot;/&gt;&lt;wsp:rsid wsp:val=&quot;7FD4460D&quot;/&gt;&lt;wsp:rsid wsp:val=&quot;7FD8234F&quot;/&gt;&lt;wsp:rsid wsp:val=&quot;7FD9642C&quot;/&gt;&lt;wsp:rsid wsp:val=&quot;7FDA65D6&quot;/&gt;&lt;wsp:rsid wsp:val=&quot;7FDA7E75&quot;/&gt;&lt;wsp:rsid wsp:val=&quot;7FDB3BED&quot;/&gt;&lt;wsp:rsid wsp:val=&quot;7FDB599C&quot;/&gt;&lt;wsp:rsid wsp:val=&quot;7FDF548C&quot;/&gt;&lt;wsp:rsid wsp:val=&quot;7FE06D2E&quot;/&gt;&lt;wsp:rsid wsp:val=&quot;7FE14CA0&quot;/&gt;&lt;wsp:rsid wsp:val=&quot;7FE26D2A&quot;/&gt;&lt;wsp:rsid wsp:val=&quot;7FE40CF4&quot;/&gt;&lt;wsp:rsid wsp:val=&quot;7FE47E50&quot;/&gt;&lt;wsp:rsid wsp:val=&quot;7FE53549&quot;/&gt;&lt;wsp:rsid wsp:val=&quot;7FE72592&quot;/&gt;&lt;wsp:rsid wsp:val=&quot;7FE74340&quot;/&gt;&lt;wsp:rsid wsp:val=&quot;7FEC35BC&quot;/&gt;&lt;wsp:rsid wsp:val=&quot;7FEC7BA9&quot;/&gt;&lt;wsp:rsid wsp:val=&quot;7FED5DAB&quot;/&gt;&lt;wsp:rsid wsp:val=&quot;7FEE3921&quot;/&gt;&lt;wsp:rsid wsp:val=&quot;7FEE56CF&quot;/&gt;&lt;wsp:rsid wsp:val=&quot;7FF07D9E&quot;/&gt;&lt;wsp:rsid wsp:val=&quot;7FF151BF&quot;/&gt;&lt;wsp:rsid wsp:val=&quot;7FF16F6D&quot;/&gt;&lt;wsp:rsid wsp:val=&quot;7FF17C71&quot;/&gt;&lt;wsp:rsid wsp:val=&quot;7FF2594B&quot;/&gt;&lt;wsp:rsid wsp:val=&quot;7FF32CE5&quot;/&gt;&lt;wsp:rsid wsp:val=&quot;7FF76C79&quot;/&gt;&lt;wsp:rsid wsp:val=&quot;7FF7723F&quot;/&gt;&lt;wsp:rsid wsp:val=&quot;7FF802FC&quot;/&gt;&lt;wsp:rsid wsp:val=&quot;7FF8654D&quot;/&gt;&lt;wsp:rsid wsp:val=&quot;7FFB603E&quot;/&gt;&lt;wsp:rsid wsp:val=&quot;7FFF5B2E&quot;/&gt;&lt;/wsp:rsids&gt;&lt;/w:docPr&gt;&lt;w:body&gt;&lt;wx:sect&gt;&lt;w:p wsp:rsidR=&quot;00000000&quot; wsp:rsidRDefault=&quot;00721B5C&quot; wsp:rsidP=&quot;00721B5C&quot;&gt;&lt;w:pPr&gt;&lt;w:ind w:first-line=&quot;480&quot;/&gt;&lt;/w:pPr&gt;&lt;m:oMathPara&gt;&lt;m:oMath&gt;&lt;m:sSubSup&gt;&lt;m:sSubSupPr&gt;&lt;m:ctrlPr&gt;&lt;w:rPr&gt;&lt;w:rFonts w:ascii=&quot;Cambria Math&quot; w:h-ansi=&quot;Cambria Math&quot;/&gt;&lt;wx:font wx:val=&quot;Cambria Math&quot;/&gt;&lt;w:i/&gt;&lt;w:sz-cs w:val=&quot;21&quot;/&gt;&lt;/w:rPr&gt;&lt;/m:ctrlPr&gt;&lt;/m:sSubSupPr&gt;&lt;m:e&gt;&lt;m:r&gt;&lt;w:rPr&gt;&lt;w:rFonts w:ascii=&quot;Cambria Math&quot; w:h-ansi=&quot;Cambria Math&quot;/&gt;&lt;wx:font wx:val=&quot;Cambria Math&quot;/&gt;&lt;w:i/&gt;&lt;w:sz-cs w:val=&quot;21&quot;/&gt;&lt;/w:rPr&gt;&lt;m:t&gt;Q&lt;/m:t&gt;&lt;/m:r&gt;&lt;/m:e&gt;&lt;m:sub&gt;&lt;m:r&gt;&lt;w:rPr&gt;&lt;w:rFonts w:ascii=&quot;Cambria Math&quot; w:h-ansi=&quot;Cambria Math&quot;/&gt;&lt;wx:font wx:val=&quot;Cambria Math&quot;/&gt;&lt;w:i/&gt;&lt;w:sz-cs w:val=&quot;21&quot;/&gt;&lt;/w:rPr&gt;&lt;m:t&gt;p&lt;/m:t&gt;&lt;/m:r&gt;&lt;/m:sub&gt;&lt;m:sup&gt;&lt;m:r&gt;&lt;w:rPr&gt;&lt;w:rFonts w:ascii=&quot;Cambria Math&quot; w:h-ansi=&quot;Cambria Math&quot;/&gt;&lt;wx:font wx:val=&quot;Cambria Math&quot;/&gt;&lt;w:i/&gt;&lt;w:sz-cs w:val=&quot;21&quot;/&gt;&lt;/w:rPr&gt;&lt;m:t&gt;'&lt;/m:t&gt;&lt;/m:r&gt;&lt;/m:sup&gt;&lt;/m:sSubSup&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path/>
                  <v:fill on="f" focussize="0,0"/>
                  <v:stroke on="f"/>
                  <v:imagedata r:id="rId18" chromakey="#FFFFFF" o:title=""/>
                  <o:lock v:ext="edit" aspectratio="t"/>
                  <w10:wrap type="none"/>
                  <w10:anchorlock/>
                </v:shape>
              </w:pict>
            </w:r>
            <w:r>
              <w:rPr>
                <w:rFonts w:hint="default"/>
                <w:color w:val="auto"/>
                <w:highlight w:val="none"/>
              </w:rPr>
              <w:fldChar w:fldCharType="end"/>
            </w:r>
            <w:r>
              <w:rPr>
                <w:rFonts w:hint="eastAsia"/>
                <w:color w:val="auto"/>
                <w:highlight w:val="none"/>
              </w:rPr>
              <w:t>：总扬尘量，（</w:t>
            </w:r>
            <w:r>
              <w:rPr>
                <w:rFonts w:hint="default"/>
                <w:color w:val="auto"/>
                <w:highlight w:val="none"/>
              </w:rPr>
              <w:t>kg/a）；</w:t>
            </w:r>
          </w:p>
          <w:p w14:paraId="0C337679">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V：车辆速度，</w:t>
            </w:r>
            <w:r>
              <w:rPr>
                <w:rFonts w:hint="default"/>
                <w:color w:val="auto"/>
                <w:highlight w:val="none"/>
              </w:rPr>
              <w:t>20km/h；</w:t>
            </w:r>
          </w:p>
          <w:p w14:paraId="09AAF66F">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M：车辆载重，</w:t>
            </w:r>
            <w:r>
              <w:rPr>
                <w:rFonts w:hint="eastAsia"/>
                <w:color w:val="auto"/>
                <w:highlight w:val="none"/>
                <w:lang w:val="en-US" w:eastAsia="zh-CN"/>
              </w:rPr>
              <w:t>4</w:t>
            </w:r>
            <w:r>
              <w:rPr>
                <w:rFonts w:hint="default"/>
                <w:color w:val="auto"/>
                <w:highlight w:val="none"/>
              </w:rPr>
              <w:t>0t/辆；</w:t>
            </w:r>
          </w:p>
          <w:p w14:paraId="045E269C">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P：路面灰尘覆盖率，</w:t>
            </w:r>
            <w:r>
              <w:rPr>
                <w:rFonts w:hint="default"/>
                <w:color w:val="auto"/>
                <w:highlight w:val="none"/>
              </w:rPr>
              <w:t>0.05~0.3kg/㎡，取0.</w:t>
            </w:r>
            <w:r>
              <w:rPr>
                <w:rFonts w:hint="eastAsia"/>
                <w:color w:val="auto"/>
                <w:highlight w:val="none"/>
                <w:lang w:val="en-US" w:eastAsia="zh-CN"/>
              </w:rPr>
              <w:t>05</w:t>
            </w:r>
            <w:r>
              <w:rPr>
                <w:rFonts w:hint="default"/>
                <w:color w:val="auto"/>
                <w:highlight w:val="none"/>
              </w:rPr>
              <w:t>kg/㎡；</w:t>
            </w:r>
          </w:p>
          <w:p w14:paraId="08542DF9">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L：运距，</w:t>
            </w:r>
            <w:r>
              <w:rPr>
                <w:rFonts w:hint="default"/>
                <w:color w:val="auto"/>
                <w:highlight w:val="none"/>
              </w:rPr>
              <w:t>km；取0.5km；</w:t>
            </w:r>
          </w:p>
          <w:p w14:paraId="72AF6172">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Q：运输量，</w:t>
            </w:r>
            <w:r>
              <w:rPr>
                <w:rFonts w:hint="eastAsia"/>
                <w:color w:val="auto"/>
                <w:highlight w:val="none"/>
                <w:lang w:val="en-US" w:eastAsia="zh-CN"/>
              </w:rPr>
              <w:t>1792160</w:t>
            </w:r>
            <w:r>
              <w:rPr>
                <w:rFonts w:hint="default"/>
                <w:color w:val="auto"/>
                <w:highlight w:val="none"/>
              </w:rPr>
              <w:t>t/a</w:t>
            </w:r>
            <w:r>
              <w:rPr>
                <w:rFonts w:hint="eastAsia"/>
                <w:color w:val="auto"/>
                <w:highlight w:val="none"/>
              </w:rPr>
              <w:t>。</w:t>
            </w:r>
          </w:p>
          <w:p w14:paraId="0A251B4F">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厂区内运输距离按</w:t>
            </w:r>
            <w:r>
              <w:rPr>
                <w:rFonts w:hint="default"/>
                <w:color w:val="auto"/>
                <w:highlight w:val="none"/>
              </w:rPr>
              <w:t>500m计，经计算，道路扬尘量为</w:t>
            </w:r>
            <w:r>
              <w:rPr>
                <w:rFonts w:hint="eastAsia"/>
                <w:color w:val="auto"/>
                <w:highlight w:val="none"/>
                <w:lang w:val="en-US" w:eastAsia="zh-CN"/>
              </w:rPr>
              <w:t>0.42</w:t>
            </w:r>
            <w:r>
              <w:rPr>
                <w:rFonts w:hint="default"/>
                <w:color w:val="auto"/>
                <w:highlight w:val="none"/>
              </w:rPr>
              <w:t>kg/km·辆，运输总扬尘总量为</w:t>
            </w:r>
            <w:r>
              <w:rPr>
                <w:rFonts w:hint="eastAsia"/>
                <w:color w:val="auto"/>
                <w:highlight w:val="none"/>
                <w:lang w:val="en-US" w:eastAsia="zh-CN"/>
              </w:rPr>
              <w:t>9.41</w:t>
            </w:r>
            <w:r>
              <w:rPr>
                <w:rFonts w:hint="default"/>
                <w:color w:val="auto"/>
                <w:highlight w:val="none"/>
              </w:rPr>
              <w:t>t/a，</w:t>
            </w:r>
            <w:r>
              <w:rPr>
                <w:rFonts w:hint="default"/>
                <w:color w:val="auto"/>
                <w:spacing w:val="-1"/>
                <w:sz w:val="24"/>
                <w:szCs w:val="24"/>
                <w:highlight w:val="none"/>
              </w:rPr>
              <w:t>厂区道路已硬化，</w:t>
            </w:r>
            <w:r>
              <w:rPr>
                <w:rFonts w:hint="default"/>
                <w:color w:val="auto"/>
                <w:highlight w:val="none"/>
              </w:rPr>
              <w:t>为防止运输道路积尘引起二次扬尘，</w:t>
            </w:r>
            <w:r>
              <w:rPr>
                <w:rFonts w:hint="default"/>
                <w:color w:val="auto"/>
                <w:spacing w:val="-1"/>
                <w:sz w:val="24"/>
                <w:szCs w:val="24"/>
                <w:highlight w:val="none"/>
              </w:rPr>
              <w:t>建设</w:t>
            </w:r>
            <w:r>
              <w:rPr>
                <w:rFonts w:hint="default"/>
                <w:color w:val="auto"/>
                <w:spacing w:val="-4"/>
                <w:sz w:val="24"/>
                <w:szCs w:val="24"/>
                <w:highlight w:val="none"/>
              </w:rPr>
              <w:t>单位对</w:t>
            </w:r>
            <w:r>
              <w:rPr>
                <w:rFonts w:hint="default"/>
                <w:color w:val="auto"/>
                <w:highlight w:val="none"/>
              </w:rPr>
              <w:t>运有物料的车辆应采用棚布遮盖，定期人工清</w:t>
            </w:r>
            <w:r>
              <w:rPr>
                <w:rFonts w:hint="eastAsia"/>
                <w:color w:val="auto"/>
                <w:highlight w:val="none"/>
              </w:rPr>
              <w:t>扫，并进行防尘洒水，在晴天对路面进行清扫和洒水，并适当控制车速，</w:t>
            </w:r>
            <w:r>
              <w:rPr>
                <w:rFonts w:hint="default"/>
                <w:color w:val="auto"/>
                <w:spacing w:val="-4"/>
                <w:sz w:val="24"/>
                <w:szCs w:val="24"/>
                <w:highlight w:val="none"/>
              </w:rPr>
              <w:t>处理效率可达到</w:t>
            </w:r>
            <w:r>
              <w:rPr>
                <w:rFonts w:hint="default" w:ascii="Times New Roman" w:hAnsi="Times New Roman" w:eastAsia="Times New Roman" w:cs="Times New Roman"/>
                <w:color w:val="auto"/>
                <w:spacing w:val="-4"/>
                <w:sz w:val="24"/>
                <w:szCs w:val="24"/>
                <w:highlight w:val="none"/>
              </w:rPr>
              <w:t>90%</w:t>
            </w:r>
            <w:r>
              <w:rPr>
                <w:rFonts w:hint="default"/>
                <w:color w:val="auto"/>
                <w:spacing w:val="-1"/>
                <w:sz w:val="24"/>
                <w:szCs w:val="24"/>
                <w:highlight w:val="none"/>
              </w:rPr>
              <w:t>左右，</w:t>
            </w:r>
            <w:r>
              <w:rPr>
                <w:rFonts w:hint="eastAsia"/>
                <w:color w:val="auto"/>
                <w:highlight w:val="none"/>
              </w:rPr>
              <w:t>则</w:t>
            </w:r>
            <w:r>
              <w:rPr>
                <w:rFonts w:hint="eastAsia"/>
                <w:color w:val="auto"/>
                <w:highlight w:val="none"/>
                <w:lang w:eastAsia="zh-CN"/>
              </w:rPr>
              <w:t>运输粉尘</w:t>
            </w:r>
            <w:r>
              <w:rPr>
                <w:rFonts w:hint="default"/>
                <w:color w:val="auto"/>
                <w:highlight w:val="none"/>
              </w:rPr>
              <w:t>排放量约为</w:t>
            </w:r>
            <w:r>
              <w:rPr>
                <w:rFonts w:hint="eastAsia"/>
                <w:color w:val="auto"/>
                <w:highlight w:val="none"/>
                <w:lang w:val="en-US" w:eastAsia="zh-CN"/>
              </w:rPr>
              <w:t>0.941</w:t>
            </w:r>
            <w:r>
              <w:rPr>
                <w:rFonts w:hint="default"/>
                <w:color w:val="auto"/>
                <w:highlight w:val="none"/>
              </w:rPr>
              <w:t>t/a（</w:t>
            </w:r>
            <w:r>
              <w:rPr>
                <w:rFonts w:hint="eastAsia"/>
                <w:color w:val="auto"/>
                <w:highlight w:val="none"/>
                <w:lang w:val="en-US" w:eastAsia="zh-CN"/>
              </w:rPr>
              <w:t>0.13</w:t>
            </w:r>
            <w:r>
              <w:rPr>
                <w:rFonts w:hint="default"/>
                <w:color w:val="auto"/>
                <w:highlight w:val="none"/>
              </w:rPr>
              <w:t>kg/h），呈无组织排放。</w:t>
            </w:r>
          </w:p>
          <w:p w14:paraId="477CA38B">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本项目</w:t>
            </w:r>
            <w:r>
              <w:rPr>
                <w:rFonts w:hint="default"/>
                <w:color w:val="auto"/>
                <w:highlight w:val="none"/>
              </w:rPr>
              <w:t>运输</w:t>
            </w:r>
            <w:r>
              <w:rPr>
                <w:rFonts w:hint="eastAsia"/>
                <w:color w:val="auto"/>
                <w:highlight w:val="none"/>
              </w:rPr>
              <w:t>扬尘</w:t>
            </w:r>
            <w:r>
              <w:rPr>
                <w:rFonts w:hint="eastAsia"/>
                <w:color w:val="auto"/>
                <w:highlight w:val="none"/>
                <w:lang w:val="en-US" w:eastAsia="zh-CN"/>
              </w:rPr>
              <w:t>主要以颗粒物的形式排放，根据前文的元素平衡可知，锂渣中的</w:t>
            </w:r>
            <w:r>
              <w:rPr>
                <w:rFonts w:hint="eastAsia" w:ascii="Times New Roman" w:eastAsia="宋体"/>
                <w:color w:val="auto"/>
                <w:highlight w:val="none"/>
                <w:lang w:val="en-US" w:eastAsia="zh-CN"/>
              </w:rPr>
              <w:t>铊、氟化物的含量分别</w:t>
            </w:r>
            <w:r>
              <w:rPr>
                <w:rFonts w:hint="eastAsia"/>
                <w:color w:val="auto"/>
                <w:highlight w:val="none"/>
                <w:lang w:val="en-US" w:eastAsia="zh-CN"/>
              </w:rPr>
              <w:t>9.34</w:t>
            </w:r>
            <w:r>
              <w:rPr>
                <w:rFonts w:hint="eastAsia" w:ascii="Times New Roman" w:eastAsia="宋体"/>
                <w:color w:val="auto"/>
                <w:highlight w:val="none"/>
                <w:lang w:val="en-US" w:eastAsia="zh-CN"/>
              </w:rPr>
              <w:t>mg/kg、</w:t>
            </w:r>
            <w:r>
              <w:rPr>
                <w:rFonts w:hint="eastAsia"/>
                <w:color w:val="auto"/>
                <w:highlight w:val="none"/>
                <w:lang w:val="en-US" w:eastAsia="zh-CN"/>
              </w:rPr>
              <w:t>1.87</w:t>
            </w:r>
            <w:r>
              <w:rPr>
                <w:rFonts w:hint="eastAsia" w:ascii="Times New Roman" w:eastAsia="宋体"/>
                <w:color w:val="auto"/>
                <w:highlight w:val="none"/>
                <w:lang w:val="en-US" w:eastAsia="zh-CN"/>
              </w:rPr>
              <w:t>%，</w:t>
            </w:r>
            <w:r>
              <w:rPr>
                <w:rFonts w:hint="eastAsia"/>
                <w:color w:val="auto"/>
                <w:highlight w:val="none"/>
                <w:lang w:val="en-US" w:eastAsia="zh-CN"/>
              </w:rPr>
              <w:t>根据该含量核算</w:t>
            </w:r>
            <w:r>
              <w:rPr>
                <w:rFonts w:hint="default"/>
                <w:color w:val="auto"/>
                <w:highlight w:val="none"/>
              </w:rPr>
              <w:t>运输</w:t>
            </w:r>
            <w:r>
              <w:rPr>
                <w:rFonts w:hint="eastAsia"/>
                <w:color w:val="auto"/>
                <w:highlight w:val="none"/>
              </w:rPr>
              <w:t>扬尘</w:t>
            </w:r>
            <w:r>
              <w:rPr>
                <w:rFonts w:hint="eastAsia"/>
                <w:color w:val="auto"/>
                <w:highlight w:val="none"/>
                <w:lang w:val="en-US" w:eastAsia="zh-CN"/>
              </w:rPr>
              <w:t>中</w:t>
            </w:r>
            <w:r>
              <w:rPr>
                <w:rFonts w:hint="eastAsia" w:ascii="Times New Roman" w:eastAsia="宋体"/>
                <w:color w:val="auto"/>
                <w:highlight w:val="none"/>
                <w:lang w:val="en-US" w:eastAsia="zh-CN"/>
              </w:rPr>
              <w:t>铊、氟化物的量</w:t>
            </w:r>
            <w:r>
              <w:rPr>
                <w:rFonts w:hint="eastAsia"/>
                <w:color w:val="auto"/>
                <w:highlight w:val="none"/>
                <w:lang w:val="en-US" w:eastAsia="zh-CN"/>
              </w:rPr>
              <w:t>，详情见4-1、4-2。</w:t>
            </w:r>
          </w:p>
          <w:p w14:paraId="508752D1">
            <w:pPr>
              <w:pStyle w:val="76"/>
              <w:keepNext w:val="0"/>
              <w:keepLines w:val="0"/>
              <w:suppressLineNumbers w:val="0"/>
              <w:bidi w:val="0"/>
              <w:spacing w:before="0" w:beforeAutospacing="0" w:after="0" w:afterAutospacing="0"/>
              <w:ind w:left="0" w:right="0"/>
              <w:rPr>
                <w:rFonts w:hint="eastAsia"/>
                <w:color w:val="FF0000"/>
                <w:highlight w:val="none"/>
                <w:lang w:eastAsia="zh-CN"/>
              </w:rPr>
            </w:pPr>
            <w:r>
              <w:rPr>
                <w:rFonts w:hint="eastAsia"/>
                <w:color w:val="FF0000"/>
                <w:highlight w:val="none"/>
                <w:lang w:eastAsia="zh-CN"/>
              </w:rPr>
              <w:t>本项目废气产生情况见下表。</w:t>
            </w:r>
          </w:p>
          <w:p w14:paraId="6245349E">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eastAsia"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各工序废气产生情况表</w:t>
            </w:r>
          </w:p>
          <w:tbl>
            <w:tblPr>
              <w:tblStyle w:val="26"/>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48"/>
              <w:gridCol w:w="1514"/>
              <w:gridCol w:w="1595"/>
              <w:gridCol w:w="1228"/>
              <w:gridCol w:w="1159"/>
              <w:gridCol w:w="1018"/>
              <w:gridCol w:w="1178"/>
            </w:tblGrid>
            <w:tr w14:paraId="79953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3D9EA7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120" w:leftChars="-50" w:right="-120" w:rightChars="-50" w:firstLine="0" w:firstLineChars="0"/>
                    <w:jc w:val="center"/>
                    <w:textAlignment w:val="auto"/>
                    <w:rPr>
                      <w:rFonts w:hint="default" w:ascii="Times New Roman" w:hAnsi="Times New Roman" w:eastAsia="宋体" w:cs="Times New Roman"/>
                      <w:b/>
                      <w:bCs/>
                      <w:color w:val="FF0000"/>
                      <w:sz w:val="21"/>
                      <w:szCs w:val="21"/>
                      <w:lang w:eastAsia="zh-CN"/>
                    </w:rPr>
                  </w:pPr>
                  <w:r>
                    <w:rPr>
                      <w:rFonts w:hint="default" w:ascii="Times New Roman" w:hAnsi="Times New Roman" w:eastAsia="宋体" w:cs="Times New Roman"/>
                      <w:b/>
                      <w:bCs/>
                      <w:color w:val="FF0000"/>
                      <w:sz w:val="21"/>
                      <w:szCs w:val="21"/>
                      <w:lang w:eastAsia="zh-CN"/>
                    </w:rPr>
                    <w:t>序号</w:t>
                  </w:r>
                </w:p>
              </w:tc>
              <w:tc>
                <w:tcPr>
                  <w:tcW w:w="1514" w:type="dxa"/>
                  <w:tcBorders>
                    <w:tl2br w:val="nil"/>
                    <w:tr2bl w:val="nil"/>
                  </w:tcBorders>
                  <w:vAlign w:val="center"/>
                </w:tcPr>
                <w:p w14:paraId="56504E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eastAsia="zh-CN"/>
                    </w:rPr>
                  </w:pPr>
                  <w:r>
                    <w:rPr>
                      <w:rFonts w:hint="eastAsia" w:ascii="Times New Roman" w:hAnsi="Times New Roman" w:eastAsia="宋体" w:cs="Times New Roman"/>
                      <w:b/>
                      <w:bCs/>
                      <w:color w:val="FF0000"/>
                      <w:sz w:val="21"/>
                      <w:szCs w:val="21"/>
                      <w:lang w:eastAsia="zh-CN"/>
                    </w:rPr>
                    <w:t>废气产生节点</w:t>
                  </w:r>
                </w:p>
              </w:tc>
              <w:tc>
                <w:tcPr>
                  <w:tcW w:w="1595" w:type="dxa"/>
                  <w:tcBorders>
                    <w:tl2br w:val="nil"/>
                    <w:tr2bl w:val="nil"/>
                  </w:tcBorders>
                  <w:vAlign w:val="center"/>
                </w:tcPr>
                <w:p w14:paraId="710165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eastAsia="zh-CN"/>
                    </w:rPr>
                  </w:pPr>
                  <w:r>
                    <w:rPr>
                      <w:rFonts w:hint="eastAsia" w:ascii="Times New Roman" w:hAnsi="Times New Roman" w:eastAsia="宋体" w:cs="Times New Roman"/>
                      <w:b/>
                      <w:bCs/>
                      <w:color w:val="FF0000"/>
                      <w:sz w:val="21"/>
                      <w:szCs w:val="21"/>
                      <w:lang w:eastAsia="zh-CN"/>
                    </w:rPr>
                    <w:t>物料名称</w:t>
                  </w:r>
                </w:p>
              </w:tc>
              <w:tc>
                <w:tcPr>
                  <w:tcW w:w="1228" w:type="dxa"/>
                  <w:tcBorders>
                    <w:tl2br w:val="nil"/>
                    <w:tr2bl w:val="nil"/>
                  </w:tcBorders>
                  <w:vAlign w:val="center"/>
                </w:tcPr>
                <w:p w14:paraId="58BF94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eastAsia="zh-CN"/>
                    </w:rPr>
                    <w:t>年用（产生）量</w:t>
                  </w:r>
                  <w:r>
                    <w:rPr>
                      <w:rFonts w:hint="eastAsia" w:ascii="Times New Roman" w:hAnsi="Times New Roman" w:eastAsia="宋体" w:cs="Times New Roman"/>
                      <w:b/>
                      <w:bCs/>
                      <w:color w:val="FF0000"/>
                      <w:sz w:val="21"/>
                      <w:szCs w:val="21"/>
                      <w:lang w:val="en-US" w:eastAsia="zh-CN"/>
                    </w:rPr>
                    <w:t>t/a</w:t>
                  </w:r>
                </w:p>
              </w:tc>
              <w:tc>
                <w:tcPr>
                  <w:tcW w:w="1159" w:type="dxa"/>
                  <w:tcBorders>
                    <w:tl2br w:val="nil"/>
                    <w:tr2bl w:val="nil"/>
                  </w:tcBorders>
                  <w:vAlign w:val="center"/>
                </w:tcPr>
                <w:p w14:paraId="219FBC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eastAsia="zh-CN"/>
                    </w:rPr>
                  </w:pPr>
                  <w:r>
                    <w:rPr>
                      <w:rFonts w:hint="eastAsia" w:ascii="Times New Roman" w:hAnsi="Times New Roman" w:eastAsia="宋体" w:cs="Times New Roman"/>
                      <w:b/>
                      <w:bCs/>
                      <w:color w:val="FF0000"/>
                      <w:sz w:val="21"/>
                      <w:szCs w:val="21"/>
                      <w:lang w:eastAsia="zh-CN"/>
                    </w:rPr>
                    <w:t>产污系数</w:t>
                  </w:r>
                </w:p>
              </w:tc>
              <w:tc>
                <w:tcPr>
                  <w:tcW w:w="1018" w:type="dxa"/>
                  <w:tcBorders>
                    <w:tl2br w:val="nil"/>
                    <w:tr2bl w:val="nil"/>
                  </w:tcBorders>
                  <w:vAlign w:val="center"/>
                </w:tcPr>
                <w:p w14:paraId="2856B6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eastAsia="zh-CN"/>
                    </w:rPr>
                  </w:pPr>
                  <w:r>
                    <w:rPr>
                      <w:rFonts w:hint="eastAsia" w:ascii="Times New Roman" w:hAnsi="Times New Roman" w:eastAsia="宋体" w:cs="Times New Roman"/>
                      <w:b/>
                      <w:bCs/>
                      <w:color w:val="FF0000"/>
                      <w:sz w:val="21"/>
                      <w:szCs w:val="21"/>
                      <w:lang w:eastAsia="zh-CN"/>
                    </w:rPr>
                    <w:t>产生量</w:t>
                  </w:r>
                </w:p>
              </w:tc>
              <w:tc>
                <w:tcPr>
                  <w:tcW w:w="1178" w:type="dxa"/>
                  <w:tcBorders>
                    <w:tl2br w:val="nil"/>
                    <w:tr2bl w:val="nil"/>
                  </w:tcBorders>
                  <w:vAlign w:val="center"/>
                </w:tcPr>
                <w:p w14:paraId="0021FE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FF0000"/>
                      <w:sz w:val="21"/>
                      <w:szCs w:val="21"/>
                      <w:lang w:eastAsia="zh-CN"/>
                    </w:rPr>
                  </w:pPr>
                  <w:r>
                    <w:rPr>
                      <w:rFonts w:hint="eastAsia" w:ascii="Times New Roman" w:hAnsi="Times New Roman" w:eastAsia="宋体" w:cs="Times New Roman"/>
                      <w:b/>
                      <w:bCs/>
                      <w:color w:val="FF0000"/>
                      <w:sz w:val="21"/>
                      <w:szCs w:val="21"/>
                      <w:lang w:eastAsia="zh-CN"/>
                    </w:rPr>
                    <w:t>排放方式</w:t>
                  </w:r>
                </w:p>
              </w:tc>
            </w:tr>
            <w:tr w14:paraId="18D723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074C75F1">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21FDAA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储运粉尘</w:t>
                  </w:r>
                </w:p>
              </w:tc>
              <w:tc>
                <w:tcPr>
                  <w:tcW w:w="1595" w:type="dxa"/>
                  <w:tcBorders>
                    <w:tl2br w:val="nil"/>
                    <w:tr2bl w:val="nil"/>
                  </w:tcBorders>
                  <w:vAlign w:val="center"/>
                </w:tcPr>
                <w:p w14:paraId="7BA00D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锂渣</w:t>
                  </w:r>
                </w:p>
              </w:tc>
              <w:tc>
                <w:tcPr>
                  <w:tcW w:w="1228" w:type="dxa"/>
                  <w:tcBorders>
                    <w:tl2br w:val="nil"/>
                    <w:tr2bl w:val="nil"/>
                  </w:tcBorders>
                  <w:vAlign w:val="center"/>
                </w:tcPr>
                <w:p w14:paraId="32CCCE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430000</w:t>
                  </w:r>
                </w:p>
              </w:tc>
              <w:tc>
                <w:tcPr>
                  <w:tcW w:w="1159" w:type="dxa"/>
                  <w:tcBorders>
                    <w:tl2br w:val="nil"/>
                    <w:tr2bl w:val="nil"/>
                  </w:tcBorders>
                  <w:vAlign w:val="center"/>
                </w:tcPr>
                <w:p w14:paraId="1CF03A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018" w:type="dxa"/>
                  <w:tcBorders>
                    <w:tl2br w:val="nil"/>
                    <w:tr2bl w:val="nil"/>
                  </w:tcBorders>
                  <w:vAlign w:val="center"/>
                </w:tcPr>
                <w:p w14:paraId="2AF9119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8.6</w:t>
                  </w:r>
                </w:p>
              </w:tc>
              <w:tc>
                <w:tcPr>
                  <w:tcW w:w="1178" w:type="dxa"/>
                  <w:tcBorders>
                    <w:tl2br w:val="nil"/>
                    <w:tr2bl w:val="nil"/>
                  </w:tcBorders>
                  <w:vAlign w:val="center"/>
                </w:tcPr>
                <w:p w14:paraId="053D31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无组织</w:t>
                  </w:r>
                </w:p>
              </w:tc>
            </w:tr>
            <w:tr w14:paraId="6E4369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28DD6BDB">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14A59F5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投料及转运粉尘</w:t>
                  </w:r>
                </w:p>
              </w:tc>
              <w:tc>
                <w:tcPr>
                  <w:tcW w:w="1595" w:type="dxa"/>
                  <w:tcBorders>
                    <w:tl2br w:val="nil"/>
                    <w:tr2bl w:val="nil"/>
                  </w:tcBorders>
                  <w:vAlign w:val="center"/>
                </w:tcPr>
                <w:p w14:paraId="1430CD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硅粉、氧化铝粉、螯合剂、抑碱剂、固化剂</w:t>
                  </w:r>
                </w:p>
              </w:tc>
              <w:tc>
                <w:tcPr>
                  <w:tcW w:w="1228" w:type="dxa"/>
                  <w:tcBorders>
                    <w:tl2br w:val="nil"/>
                    <w:tr2bl w:val="nil"/>
                  </w:tcBorders>
                  <w:vAlign w:val="center"/>
                </w:tcPr>
                <w:p w14:paraId="4571CF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82160.8</w:t>
                  </w:r>
                </w:p>
              </w:tc>
              <w:tc>
                <w:tcPr>
                  <w:tcW w:w="1159" w:type="dxa"/>
                  <w:tcBorders>
                    <w:tl2br w:val="nil"/>
                    <w:tr2bl w:val="nil"/>
                  </w:tcBorders>
                  <w:vAlign w:val="center"/>
                </w:tcPr>
                <w:p w14:paraId="7C4709D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0.03kg/t</w:t>
                  </w:r>
                </w:p>
              </w:tc>
              <w:tc>
                <w:tcPr>
                  <w:tcW w:w="1018" w:type="dxa"/>
                  <w:tcBorders>
                    <w:tl2br w:val="nil"/>
                    <w:tr2bl w:val="nil"/>
                  </w:tcBorders>
                  <w:vAlign w:val="center"/>
                </w:tcPr>
                <w:p w14:paraId="6960CC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2.465</w:t>
                  </w:r>
                </w:p>
              </w:tc>
              <w:tc>
                <w:tcPr>
                  <w:tcW w:w="1178" w:type="dxa"/>
                  <w:tcBorders>
                    <w:tl2br w:val="nil"/>
                    <w:tr2bl w:val="nil"/>
                  </w:tcBorders>
                  <w:vAlign w:val="center"/>
                </w:tcPr>
                <w:p w14:paraId="1F83C4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无组织</w:t>
                  </w:r>
                </w:p>
              </w:tc>
            </w:tr>
            <w:tr w14:paraId="3952C6B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4206388E">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6D6267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筒仓粉尘</w:t>
                  </w:r>
                </w:p>
              </w:tc>
              <w:tc>
                <w:tcPr>
                  <w:tcW w:w="1595" w:type="dxa"/>
                  <w:tcBorders>
                    <w:tl2br w:val="nil"/>
                    <w:tr2bl w:val="nil"/>
                  </w:tcBorders>
                  <w:vAlign w:val="center"/>
                </w:tcPr>
                <w:p w14:paraId="44A7E4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石膏粉、粉煤灰、水泥</w:t>
                  </w:r>
                </w:p>
              </w:tc>
              <w:tc>
                <w:tcPr>
                  <w:tcW w:w="1228" w:type="dxa"/>
                  <w:tcBorders>
                    <w:tl2br w:val="nil"/>
                    <w:tr2bl w:val="nil"/>
                  </w:tcBorders>
                  <w:vAlign w:val="center"/>
                </w:tcPr>
                <w:p w14:paraId="03132E4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250000</w:t>
                  </w:r>
                </w:p>
              </w:tc>
              <w:tc>
                <w:tcPr>
                  <w:tcW w:w="1159" w:type="dxa"/>
                  <w:tcBorders>
                    <w:tl2br w:val="nil"/>
                    <w:tr2bl w:val="nil"/>
                  </w:tcBorders>
                  <w:vAlign w:val="center"/>
                </w:tcPr>
                <w:p w14:paraId="0FC869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0.12kg/t</w:t>
                  </w:r>
                </w:p>
              </w:tc>
              <w:tc>
                <w:tcPr>
                  <w:tcW w:w="1018" w:type="dxa"/>
                  <w:tcBorders>
                    <w:tl2br w:val="nil"/>
                    <w:tr2bl w:val="nil"/>
                  </w:tcBorders>
                  <w:vAlign w:val="center"/>
                </w:tcPr>
                <w:p w14:paraId="3BCDB8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30</w:t>
                  </w:r>
                </w:p>
              </w:tc>
              <w:tc>
                <w:tcPr>
                  <w:tcW w:w="1178" w:type="dxa"/>
                  <w:tcBorders>
                    <w:tl2br w:val="nil"/>
                    <w:tr2bl w:val="nil"/>
                  </w:tcBorders>
                  <w:vAlign w:val="center"/>
                </w:tcPr>
                <w:p w14:paraId="7A5DCF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无组织</w:t>
                  </w:r>
                </w:p>
              </w:tc>
            </w:tr>
            <w:tr w14:paraId="07F3EF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399CCE9F">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42BE2D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搅拌粉尘</w:t>
                  </w:r>
                </w:p>
              </w:tc>
              <w:tc>
                <w:tcPr>
                  <w:tcW w:w="1595" w:type="dxa"/>
                  <w:tcBorders>
                    <w:tl2br w:val="nil"/>
                    <w:tr2bl w:val="nil"/>
                  </w:tcBorders>
                  <w:vAlign w:val="center"/>
                </w:tcPr>
                <w:p w14:paraId="21D2B5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产品</w:t>
                  </w:r>
                </w:p>
              </w:tc>
              <w:tc>
                <w:tcPr>
                  <w:tcW w:w="1228" w:type="dxa"/>
                  <w:tcBorders>
                    <w:tl2br w:val="nil"/>
                    <w:tr2bl w:val="nil"/>
                  </w:tcBorders>
                  <w:vAlign w:val="center"/>
                </w:tcPr>
                <w:p w14:paraId="416E7C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900000</w:t>
                  </w:r>
                </w:p>
              </w:tc>
              <w:tc>
                <w:tcPr>
                  <w:tcW w:w="1159" w:type="dxa"/>
                  <w:tcBorders>
                    <w:tl2br w:val="nil"/>
                    <w:tr2bl w:val="nil"/>
                  </w:tcBorders>
                  <w:vAlign w:val="center"/>
                </w:tcPr>
                <w:p w14:paraId="15A0D1C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val="en-US" w:eastAsia="zh-CN"/>
                    </w:rPr>
                    <w:t>0.1</w:t>
                  </w:r>
                  <w:r>
                    <w:rPr>
                      <w:rFonts w:hint="eastAsia" w:cs="Times New Roman"/>
                      <w:color w:val="FF0000"/>
                      <w:sz w:val="21"/>
                      <w:szCs w:val="21"/>
                      <w:lang w:val="en-US" w:eastAsia="zh-CN"/>
                    </w:rPr>
                    <w:t>3</w:t>
                  </w:r>
                  <w:r>
                    <w:rPr>
                      <w:rFonts w:hint="eastAsia" w:ascii="Times New Roman" w:hAnsi="Times New Roman" w:eastAsia="宋体" w:cs="Times New Roman"/>
                      <w:color w:val="FF0000"/>
                      <w:sz w:val="21"/>
                      <w:szCs w:val="21"/>
                      <w:lang w:val="en-US" w:eastAsia="zh-CN"/>
                    </w:rPr>
                    <w:t>kg/t</w:t>
                  </w:r>
                </w:p>
              </w:tc>
              <w:tc>
                <w:tcPr>
                  <w:tcW w:w="1018" w:type="dxa"/>
                  <w:tcBorders>
                    <w:tl2br w:val="nil"/>
                    <w:tr2bl w:val="nil"/>
                  </w:tcBorders>
                  <w:vAlign w:val="center"/>
                </w:tcPr>
                <w:p w14:paraId="616D7E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117</w:t>
                  </w:r>
                </w:p>
              </w:tc>
              <w:tc>
                <w:tcPr>
                  <w:tcW w:w="1178" w:type="dxa"/>
                  <w:tcBorders>
                    <w:tl2br w:val="nil"/>
                    <w:tr2bl w:val="nil"/>
                  </w:tcBorders>
                  <w:vAlign w:val="center"/>
                </w:tcPr>
                <w:p w14:paraId="2DCC7F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eastAsia="zh-CN"/>
                    </w:rPr>
                    <w:t>有组织</w:t>
                  </w:r>
                  <w:r>
                    <w:rPr>
                      <w:rFonts w:hint="eastAsia" w:ascii="Times New Roman" w:hAnsi="Times New Roman" w:eastAsia="宋体" w:cs="Times New Roman"/>
                      <w:color w:val="FF0000"/>
                      <w:sz w:val="21"/>
                      <w:szCs w:val="21"/>
                      <w:lang w:val="en-US" w:eastAsia="zh-CN"/>
                    </w:rPr>
                    <w:t>+无组织</w:t>
                  </w:r>
                </w:p>
              </w:tc>
            </w:tr>
            <w:tr w14:paraId="2383C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3D23B13E">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273A5E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破碎及筛分粉尘</w:t>
                  </w:r>
                </w:p>
              </w:tc>
              <w:tc>
                <w:tcPr>
                  <w:tcW w:w="1595" w:type="dxa"/>
                  <w:tcBorders>
                    <w:tl2br w:val="nil"/>
                    <w:tr2bl w:val="nil"/>
                  </w:tcBorders>
                  <w:vAlign w:val="center"/>
                </w:tcPr>
                <w:p w14:paraId="16D60D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锂渣</w:t>
                  </w:r>
                </w:p>
              </w:tc>
              <w:tc>
                <w:tcPr>
                  <w:tcW w:w="1228" w:type="dxa"/>
                  <w:tcBorders>
                    <w:tl2br w:val="nil"/>
                    <w:tr2bl w:val="nil"/>
                  </w:tcBorders>
                  <w:vAlign w:val="center"/>
                </w:tcPr>
                <w:p w14:paraId="33FB29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259000</w:t>
                  </w:r>
                </w:p>
              </w:tc>
              <w:tc>
                <w:tcPr>
                  <w:tcW w:w="1159" w:type="dxa"/>
                  <w:tcBorders>
                    <w:tl2br w:val="nil"/>
                    <w:tr2bl w:val="nil"/>
                  </w:tcBorders>
                  <w:vAlign w:val="center"/>
                </w:tcPr>
                <w:p w14:paraId="2BA1914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val="en-US" w:eastAsia="zh-CN"/>
                    </w:rPr>
                    <w:t>0.</w:t>
                  </w:r>
                  <w:r>
                    <w:rPr>
                      <w:rFonts w:hint="eastAsia" w:cs="Times New Roman"/>
                      <w:color w:val="FF0000"/>
                      <w:sz w:val="21"/>
                      <w:szCs w:val="21"/>
                      <w:lang w:val="en-US" w:eastAsia="zh-CN"/>
                    </w:rPr>
                    <w:t>25</w:t>
                  </w:r>
                  <w:r>
                    <w:rPr>
                      <w:rFonts w:hint="eastAsia" w:ascii="Times New Roman" w:hAnsi="Times New Roman" w:eastAsia="宋体" w:cs="Times New Roman"/>
                      <w:color w:val="FF0000"/>
                      <w:sz w:val="21"/>
                      <w:szCs w:val="21"/>
                      <w:lang w:val="en-US" w:eastAsia="zh-CN"/>
                    </w:rPr>
                    <w:t>kg/t</w:t>
                  </w:r>
                </w:p>
              </w:tc>
              <w:tc>
                <w:tcPr>
                  <w:tcW w:w="1018" w:type="dxa"/>
                  <w:tcBorders>
                    <w:tl2br w:val="nil"/>
                    <w:tr2bl w:val="nil"/>
                  </w:tcBorders>
                  <w:vAlign w:val="center"/>
                </w:tcPr>
                <w:p w14:paraId="3AF9070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64.75</w:t>
                  </w:r>
                </w:p>
              </w:tc>
              <w:tc>
                <w:tcPr>
                  <w:tcW w:w="1178" w:type="dxa"/>
                  <w:tcBorders>
                    <w:tl2br w:val="nil"/>
                    <w:tr2bl w:val="nil"/>
                  </w:tcBorders>
                  <w:vAlign w:val="center"/>
                </w:tcPr>
                <w:p w14:paraId="67C02F8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有组织</w:t>
                  </w:r>
                  <w:r>
                    <w:rPr>
                      <w:rFonts w:hint="eastAsia" w:ascii="Times New Roman" w:hAnsi="Times New Roman" w:eastAsia="宋体" w:cs="Times New Roman"/>
                      <w:color w:val="FF0000"/>
                      <w:sz w:val="21"/>
                      <w:szCs w:val="21"/>
                      <w:lang w:val="en-US" w:eastAsia="zh-CN"/>
                    </w:rPr>
                    <w:t>+无组织</w:t>
                  </w:r>
                </w:p>
              </w:tc>
            </w:tr>
            <w:tr w14:paraId="35000C7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13F48D5F">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38AE9CA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运输扬尘</w:t>
                  </w:r>
                </w:p>
              </w:tc>
              <w:tc>
                <w:tcPr>
                  <w:tcW w:w="1595" w:type="dxa"/>
                  <w:tcBorders>
                    <w:tl2br w:val="nil"/>
                    <w:tr2bl w:val="nil"/>
                  </w:tcBorders>
                  <w:vAlign w:val="center"/>
                </w:tcPr>
                <w:p w14:paraId="4B4178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228" w:type="dxa"/>
                  <w:tcBorders>
                    <w:tl2br w:val="nil"/>
                    <w:tr2bl w:val="nil"/>
                  </w:tcBorders>
                  <w:vAlign w:val="center"/>
                </w:tcPr>
                <w:p w14:paraId="665CAC5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159" w:type="dxa"/>
                  <w:tcBorders>
                    <w:tl2br w:val="nil"/>
                    <w:tr2bl w:val="nil"/>
                  </w:tcBorders>
                  <w:vAlign w:val="center"/>
                </w:tcPr>
                <w:p w14:paraId="4F97B3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018" w:type="dxa"/>
                  <w:tcBorders>
                    <w:tl2br w:val="nil"/>
                    <w:tr2bl w:val="nil"/>
                  </w:tcBorders>
                  <w:vAlign w:val="center"/>
                </w:tcPr>
                <w:p w14:paraId="092D18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9.41</w:t>
                  </w:r>
                </w:p>
              </w:tc>
              <w:tc>
                <w:tcPr>
                  <w:tcW w:w="1178" w:type="dxa"/>
                  <w:tcBorders>
                    <w:tl2br w:val="nil"/>
                    <w:tr2bl w:val="nil"/>
                  </w:tcBorders>
                  <w:vAlign w:val="center"/>
                </w:tcPr>
                <w:p w14:paraId="6089CB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无组织</w:t>
                  </w:r>
                </w:p>
              </w:tc>
            </w:tr>
            <w:tr w14:paraId="67F3E4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48" w:type="dxa"/>
                  <w:tcBorders>
                    <w:tl2br w:val="nil"/>
                    <w:tr2bl w:val="nil"/>
                  </w:tcBorders>
                  <w:vAlign w:val="center"/>
                </w:tcPr>
                <w:p w14:paraId="5A8501BA">
                  <w:pPr>
                    <w:keepNext w:val="0"/>
                    <w:keepLines w:val="0"/>
                    <w:pageBreakBefore w:val="0"/>
                    <w:widowControl w:val="0"/>
                    <w:numPr>
                      <w:ilvl w:val="0"/>
                      <w:numId w:val="18"/>
                    </w:numPr>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color w:val="FF0000"/>
                      <w:sz w:val="21"/>
                      <w:szCs w:val="21"/>
                      <w:lang w:eastAsia="zh-CN"/>
                    </w:rPr>
                  </w:pPr>
                </w:p>
              </w:tc>
              <w:tc>
                <w:tcPr>
                  <w:tcW w:w="1514" w:type="dxa"/>
                  <w:tcBorders>
                    <w:tl2br w:val="nil"/>
                    <w:tr2bl w:val="nil"/>
                  </w:tcBorders>
                  <w:vAlign w:val="center"/>
                </w:tcPr>
                <w:p w14:paraId="611822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eastAsia="zh-CN"/>
                    </w:rPr>
                  </w:pPr>
                  <w:r>
                    <w:rPr>
                      <w:rFonts w:hint="eastAsia" w:ascii="Times New Roman" w:hAnsi="Times New Roman" w:eastAsia="宋体" w:cs="Times New Roman"/>
                      <w:color w:val="FF0000"/>
                      <w:sz w:val="21"/>
                      <w:szCs w:val="21"/>
                      <w:lang w:eastAsia="zh-CN"/>
                    </w:rPr>
                    <w:t>合计</w:t>
                  </w:r>
                </w:p>
              </w:tc>
              <w:tc>
                <w:tcPr>
                  <w:tcW w:w="1595" w:type="dxa"/>
                  <w:tcBorders>
                    <w:tl2br w:val="nil"/>
                    <w:tr2bl w:val="nil"/>
                  </w:tcBorders>
                  <w:vAlign w:val="center"/>
                </w:tcPr>
                <w:p w14:paraId="27FB697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228" w:type="dxa"/>
                  <w:tcBorders>
                    <w:tl2br w:val="nil"/>
                    <w:tr2bl w:val="nil"/>
                  </w:tcBorders>
                  <w:vAlign w:val="center"/>
                </w:tcPr>
                <w:p w14:paraId="32690A5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159" w:type="dxa"/>
                  <w:tcBorders>
                    <w:tl2br w:val="nil"/>
                    <w:tr2bl w:val="nil"/>
                  </w:tcBorders>
                  <w:vAlign w:val="center"/>
                </w:tcPr>
                <w:p w14:paraId="25594C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c>
                <w:tcPr>
                  <w:tcW w:w="1018" w:type="dxa"/>
                  <w:tcBorders>
                    <w:tl2br w:val="nil"/>
                    <w:tr2bl w:val="nil"/>
                  </w:tcBorders>
                  <w:vAlign w:val="center"/>
                </w:tcPr>
                <w:p w14:paraId="02B818E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232.224</w:t>
                  </w:r>
                </w:p>
              </w:tc>
              <w:tc>
                <w:tcPr>
                  <w:tcW w:w="1178" w:type="dxa"/>
                  <w:tcBorders>
                    <w:tl2br w:val="nil"/>
                    <w:tr2bl w:val="nil"/>
                  </w:tcBorders>
                  <w:vAlign w:val="center"/>
                </w:tcPr>
                <w:p w14:paraId="5D4BE7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lang w:val="en-US" w:eastAsia="zh-CN"/>
                    </w:rPr>
                  </w:pPr>
                  <w:r>
                    <w:rPr>
                      <w:rFonts w:hint="eastAsia" w:ascii="Times New Roman" w:hAnsi="Times New Roman" w:eastAsia="宋体" w:cs="Times New Roman"/>
                      <w:color w:val="FF0000"/>
                      <w:sz w:val="21"/>
                      <w:szCs w:val="21"/>
                      <w:lang w:val="en-US" w:eastAsia="zh-CN"/>
                    </w:rPr>
                    <w:t>/</w:t>
                  </w:r>
                </w:p>
              </w:tc>
            </w:tr>
          </w:tbl>
          <w:p w14:paraId="1741A067">
            <w:pPr>
              <w:keepNext w:val="0"/>
              <w:keepLines w:val="0"/>
              <w:suppressLineNumbers w:val="0"/>
              <w:bidi w:val="0"/>
              <w:spacing w:before="0" w:beforeAutospacing="0" w:after="0" w:afterAutospacing="0"/>
              <w:ind w:left="0" w:leftChars="0" w:right="0" w:firstLine="480" w:firstLineChars="200"/>
              <w:rPr>
                <w:rFonts w:hint="eastAsia"/>
                <w:color w:val="FF0000"/>
                <w:kern w:val="2"/>
                <w:szCs w:val="21"/>
                <w:lang w:val="en-US" w:eastAsia="zh-CN"/>
              </w:rPr>
            </w:pPr>
            <w:r>
              <w:rPr>
                <w:rFonts w:hint="eastAsia"/>
                <w:color w:val="FF0000"/>
                <w:kern w:val="2"/>
                <w:szCs w:val="21"/>
                <w:lang w:val="en-US" w:eastAsia="zh-CN"/>
              </w:rPr>
              <w:t>本次扩建后，全厂废气排放情况如下。</w:t>
            </w:r>
          </w:p>
          <w:p w14:paraId="0BEBA8CD">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全厂</w:t>
            </w:r>
            <w:r>
              <w:rPr>
                <w:rFonts w:hint="default" w:ascii="Times New Roman" w:hAnsi="Times New Roman" w:eastAsia="宋体" w:cs="Times New Roman"/>
                <w:color w:val="FF0000"/>
                <w:sz w:val="21"/>
                <w:szCs w:val="21"/>
                <w:highlight w:val="none"/>
                <w:lang w:val="en-US" w:eastAsia="zh-CN"/>
              </w:rPr>
              <w:t>废气排放情况</w:t>
            </w:r>
          </w:p>
          <w:tbl>
            <w:tblPr>
              <w:tblStyle w:val="25"/>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Layout w:type="fixed"/>
              <w:tblCellMar>
                <w:top w:w="0" w:type="dxa"/>
                <w:left w:w="23" w:type="dxa"/>
                <w:bottom w:w="0" w:type="dxa"/>
                <w:right w:w="23" w:type="dxa"/>
              </w:tblCellMar>
            </w:tblPr>
            <w:tblGrid>
              <w:gridCol w:w="472"/>
              <w:gridCol w:w="1064"/>
              <w:gridCol w:w="791"/>
              <w:gridCol w:w="1178"/>
              <w:gridCol w:w="784"/>
              <w:gridCol w:w="887"/>
              <w:gridCol w:w="803"/>
              <w:gridCol w:w="1215"/>
              <w:gridCol w:w="1043"/>
            </w:tblGrid>
            <w:tr w14:paraId="42E1B0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23" w:type="dxa"/>
                  <w:bottom w:w="0" w:type="dxa"/>
                  <w:right w:w="23" w:type="dxa"/>
                </w:tblCellMar>
              </w:tblPrEx>
              <w:trPr>
                <w:trHeight w:val="270" w:hRule="atLeast"/>
                <w:jc w:val="center"/>
              </w:trPr>
              <w:tc>
                <w:tcPr>
                  <w:tcW w:w="932" w:type="pct"/>
                  <w:gridSpan w:val="2"/>
                  <w:vMerge w:val="restart"/>
                  <w:tcBorders>
                    <w:tl2br w:val="nil"/>
                    <w:tr2bl w:val="nil"/>
                  </w:tcBorders>
                  <w:shd w:val="clear" w:color="auto" w:fill="auto"/>
                  <w:vAlign w:val="center"/>
                </w:tcPr>
                <w:p w14:paraId="09D6195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FF0000"/>
                      <w:kern w:val="2"/>
                      <w:sz w:val="21"/>
                      <w:szCs w:val="21"/>
                      <w:lang w:val="en-US" w:eastAsia="zh-CN"/>
                    </w:rPr>
                  </w:pPr>
                  <w:r>
                    <w:rPr>
                      <w:rFonts w:hint="eastAsia" w:cs="Times New Roman"/>
                      <w:color w:val="FF0000"/>
                      <w:kern w:val="2"/>
                      <w:sz w:val="21"/>
                      <w:szCs w:val="21"/>
                      <w:lang w:val="en-US" w:eastAsia="zh-CN"/>
                    </w:rPr>
                    <w:t>排放方式</w:t>
                  </w:r>
                </w:p>
              </w:tc>
              <w:tc>
                <w:tcPr>
                  <w:tcW w:w="480" w:type="pct"/>
                  <w:vMerge w:val="restart"/>
                  <w:tcBorders>
                    <w:tl2br w:val="nil"/>
                    <w:tr2bl w:val="nil"/>
                  </w:tcBorders>
                  <w:shd w:val="clear" w:color="auto" w:fill="auto"/>
                  <w:vAlign w:val="center"/>
                </w:tcPr>
                <w:p w14:paraId="1616B4D4">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FF0000"/>
                      <w:kern w:val="2"/>
                      <w:sz w:val="21"/>
                      <w:szCs w:val="21"/>
                    </w:rPr>
                  </w:pPr>
                  <w:r>
                    <w:rPr>
                      <w:rFonts w:hint="default" w:ascii="Times New Roman" w:hAnsi="Times New Roman" w:cs="Times New Roman"/>
                      <w:color w:val="FF0000"/>
                      <w:kern w:val="2"/>
                      <w:sz w:val="21"/>
                      <w:szCs w:val="21"/>
                      <w:lang w:val="en-US" w:eastAsia="zh-CN"/>
                    </w:rPr>
                    <w:t>名称</w:t>
                  </w:r>
                </w:p>
              </w:tc>
              <w:tc>
                <w:tcPr>
                  <w:tcW w:w="715" w:type="pct"/>
                  <w:vMerge w:val="restart"/>
                  <w:tcBorders>
                    <w:tl2br w:val="nil"/>
                    <w:tr2bl w:val="nil"/>
                  </w:tcBorders>
                  <w:shd w:val="clear" w:color="auto" w:fill="auto"/>
                  <w:vAlign w:val="center"/>
                </w:tcPr>
                <w:p w14:paraId="0E7F2C4F">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FF0000"/>
                      <w:kern w:val="2"/>
                      <w:sz w:val="21"/>
                      <w:szCs w:val="21"/>
                    </w:rPr>
                  </w:pPr>
                  <w:r>
                    <w:rPr>
                      <w:rFonts w:hint="default" w:ascii="Times New Roman" w:hAnsi="Times New Roman" w:cs="Times New Roman"/>
                      <w:color w:val="FF0000"/>
                      <w:kern w:val="2"/>
                      <w:sz w:val="21"/>
                      <w:szCs w:val="21"/>
                      <w:lang w:val="en-US" w:eastAsia="zh-CN"/>
                    </w:rPr>
                    <w:t>污染物名称</w:t>
                  </w:r>
                </w:p>
              </w:tc>
              <w:tc>
                <w:tcPr>
                  <w:tcW w:w="1014" w:type="pct"/>
                  <w:gridSpan w:val="2"/>
                  <w:tcBorders>
                    <w:tl2br w:val="nil"/>
                    <w:tr2bl w:val="nil"/>
                  </w:tcBorders>
                  <w:shd w:val="clear" w:color="auto" w:fill="auto"/>
                  <w:noWrap/>
                  <w:vAlign w:val="center"/>
                </w:tcPr>
                <w:p w14:paraId="027285B8">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FF0000"/>
                      <w:kern w:val="2"/>
                      <w:sz w:val="21"/>
                      <w:szCs w:val="21"/>
                      <w:lang w:val="en-US" w:eastAsia="zh-CN"/>
                    </w:rPr>
                  </w:pPr>
                  <w:r>
                    <w:rPr>
                      <w:rFonts w:hint="default" w:ascii="Times New Roman" w:hAnsi="Times New Roman" w:cs="Times New Roman"/>
                      <w:color w:val="FF0000"/>
                      <w:kern w:val="2"/>
                      <w:sz w:val="21"/>
                      <w:szCs w:val="21"/>
                      <w:lang w:val="en-US" w:eastAsia="zh-CN"/>
                    </w:rPr>
                    <w:t>污染治理措施</w:t>
                  </w:r>
                </w:p>
              </w:tc>
              <w:tc>
                <w:tcPr>
                  <w:tcW w:w="1858" w:type="pct"/>
                  <w:gridSpan w:val="3"/>
                  <w:tcBorders>
                    <w:tl2br w:val="nil"/>
                    <w:tr2bl w:val="nil"/>
                  </w:tcBorders>
                  <w:shd w:val="clear" w:color="auto" w:fill="auto"/>
                  <w:noWrap/>
                  <w:vAlign w:val="center"/>
                </w:tcPr>
                <w:p w14:paraId="4A5E596C">
                  <w:pPr>
                    <w:pStyle w:val="129"/>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FF0000"/>
                      <w:kern w:val="2"/>
                      <w:sz w:val="21"/>
                      <w:szCs w:val="21"/>
                      <w:lang w:val="en-US" w:eastAsia="zh-CN"/>
                    </w:rPr>
                  </w:pPr>
                  <w:r>
                    <w:rPr>
                      <w:rFonts w:hint="default" w:ascii="Times New Roman" w:hAnsi="Times New Roman" w:cs="Times New Roman"/>
                      <w:color w:val="FF0000"/>
                      <w:kern w:val="2"/>
                      <w:sz w:val="21"/>
                      <w:szCs w:val="21"/>
                      <w:lang w:val="en-US" w:eastAsia="zh-CN"/>
                    </w:rPr>
                    <w:t>污染物排放情况</w:t>
                  </w:r>
                </w:p>
              </w:tc>
            </w:tr>
            <w:tr w14:paraId="3B2530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545" w:hRule="atLeast"/>
                <w:jc w:val="center"/>
              </w:trPr>
              <w:tc>
                <w:tcPr>
                  <w:tcW w:w="932" w:type="pct"/>
                  <w:gridSpan w:val="2"/>
                  <w:vMerge w:val="continue"/>
                  <w:tcBorders>
                    <w:tl2br w:val="nil"/>
                    <w:tr2bl w:val="nil"/>
                  </w:tcBorders>
                  <w:shd w:val="clear" w:color="auto" w:fill="auto"/>
                  <w:vAlign w:val="center"/>
                </w:tcPr>
                <w:p w14:paraId="4B722B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p>
              </w:tc>
              <w:tc>
                <w:tcPr>
                  <w:tcW w:w="480" w:type="pct"/>
                  <w:vMerge w:val="continue"/>
                  <w:tcBorders>
                    <w:tl2br w:val="nil"/>
                    <w:tr2bl w:val="nil"/>
                  </w:tcBorders>
                  <w:shd w:val="clear" w:color="auto" w:fill="auto"/>
                  <w:vAlign w:val="center"/>
                </w:tcPr>
                <w:p w14:paraId="4BB9AF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p>
              </w:tc>
              <w:tc>
                <w:tcPr>
                  <w:tcW w:w="715" w:type="pct"/>
                  <w:vMerge w:val="continue"/>
                  <w:tcBorders>
                    <w:tl2br w:val="nil"/>
                    <w:tr2bl w:val="nil"/>
                  </w:tcBorders>
                  <w:shd w:val="clear" w:color="auto" w:fill="auto"/>
                  <w:vAlign w:val="center"/>
                </w:tcPr>
                <w:p w14:paraId="5E0D46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p>
              </w:tc>
              <w:tc>
                <w:tcPr>
                  <w:tcW w:w="475" w:type="pct"/>
                  <w:tcBorders>
                    <w:tl2br w:val="nil"/>
                    <w:tr2bl w:val="nil"/>
                  </w:tcBorders>
                  <w:shd w:val="clear" w:color="auto" w:fill="auto"/>
                  <w:vAlign w:val="center"/>
                </w:tcPr>
                <w:p w14:paraId="5E9FBCE1">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r>
                    <w:rPr>
                      <w:rFonts w:hint="default" w:ascii="Times New Roman" w:hAnsi="Times New Roman" w:eastAsia="宋体" w:cs="Times New Roman"/>
                      <w:b/>
                      <w:bCs/>
                      <w:i w:val="0"/>
                      <w:iCs w:val="0"/>
                      <w:color w:val="FF0000"/>
                      <w:kern w:val="0"/>
                      <w:sz w:val="21"/>
                      <w:szCs w:val="21"/>
                      <w:u w:val="none"/>
                      <w:lang w:val="en-US" w:eastAsia="zh-CN" w:bidi="ar"/>
                    </w:rPr>
                    <w:t>风量m</w:t>
                  </w:r>
                  <w:r>
                    <w:rPr>
                      <w:rFonts w:hint="default" w:ascii="Times New Roman" w:hAnsi="Times New Roman" w:eastAsia="宋体" w:cs="Times New Roman"/>
                      <w:b/>
                      <w:bCs/>
                      <w:i w:val="0"/>
                      <w:iCs w:val="0"/>
                      <w:color w:val="FF0000"/>
                      <w:kern w:val="0"/>
                      <w:sz w:val="21"/>
                      <w:szCs w:val="21"/>
                      <w:u w:val="none"/>
                      <w:vertAlign w:val="superscript"/>
                      <w:lang w:val="en-US" w:eastAsia="zh-CN" w:bidi="ar"/>
                    </w:rPr>
                    <w:t>3</w:t>
                  </w:r>
                  <w:r>
                    <w:rPr>
                      <w:rFonts w:hint="default" w:ascii="Times New Roman" w:hAnsi="Times New Roman" w:eastAsia="宋体" w:cs="Times New Roman"/>
                      <w:b/>
                      <w:bCs/>
                      <w:i w:val="0"/>
                      <w:iCs w:val="0"/>
                      <w:color w:val="FF0000"/>
                      <w:kern w:val="0"/>
                      <w:sz w:val="21"/>
                      <w:szCs w:val="21"/>
                      <w:u w:val="none"/>
                      <w:lang w:val="en-US" w:eastAsia="zh-CN" w:bidi="ar"/>
                    </w:rPr>
                    <w:t>/h</w:t>
                  </w:r>
                </w:p>
              </w:tc>
              <w:tc>
                <w:tcPr>
                  <w:tcW w:w="538" w:type="pct"/>
                  <w:tcBorders>
                    <w:tl2br w:val="nil"/>
                    <w:tr2bl w:val="nil"/>
                  </w:tcBorders>
                  <w:shd w:val="clear" w:color="auto" w:fill="auto"/>
                  <w:vAlign w:val="center"/>
                </w:tcPr>
                <w:p w14:paraId="19CBE4EF">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r>
                    <w:rPr>
                      <w:rFonts w:hint="default" w:ascii="Times New Roman" w:hAnsi="Times New Roman" w:eastAsia="宋体" w:cs="Times New Roman"/>
                      <w:b/>
                      <w:bCs/>
                      <w:i w:val="0"/>
                      <w:iCs w:val="0"/>
                      <w:color w:val="FF0000"/>
                      <w:kern w:val="0"/>
                      <w:sz w:val="21"/>
                      <w:szCs w:val="21"/>
                      <w:u w:val="none"/>
                      <w:lang w:val="en-US" w:eastAsia="zh-CN" w:bidi="ar"/>
                    </w:rPr>
                    <w:t>处理方式</w:t>
                  </w:r>
                </w:p>
              </w:tc>
              <w:tc>
                <w:tcPr>
                  <w:tcW w:w="487" w:type="pct"/>
                  <w:tcBorders>
                    <w:tl2br w:val="nil"/>
                    <w:tr2bl w:val="nil"/>
                  </w:tcBorders>
                  <w:shd w:val="clear" w:color="auto" w:fill="auto"/>
                  <w:vAlign w:val="center"/>
                </w:tcPr>
                <w:p w14:paraId="515E6B7C">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r>
                    <w:rPr>
                      <w:rFonts w:hint="default" w:ascii="Times New Roman" w:hAnsi="Times New Roman" w:eastAsia="宋体" w:cs="Times New Roman"/>
                      <w:b/>
                      <w:bCs/>
                      <w:i w:val="0"/>
                      <w:iCs w:val="0"/>
                      <w:color w:val="FF0000"/>
                      <w:kern w:val="0"/>
                      <w:sz w:val="21"/>
                      <w:szCs w:val="21"/>
                      <w:u w:val="none"/>
                      <w:lang w:val="en-US" w:eastAsia="zh-CN" w:bidi="ar"/>
                    </w:rPr>
                    <w:t>排放量t/a</w:t>
                  </w:r>
                </w:p>
              </w:tc>
              <w:tc>
                <w:tcPr>
                  <w:tcW w:w="737" w:type="pct"/>
                  <w:tcBorders>
                    <w:tl2br w:val="nil"/>
                    <w:tr2bl w:val="nil"/>
                  </w:tcBorders>
                  <w:shd w:val="clear" w:color="auto" w:fill="auto"/>
                  <w:vAlign w:val="center"/>
                </w:tcPr>
                <w:p w14:paraId="121931F0">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0"/>
                      <w:sz w:val="21"/>
                      <w:szCs w:val="21"/>
                      <w:u w:val="none"/>
                      <w:lang w:val="en-US" w:eastAsia="zh-CN" w:bidi="ar"/>
                    </w:rPr>
                  </w:pPr>
                  <w:r>
                    <w:rPr>
                      <w:rFonts w:hint="default" w:ascii="Times New Roman" w:hAnsi="Times New Roman" w:eastAsia="宋体" w:cs="Times New Roman"/>
                      <w:b/>
                      <w:bCs/>
                      <w:i w:val="0"/>
                      <w:iCs w:val="0"/>
                      <w:color w:val="FF0000"/>
                      <w:kern w:val="0"/>
                      <w:sz w:val="21"/>
                      <w:szCs w:val="21"/>
                      <w:u w:val="none"/>
                      <w:lang w:val="en-US" w:eastAsia="zh-CN" w:bidi="ar"/>
                    </w:rPr>
                    <w:t>排放速率kg/h</w:t>
                  </w:r>
                </w:p>
              </w:tc>
              <w:tc>
                <w:tcPr>
                  <w:tcW w:w="633" w:type="pct"/>
                  <w:tcBorders>
                    <w:tl2br w:val="nil"/>
                    <w:tr2bl w:val="nil"/>
                  </w:tcBorders>
                  <w:shd w:val="clear" w:color="auto" w:fill="auto"/>
                  <w:vAlign w:val="center"/>
                </w:tcPr>
                <w:p w14:paraId="3DF5F0C1">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2"/>
                      <w:sz w:val="21"/>
                      <w:szCs w:val="21"/>
                      <w:u w:val="none"/>
                    </w:rPr>
                  </w:pPr>
                  <w:r>
                    <w:rPr>
                      <w:rFonts w:hint="default" w:ascii="Times New Roman" w:hAnsi="Times New Roman" w:eastAsia="宋体" w:cs="Times New Roman"/>
                      <w:b/>
                      <w:bCs/>
                      <w:i w:val="0"/>
                      <w:iCs w:val="0"/>
                      <w:color w:val="FF0000"/>
                      <w:kern w:val="0"/>
                      <w:sz w:val="21"/>
                      <w:szCs w:val="21"/>
                      <w:u w:val="none"/>
                      <w:lang w:val="en-US" w:eastAsia="zh-CN" w:bidi="ar"/>
                    </w:rPr>
                    <w:t>排放浓度mg/m</w:t>
                  </w:r>
                  <w:r>
                    <w:rPr>
                      <w:rFonts w:hint="default" w:ascii="Times New Roman" w:hAnsi="Times New Roman" w:eastAsia="宋体" w:cs="Times New Roman"/>
                      <w:b/>
                      <w:bCs/>
                      <w:i w:val="0"/>
                      <w:iCs w:val="0"/>
                      <w:color w:val="FF0000"/>
                      <w:kern w:val="0"/>
                      <w:sz w:val="21"/>
                      <w:szCs w:val="21"/>
                      <w:u w:val="none"/>
                      <w:vertAlign w:val="superscript"/>
                      <w:lang w:val="en-US" w:eastAsia="zh-CN" w:bidi="ar"/>
                    </w:rPr>
                    <w:t>3</w:t>
                  </w:r>
                </w:p>
              </w:tc>
            </w:tr>
            <w:tr w14:paraId="6F8920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2" w:hRule="atLeast"/>
                <w:jc w:val="center"/>
              </w:trPr>
              <w:tc>
                <w:tcPr>
                  <w:tcW w:w="286" w:type="pct"/>
                  <w:vMerge w:val="restart"/>
                  <w:tcBorders>
                    <w:tl2br w:val="nil"/>
                    <w:tr2bl w:val="nil"/>
                  </w:tcBorders>
                  <w:shd w:val="clear" w:color="auto" w:fill="auto"/>
                  <w:vAlign w:val="center"/>
                </w:tcPr>
                <w:p w14:paraId="043B1B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有组织</w:t>
                  </w:r>
                </w:p>
              </w:tc>
              <w:tc>
                <w:tcPr>
                  <w:tcW w:w="645" w:type="pct"/>
                  <w:vMerge w:val="restart"/>
                  <w:tcBorders>
                    <w:tl2br w:val="nil"/>
                    <w:tr2bl w:val="nil"/>
                  </w:tcBorders>
                  <w:shd w:val="clear" w:color="auto" w:fill="auto"/>
                  <w:vAlign w:val="center"/>
                </w:tcPr>
                <w:p w14:paraId="7CDAA7A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DA00</w:t>
                  </w:r>
                  <w:r>
                    <w:rPr>
                      <w:rFonts w:hint="eastAsia" w:cs="Times New Roman"/>
                      <w:i w:val="0"/>
                      <w:iCs w:val="0"/>
                      <w:color w:val="FF0000"/>
                      <w:kern w:val="0"/>
                      <w:sz w:val="21"/>
                      <w:szCs w:val="21"/>
                      <w:u w:val="none"/>
                      <w:lang w:val="en-US" w:eastAsia="zh-CN" w:bidi="ar"/>
                    </w:rPr>
                    <w:t>1</w:t>
                  </w:r>
                </w:p>
              </w:tc>
              <w:tc>
                <w:tcPr>
                  <w:tcW w:w="480" w:type="pct"/>
                  <w:vMerge w:val="restart"/>
                  <w:tcBorders>
                    <w:tl2br w:val="nil"/>
                    <w:tr2bl w:val="nil"/>
                  </w:tcBorders>
                  <w:shd w:val="clear" w:color="auto" w:fill="auto"/>
                  <w:vAlign w:val="center"/>
                </w:tcPr>
                <w:p w14:paraId="24037E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现有工程</w:t>
                  </w:r>
                </w:p>
              </w:tc>
              <w:tc>
                <w:tcPr>
                  <w:tcW w:w="715" w:type="pct"/>
                  <w:tcBorders>
                    <w:tl2br w:val="nil"/>
                    <w:tr2bl w:val="nil"/>
                  </w:tcBorders>
                  <w:shd w:val="clear" w:color="auto" w:fill="auto"/>
                  <w:vAlign w:val="center"/>
                </w:tcPr>
                <w:p w14:paraId="6EC4B785">
                  <w:pPr>
                    <w:pStyle w:val="130"/>
                    <w:keepNext w:val="0"/>
                    <w:keepLines w:val="0"/>
                    <w:pageBreakBefore w:val="0"/>
                    <w:suppressLineNumbers w:val="0"/>
                    <w:shd w:val="clear"/>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cs="Times New Roman"/>
                      <w:color w:val="FF0000"/>
                      <w:kern w:val="2"/>
                      <w:sz w:val="21"/>
                      <w:szCs w:val="21"/>
                      <w:lang w:val="en-US" w:eastAsia="zh-CN"/>
                    </w:rPr>
                    <w:t>颗粒物</w:t>
                  </w:r>
                </w:p>
              </w:tc>
              <w:tc>
                <w:tcPr>
                  <w:tcW w:w="475" w:type="pct"/>
                  <w:vMerge w:val="restart"/>
                  <w:tcBorders>
                    <w:tl2br w:val="nil"/>
                    <w:tr2bl w:val="nil"/>
                  </w:tcBorders>
                  <w:shd w:val="clear" w:color="auto" w:fill="auto"/>
                  <w:noWrap/>
                  <w:vAlign w:val="center"/>
                </w:tcPr>
                <w:p w14:paraId="59858FB0">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bidi="ar-SA"/>
                    </w:rPr>
                  </w:pPr>
                  <w:r>
                    <w:rPr>
                      <w:rFonts w:hint="eastAsia" w:cs="Times New Roman"/>
                      <w:color w:val="FF0000"/>
                      <w:kern w:val="2"/>
                      <w:sz w:val="21"/>
                      <w:szCs w:val="21"/>
                      <w:lang w:val="en-US" w:eastAsia="zh-CN" w:bidi="ar-SA"/>
                    </w:rPr>
                    <w:t>5000</w:t>
                  </w:r>
                </w:p>
              </w:tc>
              <w:tc>
                <w:tcPr>
                  <w:tcW w:w="538" w:type="pct"/>
                  <w:vMerge w:val="restart"/>
                  <w:tcBorders>
                    <w:tl2br w:val="nil"/>
                    <w:tr2bl w:val="nil"/>
                  </w:tcBorders>
                  <w:shd w:val="clear" w:color="auto" w:fill="auto"/>
                  <w:noWrap/>
                  <w:vAlign w:val="center"/>
                </w:tcPr>
                <w:p w14:paraId="120A6D5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集气罩+布袋除尘</w:t>
                  </w:r>
                </w:p>
              </w:tc>
              <w:tc>
                <w:tcPr>
                  <w:tcW w:w="487" w:type="pct"/>
                  <w:tcBorders>
                    <w:tl2br w:val="nil"/>
                    <w:tr2bl w:val="nil"/>
                  </w:tcBorders>
                  <w:shd w:val="clear" w:color="auto" w:fill="auto"/>
                  <w:noWrap/>
                  <w:vAlign w:val="center"/>
                </w:tcPr>
                <w:p w14:paraId="6423D2F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1.26</w:t>
                  </w:r>
                </w:p>
              </w:tc>
              <w:tc>
                <w:tcPr>
                  <w:tcW w:w="737" w:type="pct"/>
                  <w:tcBorders>
                    <w:tl2br w:val="nil"/>
                    <w:tr2bl w:val="nil"/>
                  </w:tcBorders>
                  <w:shd w:val="clear" w:color="auto" w:fill="auto"/>
                  <w:noWrap/>
                  <w:vAlign w:val="center"/>
                </w:tcPr>
                <w:p w14:paraId="2B23E6B7">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rPr>
                    <w:t>0.17</w:t>
                  </w:r>
                </w:p>
              </w:tc>
              <w:tc>
                <w:tcPr>
                  <w:tcW w:w="633" w:type="pct"/>
                  <w:tcBorders>
                    <w:tl2br w:val="nil"/>
                    <w:tr2bl w:val="nil"/>
                  </w:tcBorders>
                  <w:shd w:val="clear" w:color="auto" w:fill="auto"/>
                  <w:noWrap/>
                  <w:vAlign w:val="center"/>
                </w:tcPr>
                <w:p w14:paraId="40C92F1F">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34.93</w:t>
                  </w:r>
                </w:p>
              </w:tc>
            </w:tr>
            <w:tr w14:paraId="18E939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413CCD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19D2DA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7439D7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AB1FE73">
                  <w:pPr>
                    <w:pStyle w:val="130"/>
                    <w:keepNext w:val="0"/>
                    <w:keepLines w:val="0"/>
                    <w:pageBreakBefore w:val="0"/>
                    <w:suppressLineNumbers w:val="0"/>
                    <w:shd w:val="clear"/>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cs="Times New Roman"/>
                      <w:color w:val="FF0000"/>
                      <w:kern w:val="2"/>
                      <w:sz w:val="21"/>
                      <w:szCs w:val="21"/>
                      <w:lang w:val="en-US" w:eastAsia="zh-CN"/>
                    </w:rPr>
                  </w:pPr>
                  <w:r>
                    <w:rPr>
                      <w:rFonts w:hint="eastAsia" w:cs="Times New Roman"/>
                      <w:color w:val="FF0000"/>
                      <w:kern w:val="2"/>
                      <w:sz w:val="21"/>
                      <w:szCs w:val="21"/>
                      <w:lang w:val="en-US" w:eastAsia="zh-CN"/>
                    </w:rPr>
                    <w:t>氟化物</w:t>
                  </w:r>
                </w:p>
              </w:tc>
              <w:tc>
                <w:tcPr>
                  <w:tcW w:w="475" w:type="pct"/>
                  <w:vMerge w:val="continue"/>
                  <w:tcBorders>
                    <w:tl2br w:val="nil"/>
                    <w:tr2bl w:val="nil"/>
                  </w:tcBorders>
                  <w:shd w:val="clear" w:color="auto" w:fill="auto"/>
                  <w:noWrap/>
                  <w:vAlign w:val="center"/>
                </w:tcPr>
                <w:p w14:paraId="7066D301">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7C5F322">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1B0E67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0.04</w:t>
                  </w:r>
                </w:p>
              </w:tc>
              <w:tc>
                <w:tcPr>
                  <w:tcW w:w="737" w:type="pct"/>
                  <w:tcBorders>
                    <w:tl2br w:val="nil"/>
                    <w:tr2bl w:val="nil"/>
                  </w:tcBorders>
                  <w:shd w:val="clear" w:color="auto" w:fill="auto"/>
                  <w:noWrap/>
                  <w:vAlign w:val="center"/>
                </w:tcPr>
                <w:p w14:paraId="2B5D686A">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rPr>
                    <w:t>0.01</w:t>
                  </w:r>
                </w:p>
              </w:tc>
              <w:tc>
                <w:tcPr>
                  <w:tcW w:w="633" w:type="pct"/>
                  <w:tcBorders>
                    <w:tl2br w:val="nil"/>
                    <w:tr2bl w:val="nil"/>
                  </w:tcBorders>
                  <w:shd w:val="clear" w:color="auto" w:fill="auto"/>
                  <w:noWrap/>
                  <w:vAlign w:val="center"/>
                </w:tcPr>
                <w:p w14:paraId="47A40272">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1.13</w:t>
                  </w:r>
                </w:p>
              </w:tc>
            </w:tr>
            <w:tr w14:paraId="1C86911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14D210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5CF42B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DA00</w:t>
                  </w:r>
                  <w:r>
                    <w:rPr>
                      <w:rFonts w:hint="eastAsia" w:cs="Times New Roman"/>
                      <w:i w:val="0"/>
                      <w:iCs w:val="0"/>
                      <w:color w:val="FF0000"/>
                      <w:kern w:val="0"/>
                      <w:sz w:val="21"/>
                      <w:szCs w:val="21"/>
                      <w:u w:val="none"/>
                      <w:lang w:val="en-US" w:eastAsia="zh-CN" w:bidi="ar"/>
                    </w:rPr>
                    <w:t>2</w:t>
                  </w:r>
                </w:p>
              </w:tc>
              <w:tc>
                <w:tcPr>
                  <w:tcW w:w="480" w:type="pct"/>
                  <w:vMerge w:val="restart"/>
                  <w:tcBorders>
                    <w:tl2br w:val="nil"/>
                    <w:tr2bl w:val="nil"/>
                  </w:tcBorders>
                  <w:shd w:val="clear" w:color="auto" w:fill="auto"/>
                  <w:vAlign w:val="center"/>
                </w:tcPr>
                <w:p w14:paraId="7C32AA2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现有工程</w:t>
                  </w:r>
                </w:p>
              </w:tc>
              <w:tc>
                <w:tcPr>
                  <w:tcW w:w="715" w:type="pct"/>
                  <w:tcBorders>
                    <w:tl2br w:val="nil"/>
                    <w:tr2bl w:val="nil"/>
                  </w:tcBorders>
                  <w:shd w:val="clear" w:color="auto" w:fill="auto"/>
                  <w:vAlign w:val="center"/>
                </w:tcPr>
                <w:p w14:paraId="7A3EC7A8">
                  <w:pPr>
                    <w:pStyle w:val="130"/>
                    <w:keepNext w:val="0"/>
                    <w:keepLines w:val="0"/>
                    <w:pageBreakBefore w:val="0"/>
                    <w:suppressLineNumbers w:val="0"/>
                    <w:shd w:val="clear"/>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cs="Times New Roman"/>
                      <w:color w:val="FF0000"/>
                      <w:kern w:val="2"/>
                      <w:sz w:val="21"/>
                      <w:szCs w:val="21"/>
                      <w:lang w:val="en-US" w:eastAsia="zh-CN"/>
                    </w:rPr>
                  </w:pPr>
                  <w:r>
                    <w:rPr>
                      <w:rFonts w:hint="default" w:ascii="Times New Roman" w:hAnsi="Times New Roman" w:cs="Times New Roman"/>
                      <w:color w:val="FF0000"/>
                      <w:kern w:val="2"/>
                      <w:sz w:val="21"/>
                      <w:szCs w:val="21"/>
                      <w:lang w:val="en-US" w:eastAsia="zh-CN"/>
                    </w:rPr>
                    <w:t>颗粒物</w:t>
                  </w:r>
                </w:p>
              </w:tc>
              <w:tc>
                <w:tcPr>
                  <w:tcW w:w="475" w:type="pct"/>
                  <w:vMerge w:val="restart"/>
                  <w:tcBorders>
                    <w:tl2br w:val="nil"/>
                    <w:tr2bl w:val="nil"/>
                  </w:tcBorders>
                  <w:shd w:val="clear" w:color="auto" w:fill="auto"/>
                  <w:noWrap/>
                  <w:vAlign w:val="center"/>
                </w:tcPr>
                <w:p w14:paraId="302DAE9D">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cs="Times New Roman"/>
                      <w:color w:val="FF0000"/>
                      <w:kern w:val="2"/>
                      <w:sz w:val="21"/>
                      <w:szCs w:val="21"/>
                      <w:lang w:val="en-US" w:eastAsia="zh-CN" w:bidi="ar-SA"/>
                    </w:rPr>
                  </w:pPr>
                  <w:r>
                    <w:rPr>
                      <w:rFonts w:hint="eastAsia" w:cs="Times New Roman"/>
                      <w:color w:val="FF0000"/>
                      <w:kern w:val="2"/>
                      <w:sz w:val="21"/>
                      <w:szCs w:val="21"/>
                      <w:lang w:val="en-US" w:eastAsia="zh-CN" w:bidi="ar-SA"/>
                    </w:rPr>
                    <w:t>6000</w:t>
                  </w:r>
                </w:p>
              </w:tc>
              <w:tc>
                <w:tcPr>
                  <w:tcW w:w="538" w:type="pct"/>
                  <w:vMerge w:val="restart"/>
                  <w:tcBorders>
                    <w:tl2br w:val="nil"/>
                    <w:tr2bl w:val="nil"/>
                  </w:tcBorders>
                  <w:shd w:val="clear" w:color="auto" w:fill="auto"/>
                  <w:noWrap/>
                  <w:vAlign w:val="center"/>
                </w:tcPr>
                <w:p w14:paraId="47FC3F7B">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集气罩+布袋除尘</w:t>
                  </w:r>
                </w:p>
              </w:tc>
              <w:tc>
                <w:tcPr>
                  <w:tcW w:w="487" w:type="pct"/>
                  <w:tcBorders>
                    <w:tl2br w:val="nil"/>
                    <w:tr2bl w:val="nil"/>
                  </w:tcBorders>
                  <w:shd w:val="clear" w:color="auto" w:fill="auto"/>
                  <w:noWrap/>
                  <w:vAlign w:val="center"/>
                </w:tcPr>
                <w:p w14:paraId="527A30EB">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rPr>
                  </w:pPr>
                  <w:r>
                    <w:rPr>
                      <w:rFonts w:hint="default"/>
                      <w:color w:val="FF0000"/>
                      <w:lang w:bidi="ar"/>
                    </w:rPr>
                    <w:t>0.52</w:t>
                  </w:r>
                </w:p>
              </w:tc>
              <w:tc>
                <w:tcPr>
                  <w:tcW w:w="737" w:type="pct"/>
                  <w:tcBorders>
                    <w:tl2br w:val="nil"/>
                    <w:tr2bl w:val="nil"/>
                  </w:tcBorders>
                  <w:shd w:val="clear" w:color="auto" w:fill="auto"/>
                  <w:noWrap/>
                  <w:vAlign w:val="center"/>
                </w:tcPr>
                <w:p w14:paraId="42FDBBA1">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0.072</w:t>
                  </w:r>
                </w:p>
              </w:tc>
              <w:tc>
                <w:tcPr>
                  <w:tcW w:w="633" w:type="pct"/>
                  <w:tcBorders>
                    <w:tl2br w:val="nil"/>
                    <w:tr2bl w:val="nil"/>
                  </w:tcBorders>
                  <w:shd w:val="clear" w:color="auto" w:fill="auto"/>
                  <w:noWrap/>
                  <w:vAlign w:val="center"/>
                </w:tcPr>
                <w:p w14:paraId="03D83BC0">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12.07</w:t>
                  </w:r>
                </w:p>
              </w:tc>
            </w:tr>
            <w:tr w14:paraId="230FACD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5055508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4AE28C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53BF3F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1934A650">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heme="minorBidi"/>
                      <w:b w:val="0"/>
                      <w:color w:val="FF0000"/>
                      <w:kern w:val="2"/>
                      <w:sz w:val="21"/>
                      <w:szCs w:val="24"/>
                      <w:lang w:val="en-US" w:eastAsia="zh-CN" w:bidi="ar"/>
                    </w:rPr>
                  </w:pPr>
                  <w:r>
                    <w:rPr>
                      <w:rFonts w:hint="default"/>
                      <w:color w:val="FF0000"/>
                      <w:lang w:bidi="ar"/>
                    </w:rPr>
                    <w:t>氟化物</w:t>
                  </w:r>
                </w:p>
              </w:tc>
              <w:tc>
                <w:tcPr>
                  <w:tcW w:w="475" w:type="pct"/>
                  <w:vMerge w:val="continue"/>
                  <w:tcBorders>
                    <w:tl2br w:val="nil"/>
                    <w:tr2bl w:val="nil"/>
                  </w:tcBorders>
                  <w:shd w:val="clear" w:color="auto" w:fill="auto"/>
                  <w:noWrap/>
                  <w:vAlign w:val="center"/>
                </w:tcPr>
                <w:p w14:paraId="05AD74E7">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0FDD749">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55D0B28A">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rPr>
                  </w:pPr>
                  <w:r>
                    <w:rPr>
                      <w:rFonts w:hint="default"/>
                      <w:color w:val="FF0000"/>
                      <w:lang w:bidi="ar"/>
                    </w:rPr>
                    <w:t>0.02</w:t>
                  </w:r>
                </w:p>
              </w:tc>
              <w:tc>
                <w:tcPr>
                  <w:tcW w:w="737" w:type="pct"/>
                  <w:tcBorders>
                    <w:tl2br w:val="nil"/>
                    <w:tr2bl w:val="nil"/>
                  </w:tcBorders>
                  <w:shd w:val="clear" w:color="auto" w:fill="auto"/>
                  <w:noWrap/>
                  <w:vAlign w:val="center"/>
                </w:tcPr>
                <w:p w14:paraId="7757D21F">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0.0025</w:t>
                  </w:r>
                </w:p>
              </w:tc>
              <w:tc>
                <w:tcPr>
                  <w:tcW w:w="633" w:type="pct"/>
                  <w:tcBorders>
                    <w:tl2br w:val="nil"/>
                    <w:tr2bl w:val="nil"/>
                  </w:tcBorders>
                  <w:shd w:val="clear" w:color="auto" w:fill="auto"/>
                  <w:noWrap/>
                  <w:vAlign w:val="center"/>
                </w:tcPr>
                <w:p w14:paraId="63FD7279">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0.42</w:t>
                  </w:r>
                </w:p>
              </w:tc>
            </w:tr>
            <w:tr w14:paraId="34CCB2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290BC9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37229A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6026A5F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D3D9550">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heme="minorBidi"/>
                      <w:b w:val="0"/>
                      <w:color w:val="FF0000"/>
                      <w:kern w:val="2"/>
                      <w:sz w:val="21"/>
                      <w:szCs w:val="24"/>
                      <w:lang w:val="en-US" w:eastAsia="zh-CN" w:bidi="ar-SA"/>
                    </w:rPr>
                  </w:pPr>
                  <w:r>
                    <w:rPr>
                      <w:rFonts w:hint="default"/>
                      <w:color w:val="FF0000"/>
                    </w:rPr>
                    <w:t>SO</w:t>
                  </w:r>
                  <w:r>
                    <w:rPr>
                      <w:rFonts w:hint="default"/>
                      <w:color w:val="FF0000"/>
                      <w:vertAlign w:val="subscript"/>
                    </w:rPr>
                    <w:t>2</w:t>
                  </w:r>
                </w:p>
              </w:tc>
              <w:tc>
                <w:tcPr>
                  <w:tcW w:w="475" w:type="pct"/>
                  <w:vMerge w:val="continue"/>
                  <w:tcBorders>
                    <w:tl2br w:val="nil"/>
                    <w:tr2bl w:val="nil"/>
                  </w:tcBorders>
                  <w:shd w:val="clear" w:color="auto" w:fill="auto"/>
                  <w:noWrap/>
                  <w:vAlign w:val="center"/>
                </w:tcPr>
                <w:p w14:paraId="45C389B1">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3AD23B5">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689B4324">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rPr>
                  </w:pPr>
                  <w:r>
                    <w:rPr>
                      <w:rFonts w:hint="default"/>
                      <w:color w:val="FF0000"/>
                      <w:lang w:bidi="ar"/>
                    </w:rPr>
                    <w:t>0.26</w:t>
                  </w:r>
                </w:p>
              </w:tc>
              <w:tc>
                <w:tcPr>
                  <w:tcW w:w="737" w:type="pct"/>
                  <w:tcBorders>
                    <w:tl2br w:val="nil"/>
                    <w:tr2bl w:val="nil"/>
                  </w:tcBorders>
                  <w:shd w:val="clear" w:color="auto" w:fill="auto"/>
                  <w:noWrap/>
                  <w:vAlign w:val="center"/>
                </w:tcPr>
                <w:p w14:paraId="618831E8">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0.04</w:t>
                  </w:r>
                </w:p>
              </w:tc>
              <w:tc>
                <w:tcPr>
                  <w:tcW w:w="633" w:type="pct"/>
                  <w:tcBorders>
                    <w:tl2br w:val="nil"/>
                    <w:tr2bl w:val="nil"/>
                  </w:tcBorders>
                  <w:shd w:val="clear" w:color="auto" w:fill="auto"/>
                  <w:noWrap/>
                  <w:vAlign w:val="center"/>
                </w:tcPr>
                <w:p w14:paraId="3AF5DC49">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6.01</w:t>
                  </w:r>
                </w:p>
              </w:tc>
            </w:tr>
            <w:tr w14:paraId="6D39FC8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78EC6BE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5EE759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5D4DAF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14FC3FBC">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heme="minorBidi"/>
                      <w:b w:val="0"/>
                      <w:color w:val="FF0000"/>
                      <w:kern w:val="2"/>
                      <w:sz w:val="21"/>
                      <w:szCs w:val="24"/>
                      <w:lang w:val="en-US" w:eastAsia="zh-CN" w:bidi="ar-SA"/>
                    </w:rPr>
                  </w:pPr>
                  <w:r>
                    <w:rPr>
                      <w:rFonts w:hint="default"/>
                      <w:color w:val="FF0000"/>
                    </w:rPr>
                    <w:t>NOx</w:t>
                  </w:r>
                </w:p>
              </w:tc>
              <w:tc>
                <w:tcPr>
                  <w:tcW w:w="475" w:type="pct"/>
                  <w:vMerge w:val="continue"/>
                  <w:tcBorders>
                    <w:tl2br w:val="nil"/>
                    <w:tr2bl w:val="nil"/>
                  </w:tcBorders>
                  <w:shd w:val="clear" w:color="auto" w:fill="auto"/>
                  <w:noWrap/>
                  <w:vAlign w:val="center"/>
                </w:tcPr>
                <w:p w14:paraId="2B5351E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716A96F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leftChars="0" w:right="0" w:rightChars="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56C37212">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color w:val="FF0000"/>
                      <w:kern w:val="2"/>
                      <w:sz w:val="21"/>
                      <w:szCs w:val="21"/>
                      <w:lang w:val="en-US" w:eastAsia="zh-CN"/>
                    </w:rPr>
                  </w:pPr>
                  <w:r>
                    <w:rPr>
                      <w:rFonts w:hint="default"/>
                      <w:color w:val="FF0000"/>
                      <w:lang w:bidi="ar"/>
                    </w:rPr>
                    <w:t>2.42</w:t>
                  </w:r>
                </w:p>
              </w:tc>
              <w:tc>
                <w:tcPr>
                  <w:tcW w:w="737" w:type="pct"/>
                  <w:tcBorders>
                    <w:tl2br w:val="nil"/>
                    <w:tr2bl w:val="nil"/>
                  </w:tcBorders>
                  <w:shd w:val="clear" w:color="auto" w:fill="auto"/>
                  <w:noWrap/>
                  <w:vAlign w:val="center"/>
                </w:tcPr>
                <w:p w14:paraId="16E52A0F">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0.34</w:t>
                  </w:r>
                </w:p>
              </w:tc>
              <w:tc>
                <w:tcPr>
                  <w:tcW w:w="633" w:type="pct"/>
                  <w:tcBorders>
                    <w:tl2br w:val="nil"/>
                    <w:tr2bl w:val="nil"/>
                  </w:tcBorders>
                  <w:shd w:val="clear" w:color="auto" w:fill="auto"/>
                  <w:noWrap/>
                  <w:vAlign w:val="center"/>
                </w:tcPr>
                <w:p w14:paraId="77C4A856">
                  <w:pPr>
                    <w:pStyle w:val="114"/>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ascii="Times New Roman" w:hAnsi="Times New Roman" w:eastAsia="宋体" w:cs="Times New Roman"/>
                      <w:b w:val="0"/>
                      <w:color w:val="FF0000"/>
                      <w:kern w:val="2"/>
                      <w:sz w:val="21"/>
                      <w:szCs w:val="21"/>
                      <w:lang w:val="en-US" w:eastAsia="zh-CN" w:bidi="ar-SA"/>
                    </w:rPr>
                  </w:pPr>
                  <w:r>
                    <w:rPr>
                      <w:rFonts w:hint="default"/>
                      <w:color w:val="FF0000"/>
                      <w:lang w:bidi="ar"/>
                    </w:rPr>
                    <w:t>56.17</w:t>
                  </w:r>
                </w:p>
              </w:tc>
            </w:tr>
            <w:tr w14:paraId="21ADBD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0D7BD0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41E4BD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DA00</w:t>
                  </w:r>
                  <w:r>
                    <w:rPr>
                      <w:rFonts w:hint="eastAsia" w:cs="Times New Roman"/>
                      <w:i w:val="0"/>
                      <w:iCs w:val="0"/>
                      <w:color w:val="FF0000"/>
                      <w:kern w:val="0"/>
                      <w:sz w:val="21"/>
                      <w:szCs w:val="21"/>
                      <w:u w:val="none"/>
                      <w:lang w:val="en-US" w:eastAsia="zh-CN" w:bidi="ar"/>
                    </w:rPr>
                    <w:t>3</w:t>
                  </w:r>
                </w:p>
              </w:tc>
              <w:tc>
                <w:tcPr>
                  <w:tcW w:w="480" w:type="pct"/>
                  <w:vMerge w:val="restart"/>
                  <w:tcBorders>
                    <w:tl2br w:val="nil"/>
                    <w:tr2bl w:val="nil"/>
                  </w:tcBorders>
                  <w:shd w:val="clear" w:color="auto" w:fill="auto"/>
                  <w:vAlign w:val="center"/>
                </w:tcPr>
                <w:p w14:paraId="748DAF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本项目</w:t>
                  </w:r>
                </w:p>
              </w:tc>
              <w:tc>
                <w:tcPr>
                  <w:tcW w:w="715" w:type="pct"/>
                  <w:tcBorders>
                    <w:tl2br w:val="nil"/>
                    <w:tr2bl w:val="nil"/>
                  </w:tcBorders>
                  <w:shd w:val="clear" w:color="auto" w:fill="auto"/>
                  <w:vAlign w:val="center"/>
                </w:tcPr>
                <w:p w14:paraId="58889F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73858AF1">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8000</w:t>
                  </w:r>
                </w:p>
              </w:tc>
              <w:tc>
                <w:tcPr>
                  <w:tcW w:w="538" w:type="pct"/>
                  <w:vMerge w:val="restart"/>
                  <w:tcBorders>
                    <w:tl2br w:val="nil"/>
                    <w:tr2bl w:val="nil"/>
                  </w:tcBorders>
                  <w:shd w:val="clear" w:color="auto" w:fill="auto"/>
                  <w:noWrap/>
                  <w:vAlign w:val="center"/>
                </w:tcPr>
                <w:p w14:paraId="4F11CA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密闭罩+布袋除尘</w:t>
                  </w:r>
                </w:p>
              </w:tc>
              <w:tc>
                <w:tcPr>
                  <w:tcW w:w="487" w:type="pct"/>
                  <w:tcBorders>
                    <w:tl2br w:val="nil"/>
                    <w:tr2bl w:val="nil"/>
                  </w:tcBorders>
                  <w:shd w:val="clear" w:color="auto" w:fill="auto"/>
                  <w:noWrap/>
                  <w:vAlign w:val="center"/>
                </w:tcPr>
                <w:p w14:paraId="3E34EDF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0.351</w:t>
                  </w:r>
                </w:p>
              </w:tc>
              <w:tc>
                <w:tcPr>
                  <w:tcW w:w="737" w:type="pct"/>
                  <w:tcBorders>
                    <w:tl2br w:val="nil"/>
                    <w:tr2bl w:val="nil"/>
                  </w:tcBorders>
                  <w:shd w:val="clear" w:color="auto" w:fill="auto"/>
                  <w:noWrap/>
                  <w:vAlign w:val="center"/>
                </w:tcPr>
                <w:p w14:paraId="73570F1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0.049</w:t>
                  </w:r>
                </w:p>
              </w:tc>
              <w:tc>
                <w:tcPr>
                  <w:tcW w:w="633" w:type="pct"/>
                  <w:tcBorders>
                    <w:tl2br w:val="nil"/>
                    <w:tr2bl w:val="nil"/>
                  </w:tcBorders>
                  <w:shd w:val="clear" w:color="auto" w:fill="auto"/>
                  <w:noWrap/>
                  <w:vAlign w:val="center"/>
                </w:tcPr>
                <w:p w14:paraId="07AE82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6.09</w:t>
                  </w:r>
                </w:p>
              </w:tc>
            </w:tr>
            <w:tr w14:paraId="415E134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5D87A6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68AD7C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32CB71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6E1B9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7128C24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700491E2">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54D4028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0.000003</w:t>
                  </w:r>
                </w:p>
              </w:tc>
              <w:tc>
                <w:tcPr>
                  <w:tcW w:w="737" w:type="pct"/>
                  <w:tcBorders>
                    <w:tl2br w:val="nil"/>
                    <w:tr2bl w:val="nil"/>
                  </w:tcBorders>
                  <w:shd w:val="clear" w:color="auto" w:fill="auto"/>
                  <w:noWrap/>
                  <w:vAlign w:val="center"/>
                </w:tcPr>
                <w:p w14:paraId="3A9EA3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4.55E-07</w:t>
                  </w:r>
                </w:p>
              </w:tc>
              <w:tc>
                <w:tcPr>
                  <w:tcW w:w="633" w:type="pct"/>
                  <w:tcBorders>
                    <w:tl2br w:val="nil"/>
                    <w:tr2bl w:val="nil"/>
                  </w:tcBorders>
                  <w:shd w:val="clear" w:color="auto" w:fill="auto"/>
                  <w:noWrap/>
                  <w:vAlign w:val="center"/>
                </w:tcPr>
                <w:p w14:paraId="7996985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w:t>
                  </w:r>
                  <w:r>
                    <w:rPr>
                      <w:rFonts w:hint="eastAsia" w:cs="Times New Roman"/>
                      <w:i w:val="0"/>
                      <w:iCs w:val="0"/>
                      <w:color w:val="FF0000"/>
                      <w:kern w:val="0"/>
                      <w:sz w:val="18"/>
                      <w:szCs w:val="18"/>
                      <w:u w:val="none"/>
                      <w:lang w:val="en-US" w:eastAsia="zh-CN" w:bidi="ar"/>
                    </w:rPr>
                    <w:t>6</w:t>
                  </w:r>
                </w:p>
              </w:tc>
            </w:tr>
            <w:tr w14:paraId="7560B5E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152DF94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46E361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4461FEB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727887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562C2FC6">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6175157C">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71F3C16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0.0066</w:t>
                  </w:r>
                </w:p>
              </w:tc>
              <w:tc>
                <w:tcPr>
                  <w:tcW w:w="737" w:type="pct"/>
                  <w:tcBorders>
                    <w:tl2br w:val="nil"/>
                    <w:tr2bl w:val="nil"/>
                  </w:tcBorders>
                  <w:shd w:val="clear" w:color="auto" w:fill="auto"/>
                  <w:noWrap/>
                  <w:vAlign w:val="center"/>
                </w:tcPr>
                <w:p w14:paraId="6ACB14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0.0009</w:t>
                  </w:r>
                </w:p>
              </w:tc>
              <w:tc>
                <w:tcPr>
                  <w:tcW w:w="633" w:type="pct"/>
                  <w:tcBorders>
                    <w:tl2br w:val="nil"/>
                    <w:tr2bl w:val="nil"/>
                  </w:tcBorders>
                  <w:shd w:val="clear" w:color="auto" w:fill="auto"/>
                  <w:noWrap/>
                  <w:vAlign w:val="center"/>
                </w:tcPr>
                <w:p w14:paraId="4D78E70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0.114</w:t>
                  </w:r>
                </w:p>
              </w:tc>
            </w:tr>
            <w:tr w14:paraId="5FD0A4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7AE6C0D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50DAE2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DA00</w:t>
                  </w:r>
                  <w:r>
                    <w:rPr>
                      <w:rFonts w:hint="eastAsia" w:cs="Times New Roman"/>
                      <w:i w:val="0"/>
                      <w:iCs w:val="0"/>
                      <w:color w:val="FF0000"/>
                      <w:kern w:val="0"/>
                      <w:sz w:val="21"/>
                      <w:szCs w:val="21"/>
                      <w:u w:val="none"/>
                      <w:lang w:val="en-US" w:eastAsia="zh-CN" w:bidi="ar"/>
                    </w:rPr>
                    <w:t>4</w:t>
                  </w:r>
                </w:p>
              </w:tc>
              <w:tc>
                <w:tcPr>
                  <w:tcW w:w="480" w:type="pct"/>
                  <w:vMerge w:val="restart"/>
                  <w:tcBorders>
                    <w:tl2br w:val="nil"/>
                    <w:tr2bl w:val="nil"/>
                  </w:tcBorders>
                  <w:shd w:val="clear" w:color="auto" w:fill="auto"/>
                  <w:vAlign w:val="center"/>
                </w:tcPr>
                <w:p w14:paraId="376AD7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本项目</w:t>
                  </w:r>
                </w:p>
              </w:tc>
              <w:tc>
                <w:tcPr>
                  <w:tcW w:w="715" w:type="pct"/>
                  <w:tcBorders>
                    <w:tl2br w:val="nil"/>
                    <w:tr2bl w:val="nil"/>
                  </w:tcBorders>
                  <w:shd w:val="clear" w:color="auto" w:fill="auto"/>
                  <w:vAlign w:val="center"/>
                </w:tcPr>
                <w:p w14:paraId="76FF08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02467953">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8000</w:t>
                  </w:r>
                </w:p>
              </w:tc>
              <w:tc>
                <w:tcPr>
                  <w:tcW w:w="538" w:type="pct"/>
                  <w:vMerge w:val="restart"/>
                  <w:tcBorders>
                    <w:tl2br w:val="nil"/>
                    <w:tr2bl w:val="nil"/>
                  </w:tcBorders>
                  <w:shd w:val="clear" w:color="auto" w:fill="auto"/>
                  <w:noWrap/>
                  <w:vAlign w:val="center"/>
                </w:tcPr>
                <w:p w14:paraId="324C78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集气罩+布袋除尘</w:t>
                  </w:r>
                </w:p>
              </w:tc>
              <w:tc>
                <w:tcPr>
                  <w:tcW w:w="487" w:type="pct"/>
                  <w:tcBorders>
                    <w:tl2br w:val="nil"/>
                    <w:tr2bl w:val="nil"/>
                  </w:tcBorders>
                  <w:shd w:val="clear" w:color="auto" w:fill="auto"/>
                  <w:noWrap/>
                  <w:vAlign w:val="center"/>
                </w:tcPr>
                <w:p w14:paraId="1D1206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0.175</w:t>
                  </w:r>
                </w:p>
              </w:tc>
              <w:tc>
                <w:tcPr>
                  <w:tcW w:w="737" w:type="pct"/>
                  <w:tcBorders>
                    <w:tl2br w:val="nil"/>
                    <w:tr2bl w:val="nil"/>
                  </w:tcBorders>
                  <w:shd w:val="clear" w:color="auto" w:fill="auto"/>
                  <w:noWrap/>
                  <w:vAlign w:val="center"/>
                </w:tcPr>
                <w:p w14:paraId="47FED3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0.024</w:t>
                  </w:r>
                </w:p>
              </w:tc>
              <w:tc>
                <w:tcPr>
                  <w:tcW w:w="633" w:type="pct"/>
                  <w:tcBorders>
                    <w:tl2br w:val="nil"/>
                    <w:tr2bl w:val="nil"/>
                  </w:tcBorders>
                  <w:shd w:val="clear" w:color="auto" w:fill="auto"/>
                  <w:noWrap/>
                  <w:vAlign w:val="center"/>
                </w:tcPr>
                <w:p w14:paraId="46C37A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3.035</w:t>
                  </w:r>
                </w:p>
              </w:tc>
            </w:tr>
            <w:tr w14:paraId="2C21B8D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04FD6D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68AE8B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07B87EE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4241E0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4A0B57B9">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587DF20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48B1D4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1.63E-06</w:t>
                  </w:r>
                </w:p>
              </w:tc>
              <w:tc>
                <w:tcPr>
                  <w:tcW w:w="737" w:type="pct"/>
                  <w:tcBorders>
                    <w:tl2br w:val="nil"/>
                    <w:tr2bl w:val="nil"/>
                  </w:tcBorders>
                  <w:shd w:val="clear" w:color="auto" w:fill="auto"/>
                  <w:noWrap/>
                  <w:vAlign w:val="center"/>
                </w:tcPr>
                <w:p w14:paraId="578011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2.27E-07</w:t>
                  </w:r>
                </w:p>
              </w:tc>
              <w:tc>
                <w:tcPr>
                  <w:tcW w:w="633" w:type="pct"/>
                  <w:tcBorders>
                    <w:tl2br w:val="nil"/>
                    <w:tr2bl w:val="nil"/>
                  </w:tcBorders>
                  <w:shd w:val="clear" w:color="auto" w:fill="auto"/>
                  <w:noWrap/>
                  <w:vAlign w:val="center"/>
                </w:tcPr>
                <w:p w14:paraId="66A1A28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0.00003</w:t>
                  </w:r>
                </w:p>
              </w:tc>
            </w:tr>
            <w:tr w14:paraId="4DEBB2F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1D0D34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5125EA4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08BB68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6B0808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43EAAD76">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38DA00F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69809E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0.0033</w:t>
                  </w:r>
                </w:p>
              </w:tc>
              <w:tc>
                <w:tcPr>
                  <w:tcW w:w="737" w:type="pct"/>
                  <w:tcBorders>
                    <w:tl2br w:val="nil"/>
                    <w:tr2bl w:val="nil"/>
                  </w:tcBorders>
                  <w:shd w:val="clear" w:color="auto" w:fill="auto"/>
                  <w:noWrap/>
                  <w:vAlign w:val="center"/>
                </w:tcPr>
                <w:p w14:paraId="305354C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4.54E-04</w:t>
                  </w:r>
                </w:p>
              </w:tc>
              <w:tc>
                <w:tcPr>
                  <w:tcW w:w="633" w:type="pct"/>
                  <w:tcBorders>
                    <w:tl2br w:val="nil"/>
                    <w:tr2bl w:val="nil"/>
                  </w:tcBorders>
                  <w:shd w:val="clear" w:color="auto" w:fill="auto"/>
                  <w:noWrap/>
                  <w:vAlign w:val="center"/>
                </w:tcPr>
                <w:p w14:paraId="35AA130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0.057</w:t>
                  </w:r>
                </w:p>
              </w:tc>
            </w:tr>
            <w:tr w14:paraId="661A344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restart"/>
                  <w:tcBorders>
                    <w:tl2br w:val="nil"/>
                    <w:tr2bl w:val="nil"/>
                  </w:tcBorders>
                  <w:shd w:val="clear" w:color="auto" w:fill="auto"/>
                  <w:vAlign w:val="center"/>
                </w:tcPr>
                <w:p w14:paraId="255C76A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无组织</w:t>
                  </w:r>
                </w:p>
              </w:tc>
              <w:tc>
                <w:tcPr>
                  <w:tcW w:w="645" w:type="pct"/>
                  <w:vMerge w:val="restart"/>
                  <w:tcBorders>
                    <w:tl2br w:val="nil"/>
                    <w:tr2bl w:val="nil"/>
                  </w:tcBorders>
                  <w:shd w:val="clear" w:color="auto" w:fill="auto"/>
                  <w:vAlign w:val="center"/>
                </w:tcPr>
                <w:p w14:paraId="67D9FA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装卸粉尘</w:t>
                  </w:r>
                </w:p>
              </w:tc>
              <w:tc>
                <w:tcPr>
                  <w:tcW w:w="480" w:type="pct"/>
                  <w:vMerge w:val="restart"/>
                  <w:tcBorders>
                    <w:tl2br w:val="nil"/>
                    <w:tr2bl w:val="nil"/>
                  </w:tcBorders>
                  <w:shd w:val="clear" w:color="auto" w:fill="auto"/>
                  <w:vAlign w:val="center"/>
                </w:tcPr>
                <w:p w14:paraId="27B3D6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现有项目</w:t>
                  </w:r>
                </w:p>
              </w:tc>
              <w:tc>
                <w:tcPr>
                  <w:tcW w:w="715" w:type="pct"/>
                  <w:tcBorders>
                    <w:tl2br w:val="nil"/>
                    <w:tr2bl w:val="nil"/>
                  </w:tcBorders>
                  <w:shd w:val="clear" w:color="auto" w:fill="auto"/>
                  <w:vAlign w:val="center"/>
                </w:tcPr>
                <w:p w14:paraId="39BA7254">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颗粒物</w:t>
                  </w:r>
                </w:p>
              </w:tc>
              <w:tc>
                <w:tcPr>
                  <w:tcW w:w="475" w:type="pct"/>
                  <w:vMerge w:val="restart"/>
                  <w:tcBorders>
                    <w:tl2br w:val="nil"/>
                    <w:tr2bl w:val="nil"/>
                  </w:tcBorders>
                  <w:shd w:val="clear" w:color="auto" w:fill="auto"/>
                  <w:noWrap/>
                  <w:vAlign w:val="center"/>
                </w:tcPr>
                <w:p w14:paraId="42B20AB1">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6800CC08">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喷淋降尘</w:t>
                  </w:r>
                </w:p>
              </w:tc>
              <w:tc>
                <w:tcPr>
                  <w:tcW w:w="487" w:type="pct"/>
                  <w:tcBorders>
                    <w:tl2br w:val="nil"/>
                    <w:tr2bl w:val="nil"/>
                  </w:tcBorders>
                  <w:shd w:val="clear" w:color="auto" w:fill="auto"/>
                  <w:noWrap/>
                  <w:vAlign w:val="center"/>
                </w:tcPr>
                <w:p w14:paraId="68106ABF">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2.40</w:t>
                  </w:r>
                </w:p>
              </w:tc>
              <w:tc>
                <w:tcPr>
                  <w:tcW w:w="737" w:type="pct"/>
                  <w:tcBorders>
                    <w:tl2br w:val="nil"/>
                    <w:tr2bl w:val="nil"/>
                  </w:tcBorders>
                  <w:shd w:val="clear" w:color="auto" w:fill="auto"/>
                  <w:noWrap/>
                  <w:vAlign w:val="center"/>
                </w:tcPr>
                <w:p w14:paraId="2D89503D">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0.33</w:t>
                  </w:r>
                </w:p>
              </w:tc>
              <w:tc>
                <w:tcPr>
                  <w:tcW w:w="633" w:type="pct"/>
                  <w:tcBorders>
                    <w:tl2br w:val="nil"/>
                    <w:tr2bl w:val="nil"/>
                  </w:tcBorders>
                  <w:shd w:val="clear" w:color="auto" w:fill="auto"/>
                  <w:noWrap/>
                  <w:vAlign w:val="center"/>
                </w:tcPr>
                <w:p w14:paraId="18F3F1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4350D6D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5298C3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45C360D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275BA3F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610A6BF0">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氟化物</w:t>
                  </w:r>
                </w:p>
              </w:tc>
              <w:tc>
                <w:tcPr>
                  <w:tcW w:w="475" w:type="pct"/>
                  <w:vMerge w:val="continue"/>
                  <w:tcBorders>
                    <w:tl2br w:val="nil"/>
                    <w:tr2bl w:val="nil"/>
                  </w:tcBorders>
                  <w:shd w:val="clear" w:color="auto" w:fill="auto"/>
                  <w:noWrap/>
                  <w:vAlign w:val="center"/>
                </w:tcPr>
                <w:p w14:paraId="58F51BEB">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11005464">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2E94B3D8">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0.20</w:t>
                  </w:r>
                </w:p>
              </w:tc>
              <w:tc>
                <w:tcPr>
                  <w:tcW w:w="737" w:type="pct"/>
                  <w:tcBorders>
                    <w:tl2br w:val="nil"/>
                    <w:tr2bl w:val="nil"/>
                  </w:tcBorders>
                  <w:shd w:val="clear" w:color="auto" w:fill="auto"/>
                  <w:noWrap/>
                  <w:vAlign w:val="center"/>
                </w:tcPr>
                <w:p w14:paraId="23A86D06">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0.03</w:t>
                  </w:r>
                </w:p>
              </w:tc>
              <w:tc>
                <w:tcPr>
                  <w:tcW w:w="633" w:type="pct"/>
                  <w:tcBorders>
                    <w:tl2br w:val="nil"/>
                    <w:tr2bl w:val="nil"/>
                  </w:tcBorders>
                  <w:shd w:val="clear" w:color="auto" w:fill="auto"/>
                  <w:noWrap/>
                  <w:vAlign w:val="center"/>
                </w:tcPr>
                <w:p w14:paraId="555E3E5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7D177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7D4537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tcBorders>
                    <w:tl2br w:val="nil"/>
                    <w:tr2bl w:val="nil"/>
                  </w:tcBorders>
                  <w:shd w:val="clear" w:color="auto" w:fill="auto"/>
                  <w:vAlign w:val="center"/>
                </w:tcPr>
                <w:p w14:paraId="46486609">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rPr>
                    <w:t>产品装运粉尘</w:t>
                  </w:r>
                </w:p>
              </w:tc>
              <w:tc>
                <w:tcPr>
                  <w:tcW w:w="480" w:type="pct"/>
                  <w:vMerge w:val="continue"/>
                  <w:tcBorders>
                    <w:tl2br w:val="nil"/>
                    <w:tr2bl w:val="nil"/>
                  </w:tcBorders>
                  <w:shd w:val="clear" w:color="auto" w:fill="auto"/>
                  <w:vAlign w:val="center"/>
                </w:tcPr>
                <w:p w14:paraId="423BE5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682D501">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颗粒物</w:t>
                  </w:r>
                </w:p>
              </w:tc>
              <w:tc>
                <w:tcPr>
                  <w:tcW w:w="475" w:type="pct"/>
                  <w:tcBorders>
                    <w:tl2br w:val="nil"/>
                    <w:tr2bl w:val="nil"/>
                  </w:tcBorders>
                  <w:shd w:val="clear" w:color="auto" w:fill="auto"/>
                  <w:noWrap/>
                  <w:vAlign w:val="center"/>
                </w:tcPr>
                <w:p w14:paraId="4E4CAF87">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tcBorders>
                    <w:tl2br w:val="nil"/>
                    <w:tr2bl w:val="nil"/>
                  </w:tcBorders>
                  <w:shd w:val="clear" w:color="auto" w:fill="auto"/>
                  <w:noWrap/>
                  <w:vAlign w:val="center"/>
                </w:tcPr>
                <w:p w14:paraId="1FC8768B">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喷淋降尘</w:t>
                  </w:r>
                </w:p>
              </w:tc>
              <w:tc>
                <w:tcPr>
                  <w:tcW w:w="487" w:type="pct"/>
                  <w:tcBorders>
                    <w:tl2br w:val="nil"/>
                    <w:tr2bl w:val="nil"/>
                  </w:tcBorders>
                  <w:shd w:val="clear" w:color="auto" w:fill="auto"/>
                  <w:noWrap/>
                  <w:vAlign w:val="center"/>
                </w:tcPr>
                <w:p w14:paraId="5462F766">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2.37</w:t>
                  </w:r>
                </w:p>
              </w:tc>
              <w:tc>
                <w:tcPr>
                  <w:tcW w:w="737" w:type="pct"/>
                  <w:tcBorders>
                    <w:tl2br w:val="nil"/>
                    <w:tr2bl w:val="nil"/>
                  </w:tcBorders>
                  <w:shd w:val="clear" w:color="auto" w:fill="auto"/>
                  <w:noWrap/>
                  <w:vAlign w:val="center"/>
                </w:tcPr>
                <w:p w14:paraId="2CE14D30">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0.33</w:t>
                  </w:r>
                </w:p>
              </w:tc>
              <w:tc>
                <w:tcPr>
                  <w:tcW w:w="633" w:type="pct"/>
                  <w:tcBorders>
                    <w:tl2br w:val="nil"/>
                    <w:tr2bl w:val="nil"/>
                  </w:tcBorders>
                  <w:shd w:val="clear" w:color="auto" w:fill="auto"/>
                  <w:noWrap/>
                  <w:vAlign w:val="center"/>
                </w:tcPr>
                <w:p w14:paraId="3BCBBBF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6614ACE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23603E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tcBorders>
                    <w:tl2br w:val="nil"/>
                    <w:tr2bl w:val="nil"/>
                  </w:tcBorders>
                  <w:shd w:val="clear" w:color="auto" w:fill="auto"/>
                  <w:vAlign w:val="center"/>
                </w:tcPr>
                <w:p w14:paraId="03BFC5A8">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rPr>
                    <w:t>辅料投料粉尘</w:t>
                  </w:r>
                </w:p>
              </w:tc>
              <w:tc>
                <w:tcPr>
                  <w:tcW w:w="480" w:type="pct"/>
                  <w:vMerge w:val="continue"/>
                  <w:tcBorders>
                    <w:tl2br w:val="nil"/>
                    <w:tr2bl w:val="nil"/>
                  </w:tcBorders>
                  <w:shd w:val="clear" w:color="auto" w:fill="auto"/>
                  <w:vAlign w:val="center"/>
                </w:tcPr>
                <w:p w14:paraId="4D8C82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5718002">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颗粒物</w:t>
                  </w:r>
                </w:p>
              </w:tc>
              <w:tc>
                <w:tcPr>
                  <w:tcW w:w="475" w:type="pct"/>
                  <w:tcBorders>
                    <w:tl2br w:val="nil"/>
                    <w:tr2bl w:val="nil"/>
                  </w:tcBorders>
                  <w:shd w:val="clear" w:color="auto" w:fill="auto"/>
                  <w:noWrap/>
                  <w:vAlign w:val="center"/>
                </w:tcPr>
                <w:p w14:paraId="01921046">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708256F6">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车间通风</w:t>
                  </w:r>
                </w:p>
              </w:tc>
              <w:tc>
                <w:tcPr>
                  <w:tcW w:w="487" w:type="pct"/>
                  <w:tcBorders>
                    <w:tl2br w:val="nil"/>
                    <w:tr2bl w:val="nil"/>
                  </w:tcBorders>
                  <w:shd w:val="clear" w:color="auto" w:fill="auto"/>
                  <w:noWrap/>
                  <w:vAlign w:val="center"/>
                </w:tcPr>
                <w:p w14:paraId="5CCEFB6E">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0.16</w:t>
                  </w:r>
                </w:p>
              </w:tc>
              <w:tc>
                <w:tcPr>
                  <w:tcW w:w="737" w:type="pct"/>
                  <w:tcBorders>
                    <w:tl2br w:val="nil"/>
                    <w:tr2bl w:val="nil"/>
                  </w:tcBorders>
                  <w:shd w:val="clear" w:color="auto" w:fill="auto"/>
                  <w:noWrap/>
                  <w:vAlign w:val="center"/>
                </w:tcPr>
                <w:p w14:paraId="520E30BB">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0.022</w:t>
                  </w:r>
                </w:p>
              </w:tc>
              <w:tc>
                <w:tcPr>
                  <w:tcW w:w="633" w:type="pct"/>
                  <w:tcBorders>
                    <w:tl2br w:val="nil"/>
                    <w:tr2bl w:val="nil"/>
                  </w:tcBorders>
                  <w:shd w:val="clear" w:color="auto" w:fill="auto"/>
                  <w:noWrap/>
                  <w:vAlign w:val="center"/>
                </w:tcPr>
                <w:p w14:paraId="7452E17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3634DF0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25BCF4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6796EE7D">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rPr>
                    <w:t>喂料粉尘</w:t>
                  </w:r>
                </w:p>
              </w:tc>
              <w:tc>
                <w:tcPr>
                  <w:tcW w:w="480" w:type="pct"/>
                  <w:vMerge w:val="continue"/>
                  <w:tcBorders>
                    <w:tl2br w:val="nil"/>
                    <w:tr2bl w:val="nil"/>
                  </w:tcBorders>
                  <w:shd w:val="clear" w:color="auto" w:fill="auto"/>
                  <w:vAlign w:val="center"/>
                </w:tcPr>
                <w:p w14:paraId="179C564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1AB17FAD">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颗粒物</w:t>
                  </w:r>
                </w:p>
              </w:tc>
              <w:tc>
                <w:tcPr>
                  <w:tcW w:w="475" w:type="pct"/>
                  <w:vMerge w:val="restart"/>
                  <w:tcBorders>
                    <w:tl2br w:val="nil"/>
                    <w:tr2bl w:val="nil"/>
                  </w:tcBorders>
                  <w:shd w:val="clear" w:color="auto" w:fill="auto"/>
                  <w:noWrap/>
                  <w:vAlign w:val="center"/>
                </w:tcPr>
                <w:p w14:paraId="35E45D57">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continue"/>
                  <w:tcBorders>
                    <w:tl2br w:val="nil"/>
                    <w:tr2bl w:val="nil"/>
                  </w:tcBorders>
                  <w:shd w:val="clear" w:color="auto" w:fill="auto"/>
                  <w:noWrap/>
                  <w:vAlign w:val="center"/>
                </w:tcPr>
                <w:p w14:paraId="534E2486">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0499FFA7">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0.48</w:t>
                  </w:r>
                </w:p>
              </w:tc>
              <w:tc>
                <w:tcPr>
                  <w:tcW w:w="737" w:type="pct"/>
                  <w:tcBorders>
                    <w:tl2br w:val="nil"/>
                    <w:tr2bl w:val="nil"/>
                  </w:tcBorders>
                  <w:shd w:val="clear" w:color="auto" w:fill="auto"/>
                  <w:noWrap/>
                  <w:vAlign w:val="center"/>
                </w:tcPr>
                <w:p w14:paraId="6E93239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0.067</w:t>
                  </w:r>
                </w:p>
              </w:tc>
              <w:tc>
                <w:tcPr>
                  <w:tcW w:w="633" w:type="pct"/>
                  <w:tcBorders>
                    <w:tl2br w:val="nil"/>
                    <w:tr2bl w:val="nil"/>
                  </w:tcBorders>
                  <w:shd w:val="clear" w:color="auto" w:fill="auto"/>
                  <w:noWrap/>
                  <w:vAlign w:val="center"/>
                </w:tcPr>
                <w:p w14:paraId="07A8FE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1CCD873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4167ED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29E269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72EED3C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393CCFDE">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氟化物</w:t>
                  </w:r>
                </w:p>
              </w:tc>
              <w:tc>
                <w:tcPr>
                  <w:tcW w:w="475" w:type="pct"/>
                  <w:vMerge w:val="continue"/>
                  <w:tcBorders>
                    <w:tl2br w:val="nil"/>
                    <w:tr2bl w:val="nil"/>
                  </w:tcBorders>
                  <w:shd w:val="clear" w:color="auto" w:fill="auto"/>
                  <w:noWrap/>
                  <w:vAlign w:val="center"/>
                </w:tcPr>
                <w:p w14:paraId="05C02EF8">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5CC5ED3E">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2536D6FC">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0.02</w:t>
                  </w:r>
                </w:p>
              </w:tc>
              <w:tc>
                <w:tcPr>
                  <w:tcW w:w="737" w:type="pct"/>
                  <w:tcBorders>
                    <w:tl2br w:val="nil"/>
                    <w:tr2bl w:val="nil"/>
                  </w:tcBorders>
                  <w:shd w:val="clear" w:color="auto" w:fill="auto"/>
                  <w:noWrap/>
                  <w:vAlign w:val="center"/>
                </w:tcPr>
                <w:p w14:paraId="3470195D">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0.002</w:t>
                  </w:r>
                </w:p>
              </w:tc>
              <w:tc>
                <w:tcPr>
                  <w:tcW w:w="633" w:type="pct"/>
                  <w:tcBorders>
                    <w:tl2br w:val="nil"/>
                    <w:tr2bl w:val="nil"/>
                  </w:tcBorders>
                  <w:shd w:val="clear" w:color="auto" w:fill="auto"/>
                  <w:noWrap/>
                  <w:vAlign w:val="center"/>
                </w:tcPr>
                <w:p w14:paraId="178489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2DB3E7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470BFE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38C54DB9">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rPr>
                    <w:t>烘干粉尘</w:t>
                  </w:r>
                </w:p>
              </w:tc>
              <w:tc>
                <w:tcPr>
                  <w:tcW w:w="480" w:type="pct"/>
                  <w:vMerge w:val="continue"/>
                  <w:tcBorders>
                    <w:tl2br w:val="nil"/>
                    <w:tr2bl w:val="nil"/>
                  </w:tcBorders>
                  <w:shd w:val="clear" w:color="auto" w:fill="auto"/>
                  <w:vAlign w:val="center"/>
                </w:tcPr>
                <w:p w14:paraId="7579FB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6C908F9C">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颗粒物</w:t>
                  </w:r>
                </w:p>
              </w:tc>
              <w:tc>
                <w:tcPr>
                  <w:tcW w:w="475" w:type="pct"/>
                  <w:vMerge w:val="restart"/>
                  <w:tcBorders>
                    <w:tl2br w:val="nil"/>
                    <w:tr2bl w:val="nil"/>
                  </w:tcBorders>
                  <w:shd w:val="clear" w:color="auto" w:fill="auto"/>
                  <w:noWrap/>
                  <w:vAlign w:val="center"/>
                </w:tcPr>
                <w:p w14:paraId="10C054AF">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continue"/>
                  <w:tcBorders>
                    <w:tl2br w:val="nil"/>
                    <w:tr2bl w:val="nil"/>
                  </w:tcBorders>
                  <w:shd w:val="clear" w:color="auto" w:fill="auto"/>
                  <w:noWrap/>
                  <w:vAlign w:val="center"/>
                </w:tcPr>
                <w:p w14:paraId="71D9F6C3">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32EE399B">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2.73</w:t>
                  </w:r>
                </w:p>
              </w:tc>
              <w:tc>
                <w:tcPr>
                  <w:tcW w:w="737" w:type="pct"/>
                  <w:tcBorders>
                    <w:tl2br w:val="nil"/>
                    <w:tr2bl w:val="nil"/>
                  </w:tcBorders>
                  <w:shd w:val="clear" w:color="auto" w:fill="auto"/>
                  <w:noWrap/>
                  <w:vAlign w:val="center"/>
                </w:tcPr>
                <w:p w14:paraId="4E387C9F">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0.38</w:t>
                  </w:r>
                </w:p>
              </w:tc>
              <w:tc>
                <w:tcPr>
                  <w:tcW w:w="633" w:type="pct"/>
                  <w:tcBorders>
                    <w:tl2br w:val="nil"/>
                    <w:tr2bl w:val="nil"/>
                  </w:tcBorders>
                  <w:shd w:val="clear" w:color="auto" w:fill="auto"/>
                  <w:noWrap/>
                  <w:vAlign w:val="center"/>
                </w:tcPr>
                <w:p w14:paraId="7627379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3307938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6B4E8E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4E8FFC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19928D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BFD81F4">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氟化物</w:t>
                  </w:r>
                </w:p>
              </w:tc>
              <w:tc>
                <w:tcPr>
                  <w:tcW w:w="475" w:type="pct"/>
                  <w:vMerge w:val="continue"/>
                  <w:tcBorders>
                    <w:tl2br w:val="nil"/>
                    <w:tr2bl w:val="nil"/>
                  </w:tcBorders>
                  <w:shd w:val="clear" w:color="auto" w:fill="auto"/>
                  <w:noWrap/>
                  <w:vAlign w:val="center"/>
                </w:tcPr>
                <w:p w14:paraId="1B3E1AF0">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593215A9">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26D827D3">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0.10</w:t>
                  </w:r>
                </w:p>
              </w:tc>
              <w:tc>
                <w:tcPr>
                  <w:tcW w:w="737" w:type="pct"/>
                  <w:tcBorders>
                    <w:tl2br w:val="nil"/>
                    <w:tr2bl w:val="nil"/>
                  </w:tcBorders>
                  <w:shd w:val="clear" w:color="auto" w:fill="auto"/>
                  <w:noWrap/>
                  <w:vAlign w:val="center"/>
                </w:tcPr>
                <w:p w14:paraId="0AC5EEF5">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0.01</w:t>
                  </w:r>
                </w:p>
              </w:tc>
              <w:tc>
                <w:tcPr>
                  <w:tcW w:w="633" w:type="pct"/>
                  <w:tcBorders>
                    <w:tl2br w:val="nil"/>
                    <w:tr2bl w:val="nil"/>
                  </w:tcBorders>
                  <w:shd w:val="clear" w:color="auto" w:fill="auto"/>
                  <w:noWrap/>
                  <w:vAlign w:val="center"/>
                </w:tcPr>
                <w:p w14:paraId="05FD50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1D3C59B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3A5C464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245F4988">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rPr>
                    <w:t>天然气燃烧烟气</w:t>
                  </w:r>
                </w:p>
              </w:tc>
              <w:tc>
                <w:tcPr>
                  <w:tcW w:w="480" w:type="pct"/>
                  <w:vMerge w:val="continue"/>
                  <w:tcBorders>
                    <w:tl2br w:val="nil"/>
                    <w:tr2bl w:val="nil"/>
                  </w:tcBorders>
                  <w:shd w:val="clear" w:color="auto" w:fill="auto"/>
                  <w:vAlign w:val="center"/>
                </w:tcPr>
                <w:p w14:paraId="3133C17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4E0FDD1F">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lang w:bidi="ar"/>
                    </w:rPr>
                    <w:t>颗粒物</w:t>
                  </w:r>
                </w:p>
              </w:tc>
              <w:tc>
                <w:tcPr>
                  <w:tcW w:w="475" w:type="pct"/>
                  <w:vMerge w:val="restart"/>
                  <w:tcBorders>
                    <w:tl2br w:val="nil"/>
                    <w:tr2bl w:val="nil"/>
                  </w:tcBorders>
                  <w:shd w:val="clear" w:color="auto" w:fill="auto"/>
                  <w:noWrap/>
                  <w:vAlign w:val="center"/>
                </w:tcPr>
                <w:p w14:paraId="602375B8">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continue"/>
                  <w:tcBorders>
                    <w:tl2br w:val="nil"/>
                    <w:tr2bl w:val="nil"/>
                  </w:tcBorders>
                  <w:shd w:val="clear" w:color="auto" w:fill="auto"/>
                  <w:noWrap/>
                  <w:vAlign w:val="center"/>
                </w:tcPr>
                <w:p w14:paraId="06C115B7">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6CCDEC63">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0.02</w:t>
                  </w:r>
                </w:p>
              </w:tc>
              <w:tc>
                <w:tcPr>
                  <w:tcW w:w="737" w:type="pct"/>
                  <w:tcBorders>
                    <w:tl2br w:val="nil"/>
                    <w:tr2bl w:val="nil"/>
                  </w:tcBorders>
                  <w:shd w:val="clear" w:color="auto" w:fill="auto"/>
                  <w:noWrap/>
                  <w:vAlign w:val="center"/>
                </w:tcPr>
                <w:p w14:paraId="31CEE084">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0.0027</w:t>
                  </w:r>
                </w:p>
              </w:tc>
              <w:tc>
                <w:tcPr>
                  <w:tcW w:w="633" w:type="pct"/>
                  <w:tcBorders>
                    <w:tl2br w:val="nil"/>
                    <w:tr2bl w:val="nil"/>
                  </w:tcBorders>
                  <w:shd w:val="clear" w:color="auto" w:fill="auto"/>
                  <w:noWrap/>
                  <w:vAlign w:val="center"/>
                </w:tcPr>
                <w:p w14:paraId="65F89C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6863CFD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22DAE05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2D033E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239C80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2DC02C2">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SO</w:t>
                  </w:r>
                  <w:r>
                    <w:rPr>
                      <w:rFonts w:hint="default"/>
                      <w:color w:val="FF0000"/>
                      <w:vertAlign w:val="subscript"/>
                    </w:rPr>
                    <w:t>2</w:t>
                  </w:r>
                </w:p>
              </w:tc>
              <w:tc>
                <w:tcPr>
                  <w:tcW w:w="475" w:type="pct"/>
                  <w:vMerge w:val="continue"/>
                  <w:tcBorders>
                    <w:tl2br w:val="nil"/>
                    <w:tr2bl w:val="nil"/>
                  </w:tcBorders>
                  <w:shd w:val="clear" w:color="auto" w:fill="auto"/>
                  <w:noWrap/>
                  <w:vAlign w:val="center"/>
                </w:tcPr>
                <w:p w14:paraId="1C936DAD">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7B4FEB3A">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0A99C691">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0.01</w:t>
                  </w:r>
                </w:p>
              </w:tc>
              <w:tc>
                <w:tcPr>
                  <w:tcW w:w="737" w:type="pct"/>
                  <w:tcBorders>
                    <w:tl2br w:val="nil"/>
                    <w:tr2bl w:val="nil"/>
                  </w:tcBorders>
                  <w:shd w:val="clear" w:color="auto" w:fill="auto"/>
                  <w:noWrap/>
                  <w:vAlign w:val="center"/>
                </w:tcPr>
                <w:p w14:paraId="23CA44C6">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0.0019</w:t>
                  </w:r>
                </w:p>
              </w:tc>
              <w:tc>
                <w:tcPr>
                  <w:tcW w:w="633" w:type="pct"/>
                  <w:tcBorders>
                    <w:tl2br w:val="nil"/>
                    <w:tr2bl w:val="nil"/>
                  </w:tcBorders>
                  <w:shd w:val="clear" w:color="auto" w:fill="auto"/>
                  <w:noWrap/>
                  <w:vAlign w:val="center"/>
                </w:tcPr>
                <w:p w14:paraId="178BBB3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6BFB307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1072FB1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7BECEF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34601B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FC520E3">
                  <w:pPr>
                    <w:pStyle w:val="114"/>
                    <w:keepNext w:val="0"/>
                    <w:keepLines w:val="0"/>
                    <w:suppressLineNumbers w:val="0"/>
                    <w:spacing w:before="0" w:beforeAutospacing="0" w:after="0" w:afterAutospacing="0"/>
                    <w:ind w:left="0" w:right="0" w:firstLine="0" w:firstLineChars="0"/>
                    <w:rPr>
                      <w:rFonts w:hint="default" w:ascii="Times New Roman" w:hAnsi="Times New Roman" w:cs="Times New Roman"/>
                      <w:color w:val="FF0000"/>
                      <w:kern w:val="2"/>
                      <w:sz w:val="21"/>
                      <w:szCs w:val="21"/>
                      <w:lang w:val="en-US" w:eastAsia="zh-CN"/>
                    </w:rPr>
                  </w:pPr>
                  <w:r>
                    <w:rPr>
                      <w:rFonts w:hint="default"/>
                      <w:color w:val="FF0000"/>
                    </w:rPr>
                    <w:t>NOx</w:t>
                  </w:r>
                </w:p>
              </w:tc>
              <w:tc>
                <w:tcPr>
                  <w:tcW w:w="475" w:type="pct"/>
                  <w:vMerge w:val="continue"/>
                  <w:tcBorders>
                    <w:tl2br w:val="nil"/>
                    <w:tr2bl w:val="nil"/>
                  </w:tcBorders>
                  <w:shd w:val="clear" w:color="auto" w:fill="auto"/>
                  <w:noWrap/>
                  <w:vAlign w:val="center"/>
                </w:tcPr>
                <w:p w14:paraId="1ED625F0">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693AC94">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1D13DD4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0.13</w:t>
                  </w:r>
                </w:p>
              </w:tc>
              <w:tc>
                <w:tcPr>
                  <w:tcW w:w="737" w:type="pct"/>
                  <w:tcBorders>
                    <w:tl2br w:val="nil"/>
                    <w:tr2bl w:val="nil"/>
                  </w:tcBorders>
                  <w:shd w:val="clear" w:color="auto" w:fill="auto"/>
                  <w:noWrap/>
                  <w:vAlign w:val="center"/>
                </w:tcPr>
                <w:p w14:paraId="31585EE2">
                  <w:pPr>
                    <w:pStyle w:val="114"/>
                    <w:keepNext w:val="0"/>
                    <w:keepLines w:val="0"/>
                    <w:suppressLineNumbers w:val="0"/>
                    <w:spacing w:before="0" w:beforeAutospacing="0" w:after="0" w:afterAutospacing="0"/>
                    <w:ind w:left="0" w:right="0" w:firstLine="0" w:firstLineChars="0"/>
                    <w:rPr>
                      <w:rFonts w:hint="default" w:ascii="Times New Roman" w:hAnsi="Times New Roman" w:eastAsia="宋体" w:cs="Times New Roman"/>
                      <w:color w:val="FF0000"/>
                      <w:kern w:val="2"/>
                      <w:sz w:val="18"/>
                      <w:szCs w:val="18"/>
                      <w:lang w:val="en-US" w:eastAsia="zh-CN"/>
                    </w:rPr>
                  </w:pPr>
                  <w:r>
                    <w:rPr>
                      <w:rFonts w:hint="default"/>
                      <w:color w:val="FF0000"/>
                      <w:sz w:val="18"/>
                      <w:szCs w:val="18"/>
                    </w:rPr>
                    <w:t>0.018</w:t>
                  </w:r>
                </w:p>
              </w:tc>
              <w:tc>
                <w:tcPr>
                  <w:tcW w:w="633" w:type="pct"/>
                  <w:tcBorders>
                    <w:tl2br w:val="nil"/>
                    <w:tr2bl w:val="nil"/>
                  </w:tcBorders>
                  <w:shd w:val="clear" w:color="auto" w:fill="auto"/>
                  <w:noWrap/>
                  <w:vAlign w:val="center"/>
                </w:tcPr>
                <w:p w14:paraId="7EBFD91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E0BB26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0F1236E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2F5957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破碎及筛分粉尘</w:t>
                  </w:r>
                </w:p>
              </w:tc>
              <w:tc>
                <w:tcPr>
                  <w:tcW w:w="480" w:type="pct"/>
                  <w:vMerge w:val="restart"/>
                  <w:tcBorders>
                    <w:tl2br w:val="nil"/>
                    <w:tr2bl w:val="nil"/>
                  </w:tcBorders>
                  <w:shd w:val="clear" w:color="auto" w:fill="auto"/>
                  <w:vAlign w:val="center"/>
                </w:tcPr>
                <w:p w14:paraId="6567C4D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本项目</w:t>
                  </w:r>
                </w:p>
              </w:tc>
              <w:tc>
                <w:tcPr>
                  <w:tcW w:w="715" w:type="pct"/>
                  <w:tcBorders>
                    <w:tl2br w:val="nil"/>
                    <w:tr2bl w:val="nil"/>
                  </w:tcBorders>
                  <w:shd w:val="clear" w:color="auto" w:fill="auto"/>
                  <w:vAlign w:val="center"/>
                </w:tcPr>
                <w:p w14:paraId="10E293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7CB2E190">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2AAE36A8">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沉降+洒水</w:t>
                  </w:r>
                </w:p>
              </w:tc>
              <w:tc>
                <w:tcPr>
                  <w:tcW w:w="487" w:type="pct"/>
                  <w:tcBorders>
                    <w:tl2br w:val="nil"/>
                    <w:tr2bl w:val="nil"/>
                  </w:tcBorders>
                  <w:shd w:val="clear" w:color="auto" w:fill="auto"/>
                  <w:noWrap/>
                  <w:vAlign w:val="center"/>
                </w:tcPr>
                <w:p w14:paraId="056EF7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w:t>
                  </w:r>
                  <w:r>
                    <w:rPr>
                      <w:rFonts w:hint="eastAsia"/>
                      <w:color w:val="FF0000"/>
                      <w:sz w:val="18"/>
                      <w:szCs w:val="18"/>
                      <w:highlight w:val="none"/>
                      <w:lang w:val="en-US" w:eastAsia="zh-CN"/>
                    </w:rPr>
                    <w:t>6734</w:t>
                  </w:r>
                </w:p>
              </w:tc>
              <w:tc>
                <w:tcPr>
                  <w:tcW w:w="737" w:type="pct"/>
                  <w:tcBorders>
                    <w:tl2br w:val="nil"/>
                    <w:tr2bl w:val="nil"/>
                  </w:tcBorders>
                  <w:shd w:val="clear" w:color="auto" w:fill="auto"/>
                  <w:noWrap/>
                  <w:vAlign w:val="center"/>
                </w:tcPr>
                <w:p w14:paraId="688B800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0.09</w:t>
                  </w:r>
                  <w:r>
                    <w:rPr>
                      <w:rFonts w:hint="eastAsia"/>
                      <w:color w:val="FF0000"/>
                      <w:sz w:val="18"/>
                      <w:szCs w:val="18"/>
                      <w:highlight w:val="none"/>
                      <w:lang w:val="en-US" w:eastAsia="zh-CN"/>
                    </w:rPr>
                    <w:t>35</w:t>
                  </w:r>
                </w:p>
              </w:tc>
              <w:tc>
                <w:tcPr>
                  <w:tcW w:w="633" w:type="pct"/>
                  <w:tcBorders>
                    <w:tl2br w:val="nil"/>
                    <w:tr2bl w:val="nil"/>
                  </w:tcBorders>
                  <w:shd w:val="clear" w:color="auto" w:fill="auto"/>
                  <w:noWrap/>
                  <w:vAlign w:val="center"/>
                </w:tcPr>
                <w:p w14:paraId="4DBF93A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B8B88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4B4221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7E1B2BA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720F3B7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72D67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2535C24C">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FB00BA7">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32FA76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6.</w:t>
                  </w:r>
                  <w:r>
                    <w:rPr>
                      <w:rFonts w:hint="eastAsia"/>
                      <w:color w:val="FF0000"/>
                      <w:sz w:val="18"/>
                      <w:szCs w:val="18"/>
                      <w:highlight w:val="none"/>
                      <w:lang w:val="en-US" w:eastAsia="zh-CN"/>
                    </w:rPr>
                    <w:t>29</w:t>
                  </w:r>
                  <w:r>
                    <w:rPr>
                      <w:rFonts w:hint="default"/>
                      <w:color w:val="FF0000"/>
                      <w:sz w:val="18"/>
                      <w:szCs w:val="18"/>
                      <w:highlight w:val="none"/>
                      <w:lang w:val="en-US" w:eastAsia="zh-CN"/>
                    </w:rPr>
                    <w:t>E-06</w:t>
                  </w:r>
                </w:p>
              </w:tc>
              <w:tc>
                <w:tcPr>
                  <w:tcW w:w="737" w:type="pct"/>
                  <w:tcBorders>
                    <w:tl2br w:val="nil"/>
                    <w:tr2bl w:val="nil"/>
                  </w:tcBorders>
                  <w:shd w:val="clear" w:color="auto" w:fill="auto"/>
                  <w:noWrap/>
                  <w:vAlign w:val="center"/>
                </w:tcPr>
                <w:p w14:paraId="118190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olor w:val="FF0000"/>
                      <w:sz w:val="18"/>
                      <w:szCs w:val="18"/>
                      <w:highlight w:val="none"/>
                      <w:lang w:val="en-US" w:eastAsia="zh-CN"/>
                    </w:rPr>
                    <w:t>8.74</w:t>
                  </w:r>
                  <w:r>
                    <w:rPr>
                      <w:rFonts w:hint="default"/>
                      <w:color w:val="FF0000"/>
                      <w:sz w:val="18"/>
                      <w:szCs w:val="18"/>
                      <w:highlight w:val="none"/>
                      <w:lang w:val="en-US" w:eastAsia="zh-CN"/>
                    </w:rPr>
                    <w:t>E-07</w:t>
                  </w:r>
                </w:p>
              </w:tc>
              <w:tc>
                <w:tcPr>
                  <w:tcW w:w="633" w:type="pct"/>
                  <w:tcBorders>
                    <w:tl2br w:val="nil"/>
                    <w:tr2bl w:val="nil"/>
                  </w:tcBorders>
                  <w:shd w:val="clear" w:color="auto" w:fill="auto"/>
                  <w:noWrap/>
                  <w:vAlign w:val="center"/>
                </w:tcPr>
                <w:p w14:paraId="3B87FC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4C378DA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17B110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7469CF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5F6E1B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638549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1F73B7CA">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4FD256C9">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3DB636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0.01</w:t>
                  </w:r>
                  <w:r>
                    <w:rPr>
                      <w:rFonts w:hint="eastAsia"/>
                      <w:color w:val="FF0000"/>
                      <w:sz w:val="18"/>
                      <w:szCs w:val="18"/>
                      <w:highlight w:val="none"/>
                      <w:lang w:val="en-US" w:eastAsia="zh-CN"/>
                    </w:rPr>
                    <w:t>26</w:t>
                  </w:r>
                </w:p>
              </w:tc>
              <w:tc>
                <w:tcPr>
                  <w:tcW w:w="737" w:type="pct"/>
                  <w:tcBorders>
                    <w:tl2br w:val="nil"/>
                    <w:tr2bl w:val="nil"/>
                  </w:tcBorders>
                  <w:shd w:val="clear" w:color="auto" w:fill="auto"/>
                  <w:noWrap/>
                  <w:vAlign w:val="center"/>
                </w:tcPr>
                <w:p w14:paraId="69EF00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0.001</w:t>
                  </w:r>
                  <w:r>
                    <w:rPr>
                      <w:rFonts w:hint="eastAsia"/>
                      <w:color w:val="FF0000"/>
                      <w:sz w:val="18"/>
                      <w:szCs w:val="18"/>
                      <w:highlight w:val="none"/>
                      <w:lang w:val="en-US" w:eastAsia="zh-CN"/>
                    </w:rPr>
                    <w:t>7</w:t>
                  </w:r>
                </w:p>
              </w:tc>
              <w:tc>
                <w:tcPr>
                  <w:tcW w:w="633" w:type="pct"/>
                  <w:tcBorders>
                    <w:tl2br w:val="nil"/>
                    <w:tr2bl w:val="nil"/>
                  </w:tcBorders>
                  <w:shd w:val="clear" w:color="auto" w:fill="auto"/>
                  <w:noWrap/>
                  <w:vAlign w:val="center"/>
                </w:tcPr>
                <w:p w14:paraId="536575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438021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71950A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13CE0E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卸</w:t>
                  </w:r>
                  <w:r>
                    <w:rPr>
                      <w:rFonts w:hint="eastAsia"/>
                      <w:color w:val="FF0000"/>
                      <w:sz w:val="18"/>
                      <w:szCs w:val="18"/>
                      <w:highlight w:val="none"/>
                    </w:rPr>
                    <w:t>料</w:t>
                  </w:r>
                  <w:r>
                    <w:rPr>
                      <w:rFonts w:hint="eastAsia"/>
                      <w:color w:val="FF0000"/>
                      <w:sz w:val="18"/>
                      <w:szCs w:val="18"/>
                      <w:highlight w:val="none"/>
                      <w:lang w:eastAsia="zh-CN"/>
                    </w:rPr>
                    <w:t>及堆场扬尘</w:t>
                  </w:r>
                </w:p>
              </w:tc>
              <w:tc>
                <w:tcPr>
                  <w:tcW w:w="480" w:type="pct"/>
                  <w:vMerge w:val="continue"/>
                  <w:tcBorders>
                    <w:tl2br w:val="nil"/>
                    <w:tr2bl w:val="nil"/>
                  </w:tcBorders>
                  <w:shd w:val="clear" w:color="auto" w:fill="auto"/>
                  <w:vAlign w:val="center"/>
                </w:tcPr>
                <w:p w14:paraId="75F582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488454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19285041">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608332B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b/>
                      <w:bCs/>
                      <w:i w:val="0"/>
                      <w:iCs w:val="0"/>
                      <w:color w:val="FF0000"/>
                      <w:kern w:val="0"/>
                      <w:sz w:val="21"/>
                      <w:szCs w:val="21"/>
                      <w:u w:val="none"/>
                      <w:lang w:val="en-US" w:eastAsia="zh-CN" w:bidi="ar"/>
                    </w:rPr>
                  </w:pPr>
                  <w:r>
                    <w:rPr>
                      <w:rFonts w:hint="eastAsia"/>
                      <w:color w:val="FF0000"/>
                      <w:sz w:val="18"/>
                      <w:szCs w:val="18"/>
                      <w:highlight w:val="none"/>
                      <w:lang w:val="en-US" w:eastAsia="zh-CN"/>
                    </w:rPr>
                    <w:t>沉降+洒水</w:t>
                  </w:r>
                </w:p>
              </w:tc>
              <w:tc>
                <w:tcPr>
                  <w:tcW w:w="487" w:type="pct"/>
                  <w:tcBorders>
                    <w:tl2br w:val="nil"/>
                    <w:tr2bl w:val="nil"/>
                  </w:tcBorders>
                  <w:shd w:val="clear" w:color="auto" w:fill="auto"/>
                  <w:noWrap/>
                  <w:vAlign w:val="center"/>
                </w:tcPr>
                <w:p w14:paraId="2BC6403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0.894</w:t>
                  </w:r>
                </w:p>
              </w:tc>
              <w:tc>
                <w:tcPr>
                  <w:tcW w:w="737" w:type="pct"/>
                  <w:tcBorders>
                    <w:tl2br w:val="nil"/>
                    <w:tr2bl w:val="nil"/>
                  </w:tcBorders>
                  <w:shd w:val="clear" w:color="auto" w:fill="auto"/>
                  <w:noWrap/>
                  <w:vAlign w:val="center"/>
                </w:tcPr>
                <w:p w14:paraId="2FD4EB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0.124</w:t>
                  </w:r>
                </w:p>
              </w:tc>
              <w:tc>
                <w:tcPr>
                  <w:tcW w:w="633" w:type="pct"/>
                  <w:tcBorders>
                    <w:tl2br w:val="nil"/>
                    <w:tr2bl w:val="nil"/>
                  </w:tcBorders>
                  <w:shd w:val="clear" w:color="auto" w:fill="auto"/>
                  <w:noWrap/>
                  <w:vAlign w:val="center"/>
                </w:tcPr>
                <w:p w14:paraId="675E49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E439DF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18B979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61242D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71D512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1D633A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5047DF9C">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4AF5D67B">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49C0AFA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8.35E-06</w:t>
                  </w:r>
                </w:p>
              </w:tc>
              <w:tc>
                <w:tcPr>
                  <w:tcW w:w="737" w:type="pct"/>
                  <w:tcBorders>
                    <w:tl2br w:val="nil"/>
                    <w:tr2bl w:val="nil"/>
                  </w:tcBorders>
                  <w:shd w:val="clear" w:color="auto" w:fill="auto"/>
                  <w:noWrap/>
                  <w:vAlign w:val="center"/>
                </w:tcPr>
                <w:p w14:paraId="32183FF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1.16E-06</w:t>
                  </w:r>
                </w:p>
              </w:tc>
              <w:tc>
                <w:tcPr>
                  <w:tcW w:w="633" w:type="pct"/>
                  <w:tcBorders>
                    <w:tl2br w:val="nil"/>
                    <w:tr2bl w:val="nil"/>
                  </w:tcBorders>
                  <w:shd w:val="clear" w:color="auto" w:fill="auto"/>
                  <w:noWrap/>
                  <w:vAlign w:val="center"/>
                </w:tcPr>
                <w:p w14:paraId="790CF79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6277632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212238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749714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504EFC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6788EF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57566093">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51E9292">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2156A3A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0.0167</w:t>
                  </w:r>
                </w:p>
              </w:tc>
              <w:tc>
                <w:tcPr>
                  <w:tcW w:w="737" w:type="pct"/>
                  <w:tcBorders>
                    <w:tl2br w:val="nil"/>
                    <w:tr2bl w:val="nil"/>
                  </w:tcBorders>
                  <w:shd w:val="clear" w:color="auto" w:fill="auto"/>
                  <w:noWrap/>
                  <w:vAlign w:val="center"/>
                </w:tcPr>
                <w:p w14:paraId="56DC06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0.0023</w:t>
                  </w:r>
                </w:p>
              </w:tc>
              <w:tc>
                <w:tcPr>
                  <w:tcW w:w="633" w:type="pct"/>
                  <w:tcBorders>
                    <w:tl2br w:val="nil"/>
                    <w:tr2bl w:val="nil"/>
                  </w:tcBorders>
                  <w:shd w:val="clear" w:color="auto" w:fill="auto"/>
                  <w:noWrap/>
                  <w:vAlign w:val="center"/>
                </w:tcPr>
                <w:p w14:paraId="35FB7A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4602458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310" w:hRule="atLeast"/>
                <w:jc w:val="center"/>
              </w:trPr>
              <w:tc>
                <w:tcPr>
                  <w:tcW w:w="286" w:type="pct"/>
                  <w:vMerge w:val="continue"/>
                  <w:tcBorders>
                    <w:tl2br w:val="nil"/>
                    <w:tr2bl w:val="nil"/>
                  </w:tcBorders>
                  <w:shd w:val="clear" w:color="auto" w:fill="auto"/>
                  <w:vAlign w:val="center"/>
                </w:tcPr>
                <w:p w14:paraId="30E0B79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7182BD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投料及转运粉尘</w:t>
                  </w:r>
                </w:p>
              </w:tc>
              <w:tc>
                <w:tcPr>
                  <w:tcW w:w="480" w:type="pct"/>
                  <w:vMerge w:val="continue"/>
                  <w:tcBorders>
                    <w:tl2br w:val="nil"/>
                    <w:tr2bl w:val="nil"/>
                  </w:tcBorders>
                  <w:shd w:val="clear" w:color="auto" w:fill="auto"/>
                  <w:vAlign w:val="center"/>
                </w:tcPr>
                <w:p w14:paraId="368E88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7FB97C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2282656C">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40078AA3">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沉降+洒水</w:t>
                  </w:r>
                </w:p>
              </w:tc>
              <w:tc>
                <w:tcPr>
                  <w:tcW w:w="487" w:type="pct"/>
                  <w:tcBorders>
                    <w:tl2br w:val="nil"/>
                    <w:tr2bl w:val="nil"/>
                  </w:tcBorders>
                  <w:shd w:val="clear" w:color="auto" w:fill="auto"/>
                  <w:noWrap/>
                  <w:vAlign w:val="center"/>
                </w:tcPr>
                <w:p w14:paraId="626F64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0.2563</w:t>
                  </w:r>
                </w:p>
              </w:tc>
              <w:tc>
                <w:tcPr>
                  <w:tcW w:w="737" w:type="pct"/>
                  <w:tcBorders>
                    <w:tl2br w:val="nil"/>
                    <w:tr2bl w:val="nil"/>
                  </w:tcBorders>
                  <w:shd w:val="clear" w:color="auto" w:fill="auto"/>
                  <w:noWrap/>
                  <w:vAlign w:val="center"/>
                </w:tcPr>
                <w:p w14:paraId="6F2AFE4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0.036</w:t>
                  </w:r>
                </w:p>
              </w:tc>
              <w:tc>
                <w:tcPr>
                  <w:tcW w:w="633" w:type="pct"/>
                  <w:tcBorders>
                    <w:tl2br w:val="nil"/>
                    <w:tr2bl w:val="nil"/>
                  </w:tcBorders>
                  <w:shd w:val="clear" w:color="auto" w:fill="auto"/>
                  <w:noWrap/>
                  <w:vAlign w:val="center"/>
                </w:tcPr>
                <w:p w14:paraId="78E3D9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5798319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62CF879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296E9D8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755101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4C2B1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5E3E2080">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23B8BB1">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55CD68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2.39E-06</w:t>
                  </w:r>
                </w:p>
              </w:tc>
              <w:tc>
                <w:tcPr>
                  <w:tcW w:w="737" w:type="pct"/>
                  <w:tcBorders>
                    <w:tl2br w:val="nil"/>
                    <w:tr2bl w:val="nil"/>
                  </w:tcBorders>
                  <w:shd w:val="clear" w:color="auto" w:fill="auto"/>
                  <w:noWrap/>
                  <w:vAlign w:val="center"/>
                </w:tcPr>
                <w:p w14:paraId="3C3711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3.33E-07</w:t>
                  </w:r>
                </w:p>
              </w:tc>
              <w:tc>
                <w:tcPr>
                  <w:tcW w:w="633" w:type="pct"/>
                  <w:tcBorders>
                    <w:tl2br w:val="nil"/>
                    <w:tr2bl w:val="nil"/>
                  </w:tcBorders>
                  <w:shd w:val="clear" w:color="auto" w:fill="auto"/>
                  <w:noWrap/>
                  <w:vAlign w:val="center"/>
                </w:tcPr>
                <w:p w14:paraId="6EE3E83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6D81D88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40713A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5B1ABE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03DF2C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37024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5DAE1A4B">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4607A691">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7B631E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0.0048</w:t>
                  </w:r>
                </w:p>
              </w:tc>
              <w:tc>
                <w:tcPr>
                  <w:tcW w:w="737" w:type="pct"/>
                  <w:tcBorders>
                    <w:tl2br w:val="nil"/>
                    <w:tr2bl w:val="nil"/>
                  </w:tcBorders>
                  <w:shd w:val="clear" w:color="auto" w:fill="auto"/>
                  <w:noWrap/>
                  <w:vAlign w:val="center"/>
                </w:tcPr>
                <w:p w14:paraId="1BCA20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center"/>
                    <w:rPr>
                      <w:rFonts w:hint="default" w:ascii="Times New Roman" w:hAnsi="Times New Roman" w:eastAsia="宋体" w:cs="Times New Roman"/>
                      <w:color w:val="FF0000"/>
                      <w:kern w:val="2"/>
                      <w:sz w:val="21"/>
                      <w:szCs w:val="21"/>
                      <w:lang w:val="en-US" w:eastAsia="zh-CN"/>
                    </w:rPr>
                  </w:pPr>
                  <w:r>
                    <w:rPr>
                      <w:rFonts w:hint="default" w:ascii="Times New Roman" w:hAnsi="Times New Roman" w:eastAsia="宋体" w:cs="Times New Roman"/>
                      <w:i w:val="0"/>
                      <w:iCs w:val="0"/>
                      <w:color w:val="FF0000"/>
                      <w:kern w:val="0"/>
                      <w:sz w:val="18"/>
                      <w:szCs w:val="18"/>
                      <w:u w:val="none"/>
                      <w:lang w:val="en-US" w:eastAsia="zh-CN" w:bidi="ar"/>
                    </w:rPr>
                    <w:t>6.66E-04</w:t>
                  </w:r>
                </w:p>
              </w:tc>
              <w:tc>
                <w:tcPr>
                  <w:tcW w:w="633" w:type="pct"/>
                  <w:tcBorders>
                    <w:tl2br w:val="nil"/>
                    <w:tr2bl w:val="nil"/>
                  </w:tcBorders>
                  <w:shd w:val="clear" w:color="auto" w:fill="auto"/>
                  <w:noWrap/>
                  <w:vAlign w:val="center"/>
                </w:tcPr>
                <w:p w14:paraId="696C5F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558AFE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PrEx>
              <w:trPr>
                <w:trHeight w:val="270" w:hRule="atLeast"/>
                <w:jc w:val="center"/>
              </w:trPr>
              <w:tc>
                <w:tcPr>
                  <w:tcW w:w="286" w:type="pct"/>
                  <w:vMerge w:val="continue"/>
                  <w:tcBorders>
                    <w:tl2br w:val="nil"/>
                    <w:tr2bl w:val="nil"/>
                  </w:tcBorders>
                  <w:shd w:val="clear" w:color="auto" w:fill="auto"/>
                  <w:vAlign w:val="center"/>
                </w:tcPr>
                <w:p w14:paraId="55F251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148CAE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筒仓粉尘</w:t>
                  </w:r>
                </w:p>
              </w:tc>
              <w:tc>
                <w:tcPr>
                  <w:tcW w:w="480" w:type="pct"/>
                  <w:vMerge w:val="continue"/>
                  <w:tcBorders>
                    <w:tl2br w:val="nil"/>
                    <w:tr2bl w:val="nil"/>
                  </w:tcBorders>
                  <w:shd w:val="clear" w:color="auto" w:fill="auto"/>
                  <w:vAlign w:val="center"/>
                </w:tcPr>
                <w:p w14:paraId="0D7631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4591B1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22B97645">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03ABCDF5">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olor w:val="FF0000"/>
                      <w:sz w:val="18"/>
                      <w:szCs w:val="18"/>
                      <w:highlight w:val="none"/>
                      <w:lang w:val="en-US" w:eastAsia="zh-CN"/>
                    </w:rPr>
                    <w:t>沉降+洒水</w:t>
                  </w:r>
                </w:p>
              </w:tc>
              <w:tc>
                <w:tcPr>
                  <w:tcW w:w="487" w:type="pct"/>
                  <w:tcBorders>
                    <w:tl2br w:val="nil"/>
                    <w:tr2bl w:val="nil"/>
                  </w:tcBorders>
                  <w:shd w:val="clear" w:color="auto" w:fill="auto"/>
                  <w:noWrap/>
                  <w:vAlign w:val="center"/>
                </w:tcPr>
                <w:p w14:paraId="062061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0.09</w:t>
                  </w:r>
                </w:p>
              </w:tc>
              <w:tc>
                <w:tcPr>
                  <w:tcW w:w="737" w:type="pct"/>
                  <w:tcBorders>
                    <w:tl2br w:val="nil"/>
                    <w:tr2bl w:val="nil"/>
                  </w:tcBorders>
                  <w:shd w:val="clear" w:color="auto" w:fill="auto"/>
                  <w:noWrap/>
                  <w:vAlign w:val="center"/>
                </w:tcPr>
                <w:p w14:paraId="3297C0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0.0125</w:t>
                  </w:r>
                </w:p>
              </w:tc>
              <w:tc>
                <w:tcPr>
                  <w:tcW w:w="633" w:type="pct"/>
                  <w:tcBorders>
                    <w:tl2br w:val="nil"/>
                    <w:tr2bl w:val="nil"/>
                  </w:tcBorders>
                  <w:shd w:val="clear" w:color="auto" w:fill="auto"/>
                  <w:noWrap/>
                  <w:vAlign w:val="center"/>
                </w:tcPr>
                <w:p w14:paraId="2046410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AED3C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18F97E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2EABF27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610C2C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796558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173C5E7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1FE4B609">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2E5658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8.41E-07</w:t>
                  </w:r>
                </w:p>
              </w:tc>
              <w:tc>
                <w:tcPr>
                  <w:tcW w:w="737" w:type="pct"/>
                  <w:tcBorders>
                    <w:tl2br w:val="nil"/>
                    <w:tr2bl w:val="nil"/>
                  </w:tcBorders>
                  <w:shd w:val="clear" w:color="auto" w:fill="auto"/>
                  <w:noWrap/>
                  <w:vAlign w:val="center"/>
                </w:tcPr>
                <w:p w14:paraId="3B5E8E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1.1675E-07</w:t>
                  </w:r>
                </w:p>
              </w:tc>
              <w:tc>
                <w:tcPr>
                  <w:tcW w:w="633" w:type="pct"/>
                  <w:tcBorders>
                    <w:tl2br w:val="nil"/>
                    <w:tr2bl w:val="nil"/>
                  </w:tcBorders>
                  <w:shd w:val="clear" w:color="auto" w:fill="auto"/>
                  <w:noWrap/>
                  <w:vAlign w:val="center"/>
                </w:tcPr>
                <w:p w14:paraId="35B28E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084076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5F67FC4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759DD26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27B9A6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A5FF8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79F9D3CF">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3EAA291E">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48CE17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0.0017</w:t>
                  </w:r>
                </w:p>
              </w:tc>
              <w:tc>
                <w:tcPr>
                  <w:tcW w:w="737" w:type="pct"/>
                  <w:tcBorders>
                    <w:tl2br w:val="nil"/>
                    <w:tr2bl w:val="nil"/>
                  </w:tcBorders>
                  <w:shd w:val="clear" w:color="auto" w:fill="auto"/>
                  <w:noWrap/>
                  <w:vAlign w:val="center"/>
                </w:tcPr>
                <w:p w14:paraId="5D8FDB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2.34E-04</w:t>
                  </w:r>
                </w:p>
              </w:tc>
              <w:tc>
                <w:tcPr>
                  <w:tcW w:w="633" w:type="pct"/>
                  <w:tcBorders>
                    <w:tl2br w:val="nil"/>
                    <w:tr2bl w:val="nil"/>
                  </w:tcBorders>
                  <w:shd w:val="clear" w:color="auto" w:fill="auto"/>
                  <w:noWrap/>
                  <w:vAlign w:val="center"/>
                </w:tcPr>
                <w:p w14:paraId="595250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F4ED3E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7903F45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restart"/>
                  <w:tcBorders>
                    <w:tl2br w:val="nil"/>
                    <w:tr2bl w:val="nil"/>
                  </w:tcBorders>
                  <w:shd w:val="clear" w:color="auto" w:fill="auto"/>
                  <w:vAlign w:val="center"/>
                </w:tcPr>
                <w:p w14:paraId="2AA1A7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18"/>
                      <w:szCs w:val="18"/>
                      <w:highlight w:val="none"/>
                      <w:lang w:val="en-US" w:eastAsia="zh-CN" w:bidi="ar-SA"/>
                    </w:rPr>
                  </w:pPr>
                  <w:r>
                    <w:rPr>
                      <w:rFonts w:hint="default"/>
                      <w:color w:val="FF0000"/>
                      <w:sz w:val="18"/>
                      <w:szCs w:val="18"/>
                      <w:highlight w:val="none"/>
                    </w:rPr>
                    <w:t>运输</w:t>
                  </w:r>
                  <w:r>
                    <w:rPr>
                      <w:rFonts w:hint="eastAsia"/>
                      <w:color w:val="FF0000"/>
                      <w:sz w:val="18"/>
                      <w:szCs w:val="18"/>
                      <w:highlight w:val="none"/>
                    </w:rPr>
                    <w:t>扬尘</w:t>
                  </w:r>
                </w:p>
              </w:tc>
              <w:tc>
                <w:tcPr>
                  <w:tcW w:w="480" w:type="pct"/>
                  <w:vMerge w:val="continue"/>
                  <w:tcBorders>
                    <w:tl2br w:val="nil"/>
                    <w:tr2bl w:val="nil"/>
                  </w:tcBorders>
                  <w:shd w:val="clear" w:color="auto" w:fill="auto"/>
                  <w:vAlign w:val="center"/>
                </w:tcPr>
                <w:p w14:paraId="049D96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44C044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lang w:val="en-US" w:eastAsia="zh-CN"/>
                    </w:rPr>
                    <w:t>颗粒物</w:t>
                  </w:r>
                </w:p>
              </w:tc>
              <w:tc>
                <w:tcPr>
                  <w:tcW w:w="475" w:type="pct"/>
                  <w:vMerge w:val="restart"/>
                  <w:tcBorders>
                    <w:tl2br w:val="nil"/>
                    <w:tr2bl w:val="nil"/>
                  </w:tcBorders>
                  <w:shd w:val="clear" w:color="auto" w:fill="auto"/>
                  <w:noWrap/>
                  <w:vAlign w:val="center"/>
                </w:tcPr>
                <w:p w14:paraId="0D391614">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60B0C78B">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default"/>
                      <w:color w:val="FF0000"/>
                      <w:sz w:val="18"/>
                      <w:szCs w:val="18"/>
                      <w:highlight w:val="none"/>
                    </w:rPr>
                    <w:t>清</w:t>
                  </w:r>
                  <w:r>
                    <w:rPr>
                      <w:rFonts w:hint="eastAsia"/>
                      <w:color w:val="FF0000"/>
                      <w:sz w:val="18"/>
                      <w:szCs w:val="18"/>
                      <w:highlight w:val="none"/>
                    </w:rPr>
                    <w:t>扫，并进行防尘洒水</w:t>
                  </w:r>
                </w:p>
              </w:tc>
              <w:tc>
                <w:tcPr>
                  <w:tcW w:w="487" w:type="pct"/>
                  <w:tcBorders>
                    <w:tl2br w:val="nil"/>
                    <w:tr2bl w:val="nil"/>
                  </w:tcBorders>
                  <w:shd w:val="clear" w:color="auto" w:fill="auto"/>
                  <w:noWrap/>
                  <w:vAlign w:val="center"/>
                </w:tcPr>
                <w:p w14:paraId="4EB931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0.941</w:t>
                  </w:r>
                </w:p>
              </w:tc>
              <w:tc>
                <w:tcPr>
                  <w:tcW w:w="737" w:type="pct"/>
                  <w:tcBorders>
                    <w:tl2br w:val="nil"/>
                    <w:tr2bl w:val="nil"/>
                  </w:tcBorders>
                  <w:shd w:val="clear" w:color="auto" w:fill="auto"/>
                  <w:noWrap/>
                  <w:vAlign w:val="center"/>
                </w:tcPr>
                <w:p w14:paraId="3691819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0.131</w:t>
                  </w:r>
                </w:p>
              </w:tc>
              <w:tc>
                <w:tcPr>
                  <w:tcW w:w="633" w:type="pct"/>
                  <w:tcBorders>
                    <w:tl2br w:val="nil"/>
                    <w:tr2bl w:val="nil"/>
                  </w:tcBorders>
                  <w:shd w:val="clear" w:color="auto" w:fill="auto"/>
                  <w:noWrap/>
                  <w:vAlign w:val="center"/>
                </w:tcPr>
                <w:p w14:paraId="5D917D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3B0737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27F353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4F1209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0AAE6B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6F2C9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铊及其化合物</w:t>
                  </w:r>
                </w:p>
              </w:tc>
              <w:tc>
                <w:tcPr>
                  <w:tcW w:w="475" w:type="pct"/>
                  <w:vMerge w:val="continue"/>
                  <w:tcBorders>
                    <w:tl2br w:val="nil"/>
                    <w:tr2bl w:val="nil"/>
                  </w:tcBorders>
                  <w:shd w:val="clear" w:color="auto" w:fill="auto"/>
                  <w:noWrap/>
                  <w:vAlign w:val="center"/>
                </w:tcPr>
                <w:p w14:paraId="0A2153E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437B13EA">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0206E19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8.79E-06</w:t>
                  </w:r>
                </w:p>
              </w:tc>
              <w:tc>
                <w:tcPr>
                  <w:tcW w:w="737" w:type="pct"/>
                  <w:tcBorders>
                    <w:tl2br w:val="nil"/>
                    <w:tr2bl w:val="nil"/>
                  </w:tcBorders>
                  <w:shd w:val="clear" w:color="auto" w:fill="auto"/>
                  <w:noWrap/>
                  <w:vAlign w:val="center"/>
                </w:tcPr>
                <w:p w14:paraId="0491342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1.22E-06</w:t>
                  </w:r>
                </w:p>
              </w:tc>
              <w:tc>
                <w:tcPr>
                  <w:tcW w:w="633" w:type="pct"/>
                  <w:tcBorders>
                    <w:tl2br w:val="nil"/>
                    <w:tr2bl w:val="nil"/>
                  </w:tcBorders>
                  <w:shd w:val="clear" w:color="auto" w:fill="auto"/>
                  <w:noWrap/>
                  <w:vAlign w:val="center"/>
                </w:tcPr>
                <w:p w14:paraId="4DE409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5B5865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286" w:type="pct"/>
                  <w:vMerge w:val="continue"/>
                  <w:tcBorders>
                    <w:tl2br w:val="nil"/>
                    <w:tr2bl w:val="nil"/>
                  </w:tcBorders>
                  <w:shd w:val="clear" w:color="auto" w:fill="auto"/>
                  <w:vAlign w:val="center"/>
                </w:tcPr>
                <w:p w14:paraId="0B4A797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645" w:type="pct"/>
                  <w:vMerge w:val="continue"/>
                  <w:tcBorders>
                    <w:tl2br w:val="nil"/>
                    <w:tr2bl w:val="nil"/>
                  </w:tcBorders>
                  <w:shd w:val="clear" w:color="auto" w:fill="auto"/>
                  <w:vAlign w:val="center"/>
                </w:tcPr>
                <w:p w14:paraId="673FE0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0" w:type="pct"/>
                  <w:vMerge w:val="continue"/>
                  <w:tcBorders>
                    <w:tl2br w:val="nil"/>
                    <w:tr2bl w:val="nil"/>
                  </w:tcBorders>
                  <w:shd w:val="clear" w:color="auto" w:fill="auto"/>
                  <w:vAlign w:val="center"/>
                </w:tcPr>
                <w:p w14:paraId="1F0DE05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97493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cs="Times New Roman"/>
                      <w:color w:val="FF0000"/>
                      <w:kern w:val="2"/>
                      <w:sz w:val="21"/>
                      <w:szCs w:val="21"/>
                      <w:lang w:val="en-US" w:eastAsia="zh-CN"/>
                    </w:rPr>
                  </w:pPr>
                  <w:r>
                    <w:rPr>
                      <w:rFonts w:hint="eastAsia"/>
                      <w:color w:val="FF0000"/>
                      <w:sz w:val="18"/>
                      <w:szCs w:val="18"/>
                      <w:highlight w:val="none"/>
                    </w:rPr>
                    <w:t>氟化物</w:t>
                  </w:r>
                </w:p>
              </w:tc>
              <w:tc>
                <w:tcPr>
                  <w:tcW w:w="475" w:type="pct"/>
                  <w:vMerge w:val="continue"/>
                  <w:tcBorders>
                    <w:tl2br w:val="nil"/>
                    <w:tr2bl w:val="nil"/>
                  </w:tcBorders>
                  <w:shd w:val="clear" w:color="auto" w:fill="auto"/>
                  <w:noWrap/>
                  <w:vAlign w:val="center"/>
                </w:tcPr>
                <w:p w14:paraId="39C94468">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000C522">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487" w:type="pct"/>
                  <w:tcBorders>
                    <w:tl2br w:val="nil"/>
                    <w:tr2bl w:val="nil"/>
                  </w:tcBorders>
                  <w:shd w:val="clear" w:color="auto" w:fill="auto"/>
                  <w:noWrap/>
                  <w:vAlign w:val="center"/>
                </w:tcPr>
                <w:p w14:paraId="44834D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0.0176</w:t>
                  </w:r>
                </w:p>
              </w:tc>
              <w:tc>
                <w:tcPr>
                  <w:tcW w:w="737" w:type="pct"/>
                  <w:tcBorders>
                    <w:tl2br w:val="nil"/>
                    <w:tr2bl w:val="nil"/>
                  </w:tcBorders>
                  <w:shd w:val="clear" w:color="auto" w:fill="auto"/>
                  <w:noWrap/>
                  <w:vAlign w:val="center"/>
                </w:tcPr>
                <w:p w14:paraId="380285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default"/>
                      <w:color w:val="FF0000"/>
                      <w:sz w:val="18"/>
                      <w:szCs w:val="18"/>
                      <w:highlight w:val="none"/>
                      <w:lang w:val="en-US" w:eastAsia="zh-CN"/>
                    </w:rPr>
                    <w:t>0.0024</w:t>
                  </w:r>
                </w:p>
              </w:tc>
              <w:tc>
                <w:tcPr>
                  <w:tcW w:w="633" w:type="pct"/>
                  <w:tcBorders>
                    <w:tl2br w:val="nil"/>
                    <w:tr2bl w:val="nil"/>
                  </w:tcBorders>
                  <w:shd w:val="clear" w:color="auto" w:fill="auto"/>
                  <w:noWrap/>
                  <w:vAlign w:val="center"/>
                </w:tcPr>
                <w:p w14:paraId="33A78C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EF778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restart"/>
                  <w:tcBorders>
                    <w:tl2br w:val="nil"/>
                    <w:tr2bl w:val="nil"/>
                  </w:tcBorders>
                  <w:shd w:val="clear" w:color="auto" w:fill="auto"/>
                  <w:vAlign w:val="center"/>
                </w:tcPr>
                <w:p w14:paraId="0F2FB9D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全厂有组织合计</w:t>
                  </w:r>
                </w:p>
              </w:tc>
              <w:tc>
                <w:tcPr>
                  <w:tcW w:w="715" w:type="pct"/>
                  <w:tcBorders>
                    <w:tl2br w:val="nil"/>
                    <w:tr2bl w:val="nil"/>
                  </w:tcBorders>
                  <w:shd w:val="clear" w:color="auto" w:fill="auto"/>
                  <w:vAlign w:val="center"/>
                </w:tcPr>
                <w:p w14:paraId="6B0D008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颗粒物</w:t>
                  </w:r>
                </w:p>
              </w:tc>
              <w:tc>
                <w:tcPr>
                  <w:tcW w:w="475" w:type="pct"/>
                  <w:vMerge w:val="restart"/>
                  <w:tcBorders>
                    <w:tl2br w:val="nil"/>
                    <w:tr2bl w:val="nil"/>
                  </w:tcBorders>
                  <w:shd w:val="clear" w:color="auto" w:fill="auto"/>
                  <w:noWrap/>
                  <w:vAlign w:val="center"/>
                </w:tcPr>
                <w:p w14:paraId="05A61A8F">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6E2EFF0D">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w:t>
                  </w:r>
                </w:p>
              </w:tc>
              <w:tc>
                <w:tcPr>
                  <w:tcW w:w="803" w:type="dxa"/>
                  <w:tcBorders>
                    <w:tl2br w:val="nil"/>
                    <w:tr2bl w:val="nil"/>
                  </w:tcBorders>
                  <w:shd w:val="clear" w:color="auto" w:fill="auto"/>
                  <w:noWrap/>
                  <w:vAlign w:val="center"/>
                </w:tcPr>
                <w:p w14:paraId="164480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2.306</w:t>
                  </w:r>
                </w:p>
              </w:tc>
              <w:tc>
                <w:tcPr>
                  <w:tcW w:w="1215" w:type="dxa"/>
                  <w:tcBorders>
                    <w:tl2br w:val="nil"/>
                    <w:tr2bl w:val="nil"/>
                  </w:tcBorders>
                  <w:shd w:val="clear" w:color="auto" w:fill="auto"/>
                  <w:noWrap/>
                  <w:vAlign w:val="center"/>
                </w:tcPr>
                <w:p w14:paraId="048295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0.320</w:t>
                  </w:r>
                </w:p>
              </w:tc>
              <w:tc>
                <w:tcPr>
                  <w:tcW w:w="633" w:type="pct"/>
                  <w:tcBorders>
                    <w:tl2br w:val="nil"/>
                    <w:tr2bl w:val="nil"/>
                  </w:tcBorders>
                  <w:shd w:val="clear" w:color="auto" w:fill="auto"/>
                  <w:noWrap/>
                  <w:vAlign w:val="center"/>
                </w:tcPr>
                <w:p w14:paraId="2B063F7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1FD9828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0B1AFAA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59DCE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铊及其化合物</w:t>
                  </w:r>
                </w:p>
              </w:tc>
              <w:tc>
                <w:tcPr>
                  <w:tcW w:w="475" w:type="pct"/>
                  <w:vMerge w:val="continue"/>
                  <w:tcBorders>
                    <w:tl2br w:val="nil"/>
                    <w:tr2bl w:val="nil"/>
                  </w:tcBorders>
                  <w:shd w:val="clear" w:color="auto" w:fill="auto"/>
                  <w:noWrap/>
                  <w:vAlign w:val="center"/>
                </w:tcPr>
                <w:p w14:paraId="6943BB2F">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414F88C">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3D7CA7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0.00000463</w:t>
                  </w:r>
                </w:p>
              </w:tc>
              <w:tc>
                <w:tcPr>
                  <w:tcW w:w="1215" w:type="dxa"/>
                  <w:tcBorders>
                    <w:tl2br w:val="nil"/>
                    <w:tr2bl w:val="nil"/>
                  </w:tcBorders>
                  <w:shd w:val="clear" w:color="auto" w:fill="auto"/>
                  <w:noWrap/>
                  <w:vAlign w:val="center"/>
                </w:tcPr>
                <w:p w14:paraId="4C7285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w:t>
                  </w:r>
                </w:p>
              </w:tc>
              <w:tc>
                <w:tcPr>
                  <w:tcW w:w="633" w:type="pct"/>
                  <w:tcBorders>
                    <w:tl2br w:val="nil"/>
                    <w:tr2bl w:val="nil"/>
                  </w:tcBorders>
                  <w:shd w:val="clear" w:color="auto" w:fill="auto"/>
                  <w:noWrap/>
                  <w:vAlign w:val="center"/>
                </w:tcPr>
                <w:p w14:paraId="5D5C26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5AC247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718397B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145EF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氟化物</w:t>
                  </w:r>
                </w:p>
              </w:tc>
              <w:tc>
                <w:tcPr>
                  <w:tcW w:w="475" w:type="pct"/>
                  <w:vMerge w:val="continue"/>
                  <w:tcBorders>
                    <w:tl2br w:val="nil"/>
                    <w:tr2bl w:val="nil"/>
                  </w:tcBorders>
                  <w:shd w:val="clear" w:color="auto" w:fill="auto"/>
                  <w:noWrap/>
                  <w:vAlign w:val="center"/>
                </w:tcPr>
                <w:p w14:paraId="26E059EC">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6F1A195">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2A5830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0.0699</w:t>
                  </w:r>
                </w:p>
              </w:tc>
              <w:tc>
                <w:tcPr>
                  <w:tcW w:w="1215" w:type="dxa"/>
                  <w:tcBorders>
                    <w:tl2br w:val="nil"/>
                    <w:tr2bl w:val="nil"/>
                  </w:tcBorders>
                  <w:shd w:val="clear" w:color="auto" w:fill="auto"/>
                  <w:noWrap/>
                  <w:vAlign w:val="center"/>
                </w:tcPr>
                <w:p w14:paraId="25E0B55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0.010</w:t>
                  </w:r>
                </w:p>
              </w:tc>
              <w:tc>
                <w:tcPr>
                  <w:tcW w:w="633" w:type="pct"/>
                  <w:tcBorders>
                    <w:tl2br w:val="nil"/>
                    <w:tr2bl w:val="nil"/>
                  </w:tcBorders>
                  <w:shd w:val="clear" w:color="auto" w:fill="auto"/>
                  <w:noWrap/>
                  <w:vAlign w:val="center"/>
                </w:tcPr>
                <w:p w14:paraId="50BFBFB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2EDB4A6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3AF7563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0274B37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default" w:ascii="Times New Roman" w:hAnsi="Times New Roman" w:eastAsia="宋体" w:cs="Times New Roman"/>
                      <w:i w:val="0"/>
                      <w:iCs w:val="0"/>
                      <w:color w:val="FF0000"/>
                      <w:kern w:val="0"/>
                      <w:sz w:val="21"/>
                      <w:szCs w:val="21"/>
                      <w:u w:val="none"/>
                      <w:lang w:val="en-US" w:eastAsia="zh-CN" w:bidi="ar"/>
                    </w:rPr>
                    <w:t>SO</w:t>
                  </w:r>
                  <w:r>
                    <w:rPr>
                      <w:rFonts w:hint="default" w:ascii="Times New Roman" w:hAnsi="Times New Roman" w:eastAsia="宋体" w:cs="Times New Roman"/>
                      <w:i w:val="0"/>
                      <w:iCs w:val="0"/>
                      <w:color w:val="FF0000"/>
                      <w:kern w:val="0"/>
                      <w:sz w:val="21"/>
                      <w:szCs w:val="21"/>
                      <w:u w:val="none"/>
                      <w:vertAlign w:val="subscript"/>
                      <w:lang w:val="en-US" w:eastAsia="zh-CN" w:bidi="ar"/>
                    </w:rPr>
                    <w:t>2</w:t>
                  </w:r>
                </w:p>
              </w:tc>
              <w:tc>
                <w:tcPr>
                  <w:tcW w:w="475" w:type="pct"/>
                  <w:vMerge w:val="continue"/>
                  <w:tcBorders>
                    <w:tl2br w:val="nil"/>
                    <w:tr2bl w:val="nil"/>
                  </w:tcBorders>
                  <w:shd w:val="clear" w:color="auto" w:fill="auto"/>
                  <w:noWrap/>
                  <w:vAlign w:val="center"/>
                </w:tcPr>
                <w:p w14:paraId="01F78B75">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699B723F">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42BD0B0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0.26</w:t>
                  </w:r>
                </w:p>
              </w:tc>
              <w:tc>
                <w:tcPr>
                  <w:tcW w:w="1215" w:type="dxa"/>
                  <w:tcBorders>
                    <w:tl2br w:val="nil"/>
                    <w:tr2bl w:val="nil"/>
                  </w:tcBorders>
                  <w:shd w:val="clear" w:color="auto" w:fill="auto"/>
                  <w:noWrap/>
                  <w:vAlign w:val="center"/>
                </w:tcPr>
                <w:p w14:paraId="543D447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0.036</w:t>
                  </w:r>
                </w:p>
              </w:tc>
              <w:tc>
                <w:tcPr>
                  <w:tcW w:w="633" w:type="pct"/>
                  <w:tcBorders>
                    <w:tl2br w:val="nil"/>
                    <w:tr2bl w:val="nil"/>
                  </w:tcBorders>
                  <w:shd w:val="clear" w:color="auto" w:fill="auto"/>
                  <w:noWrap/>
                  <w:vAlign w:val="center"/>
                </w:tcPr>
                <w:p w14:paraId="04D4044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4F5FD2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3B37DE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80DD8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default" w:ascii="Times New Roman" w:hAnsi="Times New Roman" w:eastAsia="宋体" w:cs="Times New Roman"/>
                      <w:i w:val="0"/>
                      <w:iCs w:val="0"/>
                      <w:color w:val="FF0000"/>
                      <w:kern w:val="0"/>
                      <w:sz w:val="21"/>
                      <w:szCs w:val="21"/>
                      <w:u w:val="none"/>
                      <w:lang w:val="en-US" w:eastAsia="zh-CN" w:bidi="ar"/>
                    </w:rPr>
                    <w:t>NOx</w:t>
                  </w:r>
                </w:p>
              </w:tc>
              <w:tc>
                <w:tcPr>
                  <w:tcW w:w="475" w:type="pct"/>
                  <w:vMerge w:val="continue"/>
                  <w:tcBorders>
                    <w:tl2br w:val="nil"/>
                    <w:tr2bl w:val="nil"/>
                  </w:tcBorders>
                  <w:shd w:val="clear" w:color="auto" w:fill="auto"/>
                  <w:noWrap/>
                  <w:vAlign w:val="center"/>
                </w:tcPr>
                <w:p w14:paraId="3E5C149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05C828A4">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3F4E36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2.42</w:t>
                  </w:r>
                </w:p>
              </w:tc>
              <w:tc>
                <w:tcPr>
                  <w:tcW w:w="1215" w:type="dxa"/>
                  <w:tcBorders>
                    <w:tl2br w:val="nil"/>
                    <w:tr2bl w:val="nil"/>
                  </w:tcBorders>
                  <w:shd w:val="clear" w:color="auto" w:fill="auto"/>
                  <w:noWrap/>
                  <w:vAlign w:val="center"/>
                </w:tcPr>
                <w:p w14:paraId="6209AFD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0.336</w:t>
                  </w:r>
                </w:p>
              </w:tc>
              <w:tc>
                <w:tcPr>
                  <w:tcW w:w="633" w:type="pct"/>
                  <w:tcBorders>
                    <w:tl2br w:val="nil"/>
                    <w:tr2bl w:val="nil"/>
                  </w:tcBorders>
                  <w:shd w:val="clear" w:color="auto" w:fill="auto"/>
                  <w:noWrap/>
                  <w:vAlign w:val="center"/>
                </w:tcPr>
                <w:p w14:paraId="5E8839C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63038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restart"/>
                  <w:tcBorders>
                    <w:tl2br w:val="nil"/>
                    <w:tr2bl w:val="nil"/>
                  </w:tcBorders>
                  <w:shd w:val="clear" w:color="auto" w:fill="auto"/>
                  <w:vAlign w:val="center"/>
                </w:tcPr>
                <w:p w14:paraId="330632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全厂无组织合计</w:t>
                  </w:r>
                </w:p>
              </w:tc>
              <w:tc>
                <w:tcPr>
                  <w:tcW w:w="715" w:type="pct"/>
                  <w:tcBorders>
                    <w:tl2br w:val="nil"/>
                    <w:tr2bl w:val="nil"/>
                  </w:tcBorders>
                  <w:shd w:val="clear" w:color="auto" w:fill="auto"/>
                  <w:vAlign w:val="center"/>
                </w:tcPr>
                <w:p w14:paraId="0047E7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颗粒物</w:t>
                  </w:r>
                </w:p>
              </w:tc>
              <w:tc>
                <w:tcPr>
                  <w:tcW w:w="475" w:type="pct"/>
                  <w:vMerge w:val="restart"/>
                  <w:tcBorders>
                    <w:tl2br w:val="nil"/>
                    <w:tr2bl w:val="nil"/>
                  </w:tcBorders>
                  <w:shd w:val="clear" w:color="auto" w:fill="auto"/>
                  <w:noWrap/>
                  <w:vAlign w:val="center"/>
                </w:tcPr>
                <w:p w14:paraId="28F6694C">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default" w:cs="Times New Roman"/>
                      <w:color w:val="FF0000"/>
                      <w:kern w:val="2"/>
                      <w:sz w:val="21"/>
                      <w:szCs w:val="21"/>
                      <w:lang w:val="en-US" w:eastAsia="zh-CN" w:bidi="ar-SA"/>
                    </w:rPr>
                  </w:pPr>
                  <w:r>
                    <w:rPr>
                      <w:rFonts w:hint="eastAsia" w:cs="Times New Roman"/>
                      <w:color w:val="FF0000"/>
                      <w:kern w:val="2"/>
                      <w:sz w:val="21"/>
                      <w:szCs w:val="21"/>
                      <w:lang w:val="en-US" w:eastAsia="zh-CN" w:bidi="ar-SA"/>
                    </w:rPr>
                    <w:t>/</w:t>
                  </w:r>
                </w:p>
              </w:tc>
              <w:tc>
                <w:tcPr>
                  <w:tcW w:w="538" w:type="pct"/>
                  <w:vMerge w:val="restart"/>
                  <w:tcBorders>
                    <w:tl2br w:val="nil"/>
                    <w:tr2bl w:val="nil"/>
                  </w:tcBorders>
                  <w:shd w:val="clear" w:color="auto" w:fill="auto"/>
                  <w:noWrap/>
                  <w:vAlign w:val="center"/>
                </w:tcPr>
                <w:p w14:paraId="7AEBDB9F">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w:t>
                  </w:r>
                </w:p>
              </w:tc>
              <w:tc>
                <w:tcPr>
                  <w:tcW w:w="803" w:type="dxa"/>
                  <w:tcBorders>
                    <w:tl2br w:val="nil"/>
                    <w:tr2bl w:val="nil"/>
                  </w:tcBorders>
                  <w:shd w:val="clear" w:color="auto" w:fill="auto"/>
                  <w:noWrap/>
                  <w:vAlign w:val="center"/>
                </w:tcPr>
                <w:p w14:paraId="3B1826A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11.0147</w:t>
                  </w:r>
                </w:p>
              </w:tc>
              <w:tc>
                <w:tcPr>
                  <w:tcW w:w="1215" w:type="dxa"/>
                  <w:tcBorders>
                    <w:tl2br w:val="nil"/>
                    <w:tr2bl w:val="nil"/>
                  </w:tcBorders>
                  <w:shd w:val="clear" w:color="auto" w:fill="auto"/>
                  <w:noWrap/>
                  <w:vAlign w:val="center"/>
                </w:tcPr>
                <w:p w14:paraId="54DE938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1.530</w:t>
                  </w:r>
                </w:p>
              </w:tc>
              <w:tc>
                <w:tcPr>
                  <w:tcW w:w="633" w:type="pct"/>
                  <w:tcBorders>
                    <w:tl2br w:val="nil"/>
                    <w:tr2bl w:val="nil"/>
                  </w:tcBorders>
                  <w:shd w:val="clear" w:color="auto" w:fill="auto"/>
                  <w:noWrap/>
                  <w:vAlign w:val="center"/>
                </w:tcPr>
                <w:p w14:paraId="08426DD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545D6E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48A8AE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2F6456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铊及其化合物</w:t>
                  </w:r>
                </w:p>
              </w:tc>
              <w:tc>
                <w:tcPr>
                  <w:tcW w:w="475" w:type="pct"/>
                  <w:vMerge w:val="continue"/>
                  <w:tcBorders>
                    <w:tl2br w:val="nil"/>
                    <w:tr2bl w:val="nil"/>
                  </w:tcBorders>
                  <w:shd w:val="clear" w:color="auto" w:fill="auto"/>
                  <w:noWrap/>
                  <w:vAlign w:val="center"/>
                </w:tcPr>
                <w:p w14:paraId="54A25F03">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26C68912">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72E9A56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0.000026661</w:t>
                  </w:r>
                </w:p>
              </w:tc>
              <w:tc>
                <w:tcPr>
                  <w:tcW w:w="1215" w:type="dxa"/>
                  <w:tcBorders>
                    <w:tl2br w:val="nil"/>
                    <w:tr2bl w:val="nil"/>
                  </w:tcBorders>
                  <w:shd w:val="clear" w:color="auto" w:fill="auto"/>
                  <w:noWrap/>
                  <w:vAlign w:val="center"/>
                </w:tcPr>
                <w:p w14:paraId="0EF60E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w:t>
                  </w:r>
                </w:p>
              </w:tc>
              <w:tc>
                <w:tcPr>
                  <w:tcW w:w="633" w:type="pct"/>
                  <w:tcBorders>
                    <w:tl2br w:val="nil"/>
                    <w:tr2bl w:val="nil"/>
                  </w:tcBorders>
                  <w:shd w:val="clear" w:color="auto" w:fill="auto"/>
                  <w:noWrap/>
                  <w:vAlign w:val="center"/>
                </w:tcPr>
                <w:p w14:paraId="5054E5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36A756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428F47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367BAF9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eastAsia" w:ascii="宋体" w:hAnsi="宋体" w:eastAsia="宋体" w:cs="宋体"/>
                      <w:i w:val="0"/>
                      <w:iCs w:val="0"/>
                      <w:color w:val="FF0000"/>
                      <w:kern w:val="0"/>
                      <w:sz w:val="18"/>
                      <w:szCs w:val="18"/>
                      <w:u w:val="none"/>
                      <w:lang w:val="en-US" w:eastAsia="zh-CN" w:bidi="ar"/>
                    </w:rPr>
                    <w:t>氟化物</w:t>
                  </w:r>
                </w:p>
              </w:tc>
              <w:tc>
                <w:tcPr>
                  <w:tcW w:w="475" w:type="pct"/>
                  <w:vMerge w:val="continue"/>
                  <w:tcBorders>
                    <w:tl2br w:val="nil"/>
                    <w:tr2bl w:val="nil"/>
                  </w:tcBorders>
                  <w:shd w:val="clear" w:color="auto" w:fill="auto"/>
                  <w:noWrap/>
                  <w:vAlign w:val="center"/>
                </w:tcPr>
                <w:p w14:paraId="17809462">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146C1C41">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7DFB95F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0.3734</w:t>
                  </w:r>
                </w:p>
              </w:tc>
              <w:tc>
                <w:tcPr>
                  <w:tcW w:w="1215" w:type="dxa"/>
                  <w:tcBorders>
                    <w:tl2br w:val="nil"/>
                    <w:tr2bl w:val="nil"/>
                  </w:tcBorders>
                  <w:shd w:val="clear" w:color="auto" w:fill="auto"/>
                  <w:noWrap/>
                  <w:vAlign w:val="center"/>
                </w:tcPr>
                <w:p w14:paraId="1304D9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0.052</w:t>
                  </w:r>
                </w:p>
              </w:tc>
              <w:tc>
                <w:tcPr>
                  <w:tcW w:w="633" w:type="pct"/>
                  <w:tcBorders>
                    <w:tl2br w:val="nil"/>
                    <w:tr2bl w:val="nil"/>
                  </w:tcBorders>
                  <w:shd w:val="clear" w:color="auto" w:fill="auto"/>
                  <w:noWrap/>
                  <w:vAlign w:val="center"/>
                </w:tcPr>
                <w:p w14:paraId="19CEC69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783F4A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1E1B4B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11C061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default" w:ascii="Times New Roman" w:hAnsi="Times New Roman" w:eastAsia="宋体" w:cs="Times New Roman"/>
                      <w:i w:val="0"/>
                      <w:iCs w:val="0"/>
                      <w:color w:val="FF0000"/>
                      <w:kern w:val="0"/>
                      <w:sz w:val="21"/>
                      <w:szCs w:val="21"/>
                      <w:u w:val="none"/>
                      <w:lang w:val="en-US" w:eastAsia="zh-CN" w:bidi="ar"/>
                    </w:rPr>
                    <w:t>SO</w:t>
                  </w:r>
                  <w:r>
                    <w:rPr>
                      <w:rFonts w:hint="default" w:ascii="Times New Roman" w:hAnsi="Times New Roman" w:eastAsia="宋体" w:cs="Times New Roman"/>
                      <w:i w:val="0"/>
                      <w:iCs w:val="0"/>
                      <w:color w:val="FF0000"/>
                      <w:kern w:val="0"/>
                      <w:sz w:val="21"/>
                      <w:szCs w:val="21"/>
                      <w:u w:val="none"/>
                      <w:vertAlign w:val="subscript"/>
                      <w:lang w:val="en-US" w:eastAsia="zh-CN" w:bidi="ar"/>
                    </w:rPr>
                    <w:t>2</w:t>
                  </w:r>
                </w:p>
              </w:tc>
              <w:tc>
                <w:tcPr>
                  <w:tcW w:w="475" w:type="pct"/>
                  <w:vMerge w:val="continue"/>
                  <w:tcBorders>
                    <w:tl2br w:val="nil"/>
                    <w:tr2bl w:val="nil"/>
                  </w:tcBorders>
                  <w:shd w:val="clear" w:color="auto" w:fill="auto"/>
                  <w:noWrap/>
                  <w:vAlign w:val="center"/>
                </w:tcPr>
                <w:p w14:paraId="729BB07E">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4CBA41C7">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082D526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w:t>
                  </w:r>
                </w:p>
              </w:tc>
              <w:tc>
                <w:tcPr>
                  <w:tcW w:w="1215" w:type="dxa"/>
                  <w:tcBorders>
                    <w:tl2br w:val="nil"/>
                    <w:tr2bl w:val="nil"/>
                  </w:tcBorders>
                  <w:shd w:val="clear" w:color="auto" w:fill="auto"/>
                  <w:noWrap/>
                  <w:vAlign w:val="center"/>
                </w:tcPr>
                <w:p w14:paraId="6AA51B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0.001</w:t>
                  </w:r>
                </w:p>
              </w:tc>
              <w:tc>
                <w:tcPr>
                  <w:tcW w:w="633" w:type="pct"/>
                  <w:tcBorders>
                    <w:tl2br w:val="nil"/>
                    <w:tr2bl w:val="nil"/>
                  </w:tcBorders>
                  <w:shd w:val="clear" w:color="auto" w:fill="auto"/>
                  <w:noWrap/>
                  <w:vAlign w:val="center"/>
                </w:tcPr>
                <w:p w14:paraId="3C71AE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r w14:paraId="07B145D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shd w:val="clear" w:color="auto" w:fill="auto"/>
                <w:tblCellMar>
                  <w:top w:w="0" w:type="dxa"/>
                  <w:left w:w="23" w:type="dxa"/>
                  <w:bottom w:w="0" w:type="dxa"/>
                  <w:right w:w="23" w:type="dxa"/>
                </w:tblCellMar>
              </w:tblPrEx>
              <w:trPr>
                <w:trHeight w:val="270" w:hRule="atLeast"/>
                <w:jc w:val="center"/>
              </w:trPr>
              <w:tc>
                <w:tcPr>
                  <w:tcW w:w="1412" w:type="pct"/>
                  <w:gridSpan w:val="3"/>
                  <w:vMerge w:val="continue"/>
                  <w:tcBorders>
                    <w:tl2br w:val="nil"/>
                    <w:tr2bl w:val="nil"/>
                  </w:tcBorders>
                  <w:shd w:val="clear" w:color="auto" w:fill="auto"/>
                  <w:vAlign w:val="center"/>
                </w:tcPr>
                <w:p w14:paraId="68812C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715" w:type="pct"/>
                  <w:tcBorders>
                    <w:tl2br w:val="nil"/>
                    <w:tr2bl w:val="nil"/>
                  </w:tcBorders>
                  <w:shd w:val="clear" w:color="auto" w:fill="auto"/>
                  <w:vAlign w:val="center"/>
                </w:tcPr>
                <w:p w14:paraId="5AFBA5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FF0000"/>
                      <w:sz w:val="18"/>
                      <w:szCs w:val="18"/>
                      <w:highlight w:val="none"/>
                    </w:rPr>
                  </w:pPr>
                  <w:r>
                    <w:rPr>
                      <w:rFonts w:hint="default" w:ascii="Times New Roman" w:hAnsi="Times New Roman" w:eastAsia="宋体" w:cs="Times New Roman"/>
                      <w:i w:val="0"/>
                      <w:iCs w:val="0"/>
                      <w:color w:val="FF0000"/>
                      <w:kern w:val="0"/>
                      <w:sz w:val="21"/>
                      <w:szCs w:val="21"/>
                      <w:u w:val="none"/>
                      <w:lang w:val="en-US" w:eastAsia="zh-CN" w:bidi="ar"/>
                    </w:rPr>
                    <w:t>NOx</w:t>
                  </w:r>
                </w:p>
              </w:tc>
              <w:tc>
                <w:tcPr>
                  <w:tcW w:w="475" w:type="pct"/>
                  <w:vMerge w:val="continue"/>
                  <w:tcBorders>
                    <w:tl2br w:val="nil"/>
                    <w:tr2bl w:val="nil"/>
                  </w:tcBorders>
                  <w:shd w:val="clear" w:color="auto" w:fill="auto"/>
                  <w:noWrap/>
                  <w:vAlign w:val="center"/>
                </w:tcPr>
                <w:p w14:paraId="2AB09FD8">
                  <w:pPr>
                    <w:pStyle w:val="130"/>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firstLine="0" w:firstLineChars="0"/>
                    <w:textAlignment w:val="auto"/>
                    <w:rPr>
                      <w:rFonts w:hint="eastAsia" w:cs="Times New Roman"/>
                      <w:color w:val="FF0000"/>
                      <w:kern w:val="2"/>
                      <w:sz w:val="21"/>
                      <w:szCs w:val="21"/>
                      <w:lang w:val="en-US" w:eastAsia="zh-CN" w:bidi="ar-SA"/>
                    </w:rPr>
                  </w:pPr>
                </w:p>
              </w:tc>
              <w:tc>
                <w:tcPr>
                  <w:tcW w:w="538" w:type="pct"/>
                  <w:vMerge w:val="continue"/>
                  <w:tcBorders>
                    <w:tl2br w:val="nil"/>
                    <w:tr2bl w:val="nil"/>
                  </w:tcBorders>
                  <w:shd w:val="clear" w:color="auto" w:fill="auto"/>
                  <w:noWrap/>
                  <w:vAlign w:val="center"/>
                </w:tcPr>
                <w:p w14:paraId="5BA8BEE3">
                  <w:pPr>
                    <w:keepNext w:val="0"/>
                    <w:keepLines w:val="0"/>
                    <w:pageBreakBefore w:val="0"/>
                    <w:widowControl/>
                    <w:suppressLineNumbers w:val="0"/>
                    <w:kinsoku/>
                    <w:wordWrap/>
                    <w:overflowPunct/>
                    <w:topLinePunct w:val="0"/>
                    <w:autoSpaceDE/>
                    <w:autoSpaceDN/>
                    <w:bidi w:val="0"/>
                    <w:adjustRightInd w:val="0"/>
                    <w:snapToGrid w:val="0"/>
                    <w:spacing w:before="34" w:beforeLines="10" w:beforeAutospacing="0" w:after="34" w:afterLines="10" w:afterAutospacing="0" w:line="240" w:lineRule="auto"/>
                    <w:ind w:left="0" w:right="0" w:firstLine="0" w:firstLineChars="0"/>
                    <w:jc w:val="center"/>
                    <w:textAlignment w:val="auto"/>
                    <w:rPr>
                      <w:rFonts w:hint="default" w:ascii="Times New Roman" w:hAnsi="Times New Roman" w:eastAsia="宋体" w:cs="Times New Roman"/>
                      <w:i w:val="0"/>
                      <w:iCs w:val="0"/>
                      <w:color w:val="FF0000"/>
                      <w:kern w:val="0"/>
                      <w:sz w:val="21"/>
                      <w:szCs w:val="21"/>
                      <w:u w:val="none"/>
                      <w:lang w:val="en-US" w:eastAsia="zh-CN" w:bidi="ar"/>
                    </w:rPr>
                  </w:pPr>
                </w:p>
              </w:tc>
              <w:tc>
                <w:tcPr>
                  <w:tcW w:w="803" w:type="dxa"/>
                  <w:tcBorders>
                    <w:tl2br w:val="nil"/>
                    <w:tr2bl w:val="nil"/>
                  </w:tcBorders>
                  <w:shd w:val="clear" w:color="auto" w:fill="auto"/>
                  <w:noWrap/>
                  <w:vAlign w:val="center"/>
                </w:tcPr>
                <w:p w14:paraId="07D1BD8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0.13</w:t>
                  </w:r>
                </w:p>
              </w:tc>
              <w:tc>
                <w:tcPr>
                  <w:tcW w:w="1215" w:type="dxa"/>
                  <w:tcBorders>
                    <w:tl2br w:val="nil"/>
                    <w:tr2bl w:val="nil"/>
                  </w:tcBorders>
                  <w:shd w:val="clear" w:color="auto" w:fill="auto"/>
                  <w:noWrap/>
                  <w:vAlign w:val="center"/>
                </w:tcPr>
                <w:p w14:paraId="681377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0.018</w:t>
                  </w:r>
                </w:p>
              </w:tc>
              <w:tc>
                <w:tcPr>
                  <w:tcW w:w="633" w:type="pct"/>
                  <w:tcBorders>
                    <w:tl2br w:val="nil"/>
                    <w:tr2bl w:val="nil"/>
                  </w:tcBorders>
                  <w:shd w:val="clear" w:color="auto" w:fill="auto"/>
                  <w:noWrap/>
                  <w:vAlign w:val="center"/>
                </w:tcPr>
                <w:p w14:paraId="39B7CCE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s="Times New Roman"/>
                      <w:color w:val="FF0000"/>
                      <w:kern w:val="2"/>
                      <w:sz w:val="21"/>
                      <w:szCs w:val="21"/>
                      <w:lang w:val="en-US" w:eastAsia="zh-CN"/>
                    </w:rPr>
                  </w:pPr>
                  <w:r>
                    <w:rPr>
                      <w:rFonts w:hint="eastAsia" w:cs="Times New Roman"/>
                      <w:color w:val="FF0000"/>
                      <w:kern w:val="2"/>
                      <w:sz w:val="21"/>
                      <w:szCs w:val="21"/>
                      <w:lang w:val="en-US" w:eastAsia="zh-CN"/>
                    </w:rPr>
                    <w:t>/</w:t>
                  </w:r>
                </w:p>
              </w:tc>
            </w:tr>
          </w:tbl>
          <w:p w14:paraId="04BA7F7B">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cs="Times New Roman"/>
                <w:b/>
                <w:bCs w:val="0"/>
                <w:color w:val="auto"/>
                <w:kern w:val="2"/>
                <w:sz w:val="24"/>
                <w:szCs w:val="24"/>
                <w:highlight w:val="none"/>
                <w:lang w:val="en-US" w:eastAsia="zh-CN" w:bidi="ar-SA"/>
              </w:rPr>
              <w:t>3</w:t>
            </w:r>
            <w:r>
              <w:rPr>
                <w:rFonts w:hint="default"/>
                <w:b/>
                <w:bCs w:val="0"/>
                <w:color w:val="auto"/>
                <w:highlight w:val="none"/>
              </w:rPr>
              <w:t>、非正常工况下排放分析</w:t>
            </w:r>
          </w:p>
          <w:p w14:paraId="0B56062A">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非正常排放是当废气处理设备出现故障时，生产过程中开停车、设备检修、工艺设备运转异常等非正常工况下的污染物排放，以及污染物排放控制措施达不到应有效率等情况下的排放。项目废气非正常工况排放主要原因是废气治理效率下降为0%，但废气收集系统可以正常运行，废气通过排气筒排放等情况，废气处理设施出现故障不能正常运行时，应立即停产进行维修，避免对周围环境造成污染。废气非正常工况源强情况见表</w:t>
            </w:r>
            <w:r>
              <w:rPr>
                <w:rFonts w:hint="eastAsia"/>
                <w:color w:val="auto"/>
                <w:highlight w:val="none"/>
                <w:lang w:val="en-US" w:eastAsia="zh-CN"/>
              </w:rPr>
              <w:t>4-2</w:t>
            </w:r>
            <w:r>
              <w:rPr>
                <w:rFonts w:hint="eastAsia"/>
                <w:color w:val="auto"/>
                <w:highlight w:val="none"/>
              </w:rPr>
              <w:t>。</w:t>
            </w:r>
          </w:p>
          <w:p w14:paraId="3877822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在非正常情况下，废气排气筒有组织排放浓度和速率显著增加。为防止废气事故排放，企业应在生产过程中加强管理，一旦废气治理系统故障，立即停产检修，防止事故废气排放。同时，企业应加强生产管理，根据设备性质和要求做相应的点检和检修，预防事故的发生。综上所述，在企业妥善管理的前提下，本项目外排废气经过处理后可达标排放。</w:t>
            </w:r>
          </w:p>
          <w:p w14:paraId="63DB611E">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4、</w:t>
            </w:r>
            <w:r>
              <w:rPr>
                <w:rFonts w:hint="default"/>
                <w:b/>
                <w:bCs w:val="0"/>
                <w:color w:val="auto"/>
                <w:highlight w:val="none"/>
              </w:rPr>
              <w:t>废气治理设施可行性分析</w:t>
            </w:r>
          </w:p>
          <w:p w14:paraId="3426B8C9">
            <w:pPr>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lang w:eastAsia="zh-CN"/>
              </w:rPr>
              <w:t>（</w:t>
            </w:r>
            <w:r>
              <w:rPr>
                <w:rFonts w:hint="eastAsia"/>
                <w:color w:val="FF0000"/>
                <w:highlight w:val="none"/>
                <w:lang w:val="en-US" w:eastAsia="zh-CN"/>
              </w:rPr>
              <w:t>1</w:t>
            </w:r>
            <w:r>
              <w:rPr>
                <w:rFonts w:hint="eastAsia"/>
                <w:color w:val="FF0000"/>
                <w:highlight w:val="none"/>
                <w:lang w:eastAsia="zh-CN"/>
              </w:rPr>
              <w:t>）</w:t>
            </w:r>
            <w:r>
              <w:rPr>
                <w:rFonts w:hint="default"/>
                <w:color w:val="FF0000"/>
                <w:highlight w:val="none"/>
              </w:rPr>
              <w:t>有组织废气</w:t>
            </w:r>
          </w:p>
          <w:p w14:paraId="6CBE957E">
            <w:pPr>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rPr>
              <w:t>根据</w:t>
            </w:r>
            <w:r>
              <w:rPr>
                <w:rFonts w:hint="default"/>
                <w:color w:val="FF0000"/>
                <w:highlight w:val="none"/>
              </w:rPr>
              <w:t>《排污许可证申请与核发技术规范废弃资源加工工业》（HJ1034）和《排污单位自行监测技术指南</w:t>
            </w:r>
            <w:r>
              <w:rPr>
                <w:rFonts w:hint="eastAsia"/>
                <w:color w:val="FF0000"/>
                <w:highlight w:val="none"/>
                <w:lang w:val="en-US" w:eastAsia="zh-CN"/>
              </w:rPr>
              <w:t xml:space="preserve"> </w:t>
            </w:r>
            <w:r>
              <w:rPr>
                <w:rFonts w:hint="default"/>
                <w:color w:val="FF0000"/>
                <w:highlight w:val="none"/>
              </w:rPr>
              <w:t>砖瓦工业》（HJ1254-2022）</w:t>
            </w:r>
            <w:r>
              <w:rPr>
                <w:rFonts w:hint="eastAsia"/>
                <w:color w:val="FF0000"/>
                <w:highlight w:val="none"/>
              </w:rPr>
              <w:t>中的废气污染防治可行技术，</w:t>
            </w:r>
            <w:r>
              <w:rPr>
                <w:rFonts w:hint="default"/>
                <w:color w:val="FF0000"/>
                <w:highlight w:val="none"/>
              </w:rPr>
              <w:t>颗粒物污染防治可行技术包括：</w:t>
            </w:r>
            <w:r>
              <w:rPr>
                <w:rFonts w:hint="eastAsia"/>
                <w:color w:val="FF0000"/>
                <w:highlight w:val="none"/>
              </w:rPr>
              <w:t>袋式除尘器、电除尘器、电袋复合除尘器</w:t>
            </w:r>
            <w:r>
              <w:rPr>
                <w:rFonts w:hint="default"/>
                <w:color w:val="FF0000"/>
                <w:highlight w:val="none"/>
              </w:rPr>
              <w:t>、其他</w:t>
            </w:r>
            <w:r>
              <w:rPr>
                <w:rFonts w:hint="eastAsia"/>
                <w:color w:val="FF0000"/>
                <w:highlight w:val="none"/>
                <w:lang w:val="en-US" w:eastAsia="zh-CN"/>
              </w:rPr>
              <w:t>等高效除尘设备</w:t>
            </w:r>
            <w:r>
              <w:rPr>
                <w:rFonts w:hint="eastAsia"/>
                <w:color w:val="FF0000"/>
                <w:highlight w:val="none"/>
                <w:lang w:eastAsia="zh-CN"/>
              </w:rPr>
              <w:t>；</w:t>
            </w:r>
            <w:r>
              <w:rPr>
                <w:rFonts w:hint="eastAsia"/>
                <w:color w:val="FF0000"/>
                <w:highlight w:val="none"/>
                <w:lang w:val="en-US" w:eastAsia="zh-CN"/>
              </w:rPr>
              <w:t>根据水泥工业污染防治技术政策[公告2013年第31号]，逸散粉尘的设备和作业场所均应采取控制措施，在工艺条件允许的前提下，宜优先采用密闭、覆盖或负压操作的方法，防止粉尘逸出，或负压收集含尘气体净化处理后排放。通过合理工艺布置、厂内密闭输送、路面硬化、清扫洒水等措施减少道路交通扬尘。</w:t>
            </w:r>
            <w:r>
              <w:rPr>
                <w:rFonts w:hint="default"/>
                <w:color w:val="FF0000"/>
                <w:highlight w:val="none"/>
              </w:rPr>
              <w:t>本项目粉尘采取</w:t>
            </w:r>
            <w:r>
              <w:rPr>
                <w:rFonts w:hint="eastAsia"/>
                <w:color w:val="FF0000"/>
                <w:highlight w:val="none"/>
              </w:rPr>
              <w:t>集气罩</w:t>
            </w:r>
            <w:r>
              <w:rPr>
                <w:rFonts w:hint="eastAsia"/>
                <w:color w:val="FF0000"/>
                <w:highlight w:val="none"/>
                <w:lang w:val="en-US" w:eastAsia="zh-CN"/>
              </w:rPr>
              <w:t>/密闭管道</w:t>
            </w:r>
            <w:r>
              <w:rPr>
                <w:rFonts w:hint="eastAsia"/>
                <w:color w:val="FF0000"/>
                <w:highlight w:val="none"/>
              </w:rPr>
              <w:t>收集+袋式除尘</w:t>
            </w:r>
            <w:r>
              <w:rPr>
                <w:rFonts w:hint="default"/>
                <w:color w:val="FF0000"/>
                <w:highlight w:val="none"/>
              </w:rPr>
              <w:t>处理；项目有组织废气经处理后，</w:t>
            </w:r>
            <w:r>
              <w:rPr>
                <w:rFonts w:hint="eastAsia"/>
                <w:color w:val="FF0000"/>
                <w:highlight w:val="none"/>
                <w:lang w:val="en-US" w:eastAsia="zh-CN"/>
              </w:rPr>
              <w:t>颗粒物</w:t>
            </w:r>
            <w:r>
              <w:rPr>
                <w:rFonts w:hint="default"/>
                <w:color w:val="FF0000"/>
                <w:highlight w:val="none"/>
              </w:rPr>
              <w:t>满足《大气污染物综合排放标准》（GB16297-1996）</w:t>
            </w:r>
            <w:r>
              <w:rPr>
                <w:rFonts w:hint="eastAsia"/>
                <w:color w:val="FF0000"/>
                <w:highlight w:val="none"/>
              </w:rPr>
              <w:t>表</w:t>
            </w:r>
            <w:r>
              <w:rPr>
                <w:rFonts w:hint="eastAsia"/>
                <w:color w:val="FF0000"/>
                <w:highlight w:val="none"/>
                <w:lang w:val="en-US" w:eastAsia="zh-CN"/>
              </w:rPr>
              <w:t>2</w:t>
            </w:r>
            <w:r>
              <w:rPr>
                <w:rFonts w:hint="eastAsia"/>
                <w:color w:val="FF0000"/>
                <w:highlight w:val="none"/>
              </w:rPr>
              <w:t>中排放标准</w:t>
            </w:r>
            <w:r>
              <w:rPr>
                <w:rFonts w:hint="eastAsia"/>
                <w:color w:val="FF0000"/>
                <w:highlight w:val="none"/>
                <w:lang w:eastAsia="zh-CN"/>
              </w:rPr>
              <w:t>；</w:t>
            </w:r>
            <w:r>
              <w:rPr>
                <w:rFonts w:hint="eastAsia"/>
                <w:color w:val="FF0000"/>
                <w:highlight w:val="none"/>
              </w:rPr>
              <w:t>氟化物、铊及其化合物排放</w:t>
            </w:r>
            <w:r>
              <w:rPr>
                <w:rFonts w:hint="eastAsia"/>
                <w:color w:val="FF0000"/>
                <w:highlight w:val="none"/>
                <w:lang w:val="en-US" w:eastAsia="zh-CN"/>
              </w:rPr>
              <w:t>能满足</w:t>
            </w:r>
            <w:r>
              <w:rPr>
                <w:rFonts w:hint="eastAsia"/>
                <w:color w:val="FF0000"/>
                <w:highlight w:val="none"/>
              </w:rPr>
              <w:t>《无机化学工业污染物排放标准》（GB31573-2015）</w:t>
            </w:r>
            <w:r>
              <w:rPr>
                <w:rFonts w:hint="eastAsia"/>
                <w:color w:val="FF0000"/>
                <w:highlight w:val="none"/>
                <w:lang w:eastAsia="zh-CN"/>
              </w:rPr>
              <w:t>，</w:t>
            </w:r>
            <w:r>
              <w:rPr>
                <w:rFonts w:hint="default"/>
                <w:color w:val="FF0000"/>
                <w:highlight w:val="none"/>
              </w:rPr>
              <w:t>因此，废气污染防治措施均为可行技术。</w:t>
            </w:r>
          </w:p>
          <w:p w14:paraId="5BE0F5B7">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有组织排放控制要求：</w:t>
            </w:r>
          </w:p>
          <w:p w14:paraId="23C39CCE">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①环保设施先于其对应的生产设施运转，后于对应设施关闭，保证在生产设施运行波动情况下仍能正常运转，实现达标排放。废气收集系统的输送管道应密闭，在负压下运行，集气方向应与污染气流运动方向一致。</w:t>
            </w:r>
          </w:p>
          <w:p w14:paraId="073AB5FA">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②废气收集处理系统与生产工艺设备同步运行。废气收集处理系统发生故障或检修时，对应的生产工艺设备应停止运行，待检修完毕后同步投入使用。</w:t>
            </w:r>
          </w:p>
          <w:p w14:paraId="29ED6AC6">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③所有治理设施制定操作规程，明确各项运行参数，实际运行参数应与操作规程一致。加强环保设备巡检，消除设备隐患，保证正常运行。</w:t>
            </w:r>
          </w:p>
          <w:p w14:paraId="2D4F4061">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④建立环保设施运行、维修巡检、原辅材料消耗、仪表数据等的记录和存档制度，并按要求记录和存档。</w:t>
            </w:r>
          </w:p>
          <w:p w14:paraId="1997265C">
            <w:pPr>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lang w:eastAsia="zh-CN"/>
              </w:rPr>
              <w:t>（</w:t>
            </w:r>
            <w:r>
              <w:rPr>
                <w:rFonts w:hint="eastAsia"/>
                <w:color w:val="FF0000"/>
                <w:highlight w:val="none"/>
                <w:lang w:val="en-US" w:eastAsia="zh-CN"/>
              </w:rPr>
              <w:t>2</w:t>
            </w:r>
            <w:r>
              <w:rPr>
                <w:rFonts w:hint="eastAsia"/>
                <w:color w:val="FF0000"/>
                <w:highlight w:val="none"/>
                <w:lang w:eastAsia="zh-CN"/>
              </w:rPr>
              <w:t>）</w:t>
            </w:r>
            <w:r>
              <w:rPr>
                <w:rFonts w:hint="default"/>
                <w:color w:val="FF0000"/>
                <w:highlight w:val="none"/>
              </w:rPr>
              <w:t>无组织废气</w:t>
            </w:r>
          </w:p>
          <w:p w14:paraId="384DFF9B">
            <w:pPr>
              <w:keepNext w:val="0"/>
              <w:keepLines w:val="0"/>
              <w:suppressLineNumbers w:val="0"/>
              <w:bidi w:val="0"/>
              <w:spacing w:before="0" w:beforeAutospacing="0" w:after="0" w:afterAutospacing="0"/>
              <w:ind w:left="0" w:right="0"/>
              <w:rPr>
                <w:rFonts w:hint="eastAsia"/>
                <w:color w:val="auto"/>
                <w:highlight w:val="none"/>
              </w:rPr>
            </w:pPr>
            <w:r>
              <w:rPr>
                <w:rFonts w:hint="eastAsia"/>
                <w:color w:val="FF0000"/>
                <w:highlight w:val="none"/>
              </w:rPr>
              <w:t>本项目运输过程应采用喷雾、洒水、喷淋等降尘措施；</w:t>
            </w:r>
            <w:r>
              <w:rPr>
                <w:rFonts w:hint="default"/>
                <w:color w:val="FF0000"/>
                <w:highlight w:val="none"/>
              </w:rPr>
              <w:t>运有物料的车辆应采用棚布遮盖，</w:t>
            </w:r>
            <w:r>
              <w:rPr>
                <w:rFonts w:hint="eastAsia"/>
                <w:color w:val="FF0000"/>
                <w:highlight w:val="none"/>
              </w:rPr>
              <w:t>采取密闭运输，出场前用水冲洗轮胎，降低运输扬尘的排放；加快老旧车辆的淘汰和不达标车辆的整治；加强运输车辆规范化管理，严格实施密闭运输，积极响应国家节能减排号召，运输车辆采用新能源车辆，减少运输过程的碳排放。原辅材料的运输路线建议选择敏感点少且距离短的优化路线，减少运输过程对环境的影响。项目原辅料运输车辆采取密闭、苫盖等措施，厂区道路已进行硬化，并定期洒水，车间设置喷雾洒水装置，定期对喷雾洒水系统进行维护</w:t>
            </w:r>
            <w:r>
              <w:rPr>
                <w:rFonts w:hint="eastAsia"/>
                <w:color w:val="FF0000"/>
                <w:highlight w:val="none"/>
                <w:lang w:eastAsia="zh-CN"/>
              </w:rPr>
              <w:t>。项目通过以上措施减少废气的无组织排放，</w:t>
            </w:r>
            <w:r>
              <w:rPr>
                <w:rFonts w:hint="eastAsia"/>
                <w:color w:val="FF0000"/>
                <w:highlight w:val="none"/>
                <w:lang w:val="en-US" w:eastAsia="zh-CN"/>
              </w:rPr>
              <w:t>治理维护的成本低，</w:t>
            </w:r>
            <w:r>
              <w:rPr>
                <w:rFonts w:hint="eastAsia"/>
                <w:color w:val="auto"/>
                <w:highlight w:val="none"/>
              </w:rPr>
              <w:t>根据表4</w:t>
            </w:r>
            <w:r>
              <w:rPr>
                <w:rFonts w:hint="default"/>
                <w:color w:val="auto"/>
                <w:highlight w:val="none"/>
              </w:rPr>
              <w:t>-1</w:t>
            </w:r>
            <w:r>
              <w:rPr>
                <w:rFonts w:hint="eastAsia"/>
                <w:color w:val="auto"/>
                <w:highlight w:val="none"/>
              </w:rPr>
              <w:t>的工程分析结果，</w:t>
            </w:r>
            <w:r>
              <w:rPr>
                <w:rFonts w:hint="eastAsia"/>
                <w:color w:val="auto"/>
                <w:highlight w:val="none"/>
                <w:lang w:eastAsia="zh-CN"/>
              </w:rPr>
              <w:t>经过以上控制措施，颗粒物能够达到</w:t>
            </w:r>
            <w:r>
              <w:rPr>
                <w:rFonts w:hint="eastAsia"/>
                <w:color w:val="auto"/>
              </w:rPr>
              <w:t>《大气污染物综合排放标准》（GB16297-1996）表2无组织排放监控浓度限值</w:t>
            </w:r>
            <w:r>
              <w:rPr>
                <w:rFonts w:hint="eastAsia"/>
                <w:color w:val="auto"/>
                <w:highlight w:val="none"/>
                <w:lang w:eastAsia="zh-CN"/>
              </w:rPr>
              <w:t>，</w:t>
            </w:r>
            <w:r>
              <w:rPr>
                <w:rFonts w:hint="eastAsia"/>
                <w:color w:val="auto"/>
                <w:highlight w:val="none"/>
              </w:rPr>
              <w:t>因此无组织废气排放处理措施可行。</w:t>
            </w:r>
          </w:p>
          <w:p w14:paraId="70131151">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无组织废气收集和处理应满足以下要求：</w:t>
            </w:r>
          </w:p>
          <w:p w14:paraId="0724B36A">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①储存要求：物料均密闭存放，不露天储存，且采取喷淋降尘措施。</w:t>
            </w:r>
          </w:p>
          <w:p w14:paraId="3B9C8F04">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废气收集管道应密闭；</w:t>
            </w:r>
          </w:p>
          <w:p w14:paraId="5A20A85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废气收集处理系统应与生产工艺设备同步运行；</w:t>
            </w:r>
          </w:p>
          <w:p w14:paraId="4A49E206">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default"/>
                <w:color w:val="auto"/>
                <w:highlight w:val="none"/>
              </w:rPr>
              <w:t>④废气收集效率不应低于80%</w:t>
            </w:r>
            <w:r>
              <w:rPr>
                <w:rFonts w:hint="eastAsia"/>
                <w:color w:val="auto"/>
                <w:highlight w:val="none"/>
                <w:lang w:eastAsia="zh-CN"/>
              </w:rPr>
              <w:t>。</w:t>
            </w:r>
          </w:p>
          <w:p w14:paraId="420E289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⑤</w:t>
            </w:r>
            <w:r>
              <w:rPr>
                <w:rFonts w:hint="default"/>
                <w:color w:val="auto"/>
                <w:highlight w:val="none"/>
              </w:rPr>
              <w:t>为进一步缓解无组织废气排放对周围环境的影响，建议企业应该做好以下防治措施：</w:t>
            </w:r>
          </w:p>
          <w:p w14:paraId="66E16780">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⑥</w:t>
            </w:r>
            <w:r>
              <w:rPr>
                <w:rFonts w:hint="default"/>
                <w:color w:val="auto"/>
                <w:highlight w:val="none"/>
              </w:rPr>
              <w:t>加强员工培训，严格按照规定操作仪器设备。</w:t>
            </w:r>
          </w:p>
          <w:p w14:paraId="4AB6A635">
            <w:pPr>
              <w:keepNext w:val="0"/>
              <w:keepLines w:val="0"/>
              <w:suppressLineNumbers w:val="0"/>
              <w:bidi w:val="0"/>
              <w:spacing w:before="0" w:beforeAutospacing="0" w:after="0" w:afterAutospacing="0"/>
              <w:ind w:left="0" w:right="0"/>
              <w:rPr>
                <w:rFonts w:hint="eastAsia"/>
                <w:color w:val="auto"/>
                <w:highlight w:val="none"/>
              </w:rPr>
            </w:pPr>
            <w:r>
              <w:rPr>
                <w:rFonts w:hint="default"/>
                <w:color w:val="auto"/>
                <w:highlight w:val="none"/>
              </w:rPr>
              <w:t>经采取上述措施后，可以有效减少无组织颗粒物排放，确保厂界颗粒物无组织浓度满足《大气污染物综合排放标准》（GB16297-1996）</w:t>
            </w:r>
            <w:r>
              <w:rPr>
                <w:rFonts w:hint="eastAsia"/>
                <w:color w:val="auto"/>
                <w:highlight w:val="none"/>
              </w:rPr>
              <w:t>表</w:t>
            </w:r>
            <w:r>
              <w:rPr>
                <w:rFonts w:hint="eastAsia"/>
                <w:color w:val="auto"/>
                <w:highlight w:val="none"/>
                <w:lang w:val="en-US" w:eastAsia="zh-CN"/>
              </w:rPr>
              <w:t>2</w:t>
            </w:r>
            <w:r>
              <w:rPr>
                <w:rFonts w:hint="eastAsia"/>
                <w:color w:val="auto"/>
                <w:highlight w:val="none"/>
              </w:rPr>
              <w:t>大气污染物无组织排放限值要求</w:t>
            </w:r>
            <w:r>
              <w:rPr>
                <w:rFonts w:hint="eastAsia"/>
                <w:color w:val="auto"/>
                <w:highlight w:val="none"/>
                <w:lang w:eastAsia="zh-CN"/>
              </w:rPr>
              <w:t>；</w:t>
            </w:r>
            <w:r>
              <w:rPr>
                <w:rFonts w:hint="eastAsia"/>
                <w:color w:val="auto"/>
                <w:highlight w:val="none"/>
              </w:rPr>
              <w:t>氟化物、铊及其化合物排放</w:t>
            </w:r>
            <w:r>
              <w:rPr>
                <w:rFonts w:hint="eastAsia"/>
                <w:color w:val="auto"/>
                <w:highlight w:val="none"/>
                <w:lang w:val="en-US" w:eastAsia="zh-CN"/>
              </w:rPr>
              <w:t>能满足</w:t>
            </w:r>
            <w:r>
              <w:rPr>
                <w:rFonts w:hint="eastAsia"/>
                <w:color w:val="auto"/>
                <w:highlight w:val="none"/>
              </w:rPr>
              <w:t>《无机化学工业污染物排放标准》（GB31573-2015）表5企业边界大气污染物排放限值。</w:t>
            </w:r>
          </w:p>
          <w:p w14:paraId="7E273BCA">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5</w:t>
            </w:r>
            <w:r>
              <w:rPr>
                <w:rFonts w:hint="default"/>
                <w:b/>
                <w:bCs w:val="0"/>
                <w:color w:val="auto"/>
                <w:highlight w:val="none"/>
              </w:rPr>
              <w:t>、废气环境影响分析</w:t>
            </w:r>
          </w:p>
          <w:p w14:paraId="34F3BC4F">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rPr>
              <w:t>项目有</w:t>
            </w:r>
            <w:r>
              <w:rPr>
                <w:rFonts w:hint="default"/>
                <w:color w:val="auto"/>
                <w:highlight w:val="none"/>
              </w:rPr>
              <w:t>组织废气主要为</w:t>
            </w:r>
            <w:r>
              <w:rPr>
                <w:rFonts w:hint="eastAsia"/>
                <w:color w:val="auto"/>
                <w:highlight w:val="none"/>
              </w:rPr>
              <w:t>搅拌粉尘、</w:t>
            </w:r>
            <w:r>
              <w:rPr>
                <w:rFonts w:hint="eastAsia"/>
                <w:color w:val="auto"/>
                <w:highlight w:val="none"/>
                <w:lang w:eastAsia="zh-CN"/>
              </w:rPr>
              <w:t>破碎及筛分粉尘</w:t>
            </w:r>
            <w:r>
              <w:rPr>
                <w:rFonts w:hint="default"/>
                <w:color w:val="auto"/>
                <w:highlight w:val="none"/>
              </w:rPr>
              <w:t>，</w:t>
            </w:r>
            <w:r>
              <w:rPr>
                <w:rFonts w:hint="eastAsia"/>
                <w:color w:val="auto"/>
                <w:highlight w:val="none"/>
              </w:rPr>
              <w:t>搅拌粉尘、</w:t>
            </w:r>
            <w:r>
              <w:rPr>
                <w:rFonts w:hint="eastAsia"/>
                <w:color w:val="auto"/>
                <w:highlight w:val="none"/>
                <w:lang w:eastAsia="zh-CN"/>
              </w:rPr>
              <w:t>破碎及筛分粉尘</w:t>
            </w:r>
            <w:r>
              <w:rPr>
                <w:rFonts w:hint="eastAsia"/>
                <w:color w:val="auto"/>
                <w:highlight w:val="none"/>
                <w:lang w:val="en-US" w:eastAsia="zh-CN"/>
              </w:rPr>
              <w:t>通过集气罩/密闭管道收集后由</w:t>
            </w:r>
            <w:r>
              <w:rPr>
                <w:rFonts w:hint="default"/>
                <w:color w:val="auto"/>
                <w:highlight w:val="none"/>
              </w:rPr>
              <w:t>布袋除尘器处理后</w:t>
            </w:r>
            <w:r>
              <w:rPr>
                <w:rFonts w:hint="eastAsia"/>
                <w:color w:val="auto"/>
                <w:highlight w:val="none"/>
                <w:lang w:val="en-US" w:eastAsia="zh-CN"/>
              </w:rPr>
              <w:t>经20</w:t>
            </w:r>
            <w:r>
              <w:rPr>
                <w:rFonts w:hint="default"/>
                <w:color w:val="auto"/>
                <w:highlight w:val="none"/>
              </w:rPr>
              <w:t>m高排气筒排放</w:t>
            </w:r>
            <w:r>
              <w:rPr>
                <w:rFonts w:hint="eastAsia"/>
                <w:color w:val="auto"/>
                <w:highlight w:val="none"/>
              </w:rPr>
              <w:t>；</w:t>
            </w:r>
            <w:r>
              <w:rPr>
                <w:rFonts w:hint="eastAsia"/>
                <w:color w:val="auto"/>
                <w:highlight w:val="none"/>
                <w:lang w:val="en-US" w:eastAsia="zh-CN"/>
              </w:rPr>
              <w:t>。</w:t>
            </w:r>
            <w:r>
              <w:rPr>
                <w:rFonts w:hint="default"/>
                <w:color w:val="auto"/>
                <w:highlight w:val="none"/>
              </w:rPr>
              <w:t>无组织废气采用</w:t>
            </w:r>
            <w:r>
              <w:rPr>
                <w:rFonts w:hint="eastAsia"/>
                <w:color w:val="auto"/>
                <w:highlight w:val="none"/>
                <w:lang w:val="en-US" w:eastAsia="zh-CN"/>
              </w:rPr>
              <w:t>沉降+洒水喷淋处理，并</w:t>
            </w:r>
            <w:r>
              <w:rPr>
                <w:rFonts w:hint="default"/>
                <w:color w:val="auto"/>
                <w:highlight w:val="none"/>
              </w:rPr>
              <w:t>加强管理等方式处理，减少粉尘对外排放。本项目</w:t>
            </w:r>
            <w:r>
              <w:rPr>
                <w:rFonts w:hint="eastAsia"/>
                <w:color w:val="auto"/>
                <w:highlight w:val="none"/>
              </w:rPr>
              <w:t>颗粒物</w:t>
            </w:r>
            <w:r>
              <w:rPr>
                <w:rFonts w:hint="eastAsia"/>
                <w:color w:val="auto"/>
                <w:highlight w:val="none"/>
                <w:lang w:eastAsia="zh-CN"/>
              </w:rPr>
              <w:t>排放满足</w:t>
            </w:r>
            <w:r>
              <w:rPr>
                <w:rFonts w:hint="eastAsia"/>
                <w:color w:val="auto"/>
                <w:highlight w:val="none"/>
              </w:rPr>
              <w:t>《大气污染物综合排放标准》（GB16297-1996）</w:t>
            </w:r>
            <w:r>
              <w:rPr>
                <w:rFonts w:hint="eastAsia"/>
                <w:color w:val="auto"/>
                <w:highlight w:val="none"/>
                <w:lang w:eastAsia="zh-CN"/>
              </w:rPr>
              <w:t>表</w:t>
            </w:r>
            <w:r>
              <w:rPr>
                <w:rFonts w:hint="eastAsia"/>
                <w:color w:val="auto"/>
                <w:highlight w:val="none"/>
                <w:lang w:val="en-US" w:eastAsia="zh-CN"/>
              </w:rPr>
              <w:t>2中</w:t>
            </w:r>
            <w:r>
              <w:rPr>
                <w:rFonts w:hint="eastAsia"/>
                <w:color w:val="auto"/>
                <w:highlight w:val="none"/>
              </w:rPr>
              <w:t>排放限值；氟化物、铊及其化合物排放</w:t>
            </w:r>
            <w:r>
              <w:rPr>
                <w:rFonts w:hint="eastAsia"/>
                <w:color w:val="auto"/>
                <w:highlight w:val="none"/>
                <w:lang w:val="en-US" w:eastAsia="zh-CN"/>
              </w:rPr>
              <w:t>能满足</w:t>
            </w:r>
            <w:r>
              <w:rPr>
                <w:rFonts w:hint="eastAsia"/>
                <w:color w:val="auto"/>
                <w:highlight w:val="none"/>
              </w:rPr>
              <w:t>《无机化学工业污染物排放标准》（GB31573-2015）</w:t>
            </w:r>
            <w:r>
              <w:rPr>
                <w:rFonts w:hint="eastAsia"/>
                <w:color w:val="auto"/>
                <w:highlight w:val="none"/>
                <w:lang w:eastAsia="zh-CN"/>
              </w:rPr>
              <w:t>；</w:t>
            </w:r>
            <w:r>
              <w:rPr>
                <w:rFonts w:hint="eastAsia"/>
                <w:color w:val="auto"/>
                <w:highlight w:val="none"/>
              </w:rPr>
              <w:t>厂界无组织氟化物、铊及其化合物排放</w:t>
            </w:r>
            <w:r>
              <w:rPr>
                <w:rFonts w:hint="eastAsia"/>
                <w:color w:val="auto"/>
                <w:highlight w:val="none"/>
                <w:lang w:val="en-US" w:eastAsia="zh-CN"/>
              </w:rPr>
              <w:t>能满足</w:t>
            </w:r>
            <w:r>
              <w:rPr>
                <w:rFonts w:hint="eastAsia"/>
                <w:color w:val="auto"/>
                <w:highlight w:val="none"/>
              </w:rPr>
              <w:t>《无机化学工业污染物排放标准》（GB31573-2015）表5企业边界大气污染物排放限值。</w:t>
            </w:r>
            <w:r>
              <w:rPr>
                <w:rFonts w:hint="default"/>
                <w:color w:val="auto"/>
                <w:highlight w:val="none"/>
              </w:rPr>
              <w:t>根据表4-1，</w:t>
            </w:r>
            <w:r>
              <w:rPr>
                <w:rFonts w:hint="eastAsia"/>
                <w:color w:val="auto"/>
                <w:highlight w:val="none"/>
                <w:lang w:val="en-US" w:eastAsia="zh-CN"/>
              </w:rPr>
              <w:t>本项目废气在相应处理措施处理后均能满足相应排放标准。</w:t>
            </w:r>
          </w:p>
          <w:p w14:paraId="511EA5B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由表4-</w:t>
            </w:r>
            <w:r>
              <w:rPr>
                <w:rFonts w:hint="eastAsia"/>
                <w:color w:val="auto"/>
                <w:highlight w:val="none"/>
                <w:lang w:val="en-US" w:eastAsia="zh-CN"/>
              </w:rPr>
              <w:t>2</w:t>
            </w:r>
            <w:r>
              <w:rPr>
                <w:rFonts w:hint="default"/>
                <w:color w:val="auto"/>
                <w:highlight w:val="none"/>
              </w:rPr>
              <w:t>可知，在非正常情况下，排气筒有组织排放浓度和速率显著增加。为防止废气事故排放，企业应在生产过程中加强管理，一旦废气治理系统故障，立即停产检修，防止事故废气排放。同时，企业应加强生产管理，根据设备性质和要求做相应的点检和检修，预防事故的发生。</w:t>
            </w:r>
          </w:p>
          <w:p w14:paraId="448E779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综上所述，在企业妥善管理的前提下，本项目外排废气经过处理后可达标排放。</w:t>
            </w:r>
          </w:p>
          <w:p w14:paraId="44134B16">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6</w:t>
            </w:r>
            <w:r>
              <w:rPr>
                <w:rFonts w:hint="default"/>
                <w:b/>
                <w:bCs w:val="0"/>
                <w:color w:val="auto"/>
                <w:highlight w:val="none"/>
              </w:rPr>
              <w:t>、</w:t>
            </w:r>
            <w:r>
              <w:rPr>
                <w:rFonts w:hint="eastAsia"/>
                <w:b/>
                <w:bCs w:val="0"/>
                <w:color w:val="auto"/>
                <w:highlight w:val="none"/>
              </w:rPr>
              <w:t>卫生防护距离</w:t>
            </w:r>
          </w:p>
          <w:p w14:paraId="4A519767">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根据《大气有害物质无组织排放卫生防护距离推导技术导则》（GB/T39499-2020）规定，无组织排放有害物质的生产单元（生产区、车间、工段）与居民区之间应设置卫生防护距离，计算公式如下：</w:t>
            </w:r>
          </w:p>
          <w:p w14:paraId="4B6EA29A">
            <w:pPr>
              <w:pStyle w:val="76"/>
              <w:keepNext w:val="0"/>
              <w:keepLines w:val="0"/>
              <w:suppressLineNumbers w:val="0"/>
              <w:bidi w:val="0"/>
              <w:spacing w:before="0" w:beforeAutospacing="0" w:after="0" w:afterAutospacing="0"/>
              <w:ind w:left="0" w:right="0"/>
              <w:rPr>
                <w:rFonts w:hint="default"/>
                <w:snapToGrid w:val="0"/>
                <w:color w:val="auto"/>
                <w:kern w:val="0"/>
                <w:highlight w:val="none"/>
              </w:rPr>
            </w:pPr>
            <w:r>
              <w:rPr>
                <w:rFonts w:hint="default"/>
                <w:color w:val="auto"/>
                <w:highlight w:val="none"/>
              </w:rPr>
              <w:t>确定项目车间的卫生防护距离的计算公式为：</w:t>
            </w:r>
          </w:p>
          <w:p w14:paraId="55C93976">
            <w:pPr>
              <w:pStyle w:val="79"/>
              <w:keepNext w:val="0"/>
              <w:keepLines w:val="0"/>
              <w:suppressLineNumbers w:val="0"/>
              <w:spacing w:before="0" w:beforeAutospacing="0" w:after="0" w:afterAutospacing="0"/>
              <w:ind w:left="0" w:right="0"/>
              <w:jc w:val="center"/>
              <w:rPr>
                <w:rFonts w:hint="default"/>
                <w:snapToGrid w:val="0"/>
                <w:color w:val="auto"/>
                <w:kern w:val="0"/>
                <w:highlight w:val="none"/>
              </w:rPr>
            </w:pPr>
            <w:r>
              <w:rPr>
                <w:rFonts w:hint="default"/>
                <w:snapToGrid w:val="0"/>
                <w:color w:val="auto"/>
                <w:kern w:val="0"/>
                <w:highlight w:val="none"/>
              </w:rPr>
              <w:drawing>
                <wp:inline distT="0" distB="0" distL="114300" distR="114300">
                  <wp:extent cx="278130" cy="387985"/>
                  <wp:effectExtent l="0" t="0" r="0" b="12700"/>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7"/>
                          <pic:cNvPicPr>
                            <a:picLocks noChangeAspect="1"/>
                          </pic:cNvPicPr>
                        </pic:nvPicPr>
                        <pic:blipFill>
                          <a:blip r:embed="rId19"/>
                          <a:stretch>
                            <a:fillRect/>
                          </a:stretch>
                        </pic:blipFill>
                        <pic:spPr>
                          <a:xfrm>
                            <a:off x="0" y="0"/>
                            <a:ext cx="278130" cy="387985"/>
                          </a:xfrm>
                          <a:prstGeom prst="rect">
                            <a:avLst/>
                          </a:prstGeom>
                          <a:noFill/>
                          <a:ln>
                            <a:noFill/>
                          </a:ln>
                        </pic:spPr>
                      </pic:pic>
                    </a:graphicData>
                  </a:graphic>
                </wp:inline>
              </w:drawing>
            </w:r>
            <w:r>
              <w:rPr>
                <w:rFonts w:hint="default"/>
                <w:snapToGrid w:val="0"/>
                <w:color w:val="auto"/>
                <w:kern w:val="0"/>
                <w:highlight w:val="none"/>
              </w:rPr>
              <w:t>＝</w:t>
            </w:r>
            <w:r>
              <w:rPr>
                <w:rFonts w:hint="default"/>
                <w:snapToGrid w:val="0"/>
                <w:color w:val="auto"/>
                <w:kern w:val="0"/>
                <w:highlight w:val="none"/>
              </w:rPr>
              <w:drawing>
                <wp:inline distT="0" distB="0" distL="114300" distR="114300">
                  <wp:extent cx="1383030" cy="387985"/>
                  <wp:effectExtent l="0" t="0" r="0" b="12700"/>
                  <wp:docPr id="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8"/>
                          <pic:cNvPicPr>
                            <a:picLocks noChangeAspect="1"/>
                          </pic:cNvPicPr>
                        </pic:nvPicPr>
                        <pic:blipFill>
                          <a:blip r:embed="rId20"/>
                          <a:stretch>
                            <a:fillRect/>
                          </a:stretch>
                        </pic:blipFill>
                        <pic:spPr>
                          <a:xfrm>
                            <a:off x="0" y="0"/>
                            <a:ext cx="1383030" cy="387985"/>
                          </a:xfrm>
                          <a:prstGeom prst="rect">
                            <a:avLst/>
                          </a:prstGeom>
                          <a:noFill/>
                          <a:ln>
                            <a:noFill/>
                          </a:ln>
                        </pic:spPr>
                      </pic:pic>
                    </a:graphicData>
                  </a:graphic>
                </wp:inline>
              </w:drawing>
            </w:r>
            <w:r>
              <w:rPr>
                <w:rFonts w:hint="eastAsia"/>
                <w:snapToGrid w:val="0"/>
                <w:color w:val="auto"/>
                <w:kern w:val="0"/>
                <w:highlight w:val="none"/>
              </w:rPr>
              <w:t>（</w:t>
            </w:r>
            <w:r>
              <w:rPr>
                <w:rFonts w:hint="default"/>
                <w:snapToGrid w:val="0"/>
                <w:color w:val="auto"/>
                <w:kern w:val="0"/>
                <w:highlight w:val="none"/>
              </w:rPr>
              <w:t>1</w:t>
            </w:r>
            <w:r>
              <w:rPr>
                <w:rFonts w:hint="eastAsia"/>
                <w:snapToGrid w:val="0"/>
                <w:color w:val="auto"/>
                <w:kern w:val="0"/>
                <w:highlight w:val="none"/>
              </w:rPr>
              <w:t>）</w:t>
            </w:r>
          </w:p>
          <w:p w14:paraId="72A371E5">
            <w:pPr>
              <w:keepNext w:val="0"/>
              <w:keepLines w:val="0"/>
              <w:suppressLineNumbers w:val="0"/>
              <w:snapToGrid w:val="0"/>
              <w:spacing w:before="0" w:beforeAutospacing="0" w:after="0" w:afterAutospacing="0"/>
              <w:ind w:left="0" w:right="0" w:firstLine="480"/>
              <w:rPr>
                <w:rFonts w:hint="default" w:ascii="Times New Roman" w:hAnsi="Times New Roman" w:eastAsia="宋体" w:cs="Times New Roman"/>
                <w:color w:val="auto"/>
                <w:szCs w:val="21"/>
                <w:highlight w:val="none"/>
              </w:rPr>
            </w:pPr>
            <w:r>
              <w:rPr>
                <w:rFonts w:hint="default"/>
                <w:color w:val="auto"/>
                <w:highlight w:val="none"/>
              </w:rPr>
              <w:t>其中：A、B、C、D—卫生防护距离计算系数；</w:t>
            </w:r>
            <w:r>
              <w:rPr>
                <w:rFonts w:hint="default" w:ascii="Times New Roman" w:hAnsi="Times New Roman" w:eastAsia="宋体" w:cs="Times New Roman"/>
                <w:color w:val="auto"/>
                <w:szCs w:val="21"/>
                <w:highlight w:val="none"/>
              </w:rPr>
              <w:t>从GB/T39499-2020表1中查取，根据5年项目的平均风速1.8m/s（小于2m/s），按Ⅲ类，防护距离小于1000m，取值为</w:t>
            </w:r>
            <w:r>
              <w:rPr>
                <w:rFonts w:hint="default" w:cs="Times New Roman"/>
                <w:i/>
                <w:szCs w:val="21"/>
                <w:highlight w:val="green"/>
              </w:rPr>
              <w:t>A=400，B=0.01，C=1.85，D=0.78</w:t>
            </w:r>
            <w:r>
              <w:rPr>
                <w:rFonts w:hint="default" w:cs="Times New Roman"/>
                <w:szCs w:val="21"/>
                <w:highlight w:val="green"/>
              </w:rPr>
              <w:t>；</w:t>
            </w:r>
          </w:p>
          <w:p w14:paraId="20DD47C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Cm—大气有害物质环境空气质量的标准限值，mg/m</w:t>
            </w:r>
            <w:r>
              <w:rPr>
                <w:rFonts w:hint="default"/>
                <w:color w:val="auto"/>
                <w:highlight w:val="none"/>
                <w:vertAlign w:val="superscript"/>
              </w:rPr>
              <w:t>3</w:t>
            </w:r>
            <w:r>
              <w:rPr>
                <w:rFonts w:hint="default"/>
                <w:color w:val="auto"/>
                <w:highlight w:val="none"/>
              </w:rPr>
              <w:t>；</w:t>
            </w:r>
          </w:p>
          <w:p w14:paraId="0F4FB4A8">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L—大气有害物质卫生防护距离初值，m</w:t>
            </w:r>
            <w:r>
              <w:rPr>
                <w:rFonts w:hint="eastAsia"/>
                <w:color w:val="auto"/>
                <w:highlight w:val="none"/>
                <w:lang w:eastAsia="zh-CN"/>
              </w:rPr>
              <w:t>；</w:t>
            </w:r>
          </w:p>
          <w:p w14:paraId="4225EC2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Qc—大气有害物质的无组织排放量，kg/h；</w:t>
            </w:r>
          </w:p>
          <w:p w14:paraId="100B3B33">
            <w:pPr>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r—大气有害物质无组织排放源所在生产单元的等效半径，m</w:t>
            </w:r>
            <w:r>
              <w:rPr>
                <w:rFonts w:hint="eastAsia"/>
                <w:color w:val="auto"/>
                <w:highlight w:val="none"/>
                <w:lang w:eastAsia="zh-CN"/>
              </w:rPr>
              <w:t>。</w:t>
            </w:r>
          </w:p>
          <w:p w14:paraId="3856A668">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A、B、C、D－为卫生防护距离计算系数；</w:t>
            </w:r>
          </w:p>
          <w:p w14:paraId="667ACD8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大气有害物质无组织排放卫生防护距离推导技术导则》（GBT39499-2020）规定，当目标企业无组织排放存在多种有毒有害污染物时，基于单个污染物的等标排放量计算结果，优先选择等标排放量最大的污染物为企业无组织排放的主要特征大气有害物质。当前两种污染物的等标排放量相差在10%以内时，需要同时选择这两种特征大气有害物质分别计算卫生防护距离初值。</w:t>
            </w:r>
          </w:p>
          <w:p w14:paraId="2554927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本项目无组织</w:t>
            </w:r>
            <w:r>
              <w:rPr>
                <w:rFonts w:hint="eastAsia"/>
                <w:color w:val="auto"/>
                <w:highlight w:val="none"/>
                <w:lang w:eastAsia="zh-CN"/>
              </w:rPr>
              <w:t>生产</w:t>
            </w:r>
            <w:r>
              <w:rPr>
                <w:rFonts w:hint="eastAsia"/>
                <w:color w:val="auto"/>
                <w:highlight w:val="none"/>
                <w:lang w:val="en-US" w:eastAsia="zh-CN"/>
              </w:rPr>
              <w:t>单元为生产车间；</w:t>
            </w:r>
            <w:r>
              <w:rPr>
                <w:rFonts w:hint="default"/>
                <w:color w:val="auto"/>
                <w:highlight w:val="none"/>
              </w:rPr>
              <w:t>污染物等标</w:t>
            </w:r>
            <w:r>
              <w:rPr>
                <w:rFonts w:hint="eastAsia"/>
                <w:color w:val="auto"/>
                <w:highlight w:val="none"/>
                <w:lang w:eastAsia="zh-CN"/>
              </w:rPr>
              <w:t>排放量</w:t>
            </w:r>
            <w:r>
              <w:rPr>
                <w:rFonts w:hint="default"/>
                <w:color w:val="auto"/>
                <w:highlight w:val="none"/>
              </w:rPr>
              <w:t>计算结果见下表。</w:t>
            </w:r>
          </w:p>
          <w:p w14:paraId="4CB53337">
            <w:pPr>
              <w:pStyle w:val="124"/>
              <w:keepNext w:val="0"/>
              <w:keepLines w:val="0"/>
              <w:pageBreakBefore w:val="0"/>
              <w:widowControl w:val="0"/>
              <w:suppressLineNumbers w:val="0"/>
              <w:kinsoku/>
              <w:wordWrap/>
              <w:overflowPunct/>
              <w:topLinePunct w:val="0"/>
              <w:autoSpaceDE/>
              <w:autoSpaceDN/>
              <w:bidi w:val="0"/>
              <w:adjustRightInd w:val="0"/>
              <w:snapToGrid w:val="0"/>
              <w:spacing w:before="313" w:beforeLines="10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等标</w:t>
            </w:r>
            <w:r>
              <w:rPr>
                <w:rFonts w:hint="eastAsia" w:cs="Times New Roman"/>
                <w:color w:val="auto"/>
                <w:sz w:val="21"/>
                <w:szCs w:val="21"/>
                <w:highlight w:val="none"/>
                <w:lang w:val="en-US" w:eastAsia="zh-CN"/>
              </w:rPr>
              <w:t>排放量</w:t>
            </w:r>
            <w:r>
              <w:rPr>
                <w:rFonts w:hint="default" w:ascii="Times New Roman" w:hAnsi="Times New Roman" w:eastAsia="宋体" w:cs="Times New Roman"/>
                <w:color w:val="auto"/>
                <w:sz w:val="21"/>
                <w:szCs w:val="21"/>
                <w:highlight w:val="none"/>
                <w:lang w:val="en-US" w:eastAsia="zh-CN"/>
              </w:rPr>
              <w:t>计算结果表</w:t>
            </w:r>
          </w:p>
          <w:tbl>
            <w:tblPr>
              <w:tblStyle w:val="25"/>
              <w:tblW w:w="4988" w:type="pct"/>
              <w:jc w:val="center"/>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106"/>
              <w:gridCol w:w="1122"/>
              <w:gridCol w:w="1719"/>
              <w:gridCol w:w="1195"/>
              <w:gridCol w:w="1294"/>
              <w:gridCol w:w="1782"/>
            </w:tblGrid>
            <w:tr w14:paraId="27BE2175">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95" w:hRule="atLeast"/>
                <w:jc w:val="center"/>
              </w:trPr>
              <w:tc>
                <w:tcPr>
                  <w:tcW w:w="1355" w:type="pct"/>
                  <w:gridSpan w:val="2"/>
                  <w:tcBorders>
                    <w:top w:val="single" w:color="auto" w:sz="12" w:space="0"/>
                  </w:tcBorders>
                  <w:noWrap w:val="0"/>
                  <w:vAlign w:val="center"/>
                </w:tcPr>
                <w:p w14:paraId="370C90CF">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无组织污染源</w:t>
                  </w:r>
                </w:p>
              </w:tc>
              <w:tc>
                <w:tcPr>
                  <w:tcW w:w="1045" w:type="pct"/>
                  <w:tcBorders>
                    <w:top w:val="single" w:color="auto" w:sz="12" w:space="0"/>
                  </w:tcBorders>
                  <w:noWrap w:val="0"/>
                  <w:vAlign w:val="center"/>
                </w:tcPr>
                <w:p w14:paraId="0EF66D35">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highlight w:val="none"/>
                    </w:rPr>
                  </w:pPr>
                  <w:bookmarkStart w:id="420" w:name="_Toc29185"/>
                  <w:bookmarkStart w:id="421" w:name="_Toc20369"/>
                  <w:r>
                    <w:rPr>
                      <w:rFonts w:hint="default" w:ascii="Times New Roman" w:hAnsi="Times New Roman" w:cs="Times New Roman"/>
                      <w:b/>
                      <w:bCs/>
                      <w:color w:val="auto"/>
                      <w:sz w:val="21"/>
                      <w:szCs w:val="21"/>
                      <w:highlight w:val="none"/>
                    </w:rPr>
                    <w:t>单位排放量（kg/h）</w:t>
                  </w:r>
                  <w:bookmarkEnd w:id="420"/>
                  <w:bookmarkEnd w:id="421"/>
                </w:p>
              </w:tc>
              <w:tc>
                <w:tcPr>
                  <w:tcW w:w="727" w:type="pct"/>
                  <w:tcBorders>
                    <w:top w:val="single" w:color="auto" w:sz="12" w:space="0"/>
                  </w:tcBorders>
                  <w:noWrap w:val="0"/>
                  <w:vAlign w:val="center"/>
                </w:tcPr>
                <w:p w14:paraId="1677A381">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highlight w:val="none"/>
                    </w:rPr>
                  </w:pPr>
                  <w:bookmarkStart w:id="422" w:name="_Toc27517"/>
                  <w:bookmarkStart w:id="423" w:name="_Toc6573"/>
                  <w:r>
                    <w:rPr>
                      <w:rFonts w:hint="default" w:ascii="Times New Roman" w:hAnsi="Times New Roman" w:cs="Times New Roman"/>
                      <w:b/>
                      <w:bCs/>
                      <w:color w:val="auto"/>
                      <w:sz w:val="21"/>
                      <w:szCs w:val="21"/>
                      <w:highlight w:val="none"/>
                    </w:rPr>
                    <w:t>标准限值mg/m</w:t>
                  </w:r>
                  <w:r>
                    <w:rPr>
                      <w:rFonts w:hint="default" w:ascii="Times New Roman" w:hAnsi="Times New Roman" w:cs="Times New Roman"/>
                      <w:b/>
                      <w:bCs/>
                      <w:color w:val="auto"/>
                      <w:sz w:val="21"/>
                      <w:szCs w:val="21"/>
                      <w:highlight w:val="none"/>
                      <w:vertAlign w:val="superscript"/>
                    </w:rPr>
                    <w:t>3</w:t>
                  </w:r>
                  <w:bookmarkEnd w:id="422"/>
                  <w:bookmarkEnd w:id="423"/>
                </w:p>
              </w:tc>
              <w:tc>
                <w:tcPr>
                  <w:tcW w:w="787" w:type="pct"/>
                  <w:tcBorders>
                    <w:top w:val="single" w:color="auto" w:sz="12" w:space="0"/>
                  </w:tcBorders>
                  <w:noWrap w:val="0"/>
                  <w:vAlign w:val="center"/>
                </w:tcPr>
                <w:p w14:paraId="35DC976D">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bCs/>
                      <w:color w:val="auto"/>
                      <w:sz w:val="21"/>
                      <w:szCs w:val="21"/>
                      <w:highlight w:val="none"/>
                    </w:rPr>
                  </w:pPr>
                  <w:bookmarkStart w:id="424" w:name="_Toc11519"/>
                  <w:bookmarkStart w:id="425" w:name="_Toc25084"/>
                  <w:r>
                    <w:rPr>
                      <w:rFonts w:hint="default" w:ascii="Times New Roman" w:hAnsi="Times New Roman" w:cs="Times New Roman"/>
                      <w:b/>
                      <w:bCs/>
                      <w:color w:val="auto"/>
                      <w:sz w:val="21"/>
                      <w:szCs w:val="21"/>
                      <w:highlight w:val="none"/>
                    </w:rPr>
                    <w:t>等标排放量</w:t>
                  </w:r>
                  <w:bookmarkEnd w:id="424"/>
                  <w:bookmarkEnd w:id="425"/>
                </w:p>
              </w:tc>
              <w:tc>
                <w:tcPr>
                  <w:tcW w:w="1084" w:type="pct"/>
                  <w:tcBorders>
                    <w:top w:val="single" w:color="auto" w:sz="12" w:space="0"/>
                  </w:tcBorders>
                  <w:noWrap w:val="0"/>
                  <w:vAlign w:val="center"/>
                </w:tcPr>
                <w:p w14:paraId="7C193B17">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cs="Times New Roman"/>
                      <w:b/>
                      <w:bCs/>
                      <w:color w:val="auto"/>
                      <w:sz w:val="21"/>
                      <w:szCs w:val="21"/>
                      <w:highlight w:val="none"/>
                      <w:lang w:eastAsia="zh-CN"/>
                    </w:rPr>
                    <w:t>结果分析</w:t>
                  </w:r>
                </w:p>
              </w:tc>
            </w:tr>
            <w:tr w14:paraId="0734897B">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08" w:hRule="atLeast"/>
                <w:jc w:val="center"/>
              </w:trPr>
              <w:tc>
                <w:tcPr>
                  <w:tcW w:w="672" w:type="pct"/>
                  <w:vMerge w:val="restart"/>
                  <w:noWrap w:val="0"/>
                  <w:vAlign w:val="center"/>
                </w:tcPr>
                <w:p w14:paraId="558BD61A">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z w:val="21"/>
                      <w:szCs w:val="21"/>
                      <w:highlight w:val="none"/>
                    </w:rPr>
                  </w:pPr>
                  <w:r>
                    <w:rPr>
                      <w:rFonts w:hint="default" w:ascii="Times New Roman" w:hAnsi="Times New Roman" w:cs="Times New Roman"/>
                      <w:b w:val="0"/>
                      <w:bCs w:val="0"/>
                      <w:color w:val="auto"/>
                      <w:sz w:val="21"/>
                      <w:szCs w:val="21"/>
                      <w:highlight w:val="none"/>
                    </w:rPr>
                    <w:t>生产车间</w:t>
                  </w:r>
                </w:p>
              </w:tc>
              <w:tc>
                <w:tcPr>
                  <w:tcW w:w="682" w:type="pct"/>
                  <w:noWrap w:val="0"/>
                  <w:vAlign w:val="center"/>
                </w:tcPr>
                <w:p w14:paraId="3C5B6E91">
                  <w:pPr>
                    <w:pStyle w:val="4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颗粒物</w:t>
                  </w:r>
                </w:p>
              </w:tc>
              <w:tc>
                <w:tcPr>
                  <w:tcW w:w="1045" w:type="pct"/>
                  <w:noWrap w:val="0"/>
                  <w:vAlign w:val="center"/>
                </w:tcPr>
                <w:p w14:paraId="366AE2C5">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eastAsia="宋体" w:cs="Times New Roman"/>
                      <w:b w:val="0"/>
                      <w:bCs w:val="0"/>
                      <w:color w:val="FF0000"/>
                      <w:sz w:val="21"/>
                      <w:szCs w:val="21"/>
                      <w:highlight w:val="none"/>
                      <w:lang w:val="en-US" w:eastAsia="zh-CN"/>
                    </w:rPr>
                    <w:t>0.3</w:t>
                  </w:r>
                  <w:r>
                    <w:rPr>
                      <w:rFonts w:hint="eastAsia" w:ascii="Times New Roman" w:hAnsi="Times New Roman" w:cs="Times New Roman"/>
                      <w:b w:val="0"/>
                      <w:bCs w:val="0"/>
                      <w:color w:val="FF0000"/>
                      <w:sz w:val="21"/>
                      <w:szCs w:val="21"/>
                      <w:highlight w:val="none"/>
                      <w:lang w:val="en-US" w:eastAsia="zh-CN"/>
                    </w:rPr>
                    <w:t>96</w:t>
                  </w:r>
                </w:p>
              </w:tc>
              <w:tc>
                <w:tcPr>
                  <w:tcW w:w="727" w:type="pct"/>
                  <w:noWrap w:val="0"/>
                  <w:vAlign w:val="center"/>
                </w:tcPr>
                <w:p w14:paraId="1B78DB39">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cs="Times New Roman"/>
                      <w:b w:val="0"/>
                      <w:bCs w:val="0"/>
                      <w:color w:val="FF0000"/>
                      <w:sz w:val="21"/>
                      <w:szCs w:val="21"/>
                      <w:highlight w:val="none"/>
                      <w:lang w:val="en-US" w:eastAsia="zh-CN"/>
                    </w:rPr>
                    <w:t>0.9</w:t>
                  </w:r>
                </w:p>
              </w:tc>
              <w:tc>
                <w:tcPr>
                  <w:tcW w:w="787" w:type="pct"/>
                  <w:noWrap w:val="0"/>
                  <w:vAlign w:val="center"/>
                </w:tcPr>
                <w:p w14:paraId="56DE554A">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FF0000"/>
                      <w:sz w:val="21"/>
                      <w:szCs w:val="21"/>
                      <w:highlight w:val="none"/>
                      <w:lang w:val="en-US" w:eastAsia="zh-CN"/>
                    </w:rPr>
                  </w:pPr>
                  <w:r>
                    <w:rPr>
                      <w:rFonts w:hint="eastAsia" w:ascii="Times New Roman" w:hAnsi="Times New Roman" w:cs="Times New Roman"/>
                      <w:b w:val="0"/>
                      <w:bCs w:val="0"/>
                      <w:color w:val="FF0000"/>
                      <w:sz w:val="21"/>
                      <w:szCs w:val="21"/>
                      <w:highlight w:val="none"/>
                      <w:lang w:val="en-US" w:eastAsia="zh-CN"/>
                    </w:rPr>
                    <w:t>440000</w:t>
                  </w:r>
                  <w:r>
                    <w:rPr>
                      <w:rFonts w:hint="eastAsia" w:ascii="Times New Roman" w:hAnsi="Times New Roman" w:eastAsia="宋体" w:cs="Times New Roman"/>
                      <w:b w:val="0"/>
                      <w:bCs w:val="0"/>
                      <w:color w:val="FF0000"/>
                      <w:sz w:val="21"/>
                      <w:szCs w:val="21"/>
                      <w:highlight w:val="none"/>
                      <w:lang w:val="en-US" w:eastAsia="zh-CN"/>
                    </w:rPr>
                    <w:t>m</w:t>
                  </w:r>
                  <w:r>
                    <w:rPr>
                      <w:rFonts w:hint="eastAsia" w:ascii="Times New Roman" w:hAnsi="Times New Roman" w:eastAsia="宋体" w:cs="Times New Roman"/>
                      <w:b w:val="0"/>
                      <w:bCs w:val="0"/>
                      <w:color w:val="FF0000"/>
                      <w:sz w:val="21"/>
                      <w:szCs w:val="21"/>
                      <w:highlight w:val="none"/>
                      <w:vertAlign w:val="superscript"/>
                      <w:lang w:val="en-US" w:eastAsia="zh-CN"/>
                    </w:rPr>
                    <w:t>3</w:t>
                  </w:r>
                  <w:r>
                    <w:rPr>
                      <w:rFonts w:hint="eastAsia" w:ascii="Times New Roman" w:hAnsi="Times New Roman" w:eastAsia="宋体" w:cs="Times New Roman"/>
                      <w:b w:val="0"/>
                      <w:bCs w:val="0"/>
                      <w:color w:val="FF0000"/>
                      <w:sz w:val="21"/>
                      <w:szCs w:val="21"/>
                      <w:highlight w:val="none"/>
                      <w:lang w:val="en-US" w:eastAsia="zh-CN"/>
                    </w:rPr>
                    <w:t>/h</w:t>
                  </w:r>
                </w:p>
              </w:tc>
              <w:tc>
                <w:tcPr>
                  <w:tcW w:w="1084" w:type="pct"/>
                  <w:vMerge w:val="restart"/>
                  <w:noWrap w:val="0"/>
                  <w:vAlign w:val="center"/>
                </w:tcPr>
                <w:p w14:paraId="51BB9778">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ascii="Times New Roman" w:hAnsi="Times New Roman"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等标排放量差值大于10%，卫生防护距离以颗粒物计</w:t>
                  </w:r>
                </w:p>
              </w:tc>
            </w:tr>
            <w:tr w14:paraId="70A4F052">
              <w:tblPrEx>
                <w:tblBorders>
                  <w:top w:val="single" w:color="auto" w:sz="4" w:space="0"/>
                  <w:left w:val="none" w:color="auto" w:sz="0" w:space="0"/>
                  <w:bottom w:val="single" w:color="auto"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72" w:type="pct"/>
                  <w:vMerge w:val="continue"/>
                  <w:noWrap w:val="0"/>
                  <w:vAlign w:val="center"/>
                </w:tcPr>
                <w:p w14:paraId="37D03FE9">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z w:val="21"/>
                      <w:szCs w:val="21"/>
                      <w:highlight w:val="none"/>
                    </w:rPr>
                  </w:pPr>
                </w:p>
              </w:tc>
              <w:tc>
                <w:tcPr>
                  <w:tcW w:w="682" w:type="pct"/>
                  <w:noWrap w:val="0"/>
                  <w:vAlign w:val="center"/>
                </w:tcPr>
                <w:p w14:paraId="1D6946E2">
                  <w:pPr>
                    <w:pStyle w:val="45"/>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cs="Times New Roman"/>
                      <w:b w:val="0"/>
                      <w:bCs w:val="0"/>
                      <w:color w:val="auto"/>
                      <w:sz w:val="21"/>
                      <w:szCs w:val="21"/>
                      <w:highlight w:val="none"/>
                      <w:lang w:val="en-US"/>
                    </w:rPr>
                  </w:pPr>
                  <w:r>
                    <w:rPr>
                      <w:rFonts w:hint="eastAsia" w:ascii="Times New Roman" w:hAnsi="Times New Roman" w:cs="Times New Roman"/>
                      <w:b w:val="0"/>
                      <w:bCs w:val="0"/>
                      <w:color w:val="auto"/>
                      <w:sz w:val="21"/>
                      <w:szCs w:val="21"/>
                      <w:highlight w:val="none"/>
                      <w:lang w:val="en-US" w:eastAsia="zh-CN"/>
                    </w:rPr>
                    <w:t>氟化物</w:t>
                  </w:r>
                </w:p>
              </w:tc>
              <w:tc>
                <w:tcPr>
                  <w:tcW w:w="1045" w:type="pct"/>
                  <w:noWrap w:val="0"/>
                  <w:vAlign w:val="center"/>
                </w:tcPr>
                <w:p w14:paraId="4A67DA90">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b w:val="0"/>
                      <w:bCs w:val="0"/>
                      <w:color w:val="auto"/>
                      <w:sz w:val="21"/>
                      <w:szCs w:val="21"/>
                      <w:highlight w:val="none"/>
                      <w:lang w:val="en-US" w:eastAsia="zh-CN"/>
                    </w:rPr>
                    <w:t>0</w:t>
                  </w:r>
                  <w:r>
                    <w:rPr>
                      <w:rFonts w:hint="eastAsia" w:ascii="Times New Roman" w:hAnsi="Times New Roman" w:eastAsia="宋体" w:cs="Times New Roman"/>
                      <w:b w:val="0"/>
                      <w:bCs w:val="0"/>
                      <w:color w:val="auto"/>
                      <w:sz w:val="21"/>
                      <w:szCs w:val="21"/>
                      <w:highlight w:val="none"/>
                      <w:lang w:val="en-US" w:eastAsia="zh-CN"/>
                    </w:rPr>
                    <w:t>.006</w:t>
                  </w:r>
                  <w:r>
                    <w:rPr>
                      <w:rFonts w:hint="eastAsia" w:ascii="Times New Roman" w:hAnsi="Times New Roman" w:cs="Times New Roman"/>
                      <w:b w:val="0"/>
                      <w:bCs w:val="0"/>
                      <w:color w:val="auto"/>
                      <w:sz w:val="21"/>
                      <w:szCs w:val="21"/>
                      <w:highlight w:val="none"/>
                      <w:lang w:val="en-US" w:eastAsia="zh-CN"/>
                    </w:rPr>
                    <w:t>1</w:t>
                  </w:r>
                </w:p>
              </w:tc>
              <w:tc>
                <w:tcPr>
                  <w:tcW w:w="727" w:type="pct"/>
                  <w:noWrap w:val="0"/>
                  <w:vAlign w:val="center"/>
                </w:tcPr>
                <w:p w14:paraId="5CA4998F">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20</w:t>
                  </w:r>
                </w:p>
              </w:tc>
              <w:tc>
                <w:tcPr>
                  <w:tcW w:w="787" w:type="pct"/>
                  <w:noWrap w:val="0"/>
                  <w:vAlign w:val="center"/>
                </w:tcPr>
                <w:p w14:paraId="5B42F20B">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3</w:t>
                  </w:r>
                  <w:r>
                    <w:rPr>
                      <w:rFonts w:hint="eastAsia" w:ascii="Times New Roman" w:hAnsi="Times New Roman" w:cs="Times New Roman"/>
                      <w:b w:val="0"/>
                      <w:bCs w:val="0"/>
                      <w:color w:val="auto"/>
                      <w:sz w:val="21"/>
                      <w:szCs w:val="21"/>
                      <w:highlight w:val="none"/>
                      <w:lang w:val="en-US" w:eastAsia="zh-CN"/>
                    </w:rPr>
                    <w:t>05</w:t>
                  </w:r>
                  <w:r>
                    <w:rPr>
                      <w:rFonts w:hint="eastAsia" w:ascii="Times New Roman" w:hAnsi="Times New Roman" w:eastAsia="宋体" w:cs="Times New Roman"/>
                      <w:b w:val="0"/>
                      <w:bCs w:val="0"/>
                      <w:color w:val="auto"/>
                      <w:sz w:val="21"/>
                      <w:szCs w:val="21"/>
                      <w:highlight w:val="none"/>
                      <w:lang w:val="en-US" w:eastAsia="zh-CN"/>
                    </w:rPr>
                    <w:t>m</w:t>
                  </w:r>
                  <w:r>
                    <w:rPr>
                      <w:rFonts w:hint="eastAsia" w:ascii="Times New Roman" w:hAnsi="Times New Roman" w:eastAsia="宋体" w:cs="Times New Roman"/>
                      <w:b w:val="0"/>
                      <w:bCs w:val="0"/>
                      <w:color w:val="auto"/>
                      <w:sz w:val="21"/>
                      <w:szCs w:val="21"/>
                      <w:highlight w:val="none"/>
                      <w:vertAlign w:val="superscript"/>
                      <w:lang w:val="en-US" w:eastAsia="zh-CN"/>
                    </w:rPr>
                    <w:t>3</w:t>
                  </w:r>
                  <w:r>
                    <w:rPr>
                      <w:rFonts w:hint="eastAsia" w:ascii="Times New Roman" w:hAnsi="Times New Roman" w:eastAsia="宋体" w:cs="Times New Roman"/>
                      <w:b w:val="0"/>
                      <w:bCs w:val="0"/>
                      <w:color w:val="auto"/>
                      <w:sz w:val="21"/>
                      <w:szCs w:val="21"/>
                      <w:highlight w:val="none"/>
                      <w:lang w:val="en-US" w:eastAsia="zh-CN"/>
                    </w:rPr>
                    <w:t>/h</w:t>
                  </w:r>
                </w:p>
              </w:tc>
              <w:tc>
                <w:tcPr>
                  <w:tcW w:w="1084" w:type="pct"/>
                  <w:vMerge w:val="continue"/>
                  <w:noWrap w:val="0"/>
                  <w:vAlign w:val="center"/>
                </w:tcPr>
                <w:p w14:paraId="1E5E86C5">
                  <w:pPr>
                    <w:pStyle w:val="45"/>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p>
              </w:tc>
            </w:tr>
          </w:tbl>
          <w:p w14:paraId="25F0D9EE">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firstLine="482"/>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rPr>
              <w:t>由上表可知，故本项目最终确定卫生防护距离相关的主要特征污染物为</w:t>
            </w:r>
            <w:r>
              <w:rPr>
                <w:rFonts w:hint="eastAsia" w:ascii="Times New Roman" w:hAnsi="Times New Roman" w:eastAsia="宋体" w:cs="Times New Roman"/>
                <w:color w:val="auto"/>
                <w:sz w:val="24"/>
                <w:szCs w:val="24"/>
                <w:highlight w:val="none"/>
                <w:lang w:val="en-US" w:eastAsia="zh-CN"/>
              </w:rPr>
              <w:t>颗粒物</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项目卫生防护距离计算结果见下</w:t>
            </w:r>
            <w:r>
              <w:rPr>
                <w:rFonts w:hint="eastAsia" w:ascii="Times New Roman" w:hAnsi="Times New Roman" w:eastAsia="宋体" w:cs="Times New Roman"/>
                <w:color w:val="auto"/>
                <w:sz w:val="24"/>
                <w:szCs w:val="24"/>
                <w:highlight w:val="none"/>
                <w:lang w:eastAsia="zh-CN"/>
              </w:rPr>
              <w:t>图</w:t>
            </w:r>
            <w:r>
              <w:rPr>
                <w:rFonts w:hint="default" w:ascii="Times New Roman" w:hAnsi="Times New Roman" w:eastAsia="宋体" w:cs="Times New Roman"/>
                <w:color w:val="auto"/>
                <w:sz w:val="24"/>
                <w:szCs w:val="24"/>
                <w:highlight w:val="none"/>
              </w:rPr>
              <w:t>表。</w:t>
            </w:r>
          </w:p>
          <w:p w14:paraId="529C590F">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卫生防护距离计算结果</w:t>
            </w:r>
          </w:p>
          <w:tbl>
            <w:tblPr>
              <w:tblStyle w:val="26"/>
              <w:tblW w:w="8280"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98"/>
              <w:gridCol w:w="695"/>
              <w:gridCol w:w="1146"/>
              <w:gridCol w:w="931"/>
              <w:gridCol w:w="531"/>
              <w:gridCol w:w="584"/>
              <w:gridCol w:w="584"/>
              <w:gridCol w:w="584"/>
              <w:gridCol w:w="1169"/>
              <w:gridCol w:w="1358"/>
            </w:tblGrid>
            <w:tr w14:paraId="1836BE13">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98" w:type="dxa"/>
                  <w:vMerge w:val="restart"/>
                  <w:tcBorders>
                    <w:top w:val="single" w:color="auto" w:sz="12" w:space="0"/>
                  </w:tcBorders>
                  <w:noWrap w:val="0"/>
                  <w:vAlign w:val="center"/>
                </w:tcPr>
                <w:p w14:paraId="7C7899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污染源</w:t>
                  </w:r>
                </w:p>
              </w:tc>
              <w:tc>
                <w:tcPr>
                  <w:tcW w:w="695" w:type="dxa"/>
                  <w:vMerge w:val="restart"/>
                  <w:tcBorders>
                    <w:top w:val="single" w:color="auto" w:sz="12" w:space="0"/>
                  </w:tcBorders>
                  <w:noWrap w:val="0"/>
                  <w:vAlign w:val="center"/>
                </w:tcPr>
                <w:p w14:paraId="59A6EEE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污染物</w:t>
                  </w:r>
                </w:p>
              </w:tc>
              <w:tc>
                <w:tcPr>
                  <w:tcW w:w="1146" w:type="dxa"/>
                  <w:vMerge w:val="restart"/>
                  <w:tcBorders>
                    <w:top w:val="single" w:color="auto" w:sz="12" w:space="0"/>
                  </w:tcBorders>
                  <w:noWrap w:val="0"/>
                  <w:vAlign w:val="center"/>
                </w:tcPr>
                <w:p w14:paraId="75010DF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Qc（kg/h）</w:t>
                  </w:r>
                </w:p>
              </w:tc>
              <w:tc>
                <w:tcPr>
                  <w:tcW w:w="931" w:type="dxa"/>
                  <w:vMerge w:val="restart"/>
                  <w:tcBorders>
                    <w:top w:val="single" w:color="auto" w:sz="12" w:space="0"/>
                  </w:tcBorders>
                  <w:noWrap w:val="0"/>
                  <w:vAlign w:val="center"/>
                </w:tcPr>
                <w:p w14:paraId="1C3B08F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S（m</w:t>
                  </w:r>
                  <w:r>
                    <w:rPr>
                      <w:rFonts w:hint="default"/>
                      <w:b/>
                      <w:bCs/>
                      <w:color w:val="auto"/>
                      <w:sz w:val="21"/>
                      <w:szCs w:val="21"/>
                      <w:highlight w:val="none"/>
                      <w:vertAlign w:val="superscript"/>
                    </w:rPr>
                    <w:t>2</w:t>
                  </w:r>
                  <w:r>
                    <w:rPr>
                      <w:rFonts w:hint="default"/>
                      <w:b/>
                      <w:bCs/>
                      <w:color w:val="auto"/>
                      <w:sz w:val="21"/>
                      <w:szCs w:val="21"/>
                      <w:highlight w:val="none"/>
                    </w:rPr>
                    <w:t>）</w:t>
                  </w:r>
                </w:p>
              </w:tc>
              <w:tc>
                <w:tcPr>
                  <w:tcW w:w="2283" w:type="dxa"/>
                  <w:gridSpan w:val="4"/>
                  <w:tcBorders>
                    <w:top w:val="single" w:color="auto" w:sz="12" w:space="0"/>
                    <w:bottom w:val="single" w:color="auto" w:sz="4" w:space="0"/>
                  </w:tcBorders>
                  <w:noWrap w:val="0"/>
                  <w:vAlign w:val="center"/>
                </w:tcPr>
                <w:p w14:paraId="6E1F52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FF0000"/>
                      <w:sz w:val="21"/>
                      <w:szCs w:val="21"/>
                      <w:highlight w:val="none"/>
                      <w:lang w:eastAsia="zh-CN"/>
                    </w:rPr>
                  </w:pPr>
                  <w:r>
                    <w:rPr>
                      <w:rFonts w:hint="eastAsia"/>
                      <w:b/>
                      <w:bCs/>
                      <w:color w:val="FF0000"/>
                      <w:sz w:val="21"/>
                      <w:szCs w:val="21"/>
                      <w:highlight w:val="none"/>
                      <w:lang w:eastAsia="zh-CN"/>
                    </w:rPr>
                    <w:t>计算系数</w:t>
                  </w:r>
                </w:p>
              </w:tc>
              <w:tc>
                <w:tcPr>
                  <w:tcW w:w="1169" w:type="dxa"/>
                  <w:vMerge w:val="restart"/>
                  <w:tcBorders>
                    <w:top w:val="single" w:color="auto" w:sz="12" w:space="0"/>
                  </w:tcBorders>
                  <w:noWrap w:val="0"/>
                  <w:vAlign w:val="center"/>
                </w:tcPr>
                <w:p w14:paraId="56E958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L计算值（m）</w:t>
                  </w:r>
                </w:p>
              </w:tc>
              <w:tc>
                <w:tcPr>
                  <w:tcW w:w="1358" w:type="dxa"/>
                  <w:vMerge w:val="restart"/>
                  <w:tcBorders>
                    <w:top w:val="single" w:color="auto" w:sz="12" w:space="0"/>
                  </w:tcBorders>
                  <w:noWrap w:val="0"/>
                  <w:vAlign w:val="center"/>
                </w:tcPr>
                <w:p w14:paraId="33A0B7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卫生防护距离（m）</w:t>
                  </w:r>
                </w:p>
              </w:tc>
            </w:tr>
            <w:tr w14:paraId="1D49F131">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698" w:type="dxa"/>
                  <w:vMerge w:val="continue"/>
                  <w:noWrap w:val="0"/>
                  <w:vAlign w:val="center"/>
                </w:tcPr>
                <w:p w14:paraId="020B85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rPr>
                  </w:pPr>
                </w:p>
              </w:tc>
              <w:tc>
                <w:tcPr>
                  <w:tcW w:w="695" w:type="dxa"/>
                  <w:vMerge w:val="continue"/>
                  <w:noWrap w:val="0"/>
                  <w:vAlign w:val="center"/>
                </w:tcPr>
                <w:p w14:paraId="39D5C8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rPr>
                  </w:pPr>
                </w:p>
              </w:tc>
              <w:tc>
                <w:tcPr>
                  <w:tcW w:w="1146" w:type="dxa"/>
                  <w:vMerge w:val="continue"/>
                  <w:noWrap w:val="0"/>
                  <w:vAlign w:val="center"/>
                </w:tcPr>
                <w:p w14:paraId="442AA4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rPr>
                  </w:pPr>
                </w:p>
              </w:tc>
              <w:tc>
                <w:tcPr>
                  <w:tcW w:w="931" w:type="dxa"/>
                  <w:vMerge w:val="continue"/>
                  <w:noWrap w:val="0"/>
                  <w:vAlign w:val="center"/>
                </w:tcPr>
                <w:p w14:paraId="5C148A0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rPr>
                  </w:pPr>
                </w:p>
              </w:tc>
              <w:tc>
                <w:tcPr>
                  <w:tcW w:w="531" w:type="dxa"/>
                  <w:tcBorders>
                    <w:top w:val="single" w:color="auto" w:sz="4" w:space="0"/>
                  </w:tcBorders>
                  <w:noWrap w:val="0"/>
                  <w:vAlign w:val="center"/>
                </w:tcPr>
                <w:p w14:paraId="6EE2E4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FF0000"/>
                      <w:sz w:val="21"/>
                      <w:szCs w:val="21"/>
                      <w:highlight w:val="none"/>
                      <w:lang w:val="en-US" w:eastAsia="zh-CN"/>
                    </w:rPr>
                  </w:pPr>
                  <w:r>
                    <w:rPr>
                      <w:rFonts w:hint="eastAsia"/>
                      <w:b/>
                      <w:bCs/>
                      <w:color w:val="FF0000"/>
                      <w:sz w:val="21"/>
                      <w:szCs w:val="21"/>
                      <w:highlight w:val="none"/>
                      <w:lang w:val="en-US" w:eastAsia="zh-CN"/>
                    </w:rPr>
                    <w:t>A</w:t>
                  </w:r>
                </w:p>
              </w:tc>
              <w:tc>
                <w:tcPr>
                  <w:tcW w:w="584" w:type="dxa"/>
                  <w:noWrap w:val="0"/>
                  <w:vAlign w:val="center"/>
                </w:tcPr>
                <w:p w14:paraId="4E346ED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FF0000"/>
                      <w:sz w:val="21"/>
                      <w:szCs w:val="21"/>
                      <w:highlight w:val="none"/>
                      <w:lang w:val="en-US" w:eastAsia="zh-CN"/>
                    </w:rPr>
                  </w:pPr>
                  <w:r>
                    <w:rPr>
                      <w:rFonts w:hint="eastAsia"/>
                      <w:b/>
                      <w:bCs/>
                      <w:color w:val="FF0000"/>
                      <w:sz w:val="21"/>
                      <w:szCs w:val="21"/>
                      <w:highlight w:val="none"/>
                      <w:lang w:val="en-US" w:eastAsia="zh-CN"/>
                    </w:rPr>
                    <w:t>B</w:t>
                  </w:r>
                </w:p>
              </w:tc>
              <w:tc>
                <w:tcPr>
                  <w:tcW w:w="584" w:type="dxa"/>
                  <w:noWrap w:val="0"/>
                  <w:vAlign w:val="center"/>
                </w:tcPr>
                <w:p w14:paraId="25DE0F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FF0000"/>
                      <w:sz w:val="21"/>
                      <w:szCs w:val="21"/>
                      <w:highlight w:val="none"/>
                      <w:lang w:val="en-US" w:eastAsia="zh-CN"/>
                    </w:rPr>
                  </w:pPr>
                  <w:r>
                    <w:rPr>
                      <w:rFonts w:hint="eastAsia"/>
                      <w:b/>
                      <w:bCs/>
                      <w:color w:val="FF0000"/>
                      <w:sz w:val="21"/>
                      <w:szCs w:val="21"/>
                      <w:highlight w:val="none"/>
                      <w:lang w:val="en-US" w:eastAsia="zh-CN"/>
                    </w:rPr>
                    <w:t>C</w:t>
                  </w:r>
                </w:p>
              </w:tc>
              <w:tc>
                <w:tcPr>
                  <w:tcW w:w="584" w:type="dxa"/>
                  <w:noWrap w:val="0"/>
                  <w:vAlign w:val="center"/>
                </w:tcPr>
                <w:p w14:paraId="205BEEF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eastAsia="宋体"/>
                      <w:b/>
                      <w:bCs/>
                      <w:color w:val="FF0000"/>
                      <w:sz w:val="21"/>
                      <w:szCs w:val="21"/>
                      <w:highlight w:val="none"/>
                      <w:lang w:val="en-US" w:eastAsia="zh-CN"/>
                    </w:rPr>
                  </w:pPr>
                  <w:r>
                    <w:rPr>
                      <w:rFonts w:hint="eastAsia"/>
                      <w:b/>
                      <w:bCs/>
                      <w:color w:val="FF0000"/>
                      <w:sz w:val="21"/>
                      <w:szCs w:val="21"/>
                      <w:highlight w:val="none"/>
                      <w:lang w:val="en-US" w:eastAsia="zh-CN"/>
                    </w:rPr>
                    <w:t>D</w:t>
                  </w:r>
                </w:p>
              </w:tc>
              <w:tc>
                <w:tcPr>
                  <w:tcW w:w="1169" w:type="dxa"/>
                  <w:vMerge w:val="continue"/>
                  <w:noWrap w:val="0"/>
                  <w:vAlign w:val="center"/>
                </w:tcPr>
                <w:p w14:paraId="5603498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p>
              </w:tc>
              <w:tc>
                <w:tcPr>
                  <w:tcW w:w="1358" w:type="dxa"/>
                  <w:vMerge w:val="continue"/>
                  <w:noWrap w:val="0"/>
                  <w:vAlign w:val="center"/>
                </w:tcPr>
                <w:p w14:paraId="6CB2CA9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p>
              </w:tc>
            </w:tr>
            <w:tr w14:paraId="23472352">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698" w:type="dxa"/>
                  <w:tcBorders>
                    <w:bottom w:val="single" w:color="auto" w:sz="12" w:space="0"/>
                  </w:tcBorders>
                  <w:noWrap w:val="0"/>
                  <w:vAlign w:val="center"/>
                </w:tcPr>
                <w:p w14:paraId="18A526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生产车间</w:t>
                  </w:r>
                </w:p>
              </w:tc>
              <w:tc>
                <w:tcPr>
                  <w:tcW w:w="695" w:type="dxa"/>
                  <w:tcBorders>
                    <w:bottom w:val="single" w:color="auto" w:sz="12" w:space="0"/>
                  </w:tcBorders>
                  <w:noWrap w:val="0"/>
                  <w:vAlign w:val="center"/>
                </w:tcPr>
                <w:p w14:paraId="15A58E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TSP</w:t>
                  </w:r>
                </w:p>
              </w:tc>
              <w:tc>
                <w:tcPr>
                  <w:tcW w:w="1146" w:type="dxa"/>
                  <w:tcBorders>
                    <w:bottom w:val="single" w:color="auto" w:sz="12" w:space="0"/>
                  </w:tcBorders>
                  <w:noWrap w:val="0"/>
                  <w:vAlign w:val="center"/>
                </w:tcPr>
                <w:p w14:paraId="2263B6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0.396</w:t>
                  </w:r>
                </w:p>
              </w:tc>
              <w:tc>
                <w:tcPr>
                  <w:tcW w:w="931" w:type="dxa"/>
                  <w:tcBorders>
                    <w:bottom w:val="single" w:color="auto" w:sz="12" w:space="0"/>
                  </w:tcBorders>
                  <w:noWrap w:val="0"/>
                  <w:vAlign w:val="center"/>
                </w:tcPr>
                <w:p w14:paraId="1B2AF5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8000</w:t>
                  </w:r>
                </w:p>
              </w:tc>
              <w:tc>
                <w:tcPr>
                  <w:tcW w:w="531" w:type="dxa"/>
                  <w:tcBorders>
                    <w:bottom w:val="single" w:color="auto" w:sz="12" w:space="0"/>
                  </w:tcBorders>
                  <w:noWrap w:val="0"/>
                  <w:vAlign w:val="center"/>
                </w:tcPr>
                <w:p w14:paraId="02A842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400</w:t>
                  </w:r>
                </w:p>
              </w:tc>
              <w:tc>
                <w:tcPr>
                  <w:tcW w:w="584" w:type="dxa"/>
                  <w:tcBorders>
                    <w:bottom w:val="single" w:color="auto" w:sz="12" w:space="0"/>
                  </w:tcBorders>
                  <w:noWrap w:val="0"/>
                  <w:vAlign w:val="center"/>
                </w:tcPr>
                <w:p w14:paraId="5C5B9B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0.01</w:t>
                  </w:r>
                </w:p>
              </w:tc>
              <w:tc>
                <w:tcPr>
                  <w:tcW w:w="584" w:type="dxa"/>
                  <w:tcBorders>
                    <w:bottom w:val="single" w:color="auto" w:sz="12" w:space="0"/>
                  </w:tcBorders>
                  <w:noWrap w:val="0"/>
                  <w:vAlign w:val="center"/>
                </w:tcPr>
                <w:p w14:paraId="513ED0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1.85</w:t>
                  </w:r>
                </w:p>
              </w:tc>
              <w:tc>
                <w:tcPr>
                  <w:tcW w:w="584" w:type="dxa"/>
                  <w:tcBorders>
                    <w:bottom w:val="single" w:color="auto" w:sz="12" w:space="0"/>
                  </w:tcBorders>
                  <w:noWrap w:val="0"/>
                  <w:vAlign w:val="center"/>
                </w:tcPr>
                <w:p w14:paraId="5F7CBC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lang w:val="en-US" w:eastAsia="zh-CN"/>
                    </w:rPr>
                  </w:pPr>
                  <w:r>
                    <w:rPr>
                      <w:rFonts w:hint="eastAsia"/>
                      <w:color w:val="FF0000"/>
                      <w:sz w:val="21"/>
                      <w:szCs w:val="21"/>
                      <w:highlight w:val="none"/>
                      <w:lang w:val="en-US" w:eastAsia="zh-CN"/>
                    </w:rPr>
                    <w:t>0.78</w:t>
                  </w:r>
                </w:p>
              </w:tc>
              <w:tc>
                <w:tcPr>
                  <w:tcW w:w="1169" w:type="dxa"/>
                  <w:tcBorders>
                    <w:bottom w:val="single" w:color="auto" w:sz="12" w:space="0"/>
                  </w:tcBorders>
                  <w:noWrap w:val="0"/>
                  <w:vAlign w:val="center"/>
                </w:tcPr>
                <w:p w14:paraId="234318E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FF0000"/>
                      <w:sz w:val="21"/>
                      <w:szCs w:val="21"/>
                      <w:highlight w:val="none"/>
                      <w:lang w:val="en-US" w:eastAsia="zh-CN"/>
                    </w:rPr>
                    <w:t>13.649</w:t>
                  </w:r>
                </w:p>
              </w:tc>
              <w:tc>
                <w:tcPr>
                  <w:tcW w:w="1358" w:type="dxa"/>
                  <w:tcBorders>
                    <w:bottom w:val="single" w:color="auto" w:sz="12" w:space="0"/>
                  </w:tcBorders>
                  <w:noWrap w:val="0"/>
                  <w:vAlign w:val="center"/>
                </w:tcPr>
                <w:p w14:paraId="6A61A2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50</w:t>
                  </w:r>
                </w:p>
              </w:tc>
            </w:tr>
          </w:tbl>
          <w:p w14:paraId="3192591A">
            <w:pPr>
              <w:pStyle w:val="77"/>
              <w:keepNext w:val="0"/>
              <w:keepLines w:val="0"/>
              <w:suppressLineNumbers w:val="0"/>
              <w:bidi w:val="0"/>
              <w:spacing w:before="0" w:beforeAutospacing="0" w:after="0" w:afterAutospacing="0"/>
              <w:ind w:left="0" w:right="0"/>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5236210" cy="2686685"/>
                  <wp:effectExtent l="9525" t="9525" r="12065" b="27940"/>
                  <wp:docPr id="7" name="图片 7" descr="44fc8c39-0d66-438e-81d0-8a1ff2d94a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4fc8c39-0d66-438e-81d0-8a1ff2d94af6"/>
                          <pic:cNvPicPr>
                            <a:picLocks noChangeAspect="1"/>
                          </pic:cNvPicPr>
                        </pic:nvPicPr>
                        <pic:blipFill>
                          <a:blip r:embed="rId21"/>
                          <a:stretch>
                            <a:fillRect/>
                          </a:stretch>
                        </pic:blipFill>
                        <pic:spPr>
                          <a:xfrm>
                            <a:off x="0" y="0"/>
                            <a:ext cx="5236210" cy="2686685"/>
                          </a:xfrm>
                          <a:prstGeom prst="rect">
                            <a:avLst/>
                          </a:prstGeom>
                          <a:ln>
                            <a:solidFill>
                              <a:schemeClr val="tx1"/>
                            </a:solidFill>
                          </a:ln>
                        </pic:spPr>
                      </pic:pic>
                    </a:graphicData>
                  </a:graphic>
                </wp:inline>
              </w:drawing>
            </w:r>
          </w:p>
          <w:p w14:paraId="57AFA28B">
            <w:pPr>
              <w:pStyle w:val="76"/>
              <w:keepNext w:val="0"/>
              <w:keepLines w:val="0"/>
              <w:suppressLineNumbers w:val="0"/>
              <w:spacing w:before="0" w:beforeAutospacing="0" w:after="0" w:afterAutospacing="0" w:line="240" w:lineRule="auto"/>
              <w:ind w:left="0" w:right="0" w:firstLine="0" w:firstLineChars="0"/>
              <w:jc w:val="center"/>
              <w:rPr>
                <w:rFonts w:hint="default"/>
                <w:b/>
                <w:color w:val="FF0000"/>
                <w:sz w:val="21"/>
                <w:szCs w:val="21"/>
              </w:rPr>
            </w:pPr>
            <w:r>
              <w:rPr>
                <w:rFonts w:hint="eastAsia"/>
                <w:b/>
                <w:color w:val="FF0000"/>
                <w:sz w:val="21"/>
                <w:szCs w:val="21"/>
                <w:highlight w:val="green"/>
              </w:rPr>
              <w:t>图4-1 卫生防护距离计算截图</w:t>
            </w:r>
          </w:p>
          <w:p w14:paraId="161C4D2D">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因此经计算可知，本项目卫生防护距离定为</w:t>
            </w:r>
            <w:r>
              <w:rPr>
                <w:rFonts w:hint="eastAsia"/>
                <w:color w:val="auto"/>
                <w:highlight w:val="none"/>
                <w:lang w:val="en-US" w:eastAsia="zh-CN"/>
              </w:rPr>
              <w:t>租赁厂房往</w:t>
            </w:r>
            <w:r>
              <w:rPr>
                <w:rFonts w:hint="default"/>
                <w:color w:val="auto"/>
                <w:highlight w:val="none"/>
              </w:rPr>
              <w:t>外延</w:t>
            </w:r>
            <w:r>
              <w:rPr>
                <w:rFonts w:hint="eastAsia"/>
                <w:color w:val="auto"/>
                <w:highlight w:val="none"/>
                <w:lang w:val="en-US" w:eastAsia="zh-CN"/>
              </w:rPr>
              <w:t>50</w:t>
            </w:r>
            <w:r>
              <w:rPr>
                <w:rFonts w:hint="default"/>
                <w:color w:val="auto"/>
                <w:highlight w:val="none"/>
              </w:rPr>
              <w:t>m。</w:t>
            </w:r>
          </w:p>
          <w:p w14:paraId="79D6C952">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根据现场勘查可知，本项目</w:t>
            </w:r>
            <w:r>
              <w:rPr>
                <w:rFonts w:hint="eastAsia"/>
                <w:color w:val="auto"/>
                <w:highlight w:val="none"/>
                <w:lang w:val="en-US" w:eastAsia="zh-CN"/>
              </w:rPr>
              <w:t>50米范围内无</w:t>
            </w:r>
            <w:r>
              <w:rPr>
                <w:rFonts w:hint="default"/>
                <w:color w:val="auto"/>
                <w:highlight w:val="none"/>
              </w:rPr>
              <w:t>环境敏感点，因此本项目无组织废气对周边敏感目标影响较小。</w:t>
            </w:r>
          </w:p>
          <w:p w14:paraId="4CD4411C">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7</w:t>
            </w:r>
            <w:r>
              <w:rPr>
                <w:rFonts w:hint="default"/>
                <w:b/>
                <w:bCs w:val="0"/>
                <w:color w:val="auto"/>
                <w:highlight w:val="none"/>
              </w:rPr>
              <w:t>、废气</w:t>
            </w:r>
            <w:r>
              <w:rPr>
                <w:rFonts w:hint="eastAsia"/>
                <w:b/>
                <w:bCs w:val="0"/>
                <w:color w:val="auto"/>
                <w:highlight w:val="none"/>
              </w:rPr>
              <w:t>自行</w:t>
            </w:r>
            <w:r>
              <w:rPr>
                <w:rFonts w:hint="default"/>
                <w:b/>
                <w:bCs w:val="0"/>
                <w:color w:val="auto"/>
                <w:highlight w:val="none"/>
              </w:rPr>
              <w:t>监测要求</w:t>
            </w:r>
          </w:p>
          <w:p w14:paraId="7B4C0BE5">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根据本项目工程特点，并结合《排污许可证申请与核发技术规范总则》（HJ942-2018）</w:t>
            </w:r>
            <w:r>
              <w:rPr>
                <w:rFonts w:hint="eastAsia"/>
                <w:color w:val="auto"/>
                <w:highlight w:val="none"/>
              </w:rPr>
              <w:t>、《排污许可证申请与核发技术规范</w:t>
            </w:r>
            <w:r>
              <w:rPr>
                <w:rFonts w:hint="eastAsia"/>
                <w:color w:val="auto"/>
                <w:highlight w:val="none"/>
                <w:lang w:val="en-US" w:eastAsia="zh-CN"/>
              </w:rPr>
              <w:t xml:space="preserve"> </w:t>
            </w:r>
            <w:r>
              <w:rPr>
                <w:rFonts w:hint="eastAsia"/>
                <w:color w:val="auto"/>
                <w:highlight w:val="none"/>
              </w:rPr>
              <w:t>废弃资源加工工业》（HJ1034）和</w:t>
            </w:r>
            <w:r>
              <w:rPr>
                <w:rFonts w:hint="default"/>
                <w:color w:val="auto"/>
                <w:highlight w:val="none"/>
              </w:rPr>
              <w:t>《</w:t>
            </w:r>
            <w:r>
              <w:rPr>
                <w:rFonts w:hint="eastAsia"/>
                <w:color w:val="auto"/>
                <w:highlight w:val="none"/>
              </w:rPr>
              <w:t>排污单位自行监测技术指南</w:t>
            </w:r>
            <w:r>
              <w:rPr>
                <w:rFonts w:hint="eastAsia"/>
                <w:color w:val="auto"/>
                <w:highlight w:val="none"/>
                <w:lang w:val="en-US" w:eastAsia="zh-CN"/>
              </w:rPr>
              <w:t xml:space="preserve"> </w:t>
            </w:r>
            <w:r>
              <w:rPr>
                <w:rFonts w:hint="eastAsia"/>
                <w:color w:val="auto"/>
                <w:highlight w:val="none"/>
              </w:rPr>
              <w:t>砖瓦工业</w:t>
            </w:r>
            <w:r>
              <w:rPr>
                <w:rFonts w:hint="default"/>
                <w:color w:val="auto"/>
                <w:highlight w:val="none"/>
              </w:rPr>
              <w:t>》（HJ</w:t>
            </w:r>
            <w:r>
              <w:rPr>
                <w:rFonts w:hint="eastAsia"/>
                <w:color w:val="auto"/>
                <w:highlight w:val="none"/>
                <w:lang w:val="en-US" w:eastAsia="zh-CN"/>
              </w:rPr>
              <w:t>1254</w:t>
            </w:r>
            <w:r>
              <w:rPr>
                <w:rFonts w:hint="default"/>
                <w:color w:val="auto"/>
                <w:highlight w:val="none"/>
              </w:rPr>
              <w:t>-20</w:t>
            </w:r>
            <w:r>
              <w:rPr>
                <w:rFonts w:hint="eastAsia"/>
                <w:color w:val="auto"/>
                <w:highlight w:val="none"/>
                <w:lang w:val="en-US" w:eastAsia="zh-CN"/>
              </w:rPr>
              <w:t>22</w:t>
            </w:r>
            <w:r>
              <w:rPr>
                <w:rFonts w:hint="default"/>
                <w:color w:val="auto"/>
                <w:highlight w:val="none"/>
              </w:rPr>
              <w:t>）</w:t>
            </w:r>
            <w:r>
              <w:rPr>
                <w:rFonts w:hint="eastAsia"/>
                <w:color w:val="auto"/>
                <w:highlight w:val="none"/>
              </w:rPr>
              <w:t>的相关规定</w:t>
            </w:r>
            <w:r>
              <w:rPr>
                <w:rFonts w:hint="default"/>
                <w:color w:val="auto"/>
                <w:highlight w:val="none"/>
              </w:rPr>
              <w:t>，废气排放监测计划见下表。</w:t>
            </w:r>
          </w:p>
          <w:p w14:paraId="098B1BD8">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color w:val="auto"/>
                <w:highlight w:val="none"/>
              </w:rPr>
            </w:pPr>
            <w:r>
              <w:rPr>
                <w:rFonts w:hint="default" w:ascii="Times New Roman" w:hAnsi="Times New Roman" w:eastAsia="宋体" w:cs="Times New Roman"/>
                <w:color w:val="auto"/>
                <w:sz w:val="21"/>
                <w:szCs w:val="21"/>
                <w:highlight w:val="none"/>
                <w:lang w:val="en-US" w:eastAsia="zh-CN"/>
              </w:rPr>
              <w:t>本项目废气监测计划一览表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37"/>
              <w:gridCol w:w="1521"/>
              <w:gridCol w:w="1325"/>
              <w:gridCol w:w="4254"/>
            </w:tblGrid>
            <w:tr w14:paraId="617D86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noWrap w:val="0"/>
                  <w:vAlign w:val="center"/>
                </w:tcPr>
                <w:p w14:paraId="659B8E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监测点位</w:t>
                  </w:r>
                </w:p>
              </w:tc>
              <w:tc>
                <w:tcPr>
                  <w:tcW w:w="923" w:type="pct"/>
                  <w:noWrap w:val="0"/>
                  <w:vAlign w:val="center"/>
                </w:tcPr>
                <w:p w14:paraId="1BDD59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监测指标</w:t>
                  </w:r>
                </w:p>
              </w:tc>
              <w:tc>
                <w:tcPr>
                  <w:tcW w:w="804" w:type="pct"/>
                  <w:noWrap w:val="0"/>
                  <w:vAlign w:val="center"/>
                </w:tcPr>
                <w:p w14:paraId="3282C2F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监测频次</w:t>
                  </w:r>
                </w:p>
              </w:tc>
              <w:tc>
                <w:tcPr>
                  <w:tcW w:w="2581" w:type="pct"/>
                  <w:noWrap w:val="0"/>
                  <w:vAlign w:val="center"/>
                </w:tcPr>
                <w:p w14:paraId="0F38564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b/>
                      <w:bCs/>
                      <w:color w:val="auto"/>
                      <w:sz w:val="21"/>
                      <w:szCs w:val="21"/>
                      <w:highlight w:val="none"/>
                    </w:rPr>
                  </w:pPr>
                  <w:r>
                    <w:rPr>
                      <w:rFonts w:hint="default"/>
                      <w:b/>
                      <w:bCs/>
                      <w:color w:val="auto"/>
                      <w:sz w:val="21"/>
                      <w:szCs w:val="21"/>
                      <w:highlight w:val="none"/>
                    </w:rPr>
                    <w:t>执行排放标准</w:t>
                  </w:r>
                </w:p>
              </w:tc>
            </w:tr>
            <w:tr w14:paraId="576973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vMerge w:val="restart"/>
                  <w:noWrap w:val="0"/>
                  <w:vAlign w:val="center"/>
                </w:tcPr>
                <w:p w14:paraId="5697E36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lang w:val="en-US" w:eastAsia="zh-CN"/>
                    </w:rPr>
                    <w:t>DA003</w:t>
                  </w:r>
                </w:p>
              </w:tc>
              <w:tc>
                <w:tcPr>
                  <w:tcW w:w="923" w:type="pct"/>
                  <w:noWrap w:val="0"/>
                  <w:vAlign w:val="center"/>
                </w:tcPr>
                <w:p w14:paraId="79C2C6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颗粒物</w:t>
                  </w:r>
                </w:p>
              </w:tc>
              <w:tc>
                <w:tcPr>
                  <w:tcW w:w="804" w:type="pct"/>
                  <w:noWrap w:val="0"/>
                  <w:vAlign w:val="center"/>
                </w:tcPr>
                <w:p w14:paraId="0827725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color w:val="auto"/>
                      <w:sz w:val="21"/>
                      <w:szCs w:val="21"/>
                      <w:highlight w:val="none"/>
                    </w:rPr>
                    <w:t>1次/</w:t>
                  </w:r>
                  <w:r>
                    <w:rPr>
                      <w:rFonts w:hint="eastAsia"/>
                      <w:color w:val="auto"/>
                      <w:sz w:val="21"/>
                      <w:szCs w:val="21"/>
                      <w:highlight w:val="none"/>
                      <w:lang w:val="en-US" w:eastAsia="zh-CN"/>
                    </w:rPr>
                    <w:t>年</w:t>
                  </w:r>
                </w:p>
              </w:tc>
              <w:tc>
                <w:tcPr>
                  <w:tcW w:w="2581" w:type="pct"/>
                  <w:noWrap w:val="0"/>
                  <w:vAlign w:val="center"/>
                </w:tcPr>
                <w:p w14:paraId="4CEC8F6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《大气污染物综合排放标准》（GB16297-1996）表2</w:t>
                  </w:r>
                </w:p>
              </w:tc>
            </w:tr>
            <w:tr w14:paraId="5FBF1E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690" w:type="pct"/>
                  <w:vMerge w:val="continue"/>
                  <w:noWrap w:val="0"/>
                  <w:vAlign w:val="center"/>
                </w:tcPr>
                <w:p w14:paraId="7635FF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c>
                <w:tcPr>
                  <w:tcW w:w="923" w:type="pct"/>
                  <w:shd w:val="clear" w:color="auto" w:fill="auto"/>
                  <w:noWrap w:val="0"/>
                  <w:vAlign w:val="center"/>
                </w:tcPr>
                <w:p w14:paraId="2C24C69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rPr>
                    <w:t>氟化物</w:t>
                  </w:r>
                </w:p>
              </w:tc>
              <w:tc>
                <w:tcPr>
                  <w:tcW w:w="804" w:type="pct"/>
                  <w:shd w:val="clear" w:color="auto" w:fill="auto"/>
                  <w:noWrap w:val="0"/>
                  <w:vAlign w:val="center"/>
                </w:tcPr>
                <w:p w14:paraId="2175E2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1次/</w:t>
                  </w:r>
                  <w:r>
                    <w:rPr>
                      <w:rFonts w:hint="eastAsia"/>
                      <w:color w:val="auto"/>
                      <w:sz w:val="21"/>
                      <w:szCs w:val="21"/>
                      <w:highlight w:val="none"/>
                      <w:lang w:val="en-US" w:eastAsia="zh-CN"/>
                    </w:rPr>
                    <w:t>年</w:t>
                  </w:r>
                </w:p>
              </w:tc>
              <w:tc>
                <w:tcPr>
                  <w:tcW w:w="2581" w:type="pct"/>
                  <w:vMerge w:val="restart"/>
                  <w:shd w:val="clear" w:color="auto" w:fill="auto"/>
                  <w:noWrap w:val="0"/>
                  <w:vAlign w:val="center"/>
                </w:tcPr>
                <w:p w14:paraId="49ADCB8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rPr>
                    <w:t>《无机化学工业污染物排放标准》（GB31573-2015）</w:t>
                  </w:r>
                </w:p>
              </w:tc>
            </w:tr>
            <w:tr w14:paraId="077E30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vMerge w:val="continue"/>
                  <w:noWrap w:val="0"/>
                  <w:vAlign w:val="center"/>
                </w:tcPr>
                <w:p w14:paraId="27A2FD6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c>
                <w:tcPr>
                  <w:tcW w:w="923" w:type="pct"/>
                  <w:shd w:val="clear" w:color="auto" w:fill="auto"/>
                  <w:noWrap w:val="0"/>
                  <w:vAlign w:val="center"/>
                </w:tcPr>
                <w:p w14:paraId="71449E0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eastAsia"/>
                      <w:color w:val="auto"/>
                      <w:sz w:val="21"/>
                      <w:szCs w:val="21"/>
                      <w:highlight w:val="none"/>
                    </w:rPr>
                    <w:t>铊及其化合物</w:t>
                  </w:r>
                </w:p>
              </w:tc>
              <w:tc>
                <w:tcPr>
                  <w:tcW w:w="804" w:type="pct"/>
                  <w:shd w:val="clear" w:color="auto" w:fill="auto"/>
                  <w:noWrap w:val="0"/>
                  <w:vAlign w:val="center"/>
                </w:tcPr>
                <w:p w14:paraId="0FD200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lang w:val="en-US" w:eastAsia="zh-CN"/>
                    </w:rPr>
                  </w:pPr>
                  <w:r>
                    <w:rPr>
                      <w:rFonts w:hint="default"/>
                      <w:color w:val="auto"/>
                      <w:sz w:val="21"/>
                      <w:szCs w:val="21"/>
                      <w:highlight w:val="none"/>
                    </w:rPr>
                    <w:t>1次/</w:t>
                  </w:r>
                  <w:r>
                    <w:rPr>
                      <w:rFonts w:hint="eastAsia"/>
                      <w:color w:val="auto"/>
                      <w:sz w:val="21"/>
                      <w:szCs w:val="21"/>
                      <w:highlight w:val="none"/>
                      <w:lang w:val="en-US" w:eastAsia="zh-CN"/>
                    </w:rPr>
                    <w:t>年</w:t>
                  </w:r>
                </w:p>
              </w:tc>
              <w:tc>
                <w:tcPr>
                  <w:tcW w:w="2581" w:type="pct"/>
                  <w:vMerge w:val="continue"/>
                  <w:shd w:val="clear" w:color="auto" w:fill="auto"/>
                  <w:noWrap w:val="0"/>
                  <w:vAlign w:val="center"/>
                </w:tcPr>
                <w:p w14:paraId="552299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r>
            <w:tr w14:paraId="0A028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8" w:type="dxa"/>
                  <w:vMerge w:val="restart"/>
                  <w:noWrap w:val="0"/>
                  <w:vAlign w:val="center"/>
                </w:tcPr>
                <w:p w14:paraId="5EA0B6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lang w:val="en-US" w:eastAsia="zh-CN"/>
                    </w:rPr>
                    <w:t>DA004</w:t>
                  </w:r>
                </w:p>
              </w:tc>
              <w:tc>
                <w:tcPr>
                  <w:tcW w:w="1522" w:type="dxa"/>
                  <w:shd w:val="clear" w:color="auto" w:fill="auto"/>
                  <w:noWrap w:val="0"/>
                  <w:vAlign w:val="center"/>
                </w:tcPr>
                <w:p w14:paraId="7D4164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color w:val="auto"/>
                      <w:sz w:val="21"/>
                      <w:szCs w:val="21"/>
                      <w:highlight w:val="none"/>
                    </w:rPr>
                    <w:t>颗粒物</w:t>
                  </w:r>
                </w:p>
              </w:tc>
              <w:tc>
                <w:tcPr>
                  <w:tcW w:w="1325" w:type="dxa"/>
                  <w:shd w:val="clear" w:color="auto" w:fill="auto"/>
                  <w:noWrap w:val="0"/>
                  <w:vAlign w:val="center"/>
                </w:tcPr>
                <w:p w14:paraId="605E8A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1次/</w:t>
                  </w:r>
                  <w:r>
                    <w:rPr>
                      <w:rFonts w:hint="eastAsia"/>
                      <w:color w:val="auto"/>
                      <w:sz w:val="21"/>
                      <w:szCs w:val="21"/>
                      <w:highlight w:val="none"/>
                      <w:lang w:val="en-US" w:eastAsia="zh-CN"/>
                    </w:rPr>
                    <w:t>年</w:t>
                  </w:r>
                </w:p>
              </w:tc>
              <w:tc>
                <w:tcPr>
                  <w:tcW w:w="4252" w:type="dxa"/>
                  <w:shd w:val="clear" w:color="auto" w:fill="auto"/>
                  <w:noWrap w:val="0"/>
                  <w:vAlign w:val="center"/>
                </w:tcPr>
                <w:p w14:paraId="710837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rPr>
                    <w:t>《大气污染物综合排放标准》（GB16297-1996）表2</w:t>
                  </w:r>
                </w:p>
              </w:tc>
            </w:tr>
            <w:tr w14:paraId="5C1FB7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8" w:type="dxa"/>
                  <w:vMerge w:val="continue"/>
                  <w:noWrap w:val="0"/>
                  <w:vAlign w:val="center"/>
                </w:tcPr>
                <w:p w14:paraId="0BAA0B9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c>
                <w:tcPr>
                  <w:tcW w:w="1522" w:type="dxa"/>
                  <w:shd w:val="clear" w:color="auto" w:fill="auto"/>
                  <w:noWrap w:val="0"/>
                  <w:vAlign w:val="center"/>
                </w:tcPr>
                <w:p w14:paraId="7DC17C6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eastAsia"/>
                      <w:color w:val="auto"/>
                      <w:sz w:val="21"/>
                      <w:szCs w:val="21"/>
                      <w:highlight w:val="none"/>
                    </w:rPr>
                    <w:t>氟化物</w:t>
                  </w:r>
                </w:p>
              </w:tc>
              <w:tc>
                <w:tcPr>
                  <w:tcW w:w="1325" w:type="dxa"/>
                  <w:shd w:val="clear" w:color="auto" w:fill="auto"/>
                  <w:noWrap w:val="0"/>
                  <w:vAlign w:val="center"/>
                </w:tcPr>
                <w:p w14:paraId="504398C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1次/</w:t>
                  </w:r>
                  <w:r>
                    <w:rPr>
                      <w:rFonts w:hint="eastAsia"/>
                      <w:color w:val="auto"/>
                      <w:sz w:val="21"/>
                      <w:szCs w:val="21"/>
                      <w:highlight w:val="none"/>
                      <w:lang w:val="en-US" w:eastAsia="zh-CN"/>
                    </w:rPr>
                    <w:t>年</w:t>
                  </w:r>
                </w:p>
              </w:tc>
              <w:tc>
                <w:tcPr>
                  <w:tcW w:w="4252" w:type="dxa"/>
                  <w:vMerge w:val="restart"/>
                  <w:shd w:val="clear" w:color="auto" w:fill="auto"/>
                  <w:noWrap w:val="0"/>
                  <w:vAlign w:val="center"/>
                </w:tcPr>
                <w:p w14:paraId="2A98D6D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r>
                    <w:rPr>
                      <w:rFonts w:hint="eastAsia"/>
                      <w:color w:val="auto"/>
                      <w:sz w:val="21"/>
                      <w:szCs w:val="21"/>
                      <w:highlight w:val="none"/>
                    </w:rPr>
                    <w:t>《无机化学工业污染物排放标准》（GB31573-2015）</w:t>
                  </w:r>
                </w:p>
              </w:tc>
            </w:tr>
            <w:tr w14:paraId="19EC96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38" w:type="dxa"/>
                  <w:vMerge w:val="continue"/>
                  <w:noWrap w:val="0"/>
                  <w:vAlign w:val="center"/>
                </w:tcPr>
                <w:p w14:paraId="654EB3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c>
                <w:tcPr>
                  <w:tcW w:w="1522" w:type="dxa"/>
                  <w:shd w:val="clear" w:color="auto" w:fill="auto"/>
                  <w:noWrap w:val="0"/>
                  <w:vAlign w:val="center"/>
                </w:tcPr>
                <w:p w14:paraId="7E3624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eastAsia"/>
                      <w:color w:val="auto"/>
                      <w:sz w:val="21"/>
                      <w:szCs w:val="21"/>
                      <w:highlight w:val="none"/>
                    </w:rPr>
                    <w:t>铊及其化合物</w:t>
                  </w:r>
                </w:p>
              </w:tc>
              <w:tc>
                <w:tcPr>
                  <w:tcW w:w="1325" w:type="dxa"/>
                  <w:shd w:val="clear" w:color="auto" w:fill="auto"/>
                  <w:noWrap w:val="0"/>
                  <w:vAlign w:val="center"/>
                </w:tcPr>
                <w:p w14:paraId="5944BAA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1次/</w:t>
                  </w:r>
                  <w:r>
                    <w:rPr>
                      <w:rFonts w:hint="eastAsia"/>
                      <w:color w:val="auto"/>
                      <w:sz w:val="21"/>
                      <w:szCs w:val="21"/>
                      <w:highlight w:val="none"/>
                      <w:lang w:val="en-US" w:eastAsia="zh-CN"/>
                    </w:rPr>
                    <w:t>年</w:t>
                  </w:r>
                </w:p>
              </w:tc>
              <w:tc>
                <w:tcPr>
                  <w:tcW w:w="4252" w:type="dxa"/>
                  <w:vMerge w:val="continue"/>
                  <w:shd w:val="clear" w:color="auto" w:fill="auto"/>
                  <w:noWrap w:val="0"/>
                  <w:vAlign w:val="center"/>
                </w:tcPr>
                <w:p w14:paraId="2743E9A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val="en-US" w:eastAsia="zh-CN"/>
                    </w:rPr>
                  </w:pPr>
                </w:p>
              </w:tc>
            </w:tr>
            <w:tr w14:paraId="73CD01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0" w:type="pct"/>
                  <w:noWrap w:val="0"/>
                  <w:vAlign w:val="center"/>
                </w:tcPr>
                <w:p w14:paraId="5988083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rPr>
                  </w:pPr>
                  <w:r>
                    <w:rPr>
                      <w:rFonts w:hint="default"/>
                      <w:color w:val="auto"/>
                      <w:sz w:val="21"/>
                      <w:szCs w:val="21"/>
                      <w:highlight w:val="none"/>
                    </w:rPr>
                    <w:t>厂</w:t>
                  </w:r>
                  <w:r>
                    <w:rPr>
                      <w:rFonts w:hint="eastAsia"/>
                      <w:color w:val="auto"/>
                      <w:sz w:val="21"/>
                      <w:szCs w:val="21"/>
                      <w:highlight w:val="none"/>
                    </w:rPr>
                    <w:t>界</w:t>
                  </w:r>
                </w:p>
              </w:tc>
              <w:tc>
                <w:tcPr>
                  <w:tcW w:w="923" w:type="pct"/>
                  <w:noWrap w:val="0"/>
                  <w:vAlign w:val="center"/>
                </w:tcPr>
                <w:p w14:paraId="7072EA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default"/>
                      <w:color w:val="auto"/>
                      <w:sz w:val="21"/>
                      <w:szCs w:val="21"/>
                      <w:highlight w:val="none"/>
                    </w:rPr>
                    <w:t>颗粒物</w:t>
                  </w:r>
                </w:p>
              </w:tc>
              <w:tc>
                <w:tcPr>
                  <w:tcW w:w="804" w:type="pct"/>
                  <w:noWrap w:val="0"/>
                  <w:vAlign w:val="center"/>
                </w:tcPr>
                <w:p w14:paraId="33FFDB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sz w:val="21"/>
                      <w:szCs w:val="21"/>
                      <w:highlight w:val="none"/>
                      <w:lang w:eastAsia="zh-CN"/>
                    </w:rPr>
                  </w:pPr>
                  <w:r>
                    <w:rPr>
                      <w:rFonts w:hint="default"/>
                      <w:color w:val="auto"/>
                      <w:sz w:val="21"/>
                      <w:szCs w:val="21"/>
                      <w:highlight w:val="none"/>
                    </w:rPr>
                    <w:t>1次/</w:t>
                  </w:r>
                  <w:r>
                    <w:rPr>
                      <w:rFonts w:hint="eastAsia"/>
                      <w:color w:val="auto"/>
                      <w:sz w:val="21"/>
                      <w:szCs w:val="21"/>
                      <w:highlight w:val="none"/>
                      <w:lang w:val="en-US" w:eastAsia="zh-CN"/>
                    </w:rPr>
                    <w:t>年</w:t>
                  </w:r>
                </w:p>
              </w:tc>
              <w:tc>
                <w:tcPr>
                  <w:tcW w:w="2581" w:type="pct"/>
                  <w:noWrap w:val="0"/>
                  <w:vAlign w:val="center"/>
                </w:tcPr>
                <w:p w14:paraId="5CA7B33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21"/>
                      <w:szCs w:val="21"/>
                      <w:highlight w:val="none"/>
                    </w:rPr>
                  </w:pPr>
                  <w:r>
                    <w:rPr>
                      <w:rFonts w:hint="eastAsia"/>
                      <w:color w:val="auto"/>
                      <w:sz w:val="21"/>
                      <w:szCs w:val="21"/>
                      <w:highlight w:val="none"/>
                    </w:rPr>
                    <w:t>《大气污染物综合排放标准》（GB16297-1996）表2</w:t>
                  </w:r>
                </w:p>
              </w:tc>
            </w:tr>
          </w:tbl>
          <w:p w14:paraId="2C16AD9C">
            <w:pPr>
              <w:pStyle w:val="89"/>
              <w:keepNext w:val="0"/>
              <w:keepLines w:val="0"/>
              <w:suppressLineNumbers w:val="0"/>
              <w:spacing w:before="0" w:beforeAutospacing="0" w:after="0" w:afterAutospacing="0"/>
              <w:ind w:left="0" w:right="0" w:firstLine="560"/>
              <w:rPr>
                <w:rFonts w:hint="eastAsia" w:cs="Times New Roman"/>
                <w:color w:val="auto"/>
                <w:sz w:val="28"/>
                <w:szCs w:val="28"/>
                <w:highlight w:val="none"/>
              </w:rPr>
            </w:pPr>
          </w:p>
        </w:tc>
      </w:tr>
    </w:tbl>
    <w:p w14:paraId="6383E820">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3589"/>
      </w:tblGrid>
      <w:tr w14:paraId="365D2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7" w:hRule="atLeast"/>
          <w:jc w:val="center"/>
        </w:trPr>
        <w:tc>
          <w:tcPr>
            <w:tcW w:w="585" w:type="dxa"/>
            <w:noWrap w:val="0"/>
            <w:vAlign w:val="center"/>
          </w:tcPr>
          <w:p w14:paraId="1BCAC442">
            <w:pPr>
              <w:pStyle w:val="77"/>
              <w:keepNext w:val="0"/>
              <w:keepLines w:val="0"/>
              <w:suppressLineNumbers w:val="0"/>
              <w:bidi w:val="0"/>
              <w:spacing w:before="0" w:beforeAutospacing="0" w:after="0" w:afterAutospacing="0"/>
              <w:ind w:left="0" w:right="0"/>
              <w:rPr>
                <w:rFonts w:hint="default"/>
                <w:b/>
                <w:snapToGrid w:val="0"/>
                <w:color w:val="auto"/>
                <w:kern w:val="0"/>
                <w:szCs w:val="28"/>
                <w:highlight w:val="none"/>
              </w:rPr>
            </w:pPr>
            <w:r>
              <w:rPr>
                <w:rFonts w:hint="default"/>
                <w:color w:val="auto"/>
                <w:highlight w:val="none"/>
              </w:rPr>
              <w:t>运营期环境影响和保护措施</w:t>
            </w:r>
          </w:p>
        </w:tc>
        <w:tc>
          <w:tcPr>
            <w:tcW w:w="13589" w:type="dxa"/>
            <w:noWrap w:val="0"/>
            <w:vAlign w:val="center"/>
          </w:tcPr>
          <w:p w14:paraId="3FBBE737">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eastAsia="zh-CN"/>
              </w:rPr>
              <w:t>二</w:t>
            </w:r>
            <w:r>
              <w:rPr>
                <w:rFonts w:hint="default"/>
                <w:b/>
                <w:bCs/>
                <w:color w:val="auto"/>
                <w:highlight w:val="none"/>
              </w:rPr>
              <w:t>、废水</w:t>
            </w:r>
          </w:p>
          <w:p w14:paraId="06C60516">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val="en-US" w:eastAsia="zh-CN"/>
              </w:rPr>
              <w:t>1</w:t>
            </w:r>
            <w:r>
              <w:rPr>
                <w:rFonts w:hint="default"/>
                <w:b/>
                <w:bCs/>
                <w:color w:val="auto"/>
                <w:highlight w:val="none"/>
              </w:rPr>
              <w:t>、废水污染源情况</w:t>
            </w:r>
          </w:p>
          <w:p w14:paraId="18048C30">
            <w:pPr>
              <w:pStyle w:val="12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废水污染源产生、排放汇总表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72"/>
              <w:gridCol w:w="880"/>
              <w:gridCol w:w="755"/>
              <w:gridCol w:w="818"/>
              <w:gridCol w:w="1219"/>
              <w:gridCol w:w="689"/>
              <w:gridCol w:w="559"/>
              <w:gridCol w:w="589"/>
              <w:gridCol w:w="951"/>
              <w:gridCol w:w="1219"/>
              <w:gridCol w:w="549"/>
              <w:gridCol w:w="946"/>
              <w:gridCol w:w="1087"/>
              <w:gridCol w:w="1092"/>
              <w:gridCol w:w="507"/>
              <w:gridCol w:w="941"/>
            </w:tblGrid>
            <w:tr w14:paraId="499A9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restart"/>
                  <w:noWrap w:val="0"/>
                  <w:vAlign w:val="center"/>
                </w:tcPr>
                <w:p w14:paraId="47F2C6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类别</w:t>
                  </w:r>
                </w:p>
              </w:tc>
              <w:tc>
                <w:tcPr>
                  <w:tcW w:w="909" w:type="dxa"/>
                  <w:vMerge w:val="restart"/>
                  <w:noWrap w:val="0"/>
                  <w:vAlign w:val="center"/>
                </w:tcPr>
                <w:p w14:paraId="2DD603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污染物</w:t>
                  </w:r>
                </w:p>
                <w:p w14:paraId="4618A6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种类</w:t>
                  </w:r>
                </w:p>
                <w:p w14:paraId="5724EE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w:t>
                  </w:r>
                </w:p>
              </w:tc>
              <w:tc>
                <w:tcPr>
                  <w:tcW w:w="2474" w:type="dxa"/>
                  <w:gridSpan w:val="3"/>
                  <w:noWrap w:val="0"/>
                  <w:vAlign w:val="center"/>
                </w:tcPr>
                <w:p w14:paraId="08A118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污染物产生量和浓度</w:t>
                  </w:r>
                </w:p>
              </w:tc>
              <w:tc>
                <w:tcPr>
                  <w:tcW w:w="0" w:type="auto"/>
                  <w:gridSpan w:val="3"/>
                  <w:noWrap w:val="0"/>
                  <w:vAlign w:val="center"/>
                </w:tcPr>
                <w:p w14:paraId="703EBE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污染治理设施</w:t>
                  </w:r>
                </w:p>
              </w:tc>
              <w:tc>
                <w:tcPr>
                  <w:tcW w:w="1999" w:type="dxa"/>
                  <w:gridSpan w:val="2"/>
                  <w:noWrap w:val="0"/>
                  <w:vAlign w:val="center"/>
                </w:tcPr>
                <w:p w14:paraId="526E72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污染物排放</w:t>
                  </w:r>
                </w:p>
              </w:tc>
              <w:tc>
                <w:tcPr>
                  <w:tcW w:w="4489" w:type="dxa"/>
                  <w:gridSpan w:val="5"/>
                  <w:noWrap w:val="0"/>
                  <w:vAlign w:val="center"/>
                </w:tcPr>
                <w:p w14:paraId="1C70FE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auto"/>
                      <w:sz w:val="21"/>
                      <w:szCs w:val="21"/>
                      <w:highlight w:val="none"/>
                    </w:rPr>
                  </w:pPr>
                  <w:r>
                    <w:rPr>
                      <w:rFonts w:hint="default"/>
                      <w:b/>
                      <w:bCs/>
                      <w:color w:val="auto"/>
                      <w:sz w:val="21"/>
                      <w:szCs w:val="21"/>
                      <w:highlight w:val="none"/>
                    </w:rPr>
                    <w:t>排放口基本情况</w:t>
                  </w:r>
                </w:p>
              </w:tc>
              <w:tc>
                <w:tcPr>
                  <w:tcW w:w="985" w:type="dxa"/>
                  <w:noWrap w:val="0"/>
                  <w:vAlign w:val="center"/>
                </w:tcPr>
                <w:p w14:paraId="1CC9A7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auto"/>
                      <w:sz w:val="21"/>
                      <w:szCs w:val="21"/>
                      <w:highlight w:val="none"/>
                    </w:rPr>
                  </w:pPr>
                  <w:r>
                    <w:rPr>
                      <w:rFonts w:hint="default"/>
                      <w:b/>
                      <w:bCs/>
                      <w:color w:val="auto"/>
                      <w:sz w:val="21"/>
                      <w:szCs w:val="21"/>
                      <w:highlight w:val="none"/>
                    </w:rPr>
                    <w:t>接管标准</w:t>
                  </w:r>
                </w:p>
              </w:tc>
            </w:tr>
            <w:tr w14:paraId="266D91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noWrap w:val="0"/>
                  <w:vAlign w:val="center"/>
                </w:tcPr>
                <w:p w14:paraId="49424B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p>
              </w:tc>
              <w:tc>
                <w:tcPr>
                  <w:tcW w:w="909" w:type="dxa"/>
                  <w:vMerge w:val="continue"/>
                  <w:noWrap w:val="0"/>
                  <w:vAlign w:val="center"/>
                </w:tcPr>
                <w:p w14:paraId="706978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p>
              </w:tc>
              <w:tc>
                <w:tcPr>
                  <w:tcW w:w="723" w:type="dxa"/>
                  <w:noWrap w:val="0"/>
                  <w:vAlign w:val="center"/>
                </w:tcPr>
                <w:p w14:paraId="00C84A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废水量</w:t>
                  </w:r>
                </w:p>
              </w:tc>
              <w:tc>
                <w:tcPr>
                  <w:tcW w:w="0" w:type="auto"/>
                  <w:noWrap w:val="0"/>
                  <w:vAlign w:val="center"/>
                </w:tcPr>
                <w:p w14:paraId="70C7F5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产生浓度</w:t>
                  </w:r>
                </w:p>
              </w:tc>
              <w:tc>
                <w:tcPr>
                  <w:tcW w:w="0" w:type="auto"/>
                  <w:noWrap w:val="0"/>
                  <w:vAlign w:val="center"/>
                </w:tcPr>
                <w:p w14:paraId="1BE83E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产生量</w:t>
                  </w:r>
                </w:p>
              </w:tc>
              <w:tc>
                <w:tcPr>
                  <w:tcW w:w="0" w:type="auto"/>
                  <w:noWrap w:val="0"/>
                  <w:vAlign w:val="center"/>
                </w:tcPr>
                <w:p w14:paraId="20C7E6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主要治理工艺</w:t>
                  </w:r>
                </w:p>
              </w:tc>
              <w:tc>
                <w:tcPr>
                  <w:tcW w:w="571" w:type="dxa"/>
                  <w:noWrap w:val="0"/>
                  <w:vAlign w:val="center"/>
                </w:tcPr>
                <w:p w14:paraId="295BDC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去除效率</w:t>
                  </w:r>
                </w:p>
              </w:tc>
              <w:tc>
                <w:tcPr>
                  <w:tcW w:w="616" w:type="dxa"/>
                  <w:vMerge w:val="restart"/>
                  <w:noWrap w:val="0"/>
                  <w:vAlign w:val="center"/>
                </w:tcPr>
                <w:p w14:paraId="491633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是否可行技术</w:t>
                  </w:r>
                </w:p>
              </w:tc>
              <w:tc>
                <w:tcPr>
                  <w:tcW w:w="0" w:type="auto"/>
                  <w:noWrap w:val="0"/>
                  <w:vAlign w:val="center"/>
                </w:tcPr>
                <w:p w14:paraId="3EE3EF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排放浓度</w:t>
                  </w:r>
                </w:p>
              </w:tc>
              <w:tc>
                <w:tcPr>
                  <w:tcW w:w="1109" w:type="dxa"/>
                  <w:noWrap w:val="0"/>
                  <w:vAlign w:val="center"/>
                </w:tcPr>
                <w:p w14:paraId="17DB58D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排放量</w:t>
                  </w:r>
                </w:p>
              </w:tc>
              <w:tc>
                <w:tcPr>
                  <w:tcW w:w="593" w:type="dxa"/>
                  <w:vMerge w:val="restart"/>
                  <w:noWrap w:val="0"/>
                  <w:vAlign w:val="center"/>
                </w:tcPr>
                <w:p w14:paraId="5B1504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b/>
                      <w:bCs/>
                      <w:color w:val="auto"/>
                      <w:sz w:val="21"/>
                      <w:szCs w:val="21"/>
                      <w:highlight w:val="none"/>
                    </w:rPr>
                  </w:pPr>
                  <w:r>
                    <w:rPr>
                      <w:rFonts w:hint="default"/>
                      <w:b/>
                      <w:bCs/>
                      <w:color w:val="auto"/>
                      <w:sz w:val="21"/>
                      <w:szCs w:val="21"/>
                      <w:highlight w:val="none"/>
                    </w:rPr>
                    <w:t>排放方式</w:t>
                  </w:r>
                </w:p>
              </w:tc>
              <w:tc>
                <w:tcPr>
                  <w:tcW w:w="0" w:type="auto"/>
                  <w:vMerge w:val="restart"/>
                  <w:noWrap w:val="0"/>
                  <w:vAlign w:val="center"/>
                </w:tcPr>
                <w:p w14:paraId="7F2ED2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排放去向</w:t>
                  </w:r>
                </w:p>
              </w:tc>
              <w:tc>
                <w:tcPr>
                  <w:tcW w:w="0" w:type="auto"/>
                  <w:vMerge w:val="restart"/>
                  <w:noWrap w:val="0"/>
                  <w:vAlign w:val="center"/>
                </w:tcPr>
                <w:p w14:paraId="52BA27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排放规律</w:t>
                  </w:r>
                </w:p>
              </w:tc>
              <w:tc>
                <w:tcPr>
                  <w:tcW w:w="1133" w:type="dxa"/>
                  <w:vMerge w:val="restart"/>
                  <w:noWrap w:val="0"/>
                  <w:vAlign w:val="center"/>
                </w:tcPr>
                <w:p w14:paraId="19420B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排放编号及名称</w:t>
                  </w:r>
                </w:p>
              </w:tc>
              <w:tc>
                <w:tcPr>
                  <w:tcW w:w="545" w:type="dxa"/>
                  <w:vMerge w:val="restart"/>
                  <w:noWrap w:val="0"/>
                  <w:vAlign w:val="center"/>
                </w:tcPr>
                <w:p w14:paraId="191559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eastAsia"/>
                      <w:b/>
                      <w:bCs/>
                      <w:color w:val="auto"/>
                      <w:sz w:val="21"/>
                      <w:szCs w:val="21"/>
                      <w:highlight w:val="none"/>
                    </w:rPr>
                  </w:pPr>
                  <w:r>
                    <w:rPr>
                      <w:rFonts w:hint="default"/>
                      <w:b/>
                      <w:bCs/>
                      <w:color w:val="auto"/>
                      <w:sz w:val="21"/>
                      <w:szCs w:val="21"/>
                      <w:highlight w:val="none"/>
                    </w:rPr>
                    <w:t>排放类型</w:t>
                  </w:r>
                </w:p>
              </w:tc>
              <w:tc>
                <w:tcPr>
                  <w:tcW w:w="985" w:type="dxa"/>
                  <w:vMerge w:val="restart"/>
                  <w:noWrap w:val="0"/>
                  <w:vAlign w:val="center"/>
                </w:tcPr>
                <w:p w14:paraId="0C0A72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b/>
                      <w:bCs/>
                      <w:color w:val="auto"/>
                      <w:sz w:val="21"/>
                      <w:szCs w:val="21"/>
                      <w:highlight w:val="none"/>
                    </w:rPr>
                  </w:pPr>
                  <w:r>
                    <w:rPr>
                      <w:rFonts w:hint="default"/>
                      <w:b/>
                      <w:bCs/>
                      <w:color w:val="auto"/>
                      <w:sz w:val="21"/>
                      <w:szCs w:val="21"/>
                      <w:highlight w:val="none"/>
                    </w:rPr>
                    <w:t>mg/L</w:t>
                  </w:r>
                </w:p>
              </w:tc>
            </w:tr>
            <w:tr w14:paraId="34A6F0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0" w:type="auto"/>
                  <w:vMerge w:val="continue"/>
                  <w:noWrap w:val="0"/>
                  <w:vAlign w:val="center"/>
                </w:tcPr>
                <w:p w14:paraId="13C0DE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vMerge w:val="continue"/>
                  <w:noWrap w:val="0"/>
                  <w:vAlign w:val="center"/>
                </w:tcPr>
                <w:p w14:paraId="198C02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23" w:type="dxa"/>
                  <w:noWrap w:val="0"/>
                  <w:vAlign w:val="center"/>
                </w:tcPr>
                <w:p w14:paraId="731F98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m</w:t>
                  </w:r>
                  <w:r>
                    <w:rPr>
                      <w:rFonts w:hint="default"/>
                      <w:b/>
                      <w:bCs/>
                      <w:color w:val="auto"/>
                      <w:sz w:val="21"/>
                      <w:szCs w:val="21"/>
                      <w:highlight w:val="none"/>
                      <w:vertAlign w:val="superscript"/>
                    </w:rPr>
                    <w:t>3</w:t>
                  </w:r>
                  <w:r>
                    <w:rPr>
                      <w:rFonts w:hint="default"/>
                      <w:b/>
                      <w:bCs/>
                      <w:color w:val="auto"/>
                      <w:sz w:val="21"/>
                      <w:szCs w:val="21"/>
                      <w:highlight w:val="none"/>
                    </w:rPr>
                    <w:t>/a</w:t>
                  </w:r>
                </w:p>
              </w:tc>
              <w:tc>
                <w:tcPr>
                  <w:tcW w:w="0" w:type="auto"/>
                  <w:noWrap w:val="0"/>
                  <w:vAlign w:val="center"/>
                </w:tcPr>
                <w:p w14:paraId="252F6B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eastAsia="宋体"/>
                      <w:b/>
                      <w:bCs/>
                      <w:color w:val="auto"/>
                      <w:sz w:val="21"/>
                      <w:szCs w:val="21"/>
                      <w:highlight w:val="none"/>
                      <w:lang w:eastAsia="zh-CN"/>
                    </w:rPr>
                  </w:pPr>
                  <w:r>
                    <w:rPr>
                      <w:rFonts w:hint="default"/>
                      <w:b/>
                      <w:bCs/>
                      <w:color w:val="auto"/>
                      <w:sz w:val="21"/>
                      <w:szCs w:val="21"/>
                      <w:highlight w:val="none"/>
                    </w:rPr>
                    <w:t>mg/</w:t>
                  </w:r>
                  <w:r>
                    <w:rPr>
                      <w:rFonts w:hint="eastAsia"/>
                      <w:b/>
                      <w:bCs/>
                      <w:color w:val="auto"/>
                      <w:sz w:val="21"/>
                      <w:szCs w:val="21"/>
                      <w:highlight w:val="none"/>
                      <w:lang w:val="en-US" w:eastAsia="zh-CN"/>
                    </w:rPr>
                    <w:t>L</w:t>
                  </w:r>
                </w:p>
              </w:tc>
              <w:tc>
                <w:tcPr>
                  <w:tcW w:w="0" w:type="auto"/>
                  <w:noWrap w:val="0"/>
                  <w:vAlign w:val="center"/>
                </w:tcPr>
                <w:p w14:paraId="710D7D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t/a</w:t>
                  </w:r>
                </w:p>
              </w:tc>
              <w:tc>
                <w:tcPr>
                  <w:tcW w:w="0" w:type="auto"/>
                  <w:noWrap w:val="0"/>
                  <w:vAlign w:val="center"/>
                </w:tcPr>
                <w:p w14:paraId="11BA4A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w:t>
                  </w:r>
                </w:p>
              </w:tc>
              <w:tc>
                <w:tcPr>
                  <w:tcW w:w="571" w:type="dxa"/>
                  <w:noWrap w:val="0"/>
                  <w:vAlign w:val="center"/>
                </w:tcPr>
                <w:p w14:paraId="421079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w:t>
                  </w:r>
                </w:p>
              </w:tc>
              <w:tc>
                <w:tcPr>
                  <w:tcW w:w="616" w:type="dxa"/>
                  <w:vMerge w:val="continue"/>
                  <w:noWrap w:val="0"/>
                  <w:vAlign w:val="center"/>
                </w:tcPr>
                <w:p w14:paraId="61FF9E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p>
              </w:tc>
              <w:tc>
                <w:tcPr>
                  <w:tcW w:w="0" w:type="auto"/>
                  <w:noWrap w:val="0"/>
                  <w:vAlign w:val="center"/>
                </w:tcPr>
                <w:p w14:paraId="1F633A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eastAsia="宋体"/>
                      <w:b/>
                      <w:bCs/>
                      <w:color w:val="auto"/>
                      <w:sz w:val="21"/>
                      <w:szCs w:val="21"/>
                      <w:highlight w:val="none"/>
                      <w:lang w:eastAsia="zh-CN"/>
                    </w:rPr>
                  </w:pPr>
                  <w:r>
                    <w:rPr>
                      <w:rFonts w:hint="default"/>
                      <w:b/>
                      <w:bCs/>
                      <w:color w:val="auto"/>
                      <w:sz w:val="21"/>
                      <w:szCs w:val="21"/>
                      <w:highlight w:val="none"/>
                    </w:rPr>
                    <w:t>mg/</w:t>
                  </w:r>
                  <w:r>
                    <w:rPr>
                      <w:rFonts w:hint="eastAsia"/>
                      <w:b/>
                      <w:bCs/>
                      <w:color w:val="auto"/>
                      <w:sz w:val="21"/>
                      <w:szCs w:val="21"/>
                      <w:highlight w:val="none"/>
                      <w:lang w:val="en-US" w:eastAsia="zh-CN"/>
                    </w:rPr>
                    <w:t>L</w:t>
                  </w:r>
                </w:p>
              </w:tc>
              <w:tc>
                <w:tcPr>
                  <w:tcW w:w="1109" w:type="dxa"/>
                  <w:noWrap w:val="0"/>
                  <w:vAlign w:val="center"/>
                </w:tcPr>
                <w:p w14:paraId="511F4DF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b/>
                      <w:bCs/>
                      <w:color w:val="auto"/>
                      <w:sz w:val="21"/>
                      <w:szCs w:val="21"/>
                      <w:highlight w:val="none"/>
                    </w:rPr>
                  </w:pPr>
                  <w:r>
                    <w:rPr>
                      <w:rFonts w:hint="default"/>
                      <w:b/>
                      <w:bCs/>
                      <w:color w:val="auto"/>
                      <w:sz w:val="21"/>
                      <w:szCs w:val="21"/>
                      <w:highlight w:val="none"/>
                    </w:rPr>
                    <w:t>t/a</w:t>
                  </w:r>
                </w:p>
              </w:tc>
              <w:tc>
                <w:tcPr>
                  <w:tcW w:w="593" w:type="dxa"/>
                  <w:vMerge w:val="continue"/>
                  <w:noWrap w:val="0"/>
                  <w:vAlign w:val="center"/>
                </w:tcPr>
                <w:p w14:paraId="3FB5A8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0" w:type="auto"/>
                  <w:vMerge w:val="continue"/>
                  <w:noWrap w:val="0"/>
                  <w:vAlign w:val="center"/>
                </w:tcPr>
                <w:p w14:paraId="18C9EB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0" w:type="auto"/>
                  <w:vMerge w:val="continue"/>
                  <w:noWrap w:val="0"/>
                  <w:vAlign w:val="center"/>
                </w:tcPr>
                <w:p w14:paraId="598E83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1133" w:type="dxa"/>
                  <w:vMerge w:val="continue"/>
                  <w:noWrap w:val="0"/>
                  <w:vAlign w:val="center"/>
                </w:tcPr>
                <w:p w14:paraId="7592B3A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45" w:type="dxa"/>
                  <w:vMerge w:val="continue"/>
                  <w:noWrap w:val="0"/>
                  <w:vAlign w:val="center"/>
                </w:tcPr>
                <w:p w14:paraId="7EB136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85" w:type="dxa"/>
                  <w:vMerge w:val="continue"/>
                  <w:noWrap w:val="0"/>
                  <w:vAlign w:val="center"/>
                </w:tcPr>
                <w:p w14:paraId="28AFC3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r>
            <w:tr w14:paraId="1B766D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jc w:val="center"/>
              </w:trPr>
              <w:tc>
                <w:tcPr>
                  <w:tcW w:w="597" w:type="dxa"/>
                  <w:vMerge w:val="restart"/>
                  <w:noWrap w:val="0"/>
                  <w:vAlign w:val="center"/>
                </w:tcPr>
                <w:p w14:paraId="4D8105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rPr>
                  </w:pPr>
                  <w:r>
                    <w:rPr>
                      <w:rFonts w:hint="eastAsia"/>
                      <w:color w:val="auto"/>
                      <w:sz w:val="21"/>
                      <w:szCs w:val="21"/>
                      <w:highlight w:val="none"/>
                    </w:rPr>
                    <w:t>生活</w:t>
                  </w:r>
                  <w:r>
                    <w:rPr>
                      <w:rFonts w:hint="eastAsia"/>
                      <w:color w:val="auto"/>
                      <w:sz w:val="21"/>
                      <w:szCs w:val="21"/>
                      <w:highlight w:val="none"/>
                      <w:lang w:val="en-US" w:eastAsia="zh-CN"/>
                    </w:rPr>
                    <w:t>污</w:t>
                  </w:r>
                  <w:r>
                    <w:rPr>
                      <w:rFonts w:hint="eastAsia"/>
                      <w:color w:val="auto"/>
                      <w:sz w:val="21"/>
                      <w:szCs w:val="21"/>
                      <w:highlight w:val="none"/>
                    </w:rPr>
                    <w:t>水</w:t>
                  </w:r>
                </w:p>
              </w:tc>
              <w:tc>
                <w:tcPr>
                  <w:tcW w:w="909" w:type="dxa"/>
                  <w:noWrap w:val="0"/>
                  <w:vAlign w:val="center"/>
                </w:tcPr>
                <w:p w14:paraId="1F7DE4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pH</w:t>
                  </w:r>
                </w:p>
              </w:tc>
              <w:tc>
                <w:tcPr>
                  <w:tcW w:w="723" w:type="dxa"/>
                  <w:vMerge w:val="restart"/>
                  <w:noWrap w:val="0"/>
                  <w:vAlign w:val="center"/>
                </w:tcPr>
                <w:p w14:paraId="049BA6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384</w:t>
                  </w:r>
                </w:p>
              </w:tc>
              <w:tc>
                <w:tcPr>
                  <w:tcW w:w="747" w:type="dxa"/>
                  <w:noWrap w:val="0"/>
                  <w:vAlign w:val="center"/>
                </w:tcPr>
                <w:p w14:paraId="472FE4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6~9</w:t>
                  </w:r>
                </w:p>
              </w:tc>
              <w:tc>
                <w:tcPr>
                  <w:tcW w:w="1004" w:type="dxa"/>
                  <w:noWrap w:val="0"/>
                  <w:vAlign w:val="center"/>
                </w:tcPr>
                <w:p w14:paraId="7BFF96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w:t>
                  </w:r>
                </w:p>
              </w:tc>
              <w:tc>
                <w:tcPr>
                  <w:tcW w:w="733" w:type="dxa"/>
                  <w:vMerge w:val="restart"/>
                  <w:noWrap w:val="0"/>
                  <w:vAlign w:val="center"/>
                </w:tcPr>
                <w:p w14:paraId="330CA2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隔油池+</w:t>
                  </w:r>
                  <w:r>
                    <w:rPr>
                      <w:rFonts w:hint="default"/>
                      <w:color w:val="auto"/>
                      <w:sz w:val="21"/>
                      <w:szCs w:val="21"/>
                      <w:highlight w:val="none"/>
                    </w:rPr>
                    <w:t>化粪池</w:t>
                  </w:r>
                </w:p>
              </w:tc>
              <w:tc>
                <w:tcPr>
                  <w:tcW w:w="571" w:type="dxa"/>
                  <w:noWrap w:val="0"/>
                  <w:vAlign w:val="center"/>
                </w:tcPr>
                <w:p w14:paraId="29B7F3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w:t>
                  </w:r>
                </w:p>
              </w:tc>
              <w:tc>
                <w:tcPr>
                  <w:tcW w:w="616" w:type="dxa"/>
                  <w:vMerge w:val="restart"/>
                  <w:noWrap w:val="0"/>
                  <w:vAlign w:val="center"/>
                </w:tcPr>
                <w:p w14:paraId="70C66F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是</w:t>
                  </w:r>
                </w:p>
              </w:tc>
              <w:tc>
                <w:tcPr>
                  <w:tcW w:w="890" w:type="dxa"/>
                  <w:noWrap w:val="0"/>
                  <w:vAlign w:val="center"/>
                </w:tcPr>
                <w:p w14:paraId="70E7D5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6~9</w:t>
                  </w:r>
                </w:p>
              </w:tc>
              <w:tc>
                <w:tcPr>
                  <w:tcW w:w="1109" w:type="dxa"/>
                  <w:noWrap w:val="0"/>
                  <w:vAlign w:val="center"/>
                </w:tcPr>
                <w:p w14:paraId="63AECC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w:t>
                  </w:r>
                </w:p>
              </w:tc>
              <w:tc>
                <w:tcPr>
                  <w:tcW w:w="593" w:type="dxa"/>
                  <w:vMerge w:val="restart"/>
                  <w:noWrap w:val="0"/>
                  <w:vAlign w:val="center"/>
                </w:tcPr>
                <w:p w14:paraId="2F2DF8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间接排放</w:t>
                  </w:r>
                </w:p>
              </w:tc>
              <w:tc>
                <w:tcPr>
                  <w:tcW w:w="1032" w:type="dxa"/>
                  <w:vMerge w:val="restart"/>
                  <w:noWrap w:val="0"/>
                  <w:vAlign w:val="center"/>
                </w:tcPr>
                <w:p w14:paraId="58CAED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eastAsia"/>
                      <w:color w:val="auto"/>
                      <w:sz w:val="21"/>
                      <w:szCs w:val="21"/>
                      <w:highlight w:val="none"/>
                      <w:lang w:val="en-US" w:eastAsia="zh-CN"/>
                    </w:rPr>
                    <w:t>建筑陶瓷产业园污水处理厂</w:t>
                  </w:r>
                </w:p>
              </w:tc>
              <w:tc>
                <w:tcPr>
                  <w:tcW w:w="1186" w:type="dxa"/>
                  <w:vMerge w:val="restart"/>
                  <w:noWrap w:val="0"/>
                  <w:vAlign w:val="center"/>
                </w:tcPr>
                <w:p w14:paraId="1CC413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间断排放，但有周期性规律</w:t>
                  </w:r>
                </w:p>
              </w:tc>
              <w:tc>
                <w:tcPr>
                  <w:tcW w:w="1133" w:type="dxa"/>
                  <w:vMerge w:val="restart"/>
                  <w:noWrap w:val="0"/>
                  <w:vAlign w:val="center"/>
                </w:tcPr>
                <w:p w14:paraId="4A8230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DW001生活污水排口</w:t>
                  </w:r>
                </w:p>
              </w:tc>
              <w:tc>
                <w:tcPr>
                  <w:tcW w:w="545" w:type="dxa"/>
                  <w:vMerge w:val="restart"/>
                  <w:noWrap w:val="0"/>
                  <w:vAlign w:val="center"/>
                </w:tcPr>
                <w:p w14:paraId="626F49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color w:val="auto"/>
                      <w:sz w:val="21"/>
                      <w:szCs w:val="21"/>
                      <w:highlight w:val="none"/>
                    </w:rPr>
                  </w:pPr>
                  <w:r>
                    <w:rPr>
                      <w:rFonts w:hint="default"/>
                      <w:color w:val="auto"/>
                      <w:sz w:val="21"/>
                      <w:szCs w:val="21"/>
                      <w:highlight w:val="none"/>
                    </w:rPr>
                    <w:t>一般排放口</w:t>
                  </w:r>
                </w:p>
              </w:tc>
              <w:tc>
                <w:tcPr>
                  <w:tcW w:w="985" w:type="dxa"/>
                  <w:noWrap w:val="0"/>
                  <w:vAlign w:val="center"/>
                </w:tcPr>
                <w:p w14:paraId="6B29DB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lang w:val="en-US" w:eastAsia="zh-CN"/>
                    </w:rPr>
                    <w:t>6~9</w:t>
                  </w:r>
                </w:p>
              </w:tc>
            </w:tr>
            <w:tr w14:paraId="00BF50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15F564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6F11DA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COD</w:t>
                  </w:r>
                  <w:r>
                    <w:rPr>
                      <w:rFonts w:hint="default"/>
                      <w:color w:val="auto"/>
                      <w:sz w:val="21"/>
                      <w:szCs w:val="21"/>
                      <w:highlight w:val="none"/>
                      <w:vertAlign w:val="subscript"/>
                    </w:rPr>
                    <w:t>Cr</w:t>
                  </w:r>
                </w:p>
              </w:tc>
              <w:tc>
                <w:tcPr>
                  <w:tcW w:w="723" w:type="dxa"/>
                  <w:vMerge w:val="continue"/>
                  <w:noWrap w:val="0"/>
                  <w:vAlign w:val="center"/>
                </w:tcPr>
                <w:p w14:paraId="28F224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783CC3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250</w:t>
                  </w:r>
                </w:p>
              </w:tc>
              <w:tc>
                <w:tcPr>
                  <w:tcW w:w="1004" w:type="dxa"/>
                  <w:noWrap w:val="0"/>
                  <w:vAlign w:val="center"/>
                </w:tcPr>
                <w:p w14:paraId="6663928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0.096</w:t>
                  </w:r>
                </w:p>
              </w:tc>
              <w:tc>
                <w:tcPr>
                  <w:tcW w:w="733" w:type="dxa"/>
                  <w:vMerge w:val="continue"/>
                  <w:noWrap w:val="0"/>
                  <w:vAlign w:val="center"/>
                </w:tcPr>
                <w:p w14:paraId="729281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73C98E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15</w:t>
                  </w:r>
                </w:p>
              </w:tc>
              <w:tc>
                <w:tcPr>
                  <w:tcW w:w="616" w:type="dxa"/>
                  <w:vMerge w:val="continue"/>
                  <w:noWrap w:val="0"/>
                  <w:vAlign w:val="center"/>
                </w:tcPr>
                <w:p w14:paraId="3080DA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08A9A4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212.5</w:t>
                  </w:r>
                </w:p>
              </w:tc>
              <w:tc>
                <w:tcPr>
                  <w:tcW w:w="1109" w:type="dxa"/>
                  <w:noWrap w:val="0"/>
                  <w:vAlign w:val="center"/>
                </w:tcPr>
                <w:p w14:paraId="356AE81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0.0816</w:t>
                  </w:r>
                </w:p>
              </w:tc>
              <w:tc>
                <w:tcPr>
                  <w:tcW w:w="593" w:type="dxa"/>
                  <w:vMerge w:val="continue"/>
                  <w:noWrap w:val="0"/>
                  <w:vAlign w:val="center"/>
                </w:tcPr>
                <w:p w14:paraId="424936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71703F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0B44EF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4FD99F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0EC92D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052D87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lang w:val="en-US" w:eastAsia="zh-CN"/>
                    </w:rPr>
                    <w:t>500</w:t>
                  </w:r>
                </w:p>
              </w:tc>
            </w:tr>
            <w:tr w14:paraId="3DF4EC8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17D4C1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4323EB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BOD</w:t>
                  </w:r>
                  <w:r>
                    <w:rPr>
                      <w:rFonts w:hint="default"/>
                      <w:color w:val="auto"/>
                      <w:sz w:val="21"/>
                      <w:szCs w:val="21"/>
                      <w:highlight w:val="none"/>
                      <w:vertAlign w:val="subscript"/>
                    </w:rPr>
                    <w:t>5</w:t>
                  </w:r>
                </w:p>
              </w:tc>
              <w:tc>
                <w:tcPr>
                  <w:tcW w:w="723" w:type="dxa"/>
                  <w:vMerge w:val="continue"/>
                  <w:noWrap w:val="0"/>
                  <w:vAlign w:val="center"/>
                </w:tcPr>
                <w:p w14:paraId="619CD3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4C8D90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100</w:t>
                  </w:r>
                </w:p>
              </w:tc>
              <w:tc>
                <w:tcPr>
                  <w:tcW w:w="1004" w:type="dxa"/>
                  <w:noWrap w:val="0"/>
                  <w:vAlign w:val="center"/>
                </w:tcPr>
                <w:p w14:paraId="713ECB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0.0384</w:t>
                  </w:r>
                </w:p>
              </w:tc>
              <w:tc>
                <w:tcPr>
                  <w:tcW w:w="733" w:type="dxa"/>
                  <w:vMerge w:val="continue"/>
                  <w:noWrap w:val="0"/>
                  <w:vAlign w:val="center"/>
                </w:tcPr>
                <w:p w14:paraId="174C22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7E8D12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9</w:t>
                  </w:r>
                </w:p>
              </w:tc>
              <w:tc>
                <w:tcPr>
                  <w:tcW w:w="616" w:type="dxa"/>
                  <w:vMerge w:val="continue"/>
                  <w:noWrap w:val="0"/>
                  <w:vAlign w:val="center"/>
                </w:tcPr>
                <w:p w14:paraId="054C66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2608A7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91</w:t>
                  </w:r>
                </w:p>
              </w:tc>
              <w:tc>
                <w:tcPr>
                  <w:tcW w:w="1109" w:type="dxa"/>
                  <w:noWrap w:val="0"/>
                  <w:vAlign w:val="center"/>
                </w:tcPr>
                <w:p w14:paraId="44F655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0.035</w:t>
                  </w:r>
                </w:p>
              </w:tc>
              <w:tc>
                <w:tcPr>
                  <w:tcW w:w="593" w:type="dxa"/>
                  <w:vMerge w:val="continue"/>
                  <w:noWrap w:val="0"/>
                  <w:vAlign w:val="center"/>
                </w:tcPr>
                <w:p w14:paraId="7EF136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7D7CC4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713B21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618150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2277D69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58EE5F4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rPr>
                  </w:pPr>
                  <w:r>
                    <w:rPr>
                      <w:rFonts w:hint="eastAsia"/>
                      <w:color w:val="auto"/>
                      <w:sz w:val="21"/>
                      <w:szCs w:val="21"/>
                      <w:highlight w:val="none"/>
                      <w:lang w:val="en-US" w:eastAsia="zh-CN"/>
                    </w:rPr>
                    <w:t>150</w:t>
                  </w:r>
                </w:p>
              </w:tc>
            </w:tr>
            <w:tr w14:paraId="71FF42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499D7D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37B54F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SS</w:t>
                  </w:r>
                </w:p>
              </w:tc>
              <w:tc>
                <w:tcPr>
                  <w:tcW w:w="723" w:type="dxa"/>
                  <w:vMerge w:val="continue"/>
                  <w:noWrap w:val="0"/>
                  <w:vAlign w:val="center"/>
                </w:tcPr>
                <w:p w14:paraId="04E5A9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082152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150</w:t>
                  </w:r>
                </w:p>
              </w:tc>
              <w:tc>
                <w:tcPr>
                  <w:tcW w:w="1004" w:type="dxa"/>
                  <w:noWrap w:val="0"/>
                  <w:vAlign w:val="center"/>
                </w:tcPr>
                <w:p w14:paraId="0E44BC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0.0576</w:t>
                  </w:r>
                </w:p>
              </w:tc>
              <w:tc>
                <w:tcPr>
                  <w:tcW w:w="733" w:type="dxa"/>
                  <w:vMerge w:val="continue"/>
                  <w:noWrap w:val="0"/>
                  <w:vAlign w:val="center"/>
                </w:tcPr>
                <w:p w14:paraId="0BBE9A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11BD0D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30</w:t>
                  </w:r>
                </w:p>
              </w:tc>
              <w:tc>
                <w:tcPr>
                  <w:tcW w:w="616" w:type="dxa"/>
                  <w:vMerge w:val="continue"/>
                  <w:noWrap w:val="0"/>
                  <w:vAlign w:val="center"/>
                </w:tcPr>
                <w:p w14:paraId="3D88CF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1A167A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105</w:t>
                  </w:r>
                </w:p>
              </w:tc>
              <w:tc>
                <w:tcPr>
                  <w:tcW w:w="1109" w:type="dxa"/>
                  <w:noWrap w:val="0"/>
                  <w:vAlign w:val="center"/>
                </w:tcPr>
                <w:p w14:paraId="4F7123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0.0403</w:t>
                  </w:r>
                </w:p>
              </w:tc>
              <w:tc>
                <w:tcPr>
                  <w:tcW w:w="593" w:type="dxa"/>
                  <w:vMerge w:val="continue"/>
                  <w:noWrap w:val="0"/>
                  <w:vAlign w:val="center"/>
                </w:tcPr>
                <w:p w14:paraId="42CF0C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6A50A01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2AC006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2292C5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1E87CF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6B04D6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rPr>
                  </w:pPr>
                  <w:r>
                    <w:rPr>
                      <w:rFonts w:hint="eastAsia"/>
                      <w:color w:val="auto"/>
                      <w:sz w:val="21"/>
                      <w:szCs w:val="21"/>
                      <w:highlight w:val="none"/>
                      <w:lang w:val="en-US" w:eastAsia="zh-CN"/>
                    </w:rPr>
                    <w:t>400</w:t>
                  </w:r>
                </w:p>
              </w:tc>
            </w:tr>
            <w:tr w14:paraId="43C881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7730F0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5C87C6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NH</w:t>
                  </w:r>
                  <w:r>
                    <w:rPr>
                      <w:rFonts w:hint="default"/>
                      <w:color w:val="auto"/>
                      <w:sz w:val="21"/>
                      <w:szCs w:val="21"/>
                      <w:highlight w:val="none"/>
                      <w:vertAlign w:val="subscript"/>
                    </w:rPr>
                    <w:t>3</w:t>
                  </w:r>
                  <w:r>
                    <w:rPr>
                      <w:rFonts w:hint="default"/>
                      <w:color w:val="auto"/>
                      <w:sz w:val="21"/>
                      <w:szCs w:val="21"/>
                      <w:highlight w:val="none"/>
                    </w:rPr>
                    <w:t>-N</w:t>
                  </w:r>
                </w:p>
              </w:tc>
              <w:tc>
                <w:tcPr>
                  <w:tcW w:w="723" w:type="dxa"/>
                  <w:vMerge w:val="continue"/>
                  <w:noWrap w:val="0"/>
                  <w:vAlign w:val="center"/>
                </w:tcPr>
                <w:p w14:paraId="356879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22EFCA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25</w:t>
                  </w:r>
                </w:p>
              </w:tc>
              <w:tc>
                <w:tcPr>
                  <w:tcW w:w="1004" w:type="dxa"/>
                  <w:noWrap w:val="0"/>
                  <w:vAlign w:val="center"/>
                </w:tcPr>
                <w:p w14:paraId="715981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0.0096</w:t>
                  </w:r>
                </w:p>
              </w:tc>
              <w:tc>
                <w:tcPr>
                  <w:tcW w:w="733" w:type="dxa"/>
                  <w:vMerge w:val="continue"/>
                  <w:noWrap w:val="0"/>
                  <w:vAlign w:val="center"/>
                </w:tcPr>
                <w:p w14:paraId="52DD3F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1B041D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rPr>
                    <w:t>3</w:t>
                  </w:r>
                </w:p>
              </w:tc>
              <w:tc>
                <w:tcPr>
                  <w:tcW w:w="616" w:type="dxa"/>
                  <w:vMerge w:val="continue"/>
                  <w:noWrap w:val="0"/>
                  <w:vAlign w:val="center"/>
                </w:tcPr>
                <w:p w14:paraId="3D05CB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6973DE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24.25</w:t>
                  </w:r>
                </w:p>
              </w:tc>
              <w:tc>
                <w:tcPr>
                  <w:tcW w:w="1109" w:type="dxa"/>
                  <w:noWrap w:val="0"/>
                  <w:vAlign w:val="center"/>
                </w:tcPr>
                <w:p w14:paraId="4DFEE0B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0.0093</w:t>
                  </w:r>
                </w:p>
              </w:tc>
              <w:tc>
                <w:tcPr>
                  <w:tcW w:w="593" w:type="dxa"/>
                  <w:vMerge w:val="continue"/>
                  <w:noWrap w:val="0"/>
                  <w:vAlign w:val="center"/>
                </w:tcPr>
                <w:p w14:paraId="081218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7F5A1C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0DF832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07C4A5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66B111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21C8EB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rPr>
                  </w:pPr>
                  <w:r>
                    <w:rPr>
                      <w:rFonts w:hint="eastAsia"/>
                      <w:color w:val="auto"/>
                      <w:sz w:val="21"/>
                      <w:szCs w:val="21"/>
                      <w:highlight w:val="none"/>
                      <w:lang w:val="en-US" w:eastAsia="zh-CN"/>
                    </w:rPr>
                    <w:t>50</w:t>
                  </w:r>
                </w:p>
              </w:tc>
            </w:tr>
            <w:tr w14:paraId="577E12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4D69DC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7AB282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TN</w:t>
                  </w:r>
                </w:p>
              </w:tc>
              <w:tc>
                <w:tcPr>
                  <w:tcW w:w="723" w:type="dxa"/>
                  <w:vMerge w:val="continue"/>
                  <w:noWrap w:val="0"/>
                  <w:vAlign w:val="center"/>
                </w:tcPr>
                <w:p w14:paraId="4E673E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2D4293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eastAsia="zh-CN"/>
                    </w:rPr>
                  </w:pPr>
                  <w:r>
                    <w:rPr>
                      <w:rFonts w:hint="default"/>
                      <w:color w:val="auto"/>
                      <w:sz w:val="21"/>
                      <w:szCs w:val="21"/>
                      <w:highlight w:val="none"/>
                      <w:lang w:val="en-US" w:eastAsia="zh-CN"/>
                    </w:rPr>
                    <w:t>35</w:t>
                  </w:r>
                </w:p>
              </w:tc>
              <w:tc>
                <w:tcPr>
                  <w:tcW w:w="1004" w:type="dxa"/>
                  <w:noWrap w:val="0"/>
                  <w:vAlign w:val="center"/>
                </w:tcPr>
                <w:p w14:paraId="33CE79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0.0134</w:t>
                  </w:r>
                </w:p>
              </w:tc>
              <w:tc>
                <w:tcPr>
                  <w:tcW w:w="733" w:type="dxa"/>
                  <w:vMerge w:val="continue"/>
                  <w:noWrap w:val="0"/>
                  <w:vAlign w:val="center"/>
                </w:tcPr>
                <w:p w14:paraId="27FEF0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6E9559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8</w:t>
                  </w:r>
                </w:p>
              </w:tc>
              <w:tc>
                <w:tcPr>
                  <w:tcW w:w="616" w:type="dxa"/>
                  <w:vMerge w:val="continue"/>
                  <w:noWrap w:val="0"/>
                  <w:vAlign w:val="center"/>
                </w:tcPr>
                <w:p w14:paraId="3194FA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1DB74A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eastAsia"/>
                      <w:color w:val="auto"/>
                      <w:sz w:val="21"/>
                      <w:szCs w:val="21"/>
                      <w:highlight w:val="none"/>
                      <w:lang w:val="en-US" w:eastAsia="zh-CN"/>
                    </w:rPr>
                    <w:t>32.2</w:t>
                  </w:r>
                </w:p>
              </w:tc>
              <w:tc>
                <w:tcPr>
                  <w:tcW w:w="1109" w:type="dxa"/>
                  <w:noWrap w:val="0"/>
                  <w:vAlign w:val="center"/>
                </w:tcPr>
                <w:p w14:paraId="2D988FA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0.0124</w:t>
                  </w:r>
                </w:p>
              </w:tc>
              <w:tc>
                <w:tcPr>
                  <w:tcW w:w="593" w:type="dxa"/>
                  <w:vMerge w:val="continue"/>
                  <w:noWrap w:val="0"/>
                  <w:vAlign w:val="center"/>
                </w:tcPr>
                <w:p w14:paraId="713B47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4DD895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4957D0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6589BC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72D2D2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458452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color w:val="auto"/>
                      <w:sz w:val="21"/>
                      <w:szCs w:val="21"/>
                      <w:highlight w:val="none"/>
                    </w:rPr>
                  </w:pPr>
                  <w:r>
                    <w:rPr>
                      <w:rFonts w:hint="eastAsia"/>
                      <w:color w:val="auto"/>
                      <w:sz w:val="21"/>
                      <w:szCs w:val="21"/>
                      <w:highlight w:val="none"/>
                      <w:lang w:val="en-US" w:eastAsia="zh-CN"/>
                    </w:rPr>
                    <w:t>/</w:t>
                  </w:r>
                </w:p>
              </w:tc>
            </w:tr>
            <w:tr w14:paraId="452D6A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5777AF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317B62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r>
                    <w:rPr>
                      <w:rFonts w:hint="default"/>
                      <w:color w:val="auto"/>
                      <w:sz w:val="21"/>
                      <w:szCs w:val="21"/>
                      <w:highlight w:val="none"/>
                    </w:rPr>
                    <w:t>TP</w:t>
                  </w:r>
                </w:p>
              </w:tc>
              <w:tc>
                <w:tcPr>
                  <w:tcW w:w="723" w:type="dxa"/>
                  <w:vMerge w:val="continue"/>
                  <w:noWrap w:val="0"/>
                  <w:vAlign w:val="center"/>
                </w:tcPr>
                <w:p w14:paraId="0BFDD7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2718BE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r>
                    <w:rPr>
                      <w:rFonts w:hint="default"/>
                      <w:color w:val="auto"/>
                      <w:sz w:val="21"/>
                      <w:szCs w:val="21"/>
                      <w:highlight w:val="none"/>
                      <w:lang w:val="en-US" w:eastAsia="zh-CN"/>
                    </w:rPr>
                    <w:t>2</w:t>
                  </w:r>
                </w:p>
              </w:tc>
              <w:tc>
                <w:tcPr>
                  <w:tcW w:w="1004" w:type="dxa"/>
                  <w:noWrap w:val="0"/>
                  <w:vAlign w:val="center"/>
                </w:tcPr>
                <w:p w14:paraId="580C64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0.00077</w:t>
                  </w:r>
                </w:p>
              </w:tc>
              <w:tc>
                <w:tcPr>
                  <w:tcW w:w="733" w:type="dxa"/>
                  <w:vMerge w:val="continue"/>
                  <w:noWrap w:val="0"/>
                  <w:vAlign w:val="center"/>
                </w:tcPr>
                <w:p w14:paraId="5321A9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4A9751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eastAsia="宋体"/>
                      <w:color w:val="auto"/>
                      <w:sz w:val="21"/>
                      <w:szCs w:val="21"/>
                      <w:highlight w:val="none"/>
                      <w:lang w:eastAsia="zh-CN"/>
                    </w:rPr>
                  </w:pPr>
                  <w:r>
                    <w:rPr>
                      <w:rFonts w:hint="eastAsia"/>
                      <w:color w:val="auto"/>
                      <w:sz w:val="21"/>
                      <w:szCs w:val="21"/>
                      <w:highlight w:val="none"/>
                      <w:lang w:val="en-US" w:eastAsia="zh-CN"/>
                    </w:rPr>
                    <w:t>7</w:t>
                  </w:r>
                </w:p>
              </w:tc>
              <w:tc>
                <w:tcPr>
                  <w:tcW w:w="616" w:type="dxa"/>
                  <w:vMerge w:val="continue"/>
                  <w:noWrap w:val="0"/>
                  <w:vAlign w:val="center"/>
                </w:tcPr>
                <w:p w14:paraId="62A7CF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617BDB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rPr>
                  </w:pPr>
                  <w:r>
                    <w:rPr>
                      <w:rFonts w:hint="eastAsia"/>
                      <w:color w:val="auto"/>
                      <w:sz w:val="21"/>
                      <w:szCs w:val="21"/>
                      <w:highlight w:val="none"/>
                      <w:lang w:val="en-US" w:eastAsia="zh-CN"/>
                    </w:rPr>
                    <w:t>1.86</w:t>
                  </w:r>
                </w:p>
              </w:tc>
              <w:tc>
                <w:tcPr>
                  <w:tcW w:w="1109" w:type="dxa"/>
                  <w:noWrap w:val="0"/>
                  <w:vAlign w:val="center"/>
                </w:tcPr>
                <w:p w14:paraId="7C62BB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rPr>
                  </w:pPr>
                  <w:r>
                    <w:rPr>
                      <w:rFonts w:hint="default" w:ascii="Times New Roman" w:hAnsi="Times New Roman" w:eastAsia="宋体" w:cs="Times New Roman"/>
                      <w:i w:val="0"/>
                      <w:iCs w:val="0"/>
                      <w:color w:val="auto"/>
                      <w:kern w:val="0"/>
                      <w:sz w:val="21"/>
                      <w:szCs w:val="21"/>
                      <w:highlight w:val="none"/>
                      <w:u w:val="none"/>
                      <w:lang w:val="en-US" w:eastAsia="zh-CN" w:bidi="ar"/>
                    </w:rPr>
                    <w:t>0.000714</w:t>
                  </w:r>
                </w:p>
              </w:tc>
              <w:tc>
                <w:tcPr>
                  <w:tcW w:w="593" w:type="dxa"/>
                  <w:vMerge w:val="continue"/>
                  <w:noWrap w:val="0"/>
                  <w:vAlign w:val="center"/>
                </w:tcPr>
                <w:p w14:paraId="408A41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28DB6E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33AC0B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164CA1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31E17E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7771A6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rPr>
                  </w:pPr>
                  <w:r>
                    <w:rPr>
                      <w:rFonts w:hint="eastAsia"/>
                      <w:color w:val="auto"/>
                      <w:sz w:val="21"/>
                      <w:szCs w:val="21"/>
                      <w:highlight w:val="none"/>
                      <w:lang w:val="en-US" w:eastAsia="zh-CN"/>
                    </w:rPr>
                    <w:t>3</w:t>
                  </w:r>
                </w:p>
              </w:tc>
            </w:tr>
            <w:tr w14:paraId="6DF9B1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1CED41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noWrap w:val="0"/>
                  <w:vAlign w:val="center"/>
                </w:tcPr>
                <w:p w14:paraId="3F65E8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120" w:rightChars="-5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动植物油</w:t>
                  </w:r>
                </w:p>
              </w:tc>
              <w:tc>
                <w:tcPr>
                  <w:tcW w:w="723" w:type="dxa"/>
                  <w:vMerge w:val="continue"/>
                  <w:noWrap w:val="0"/>
                  <w:vAlign w:val="center"/>
                </w:tcPr>
                <w:p w14:paraId="6D3F69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noWrap w:val="0"/>
                  <w:vAlign w:val="center"/>
                </w:tcPr>
                <w:p w14:paraId="37A67D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30</w:t>
                  </w:r>
                </w:p>
              </w:tc>
              <w:tc>
                <w:tcPr>
                  <w:tcW w:w="1004" w:type="dxa"/>
                  <w:noWrap w:val="0"/>
                  <w:vAlign w:val="center"/>
                </w:tcPr>
                <w:p w14:paraId="5EDAB4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w:t>
                  </w:r>
                  <w:r>
                    <w:rPr>
                      <w:rFonts w:hint="eastAsia" w:cs="Times New Roman"/>
                      <w:i w:val="0"/>
                      <w:iCs w:val="0"/>
                      <w:color w:val="auto"/>
                      <w:kern w:val="0"/>
                      <w:sz w:val="21"/>
                      <w:szCs w:val="21"/>
                      <w:highlight w:val="none"/>
                      <w:u w:val="none"/>
                      <w:lang w:val="en-US" w:eastAsia="zh-CN" w:bidi="ar"/>
                    </w:rPr>
                    <w:t>152</w:t>
                  </w:r>
                </w:p>
              </w:tc>
              <w:tc>
                <w:tcPr>
                  <w:tcW w:w="733" w:type="dxa"/>
                  <w:vMerge w:val="continue"/>
                  <w:noWrap w:val="0"/>
                  <w:vAlign w:val="center"/>
                </w:tcPr>
                <w:p w14:paraId="1130AF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noWrap w:val="0"/>
                  <w:vAlign w:val="center"/>
                </w:tcPr>
                <w:p w14:paraId="3AE41BA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60</w:t>
                  </w:r>
                </w:p>
              </w:tc>
              <w:tc>
                <w:tcPr>
                  <w:tcW w:w="616" w:type="dxa"/>
                  <w:vMerge w:val="continue"/>
                  <w:noWrap w:val="0"/>
                  <w:vAlign w:val="center"/>
                </w:tcPr>
                <w:p w14:paraId="7A8F2F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7C3835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lang w:val="en-US" w:eastAsia="zh-CN"/>
                    </w:rPr>
                  </w:pPr>
                  <w:r>
                    <w:rPr>
                      <w:rFonts w:hint="eastAsia"/>
                      <w:color w:val="auto"/>
                      <w:sz w:val="21"/>
                      <w:szCs w:val="21"/>
                      <w:highlight w:val="none"/>
                      <w:lang w:val="en-US" w:eastAsia="zh-CN"/>
                    </w:rPr>
                    <w:t>12</w:t>
                  </w:r>
                </w:p>
              </w:tc>
              <w:tc>
                <w:tcPr>
                  <w:tcW w:w="1109" w:type="dxa"/>
                  <w:noWrap w:val="0"/>
                  <w:vAlign w:val="center"/>
                </w:tcPr>
                <w:p w14:paraId="063C4B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w:t>
                  </w:r>
                  <w:r>
                    <w:rPr>
                      <w:rFonts w:hint="eastAsia" w:cs="Times New Roman"/>
                      <w:i w:val="0"/>
                      <w:iCs w:val="0"/>
                      <w:color w:val="auto"/>
                      <w:kern w:val="0"/>
                      <w:sz w:val="21"/>
                      <w:szCs w:val="21"/>
                      <w:highlight w:val="none"/>
                      <w:u w:val="none"/>
                      <w:lang w:val="en-US" w:eastAsia="zh-CN" w:bidi="ar"/>
                    </w:rPr>
                    <w:t>46</w:t>
                  </w:r>
                </w:p>
              </w:tc>
              <w:tc>
                <w:tcPr>
                  <w:tcW w:w="593" w:type="dxa"/>
                  <w:vMerge w:val="continue"/>
                  <w:noWrap w:val="0"/>
                  <w:vAlign w:val="center"/>
                </w:tcPr>
                <w:p w14:paraId="6E45C2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3F243D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348274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06EDE6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794686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36BAB6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w:t>
                  </w:r>
                </w:p>
              </w:tc>
            </w:tr>
            <w:tr w14:paraId="107C4B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597" w:type="dxa"/>
                  <w:vMerge w:val="restart"/>
                  <w:noWrap w:val="0"/>
                  <w:vAlign w:val="center"/>
                </w:tcPr>
                <w:p w14:paraId="5A91CF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洗车废水</w:t>
                  </w:r>
                </w:p>
              </w:tc>
              <w:tc>
                <w:tcPr>
                  <w:tcW w:w="909" w:type="dxa"/>
                  <w:shd w:val="clear" w:color="auto" w:fill="auto"/>
                  <w:noWrap w:val="0"/>
                  <w:vAlign w:val="center"/>
                </w:tcPr>
                <w:p w14:paraId="603EB1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COD</w:t>
                  </w:r>
                  <w:r>
                    <w:rPr>
                      <w:rFonts w:hint="eastAsia" w:ascii="Times New Roman" w:hAnsi="Times New Roman" w:eastAsia="宋体" w:cs="Times New Roman"/>
                      <w:color w:val="auto"/>
                      <w:sz w:val="21"/>
                      <w:szCs w:val="21"/>
                      <w:highlight w:val="none"/>
                      <w:vertAlign w:val="subscript"/>
                      <w:lang w:val="en-US" w:eastAsia="zh-CN"/>
                    </w:rPr>
                    <w:t>C</w:t>
                  </w:r>
                  <w:r>
                    <w:rPr>
                      <w:rFonts w:hint="default" w:ascii="Times New Roman" w:hAnsi="Times New Roman" w:eastAsia="宋体" w:cs="Times New Roman"/>
                      <w:color w:val="auto"/>
                      <w:sz w:val="21"/>
                      <w:szCs w:val="21"/>
                      <w:highlight w:val="none"/>
                      <w:vertAlign w:val="subscript"/>
                    </w:rPr>
                    <w:t>r</w:t>
                  </w:r>
                </w:p>
              </w:tc>
              <w:tc>
                <w:tcPr>
                  <w:tcW w:w="723" w:type="dxa"/>
                  <w:vMerge w:val="restart"/>
                  <w:noWrap w:val="0"/>
                  <w:vAlign w:val="center"/>
                </w:tcPr>
                <w:p w14:paraId="4ECC9F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3600</w:t>
                  </w:r>
                </w:p>
              </w:tc>
              <w:tc>
                <w:tcPr>
                  <w:tcW w:w="747" w:type="dxa"/>
                  <w:shd w:val="clear" w:color="auto" w:fill="auto"/>
                  <w:noWrap w:val="0"/>
                  <w:vAlign w:val="center"/>
                </w:tcPr>
                <w:p w14:paraId="1DC29E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40</w:t>
                  </w:r>
                </w:p>
              </w:tc>
              <w:tc>
                <w:tcPr>
                  <w:tcW w:w="1004" w:type="dxa"/>
                  <w:noWrap w:val="0"/>
                  <w:vAlign w:val="center"/>
                </w:tcPr>
                <w:p w14:paraId="33F312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0.144</w:t>
                  </w:r>
                </w:p>
              </w:tc>
              <w:tc>
                <w:tcPr>
                  <w:tcW w:w="733" w:type="dxa"/>
                  <w:vMerge w:val="restart"/>
                  <w:noWrap w:val="0"/>
                  <w:vAlign w:val="center"/>
                </w:tcPr>
                <w:p w14:paraId="0CBCA2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絮凝沉淀</w:t>
                  </w:r>
                </w:p>
              </w:tc>
              <w:tc>
                <w:tcPr>
                  <w:tcW w:w="571" w:type="dxa"/>
                  <w:shd w:val="clear" w:color="auto" w:fill="auto"/>
                  <w:noWrap w:val="0"/>
                  <w:vAlign w:val="center"/>
                </w:tcPr>
                <w:p w14:paraId="215664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0</w:t>
                  </w:r>
                </w:p>
              </w:tc>
              <w:tc>
                <w:tcPr>
                  <w:tcW w:w="616" w:type="dxa"/>
                  <w:vMerge w:val="continue"/>
                  <w:noWrap w:val="0"/>
                  <w:vAlign w:val="center"/>
                </w:tcPr>
                <w:p w14:paraId="36370B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30B1E1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40</w:t>
                  </w:r>
                </w:p>
              </w:tc>
              <w:tc>
                <w:tcPr>
                  <w:tcW w:w="1109" w:type="dxa"/>
                  <w:noWrap w:val="0"/>
                  <w:vAlign w:val="center"/>
                </w:tcPr>
                <w:p w14:paraId="7379BA2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0.144</w:t>
                  </w:r>
                </w:p>
              </w:tc>
              <w:tc>
                <w:tcPr>
                  <w:tcW w:w="593" w:type="dxa"/>
                  <w:vMerge w:val="restart"/>
                  <w:noWrap w:val="0"/>
                  <w:vAlign w:val="center"/>
                </w:tcPr>
                <w:p w14:paraId="1AF74E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回用于洗车</w:t>
                  </w:r>
                </w:p>
              </w:tc>
              <w:tc>
                <w:tcPr>
                  <w:tcW w:w="1032" w:type="dxa"/>
                  <w:vMerge w:val="restart"/>
                  <w:noWrap w:val="0"/>
                  <w:vAlign w:val="center"/>
                </w:tcPr>
                <w:p w14:paraId="4865D2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1186" w:type="dxa"/>
                  <w:vMerge w:val="restart"/>
                  <w:noWrap w:val="0"/>
                  <w:vAlign w:val="center"/>
                </w:tcPr>
                <w:p w14:paraId="3CE1AB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133" w:type="dxa"/>
                  <w:vMerge w:val="restart"/>
                  <w:noWrap w:val="0"/>
                  <w:vAlign w:val="center"/>
                </w:tcPr>
                <w:p w14:paraId="61BA82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w:t>
                  </w:r>
                </w:p>
              </w:tc>
              <w:tc>
                <w:tcPr>
                  <w:tcW w:w="545" w:type="dxa"/>
                  <w:vMerge w:val="restart"/>
                  <w:noWrap w:val="0"/>
                  <w:vAlign w:val="center"/>
                </w:tcPr>
                <w:p w14:paraId="3281572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985" w:type="dxa"/>
                  <w:noWrap w:val="0"/>
                  <w:vAlign w:val="center"/>
                </w:tcPr>
                <w:p w14:paraId="50A025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50</w:t>
                  </w:r>
                </w:p>
              </w:tc>
            </w:tr>
            <w:tr w14:paraId="43C41F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005C87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noWrap w:val="0"/>
                  <w:vAlign w:val="center"/>
                </w:tcPr>
                <w:p w14:paraId="655BDAE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highlight w:val="none"/>
                    </w:rPr>
                    <w:t>SS</w:t>
                  </w:r>
                </w:p>
              </w:tc>
              <w:tc>
                <w:tcPr>
                  <w:tcW w:w="723" w:type="dxa"/>
                  <w:vMerge w:val="continue"/>
                  <w:noWrap w:val="0"/>
                  <w:vAlign w:val="center"/>
                </w:tcPr>
                <w:p w14:paraId="1338D4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shd w:val="clear" w:color="auto" w:fill="auto"/>
                  <w:noWrap w:val="0"/>
                  <w:vAlign w:val="center"/>
                </w:tcPr>
                <w:p w14:paraId="6DA984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4</w:t>
                  </w:r>
                  <w:r>
                    <w:rPr>
                      <w:rFonts w:hint="default"/>
                      <w:color w:val="auto"/>
                      <w:sz w:val="21"/>
                      <w:szCs w:val="21"/>
                      <w:highlight w:val="none"/>
                      <w:lang w:val="en-US" w:eastAsia="zh-CN"/>
                    </w:rPr>
                    <w:t>00</w:t>
                  </w:r>
                </w:p>
              </w:tc>
              <w:tc>
                <w:tcPr>
                  <w:tcW w:w="1004" w:type="dxa"/>
                  <w:noWrap w:val="0"/>
                  <w:vAlign w:val="center"/>
                </w:tcPr>
                <w:p w14:paraId="2D49E0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1.44</w:t>
                  </w:r>
                </w:p>
              </w:tc>
              <w:tc>
                <w:tcPr>
                  <w:tcW w:w="733" w:type="dxa"/>
                  <w:vMerge w:val="continue"/>
                  <w:noWrap w:val="0"/>
                  <w:vAlign w:val="center"/>
                </w:tcPr>
                <w:p w14:paraId="47E0A3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035CBF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9</w:t>
                  </w:r>
                  <w:r>
                    <w:rPr>
                      <w:rFonts w:hint="eastAsia"/>
                      <w:color w:val="auto"/>
                      <w:sz w:val="21"/>
                      <w:szCs w:val="21"/>
                      <w:highlight w:val="none"/>
                      <w:lang w:val="en-US" w:eastAsia="zh-CN"/>
                    </w:rPr>
                    <w:t>0</w:t>
                  </w:r>
                </w:p>
              </w:tc>
              <w:tc>
                <w:tcPr>
                  <w:tcW w:w="616" w:type="dxa"/>
                  <w:vMerge w:val="continue"/>
                  <w:noWrap w:val="0"/>
                  <w:vAlign w:val="center"/>
                </w:tcPr>
                <w:p w14:paraId="062A358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3278F2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20</w:t>
                  </w:r>
                </w:p>
              </w:tc>
              <w:tc>
                <w:tcPr>
                  <w:tcW w:w="1109" w:type="dxa"/>
                  <w:noWrap w:val="0"/>
                  <w:vAlign w:val="center"/>
                </w:tcPr>
                <w:p w14:paraId="153872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ascii="Times New Roman" w:hAnsi="Times New Roman" w:eastAsia="宋体" w:cs="Times New Roman"/>
                      <w:i w:val="0"/>
                      <w:iCs w:val="0"/>
                      <w:color w:val="auto"/>
                      <w:kern w:val="0"/>
                      <w:sz w:val="21"/>
                      <w:szCs w:val="21"/>
                      <w:highlight w:val="none"/>
                      <w:u w:val="none"/>
                      <w:lang w:val="en-US" w:eastAsia="zh-CN" w:bidi="ar"/>
                    </w:rPr>
                    <w:t>144</w:t>
                  </w:r>
                </w:p>
              </w:tc>
              <w:tc>
                <w:tcPr>
                  <w:tcW w:w="593" w:type="dxa"/>
                  <w:vMerge w:val="continue"/>
                  <w:noWrap w:val="0"/>
                  <w:vAlign w:val="center"/>
                </w:tcPr>
                <w:p w14:paraId="10E49A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4F09DE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16183A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08E70F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6ACC38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34C70D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200</w:t>
                  </w:r>
                </w:p>
              </w:tc>
            </w:tr>
            <w:tr w14:paraId="6007C5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2975A1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noWrap w:val="0"/>
                  <w:vAlign w:val="center"/>
                </w:tcPr>
                <w:p w14:paraId="14889A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石油类</w:t>
                  </w:r>
                </w:p>
              </w:tc>
              <w:tc>
                <w:tcPr>
                  <w:tcW w:w="723" w:type="dxa"/>
                  <w:vMerge w:val="continue"/>
                  <w:noWrap w:val="0"/>
                  <w:vAlign w:val="center"/>
                </w:tcPr>
                <w:p w14:paraId="41C72D7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shd w:val="clear" w:color="auto" w:fill="auto"/>
                  <w:noWrap w:val="0"/>
                  <w:vAlign w:val="center"/>
                </w:tcPr>
                <w:p w14:paraId="3BC46B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1</w:t>
                  </w:r>
                </w:p>
              </w:tc>
              <w:tc>
                <w:tcPr>
                  <w:tcW w:w="1004" w:type="dxa"/>
                  <w:noWrap w:val="0"/>
                  <w:vAlign w:val="center"/>
                </w:tcPr>
                <w:p w14:paraId="4F80A80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0.0036</w:t>
                  </w:r>
                </w:p>
              </w:tc>
              <w:tc>
                <w:tcPr>
                  <w:tcW w:w="733" w:type="dxa"/>
                  <w:vMerge w:val="continue"/>
                  <w:noWrap w:val="0"/>
                  <w:vAlign w:val="center"/>
                </w:tcPr>
                <w:p w14:paraId="10C1A6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6644EB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40</w:t>
                  </w:r>
                </w:p>
              </w:tc>
              <w:tc>
                <w:tcPr>
                  <w:tcW w:w="616" w:type="dxa"/>
                  <w:vMerge w:val="continue"/>
                  <w:noWrap w:val="0"/>
                  <w:vAlign w:val="center"/>
                </w:tcPr>
                <w:p w14:paraId="38A952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1BCF61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0.6</w:t>
                  </w:r>
                </w:p>
              </w:tc>
              <w:tc>
                <w:tcPr>
                  <w:tcW w:w="1109" w:type="dxa"/>
                  <w:noWrap w:val="0"/>
                  <w:vAlign w:val="center"/>
                </w:tcPr>
                <w:p w14:paraId="3BAE054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0.0022</w:t>
                  </w:r>
                </w:p>
              </w:tc>
              <w:tc>
                <w:tcPr>
                  <w:tcW w:w="593" w:type="dxa"/>
                  <w:vMerge w:val="continue"/>
                  <w:noWrap w:val="0"/>
                  <w:vAlign w:val="center"/>
                </w:tcPr>
                <w:p w14:paraId="6F4C65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2900C8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0B33E5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0B7EE6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2B570E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2EEA1C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1</w:t>
                  </w:r>
                </w:p>
              </w:tc>
            </w:tr>
            <w:tr w14:paraId="701A4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77F7F1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noWrap w:val="0"/>
                  <w:vAlign w:val="center"/>
                </w:tcPr>
                <w:p w14:paraId="182D7BB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总铍</w:t>
                  </w:r>
                </w:p>
              </w:tc>
              <w:tc>
                <w:tcPr>
                  <w:tcW w:w="723" w:type="dxa"/>
                  <w:vMerge w:val="continue"/>
                  <w:noWrap w:val="0"/>
                  <w:vAlign w:val="center"/>
                </w:tcPr>
                <w:p w14:paraId="757A83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shd w:val="clear" w:color="auto" w:fill="auto"/>
                  <w:noWrap w:val="0"/>
                  <w:vAlign w:val="center"/>
                </w:tcPr>
                <w:p w14:paraId="6B8BFA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0.005</w:t>
                  </w:r>
                </w:p>
              </w:tc>
              <w:tc>
                <w:tcPr>
                  <w:tcW w:w="1004" w:type="dxa"/>
                  <w:noWrap w:val="0"/>
                  <w:vAlign w:val="center"/>
                </w:tcPr>
                <w:p w14:paraId="04E9E6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0.000018</w:t>
                  </w:r>
                </w:p>
              </w:tc>
              <w:tc>
                <w:tcPr>
                  <w:tcW w:w="733" w:type="dxa"/>
                  <w:vMerge w:val="continue"/>
                  <w:noWrap w:val="0"/>
                  <w:vAlign w:val="center"/>
                </w:tcPr>
                <w:p w14:paraId="6679A4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473746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90</w:t>
                  </w:r>
                </w:p>
              </w:tc>
              <w:tc>
                <w:tcPr>
                  <w:tcW w:w="616" w:type="dxa"/>
                  <w:vMerge w:val="continue"/>
                  <w:noWrap w:val="0"/>
                  <w:vAlign w:val="center"/>
                </w:tcPr>
                <w:p w14:paraId="61BC12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170F7C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0.0005</w:t>
                  </w:r>
                </w:p>
              </w:tc>
              <w:tc>
                <w:tcPr>
                  <w:tcW w:w="1109" w:type="dxa"/>
                  <w:noWrap w:val="0"/>
                  <w:vAlign w:val="center"/>
                </w:tcPr>
                <w:p w14:paraId="3988D7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0.000002</w:t>
                  </w:r>
                </w:p>
              </w:tc>
              <w:tc>
                <w:tcPr>
                  <w:tcW w:w="593" w:type="dxa"/>
                  <w:vMerge w:val="continue"/>
                  <w:noWrap w:val="0"/>
                  <w:vAlign w:val="center"/>
                </w:tcPr>
                <w:p w14:paraId="109B02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7C138B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799697A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128DD6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19B5376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22DCE5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0.005</w:t>
                  </w:r>
                </w:p>
              </w:tc>
            </w:tr>
            <w:tr w14:paraId="767EF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2D4D6E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noWrap w:val="0"/>
                  <w:vAlign w:val="center"/>
                </w:tcPr>
                <w:p w14:paraId="33F04A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总铊</w:t>
                  </w:r>
                </w:p>
              </w:tc>
              <w:tc>
                <w:tcPr>
                  <w:tcW w:w="723" w:type="dxa"/>
                  <w:vMerge w:val="continue"/>
                  <w:noWrap w:val="0"/>
                  <w:vAlign w:val="center"/>
                </w:tcPr>
                <w:p w14:paraId="33AF6B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shd w:val="clear" w:color="auto" w:fill="auto"/>
                  <w:noWrap w:val="0"/>
                  <w:vAlign w:val="center"/>
                </w:tcPr>
                <w:p w14:paraId="6DB3FA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0.01</w:t>
                  </w:r>
                </w:p>
              </w:tc>
              <w:tc>
                <w:tcPr>
                  <w:tcW w:w="1004" w:type="dxa"/>
                  <w:noWrap w:val="0"/>
                  <w:vAlign w:val="center"/>
                </w:tcPr>
                <w:p w14:paraId="4E0B30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0.000036</w:t>
                  </w:r>
                </w:p>
              </w:tc>
              <w:tc>
                <w:tcPr>
                  <w:tcW w:w="733" w:type="dxa"/>
                  <w:vMerge w:val="continue"/>
                  <w:noWrap w:val="0"/>
                  <w:vAlign w:val="center"/>
                </w:tcPr>
                <w:p w14:paraId="55DB25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49575B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90</w:t>
                  </w:r>
                </w:p>
              </w:tc>
              <w:tc>
                <w:tcPr>
                  <w:tcW w:w="616" w:type="dxa"/>
                  <w:vMerge w:val="continue"/>
                  <w:noWrap w:val="0"/>
                  <w:vAlign w:val="center"/>
                </w:tcPr>
                <w:p w14:paraId="6F098D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48F65C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0.001</w:t>
                  </w:r>
                </w:p>
              </w:tc>
              <w:tc>
                <w:tcPr>
                  <w:tcW w:w="1109" w:type="dxa"/>
                  <w:noWrap w:val="0"/>
                  <w:vAlign w:val="center"/>
                </w:tcPr>
                <w:p w14:paraId="189CCA6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0.000004</w:t>
                  </w:r>
                </w:p>
              </w:tc>
              <w:tc>
                <w:tcPr>
                  <w:tcW w:w="593" w:type="dxa"/>
                  <w:vMerge w:val="continue"/>
                  <w:noWrap w:val="0"/>
                  <w:vAlign w:val="center"/>
                </w:tcPr>
                <w:p w14:paraId="70B402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072033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575D3F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7E6EBE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1B273C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40A6CD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0.005</w:t>
                  </w:r>
                </w:p>
              </w:tc>
            </w:tr>
            <w:tr w14:paraId="1B2FA5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noWrap w:val="0"/>
                  <w:vAlign w:val="center"/>
                </w:tcPr>
                <w:p w14:paraId="621BC9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noWrap w:val="0"/>
                  <w:vAlign w:val="center"/>
                </w:tcPr>
                <w:p w14:paraId="3617CA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氟化物</w:t>
                  </w:r>
                </w:p>
              </w:tc>
              <w:tc>
                <w:tcPr>
                  <w:tcW w:w="723" w:type="dxa"/>
                  <w:vMerge w:val="continue"/>
                  <w:noWrap w:val="0"/>
                  <w:vAlign w:val="center"/>
                </w:tcPr>
                <w:p w14:paraId="77CD3CE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747" w:type="dxa"/>
                  <w:shd w:val="clear" w:color="auto" w:fill="auto"/>
                  <w:noWrap w:val="0"/>
                  <w:vAlign w:val="center"/>
                </w:tcPr>
                <w:p w14:paraId="38E81D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5</w:t>
                  </w:r>
                </w:p>
              </w:tc>
              <w:tc>
                <w:tcPr>
                  <w:tcW w:w="1004" w:type="dxa"/>
                  <w:noWrap w:val="0"/>
                  <w:vAlign w:val="center"/>
                </w:tcPr>
                <w:p w14:paraId="711652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0.018</w:t>
                  </w:r>
                </w:p>
              </w:tc>
              <w:tc>
                <w:tcPr>
                  <w:tcW w:w="733" w:type="dxa"/>
                  <w:vMerge w:val="continue"/>
                  <w:noWrap w:val="0"/>
                  <w:vAlign w:val="center"/>
                </w:tcPr>
                <w:p w14:paraId="7FEEF7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1F5852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70</w:t>
                  </w:r>
                </w:p>
              </w:tc>
              <w:tc>
                <w:tcPr>
                  <w:tcW w:w="616" w:type="dxa"/>
                  <w:vMerge w:val="continue"/>
                  <w:noWrap w:val="0"/>
                  <w:vAlign w:val="center"/>
                </w:tcPr>
                <w:p w14:paraId="2ED0A5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4B9504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1.5</w:t>
                  </w:r>
                </w:p>
              </w:tc>
              <w:tc>
                <w:tcPr>
                  <w:tcW w:w="1109" w:type="dxa"/>
                  <w:noWrap w:val="0"/>
                  <w:vAlign w:val="center"/>
                </w:tcPr>
                <w:p w14:paraId="04CD28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0.0054</w:t>
                  </w:r>
                </w:p>
              </w:tc>
              <w:tc>
                <w:tcPr>
                  <w:tcW w:w="593" w:type="dxa"/>
                  <w:vMerge w:val="continue"/>
                  <w:noWrap w:val="0"/>
                  <w:vAlign w:val="center"/>
                </w:tcPr>
                <w:p w14:paraId="79B2B8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noWrap w:val="0"/>
                  <w:vAlign w:val="center"/>
                </w:tcPr>
                <w:p w14:paraId="264A12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noWrap w:val="0"/>
                  <w:vAlign w:val="center"/>
                </w:tcPr>
                <w:p w14:paraId="2C325E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noWrap w:val="0"/>
                  <w:vAlign w:val="center"/>
                </w:tcPr>
                <w:p w14:paraId="7A3CCA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6E7525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75910A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2</w:t>
                  </w:r>
                </w:p>
              </w:tc>
            </w:tr>
            <w:tr w14:paraId="0415C0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noWrap w:val="0"/>
                  <w:vAlign w:val="center"/>
                </w:tcPr>
                <w:p w14:paraId="6B10A7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120" w:leftChars="-50" w:right="-120" w:rightChars="-5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养护废水</w:t>
                  </w:r>
                </w:p>
              </w:tc>
              <w:tc>
                <w:tcPr>
                  <w:tcW w:w="909" w:type="dxa"/>
                  <w:shd w:val="clear" w:color="auto" w:fill="auto"/>
                  <w:noWrap w:val="0"/>
                  <w:vAlign w:val="center"/>
                </w:tcPr>
                <w:p w14:paraId="2B2A085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sz w:val="21"/>
                      <w:szCs w:val="21"/>
                      <w:highlight w:val="none"/>
                    </w:rPr>
                    <w:t>SS</w:t>
                  </w:r>
                </w:p>
              </w:tc>
              <w:tc>
                <w:tcPr>
                  <w:tcW w:w="723" w:type="dxa"/>
                  <w:noWrap w:val="0"/>
                  <w:vAlign w:val="center"/>
                </w:tcPr>
                <w:p w14:paraId="46BBB6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48</w:t>
                  </w:r>
                </w:p>
              </w:tc>
              <w:tc>
                <w:tcPr>
                  <w:tcW w:w="747" w:type="dxa"/>
                  <w:shd w:val="clear" w:color="auto" w:fill="auto"/>
                  <w:noWrap w:val="0"/>
                  <w:vAlign w:val="center"/>
                </w:tcPr>
                <w:p w14:paraId="6D2123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2</w:t>
                  </w:r>
                  <w:r>
                    <w:rPr>
                      <w:rFonts w:hint="default"/>
                      <w:color w:val="auto"/>
                      <w:sz w:val="21"/>
                      <w:szCs w:val="21"/>
                      <w:highlight w:val="none"/>
                      <w:lang w:val="en-US" w:eastAsia="zh-CN"/>
                    </w:rPr>
                    <w:t>00</w:t>
                  </w:r>
                </w:p>
              </w:tc>
              <w:tc>
                <w:tcPr>
                  <w:tcW w:w="1004" w:type="dxa"/>
                  <w:noWrap w:val="0"/>
                  <w:vAlign w:val="center"/>
                </w:tcPr>
                <w:p w14:paraId="127390C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0.0096</w:t>
                  </w:r>
                </w:p>
              </w:tc>
              <w:tc>
                <w:tcPr>
                  <w:tcW w:w="733" w:type="dxa"/>
                  <w:vMerge w:val="continue"/>
                  <w:noWrap w:val="0"/>
                  <w:vAlign w:val="center"/>
                </w:tcPr>
                <w:p w14:paraId="705275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71" w:type="dxa"/>
                  <w:shd w:val="clear" w:color="auto" w:fill="auto"/>
                  <w:noWrap w:val="0"/>
                  <w:vAlign w:val="center"/>
                </w:tcPr>
                <w:p w14:paraId="6EE3C9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default"/>
                      <w:color w:val="auto"/>
                      <w:sz w:val="21"/>
                      <w:szCs w:val="21"/>
                      <w:highlight w:val="none"/>
                      <w:lang w:val="en-US" w:eastAsia="zh-CN"/>
                    </w:rPr>
                    <w:t>90</w:t>
                  </w:r>
                </w:p>
              </w:tc>
              <w:tc>
                <w:tcPr>
                  <w:tcW w:w="616" w:type="dxa"/>
                  <w:vMerge w:val="continue"/>
                  <w:noWrap w:val="0"/>
                  <w:vAlign w:val="center"/>
                </w:tcPr>
                <w:p w14:paraId="5F3AEC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890" w:type="dxa"/>
                  <w:noWrap w:val="0"/>
                  <w:vAlign w:val="center"/>
                </w:tcPr>
                <w:p w14:paraId="40243E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auto"/>
                      <w:sz w:val="21"/>
                      <w:szCs w:val="21"/>
                      <w:highlight w:val="none"/>
                      <w:lang w:val="en-US" w:eastAsia="zh-CN"/>
                    </w:rPr>
                  </w:pPr>
                  <w:r>
                    <w:rPr>
                      <w:rFonts w:hint="eastAsia"/>
                      <w:color w:val="auto"/>
                      <w:sz w:val="21"/>
                      <w:szCs w:val="21"/>
                      <w:highlight w:val="none"/>
                      <w:lang w:val="en-US" w:eastAsia="zh-CN"/>
                    </w:rPr>
                    <w:t>20</w:t>
                  </w:r>
                </w:p>
              </w:tc>
              <w:tc>
                <w:tcPr>
                  <w:tcW w:w="1109" w:type="dxa"/>
                  <w:noWrap w:val="0"/>
                  <w:vAlign w:val="center"/>
                </w:tcPr>
                <w:p w14:paraId="7DA8F7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0.00096</w:t>
                  </w:r>
                </w:p>
              </w:tc>
              <w:tc>
                <w:tcPr>
                  <w:tcW w:w="593" w:type="dxa"/>
                  <w:vMerge w:val="restart"/>
                  <w:noWrap w:val="0"/>
                  <w:vAlign w:val="center"/>
                </w:tcPr>
                <w:p w14:paraId="764D7D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回用于抑尘</w:t>
                  </w:r>
                </w:p>
              </w:tc>
              <w:tc>
                <w:tcPr>
                  <w:tcW w:w="1032" w:type="dxa"/>
                  <w:noWrap w:val="0"/>
                  <w:vAlign w:val="center"/>
                </w:tcPr>
                <w:p w14:paraId="5BEDEB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186" w:type="dxa"/>
                  <w:noWrap w:val="0"/>
                  <w:vAlign w:val="center"/>
                </w:tcPr>
                <w:p w14:paraId="4F7B01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133" w:type="dxa"/>
                  <w:vMerge w:val="continue"/>
                  <w:noWrap w:val="0"/>
                  <w:vAlign w:val="center"/>
                </w:tcPr>
                <w:p w14:paraId="0F5291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72116A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6E5E307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200</w:t>
                  </w:r>
                </w:p>
              </w:tc>
            </w:tr>
            <w:tr w14:paraId="356838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restart"/>
                  <w:noWrap w:val="0"/>
                  <w:vAlign w:val="center"/>
                </w:tcPr>
                <w:p w14:paraId="7DFB19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auto"/>
                      <w:sz w:val="21"/>
                      <w:szCs w:val="21"/>
                      <w:highlight w:val="none"/>
                      <w:lang w:val="en-US" w:eastAsia="zh-CN"/>
                    </w:rPr>
                  </w:pPr>
                  <w:r>
                    <w:rPr>
                      <w:rFonts w:hint="eastAsia"/>
                      <w:color w:val="auto"/>
                      <w:sz w:val="21"/>
                      <w:szCs w:val="21"/>
                      <w:highlight w:val="none"/>
                      <w:lang w:val="en-US" w:eastAsia="zh-CN"/>
                    </w:rPr>
                    <w:t>初期雨水</w:t>
                  </w:r>
                </w:p>
              </w:tc>
              <w:tc>
                <w:tcPr>
                  <w:tcW w:w="909" w:type="dxa"/>
                  <w:shd w:val="clear" w:color="auto" w:fill="auto"/>
                  <w:noWrap w:val="0"/>
                  <w:vAlign w:val="center"/>
                </w:tcPr>
                <w:p w14:paraId="26CF3C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COD</w:t>
                  </w:r>
                  <w:r>
                    <w:rPr>
                      <w:rFonts w:hint="eastAsia" w:ascii="Times New Roman" w:hAnsi="Times New Roman" w:eastAsia="宋体" w:cs="Times New Roman"/>
                      <w:color w:val="FF0000"/>
                      <w:sz w:val="21"/>
                      <w:szCs w:val="21"/>
                      <w:highlight w:val="none"/>
                      <w:vertAlign w:val="subscript"/>
                      <w:lang w:val="en-US" w:eastAsia="zh-CN"/>
                    </w:rPr>
                    <w:t>C</w:t>
                  </w:r>
                  <w:r>
                    <w:rPr>
                      <w:rFonts w:hint="default" w:ascii="Times New Roman" w:hAnsi="Times New Roman" w:eastAsia="宋体" w:cs="Times New Roman"/>
                      <w:color w:val="FF0000"/>
                      <w:sz w:val="21"/>
                      <w:szCs w:val="21"/>
                      <w:highlight w:val="none"/>
                      <w:vertAlign w:val="subscript"/>
                    </w:rPr>
                    <w:t>r</w:t>
                  </w:r>
                </w:p>
              </w:tc>
              <w:tc>
                <w:tcPr>
                  <w:tcW w:w="723" w:type="dxa"/>
                  <w:vMerge w:val="restart"/>
                  <w:noWrap w:val="0"/>
                  <w:vAlign w:val="center"/>
                </w:tcPr>
                <w:p w14:paraId="639E0D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eastAsia="宋体"/>
                      <w:color w:val="FF0000"/>
                      <w:sz w:val="21"/>
                      <w:szCs w:val="21"/>
                      <w:highlight w:val="none"/>
                      <w:lang w:val="en-US" w:eastAsia="zh-CN"/>
                    </w:rPr>
                  </w:pPr>
                  <w:r>
                    <w:rPr>
                      <w:rFonts w:hint="eastAsia"/>
                      <w:color w:val="FF0000"/>
                      <w:sz w:val="21"/>
                      <w:szCs w:val="21"/>
                      <w:highlight w:val="none"/>
                      <w:lang w:val="en-US" w:eastAsia="zh-CN"/>
                    </w:rPr>
                    <w:t>2400</w:t>
                  </w:r>
                </w:p>
              </w:tc>
              <w:tc>
                <w:tcPr>
                  <w:tcW w:w="747" w:type="dxa"/>
                  <w:shd w:val="clear" w:color="auto" w:fill="auto"/>
                  <w:noWrap w:val="0"/>
                  <w:vAlign w:val="center"/>
                </w:tcPr>
                <w:p w14:paraId="65CC6C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40</w:t>
                  </w:r>
                </w:p>
              </w:tc>
              <w:tc>
                <w:tcPr>
                  <w:tcW w:w="1004" w:type="dxa"/>
                  <w:noWrap w:val="0"/>
                  <w:vAlign w:val="center"/>
                </w:tcPr>
                <w:p w14:paraId="6B4B242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0.096</w:t>
                  </w:r>
                </w:p>
              </w:tc>
              <w:tc>
                <w:tcPr>
                  <w:tcW w:w="733" w:type="dxa"/>
                  <w:vMerge w:val="restart"/>
                  <w:noWrap w:val="0"/>
                  <w:vAlign w:val="center"/>
                </w:tcPr>
                <w:p w14:paraId="1B3A55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r>
                    <w:rPr>
                      <w:rFonts w:hint="eastAsia"/>
                      <w:color w:val="FF0000"/>
                      <w:sz w:val="21"/>
                      <w:szCs w:val="21"/>
                      <w:highlight w:val="none"/>
                      <w:lang w:val="en-US" w:eastAsia="zh-CN"/>
                    </w:rPr>
                    <w:t>氧化+除铊+絮凝沉淀</w:t>
                  </w:r>
                </w:p>
              </w:tc>
              <w:tc>
                <w:tcPr>
                  <w:tcW w:w="571" w:type="dxa"/>
                  <w:shd w:val="clear" w:color="auto" w:fill="auto"/>
                  <w:noWrap w:val="0"/>
                  <w:vAlign w:val="center"/>
                </w:tcPr>
                <w:p w14:paraId="5E76660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0</w:t>
                  </w:r>
                </w:p>
              </w:tc>
              <w:tc>
                <w:tcPr>
                  <w:tcW w:w="616" w:type="dxa"/>
                  <w:vMerge w:val="continue"/>
                  <w:noWrap w:val="0"/>
                  <w:vAlign w:val="center"/>
                </w:tcPr>
                <w:p w14:paraId="2FAAC4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noWrap w:val="0"/>
                  <w:vAlign w:val="center"/>
                </w:tcPr>
                <w:p w14:paraId="782ACD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40</w:t>
                  </w:r>
                </w:p>
              </w:tc>
              <w:tc>
                <w:tcPr>
                  <w:tcW w:w="1109" w:type="dxa"/>
                  <w:noWrap w:val="0"/>
                  <w:vAlign w:val="center"/>
                </w:tcPr>
                <w:p w14:paraId="62FBA18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0.096</w:t>
                  </w:r>
                </w:p>
              </w:tc>
              <w:tc>
                <w:tcPr>
                  <w:tcW w:w="593" w:type="dxa"/>
                  <w:vMerge w:val="continue"/>
                  <w:noWrap w:val="0"/>
                  <w:vAlign w:val="center"/>
                </w:tcPr>
                <w:p w14:paraId="09F02DE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eastAsia="宋体"/>
                      <w:color w:val="auto"/>
                      <w:sz w:val="21"/>
                      <w:szCs w:val="21"/>
                      <w:highlight w:val="none"/>
                      <w:lang w:val="en-US" w:eastAsia="zh-CN"/>
                    </w:rPr>
                  </w:pPr>
                </w:p>
              </w:tc>
              <w:tc>
                <w:tcPr>
                  <w:tcW w:w="1032" w:type="dxa"/>
                  <w:vMerge w:val="restart"/>
                  <w:noWrap w:val="0"/>
                  <w:vAlign w:val="center"/>
                </w:tcPr>
                <w:p w14:paraId="011E74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186" w:type="dxa"/>
                  <w:vMerge w:val="restart"/>
                  <w:noWrap w:val="0"/>
                  <w:vAlign w:val="center"/>
                </w:tcPr>
                <w:p w14:paraId="6CEC3F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eastAsia="宋体"/>
                      <w:color w:val="auto"/>
                      <w:sz w:val="21"/>
                      <w:szCs w:val="21"/>
                      <w:highlight w:val="none"/>
                      <w:lang w:val="en-US" w:eastAsia="zh-CN"/>
                    </w:rPr>
                  </w:pPr>
                  <w:r>
                    <w:rPr>
                      <w:rFonts w:hint="eastAsia"/>
                      <w:color w:val="auto"/>
                      <w:sz w:val="21"/>
                      <w:szCs w:val="21"/>
                      <w:highlight w:val="none"/>
                      <w:lang w:val="en-US" w:eastAsia="zh-CN"/>
                    </w:rPr>
                    <w:t>/</w:t>
                  </w:r>
                </w:p>
              </w:tc>
              <w:tc>
                <w:tcPr>
                  <w:tcW w:w="1133" w:type="dxa"/>
                  <w:vMerge w:val="continue"/>
                  <w:noWrap w:val="0"/>
                  <w:vAlign w:val="center"/>
                </w:tcPr>
                <w:p w14:paraId="3B35F7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noWrap w:val="0"/>
                  <w:vAlign w:val="center"/>
                </w:tcPr>
                <w:p w14:paraId="41CEA8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noWrap w:val="0"/>
                  <w:vAlign w:val="center"/>
                </w:tcPr>
                <w:p w14:paraId="45161D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50</w:t>
                  </w:r>
                </w:p>
              </w:tc>
            </w:tr>
            <w:tr w14:paraId="2EA76D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tcPr>
                <w:p w14:paraId="1DAF08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vAlign w:val="center"/>
                </w:tcPr>
                <w:p w14:paraId="538D353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SS</w:t>
                  </w:r>
                </w:p>
              </w:tc>
              <w:tc>
                <w:tcPr>
                  <w:tcW w:w="723" w:type="dxa"/>
                  <w:vMerge w:val="continue"/>
                </w:tcPr>
                <w:p w14:paraId="15C5DF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0" w:type="auto"/>
                  <w:shd w:val="clear" w:color="auto" w:fill="auto"/>
                  <w:vAlign w:val="center"/>
                </w:tcPr>
                <w:p w14:paraId="27EC9B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400</w:t>
                  </w:r>
                </w:p>
              </w:tc>
              <w:tc>
                <w:tcPr>
                  <w:tcW w:w="1004" w:type="dxa"/>
                  <w:vAlign w:val="center"/>
                </w:tcPr>
                <w:p w14:paraId="3B2DEA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0.96</w:t>
                  </w:r>
                </w:p>
              </w:tc>
              <w:tc>
                <w:tcPr>
                  <w:tcW w:w="733" w:type="dxa"/>
                  <w:vMerge w:val="continue"/>
                </w:tcPr>
                <w:p w14:paraId="041B9E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571" w:type="dxa"/>
                  <w:shd w:val="clear" w:color="auto" w:fill="auto"/>
                  <w:vAlign w:val="center"/>
                </w:tcPr>
                <w:p w14:paraId="419729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9</w:t>
                  </w:r>
                  <w:r>
                    <w:rPr>
                      <w:rFonts w:hint="eastAsia"/>
                      <w:color w:val="FF0000"/>
                      <w:sz w:val="21"/>
                      <w:szCs w:val="21"/>
                      <w:highlight w:val="none"/>
                      <w:lang w:val="en-US" w:eastAsia="zh-CN"/>
                    </w:rPr>
                    <w:t>0</w:t>
                  </w:r>
                </w:p>
              </w:tc>
              <w:tc>
                <w:tcPr>
                  <w:tcW w:w="616" w:type="dxa"/>
                  <w:vMerge w:val="continue"/>
                </w:tcPr>
                <w:p w14:paraId="7E8165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vAlign w:val="center"/>
                </w:tcPr>
                <w:p w14:paraId="4AC8FE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20</w:t>
                  </w:r>
                </w:p>
              </w:tc>
              <w:tc>
                <w:tcPr>
                  <w:tcW w:w="1109" w:type="dxa"/>
                  <w:vAlign w:val="center"/>
                </w:tcPr>
                <w:p w14:paraId="3D60D0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0.096</w:t>
                  </w:r>
                </w:p>
              </w:tc>
              <w:tc>
                <w:tcPr>
                  <w:tcW w:w="593" w:type="dxa"/>
                  <w:vMerge w:val="continue"/>
                </w:tcPr>
                <w:p w14:paraId="4C3616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tcPr>
                <w:p w14:paraId="71FA81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tcPr>
                <w:p w14:paraId="010F26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tcPr>
                <w:p w14:paraId="47B024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tcPr>
                <w:p w14:paraId="28B17F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tcPr>
                <w:p w14:paraId="1AB8A9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200</w:t>
                  </w:r>
                </w:p>
              </w:tc>
            </w:tr>
            <w:tr w14:paraId="5D791D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tcPr>
                <w:p w14:paraId="7D2863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vAlign w:val="center"/>
                </w:tcPr>
                <w:p w14:paraId="17B3DB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NH</w:t>
                  </w:r>
                  <w:r>
                    <w:rPr>
                      <w:rFonts w:hint="default" w:ascii="Times New Roman" w:hAnsi="Times New Roman" w:eastAsia="宋体" w:cs="Times New Roman"/>
                      <w:bCs/>
                      <w:color w:val="FF0000"/>
                      <w:sz w:val="21"/>
                      <w:szCs w:val="21"/>
                      <w:highlight w:val="none"/>
                      <w:vertAlign w:val="subscript"/>
                    </w:rPr>
                    <w:t>3</w:t>
                  </w:r>
                  <w:r>
                    <w:rPr>
                      <w:rFonts w:hint="default" w:ascii="Times New Roman" w:hAnsi="Times New Roman" w:eastAsia="宋体" w:cs="Times New Roman"/>
                      <w:bCs/>
                      <w:color w:val="FF0000"/>
                      <w:sz w:val="21"/>
                      <w:szCs w:val="21"/>
                      <w:highlight w:val="none"/>
                    </w:rPr>
                    <w:t>-N</w:t>
                  </w:r>
                </w:p>
              </w:tc>
              <w:tc>
                <w:tcPr>
                  <w:tcW w:w="723" w:type="dxa"/>
                  <w:vMerge w:val="continue"/>
                </w:tcPr>
                <w:p w14:paraId="568FAD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0" w:type="auto"/>
                  <w:shd w:val="clear" w:color="auto" w:fill="auto"/>
                  <w:vAlign w:val="center"/>
                </w:tcPr>
                <w:p w14:paraId="5D5E21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0.5</w:t>
                  </w:r>
                </w:p>
              </w:tc>
              <w:tc>
                <w:tcPr>
                  <w:tcW w:w="1004" w:type="dxa"/>
                  <w:vAlign w:val="center"/>
                </w:tcPr>
                <w:p w14:paraId="2B9F32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0.0012</w:t>
                  </w:r>
                </w:p>
              </w:tc>
              <w:tc>
                <w:tcPr>
                  <w:tcW w:w="733" w:type="dxa"/>
                  <w:vMerge w:val="continue"/>
                </w:tcPr>
                <w:p w14:paraId="102E7D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571" w:type="dxa"/>
                  <w:shd w:val="clear" w:color="auto" w:fill="auto"/>
                  <w:vAlign w:val="center"/>
                </w:tcPr>
                <w:p w14:paraId="20519D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20</w:t>
                  </w:r>
                </w:p>
              </w:tc>
              <w:tc>
                <w:tcPr>
                  <w:tcW w:w="616" w:type="dxa"/>
                  <w:vMerge w:val="continue"/>
                </w:tcPr>
                <w:p w14:paraId="73D1D4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vAlign w:val="center"/>
                </w:tcPr>
                <w:p w14:paraId="7E21F5D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0.4</w:t>
                  </w:r>
                </w:p>
              </w:tc>
              <w:tc>
                <w:tcPr>
                  <w:tcW w:w="1109" w:type="dxa"/>
                  <w:vAlign w:val="center"/>
                </w:tcPr>
                <w:p w14:paraId="37C451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0.00096</w:t>
                  </w:r>
                </w:p>
              </w:tc>
              <w:tc>
                <w:tcPr>
                  <w:tcW w:w="593" w:type="dxa"/>
                  <w:vMerge w:val="continue"/>
                </w:tcPr>
                <w:p w14:paraId="04CCE8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tcPr>
                <w:p w14:paraId="441EADB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tcPr>
                <w:p w14:paraId="3ED8236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tcPr>
                <w:p w14:paraId="1749F3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tcPr>
                <w:p w14:paraId="42969B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tcPr>
                <w:p w14:paraId="71F985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lang w:val="en-US" w:eastAsia="zh-CN"/>
                    </w:rPr>
                  </w:pPr>
                  <w:r>
                    <w:rPr>
                      <w:rFonts w:hint="eastAsia"/>
                      <w:color w:val="auto"/>
                      <w:sz w:val="21"/>
                      <w:szCs w:val="21"/>
                      <w:highlight w:val="none"/>
                      <w:lang w:val="en-US" w:eastAsia="zh-CN"/>
                    </w:rPr>
                    <w:t>5</w:t>
                  </w:r>
                </w:p>
              </w:tc>
            </w:tr>
            <w:tr w14:paraId="5B4CD0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tcPr>
                <w:p w14:paraId="24DE04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vAlign w:val="center"/>
                </w:tcPr>
                <w:p w14:paraId="012A62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总铍</w:t>
                  </w:r>
                </w:p>
              </w:tc>
              <w:tc>
                <w:tcPr>
                  <w:tcW w:w="723" w:type="dxa"/>
                  <w:vMerge w:val="continue"/>
                </w:tcPr>
                <w:p w14:paraId="76E76D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0" w:type="auto"/>
                  <w:shd w:val="clear" w:color="auto" w:fill="auto"/>
                  <w:vAlign w:val="center"/>
                </w:tcPr>
                <w:p w14:paraId="73A546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0.01</w:t>
                  </w:r>
                </w:p>
              </w:tc>
              <w:tc>
                <w:tcPr>
                  <w:tcW w:w="1004" w:type="dxa"/>
                  <w:vAlign w:val="center"/>
                </w:tcPr>
                <w:p w14:paraId="3603208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0.000024</w:t>
                  </w:r>
                </w:p>
              </w:tc>
              <w:tc>
                <w:tcPr>
                  <w:tcW w:w="733" w:type="dxa"/>
                  <w:vMerge w:val="continue"/>
                </w:tcPr>
                <w:p w14:paraId="445B4B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571" w:type="dxa"/>
                  <w:shd w:val="clear" w:color="auto" w:fill="auto"/>
                  <w:vAlign w:val="center"/>
                </w:tcPr>
                <w:p w14:paraId="53F2F0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90</w:t>
                  </w:r>
                </w:p>
              </w:tc>
              <w:tc>
                <w:tcPr>
                  <w:tcW w:w="616" w:type="dxa"/>
                  <w:vMerge w:val="continue"/>
                </w:tcPr>
                <w:p w14:paraId="2B90A95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vAlign w:val="center"/>
                </w:tcPr>
                <w:p w14:paraId="12A6BE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0.001</w:t>
                  </w:r>
                </w:p>
              </w:tc>
              <w:tc>
                <w:tcPr>
                  <w:tcW w:w="1109" w:type="dxa"/>
                  <w:vAlign w:val="center"/>
                </w:tcPr>
                <w:p w14:paraId="151FF41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0.000002</w:t>
                  </w:r>
                </w:p>
              </w:tc>
              <w:tc>
                <w:tcPr>
                  <w:tcW w:w="593" w:type="dxa"/>
                  <w:vMerge w:val="continue"/>
                </w:tcPr>
                <w:p w14:paraId="7D0E972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tcPr>
                <w:p w14:paraId="5BBA86E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tcPr>
                <w:p w14:paraId="7A9710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tcPr>
                <w:p w14:paraId="015ABA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tcPr>
                <w:p w14:paraId="3716DA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shd w:val="clear" w:color="auto" w:fill="auto"/>
                  <w:vAlign w:val="center"/>
                </w:tcPr>
                <w:p w14:paraId="1E7840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0.005</w:t>
                  </w:r>
                </w:p>
              </w:tc>
            </w:tr>
            <w:tr w14:paraId="6CA27D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tcPr>
                <w:p w14:paraId="16F02B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vAlign w:val="center"/>
                </w:tcPr>
                <w:p w14:paraId="184723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总铊</w:t>
                  </w:r>
                </w:p>
              </w:tc>
              <w:tc>
                <w:tcPr>
                  <w:tcW w:w="723" w:type="dxa"/>
                  <w:vMerge w:val="continue"/>
                </w:tcPr>
                <w:p w14:paraId="2AE99C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0" w:type="auto"/>
                  <w:shd w:val="clear" w:color="auto" w:fill="auto"/>
                  <w:vAlign w:val="center"/>
                </w:tcPr>
                <w:p w14:paraId="5571366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0.02</w:t>
                  </w:r>
                </w:p>
              </w:tc>
              <w:tc>
                <w:tcPr>
                  <w:tcW w:w="1004" w:type="dxa"/>
                  <w:vAlign w:val="center"/>
                </w:tcPr>
                <w:p w14:paraId="6C9B823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0.000048</w:t>
                  </w:r>
                </w:p>
              </w:tc>
              <w:tc>
                <w:tcPr>
                  <w:tcW w:w="733" w:type="dxa"/>
                  <w:vMerge w:val="continue"/>
                </w:tcPr>
                <w:p w14:paraId="03AA2C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571" w:type="dxa"/>
                  <w:shd w:val="clear" w:color="auto" w:fill="auto"/>
                  <w:vAlign w:val="center"/>
                </w:tcPr>
                <w:p w14:paraId="2A397A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90</w:t>
                  </w:r>
                </w:p>
              </w:tc>
              <w:tc>
                <w:tcPr>
                  <w:tcW w:w="616" w:type="dxa"/>
                  <w:vMerge w:val="continue"/>
                </w:tcPr>
                <w:p w14:paraId="302116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vAlign w:val="center"/>
                </w:tcPr>
                <w:p w14:paraId="20B140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0.002</w:t>
                  </w:r>
                </w:p>
              </w:tc>
              <w:tc>
                <w:tcPr>
                  <w:tcW w:w="1109" w:type="dxa"/>
                  <w:vAlign w:val="center"/>
                </w:tcPr>
                <w:p w14:paraId="55B344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0.000005</w:t>
                  </w:r>
                </w:p>
              </w:tc>
              <w:tc>
                <w:tcPr>
                  <w:tcW w:w="593" w:type="dxa"/>
                  <w:vMerge w:val="continue"/>
                </w:tcPr>
                <w:p w14:paraId="0E636B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032" w:type="dxa"/>
                  <w:vMerge w:val="continue"/>
                </w:tcPr>
                <w:p w14:paraId="776BB9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86" w:type="dxa"/>
                  <w:vMerge w:val="continue"/>
                </w:tcPr>
                <w:p w14:paraId="530C39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1133" w:type="dxa"/>
                  <w:vMerge w:val="continue"/>
                </w:tcPr>
                <w:p w14:paraId="7EE0BE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545" w:type="dxa"/>
                  <w:vMerge w:val="continue"/>
                </w:tcPr>
                <w:p w14:paraId="267CBB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default"/>
                      <w:color w:val="auto"/>
                      <w:sz w:val="21"/>
                      <w:szCs w:val="21"/>
                      <w:highlight w:val="none"/>
                    </w:rPr>
                  </w:pPr>
                </w:p>
              </w:tc>
              <w:tc>
                <w:tcPr>
                  <w:tcW w:w="985" w:type="dxa"/>
                  <w:shd w:val="clear" w:color="auto" w:fill="auto"/>
                  <w:vAlign w:val="center"/>
                </w:tcPr>
                <w:p w14:paraId="555D97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72" w:leftChars="-30" w:right="-72" w:rightChars="-3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0.005</w:t>
                  </w:r>
                </w:p>
              </w:tc>
            </w:tr>
            <w:tr w14:paraId="053C0C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97" w:type="dxa"/>
                  <w:vMerge w:val="continue"/>
                </w:tcPr>
                <w:p w14:paraId="7D4968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09" w:type="dxa"/>
                  <w:shd w:val="clear" w:color="auto" w:fill="auto"/>
                  <w:vAlign w:val="center"/>
                </w:tcPr>
                <w:p w14:paraId="075775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氟化物</w:t>
                  </w:r>
                </w:p>
              </w:tc>
              <w:tc>
                <w:tcPr>
                  <w:tcW w:w="723" w:type="dxa"/>
                  <w:vMerge w:val="continue"/>
                </w:tcPr>
                <w:p w14:paraId="55FBA0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0" w:type="auto"/>
                  <w:shd w:val="clear" w:color="auto" w:fill="auto"/>
                  <w:vAlign w:val="center"/>
                </w:tcPr>
                <w:p w14:paraId="34C446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5</w:t>
                  </w:r>
                </w:p>
              </w:tc>
              <w:tc>
                <w:tcPr>
                  <w:tcW w:w="1004" w:type="dxa"/>
                  <w:vAlign w:val="center"/>
                </w:tcPr>
                <w:p w14:paraId="77AB648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0.012</w:t>
                  </w:r>
                </w:p>
              </w:tc>
              <w:tc>
                <w:tcPr>
                  <w:tcW w:w="733" w:type="dxa"/>
                  <w:vMerge w:val="continue"/>
                </w:tcPr>
                <w:p w14:paraId="296B49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571" w:type="dxa"/>
                  <w:shd w:val="clear" w:color="auto" w:fill="auto"/>
                  <w:vAlign w:val="center"/>
                </w:tcPr>
                <w:p w14:paraId="54DD8E5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default"/>
                      <w:color w:val="FF0000"/>
                      <w:sz w:val="21"/>
                      <w:szCs w:val="21"/>
                      <w:highlight w:val="none"/>
                      <w:lang w:val="en-US" w:eastAsia="zh-CN"/>
                    </w:rPr>
                    <w:t>70</w:t>
                  </w:r>
                </w:p>
              </w:tc>
              <w:tc>
                <w:tcPr>
                  <w:tcW w:w="616" w:type="dxa"/>
                  <w:vMerge w:val="continue"/>
                </w:tcPr>
                <w:p w14:paraId="568A342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FF0000"/>
                      <w:sz w:val="21"/>
                      <w:szCs w:val="21"/>
                      <w:highlight w:val="none"/>
                    </w:rPr>
                  </w:pPr>
                </w:p>
              </w:tc>
              <w:tc>
                <w:tcPr>
                  <w:tcW w:w="890" w:type="dxa"/>
                  <w:vAlign w:val="center"/>
                </w:tcPr>
                <w:p w14:paraId="1B9D52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eastAsia"/>
                      <w:color w:val="FF0000"/>
                      <w:sz w:val="21"/>
                      <w:szCs w:val="21"/>
                      <w:highlight w:val="none"/>
                      <w:lang w:val="en-US" w:eastAsia="zh-CN"/>
                    </w:rPr>
                  </w:pPr>
                  <w:r>
                    <w:rPr>
                      <w:rFonts w:hint="eastAsia"/>
                      <w:color w:val="FF0000"/>
                      <w:sz w:val="21"/>
                      <w:szCs w:val="21"/>
                      <w:highlight w:val="none"/>
                      <w:lang w:val="en-US" w:eastAsia="zh-CN"/>
                    </w:rPr>
                    <w:t>1.5</w:t>
                  </w:r>
                </w:p>
              </w:tc>
              <w:tc>
                <w:tcPr>
                  <w:tcW w:w="1109" w:type="dxa"/>
                  <w:vAlign w:val="center"/>
                </w:tcPr>
                <w:p w14:paraId="718B439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FF0000"/>
                      <w:sz w:val="18"/>
                      <w:szCs w:val="18"/>
                      <w:highlight w:val="none"/>
                      <w:lang w:val="en-US" w:eastAsia="zh-CN"/>
                    </w:rPr>
                  </w:pPr>
                  <w:r>
                    <w:rPr>
                      <w:rFonts w:hint="default" w:ascii="Times New Roman" w:hAnsi="Times New Roman" w:eastAsia="宋体" w:cs="Times New Roman"/>
                      <w:i w:val="0"/>
                      <w:iCs w:val="0"/>
                      <w:color w:val="FF0000"/>
                      <w:kern w:val="0"/>
                      <w:sz w:val="18"/>
                      <w:szCs w:val="18"/>
                      <w:u w:val="none"/>
                      <w:lang w:val="en-US" w:eastAsia="zh-CN" w:bidi="ar"/>
                    </w:rPr>
                    <w:t>0.0036</w:t>
                  </w:r>
                </w:p>
              </w:tc>
              <w:tc>
                <w:tcPr>
                  <w:tcW w:w="593" w:type="dxa"/>
                  <w:vMerge w:val="continue"/>
                </w:tcPr>
                <w:p w14:paraId="0D6CC6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1032" w:type="dxa"/>
                  <w:vMerge w:val="continue"/>
                </w:tcPr>
                <w:p w14:paraId="3D0E90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1186" w:type="dxa"/>
                  <w:vMerge w:val="continue"/>
                </w:tcPr>
                <w:p w14:paraId="79C27C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1133" w:type="dxa"/>
                  <w:vMerge w:val="continue"/>
                </w:tcPr>
                <w:p w14:paraId="5DDAAF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545" w:type="dxa"/>
                  <w:vMerge w:val="continue"/>
                </w:tcPr>
                <w:p w14:paraId="31A7CF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right="0"/>
                    <w:textAlignment w:val="auto"/>
                    <w:rPr>
                      <w:rFonts w:hint="default"/>
                      <w:color w:val="auto"/>
                      <w:sz w:val="21"/>
                      <w:szCs w:val="21"/>
                      <w:highlight w:val="none"/>
                    </w:rPr>
                  </w:pPr>
                </w:p>
              </w:tc>
              <w:tc>
                <w:tcPr>
                  <w:tcW w:w="985" w:type="dxa"/>
                  <w:shd w:val="clear" w:color="auto" w:fill="auto"/>
                  <w:vAlign w:val="center"/>
                </w:tcPr>
                <w:p w14:paraId="418E10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40" w:lineRule="auto"/>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2</w:t>
                  </w:r>
                </w:p>
              </w:tc>
            </w:tr>
          </w:tbl>
          <w:p w14:paraId="1610424E">
            <w:pPr>
              <w:pStyle w:val="74"/>
              <w:keepNext w:val="0"/>
              <w:keepLines w:val="0"/>
              <w:suppressLineNumbers w:val="0"/>
              <w:spacing w:beforeAutospacing="0" w:afterAutospacing="0"/>
              <w:ind w:left="0" w:right="0" w:firstLine="480"/>
              <w:rPr>
                <w:rFonts w:hint="default" w:ascii="Times New Roman" w:hAnsi="Times New Roman" w:cs="Times New Roman"/>
                <w:color w:val="auto"/>
                <w:highlight w:val="none"/>
              </w:rPr>
            </w:pPr>
          </w:p>
        </w:tc>
      </w:tr>
    </w:tbl>
    <w:p w14:paraId="3427C2FF">
      <w:pPr>
        <w:pStyle w:val="76"/>
        <w:bidi w:val="0"/>
        <w:ind w:left="0" w:leftChars="0" w:firstLine="0" w:firstLineChars="0"/>
        <w:rPr>
          <w:rFonts w:hint="eastAsia"/>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1"/>
        <w:gridCol w:w="8632"/>
      </w:tblGrid>
      <w:tr w14:paraId="34F19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1" w:type="dxa"/>
            <w:noWrap w:val="0"/>
            <w:vAlign w:val="center"/>
          </w:tcPr>
          <w:p w14:paraId="50E69BAA">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运营期环境影响和保护措施</w:t>
            </w:r>
          </w:p>
        </w:tc>
        <w:tc>
          <w:tcPr>
            <w:tcW w:w="8632" w:type="dxa"/>
            <w:noWrap w:val="0"/>
            <w:vAlign w:val="top"/>
          </w:tcPr>
          <w:p w14:paraId="24ED947D">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2</w:t>
            </w:r>
            <w:r>
              <w:rPr>
                <w:rFonts w:hint="default"/>
                <w:b/>
                <w:bCs w:val="0"/>
                <w:color w:val="auto"/>
                <w:highlight w:val="none"/>
              </w:rPr>
              <w:t>、污染源强核算过程</w:t>
            </w:r>
          </w:p>
          <w:p w14:paraId="2884E307">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w:t>
            </w:r>
            <w:r>
              <w:rPr>
                <w:rFonts w:hint="eastAsia"/>
                <w:color w:val="auto"/>
                <w:highlight w:val="none"/>
                <w:lang w:val="en-US" w:eastAsia="zh-CN"/>
              </w:rPr>
              <w:t>位于高安市建筑陶瓷产业园内，</w:t>
            </w:r>
            <w:r>
              <w:rPr>
                <w:rFonts w:hint="default"/>
                <w:color w:val="auto"/>
                <w:highlight w:val="none"/>
              </w:rPr>
              <w:t>用水由园区自来水管网统一供给，用水包括生活用水</w:t>
            </w:r>
            <w:r>
              <w:rPr>
                <w:rFonts w:hint="eastAsia"/>
                <w:color w:val="auto"/>
                <w:highlight w:val="none"/>
                <w:lang w:eastAsia="zh-CN"/>
              </w:rPr>
              <w:t>、</w:t>
            </w:r>
            <w:r>
              <w:rPr>
                <w:rFonts w:hint="eastAsia"/>
                <w:color w:val="auto"/>
                <w:highlight w:val="none"/>
                <w:lang w:val="en-US" w:eastAsia="zh-CN"/>
              </w:rPr>
              <w:t>搅拌用水、渗滤液、</w:t>
            </w:r>
            <w:r>
              <w:rPr>
                <w:rFonts w:hint="default"/>
                <w:color w:val="auto"/>
                <w:highlight w:val="none"/>
              </w:rPr>
              <w:t>洗车</w:t>
            </w:r>
            <w:r>
              <w:rPr>
                <w:rFonts w:hint="eastAsia"/>
                <w:color w:val="auto"/>
                <w:highlight w:val="none"/>
                <w:lang w:val="en-US" w:eastAsia="zh-CN"/>
              </w:rPr>
              <w:t>用</w:t>
            </w:r>
            <w:r>
              <w:rPr>
                <w:rFonts w:hint="default"/>
                <w:color w:val="auto"/>
                <w:highlight w:val="none"/>
              </w:rPr>
              <w:t>水</w:t>
            </w:r>
            <w:r>
              <w:rPr>
                <w:rFonts w:hint="eastAsia"/>
                <w:color w:val="auto"/>
                <w:highlight w:val="none"/>
                <w:lang w:eastAsia="zh-CN"/>
              </w:rPr>
              <w:t>、</w:t>
            </w:r>
            <w:r>
              <w:rPr>
                <w:rFonts w:hint="eastAsia"/>
                <w:color w:val="auto"/>
                <w:highlight w:val="none"/>
                <w:lang w:val="en-US" w:eastAsia="zh-CN"/>
              </w:rPr>
              <w:t>设备</w:t>
            </w:r>
            <w:r>
              <w:rPr>
                <w:rFonts w:hint="eastAsia" w:ascii="Times New Roman" w:eastAsia="宋体"/>
                <w:color w:val="auto"/>
                <w:highlight w:val="none"/>
                <w:lang w:val="en-US" w:eastAsia="zh-CN"/>
              </w:rPr>
              <w:t>清洗用水、</w:t>
            </w:r>
            <w:r>
              <w:rPr>
                <w:rFonts w:hint="eastAsia"/>
                <w:color w:val="auto"/>
                <w:highlight w:val="none"/>
                <w:lang w:val="en-US" w:eastAsia="zh-CN"/>
              </w:rPr>
              <w:t>抑尘</w:t>
            </w:r>
            <w:r>
              <w:rPr>
                <w:rFonts w:hint="eastAsia" w:ascii="Times New Roman" w:eastAsia="宋体"/>
                <w:color w:val="auto"/>
                <w:highlight w:val="none"/>
                <w:lang w:val="en-US" w:eastAsia="zh-CN"/>
              </w:rPr>
              <w:t>用水</w:t>
            </w:r>
            <w:r>
              <w:rPr>
                <w:rFonts w:hint="eastAsia"/>
                <w:color w:val="auto"/>
                <w:highlight w:val="none"/>
                <w:lang w:val="en-US" w:eastAsia="zh-CN"/>
              </w:rPr>
              <w:t>和养护用水</w:t>
            </w:r>
            <w:r>
              <w:rPr>
                <w:rFonts w:hint="default"/>
                <w:color w:val="auto"/>
                <w:highlight w:val="none"/>
              </w:rPr>
              <w:t>。</w:t>
            </w:r>
          </w:p>
          <w:p w14:paraId="59357D7B">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搅拌用水</w:t>
            </w:r>
          </w:p>
          <w:p w14:paraId="43F241B2">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ascii="Times New Roman" w:hAnsi="Times New Roman" w:cs="Times New Roman"/>
                <w:color w:val="auto"/>
                <w:highlight w:val="none"/>
              </w:rPr>
              <w:t>项目</w:t>
            </w:r>
            <w:r>
              <w:rPr>
                <w:rFonts w:hint="default" w:ascii="Times New Roman" w:hAnsi="Times New Roman" w:cs="Times New Roman"/>
                <w:color w:val="auto"/>
                <w:highlight w:val="none"/>
                <w:lang w:val="en-US" w:eastAsia="zh-CN"/>
              </w:rPr>
              <w:t>环保</w:t>
            </w:r>
            <w:r>
              <w:rPr>
                <w:rFonts w:hint="eastAsia" w:cs="Times New Roman"/>
                <w:color w:val="auto"/>
                <w:highlight w:val="none"/>
                <w:lang w:val="en-US" w:eastAsia="zh-CN"/>
              </w:rPr>
              <w:t>免烧砖生产</w:t>
            </w:r>
            <w:r>
              <w:rPr>
                <w:rFonts w:hint="default" w:ascii="Times New Roman" w:hAnsi="Times New Roman" w:cs="Times New Roman"/>
                <w:color w:val="auto"/>
                <w:highlight w:val="none"/>
                <w:lang w:val="en-US" w:eastAsia="zh-CN"/>
              </w:rPr>
              <w:t>搅拌时</w:t>
            </w:r>
            <w:r>
              <w:rPr>
                <w:rFonts w:hint="default" w:ascii="Times New Roman" w:hAnsi="Times New Roman" w:cs="Times New Roman"/>
                <w:color w:val="auto"/>
                <w:highlight w:val="none"/>
              </w:rPr>
              <w:t>需添加一定的水量对混合</w:t>
            </w:r>
            <w:r>
              <w:rPr>
                <w:rFonts w:hint="default" w:ascii="Times New Roman" w:hAnsi="Times New Roman" w:cs="Times New Roman"/>
                <w:color w:val="auto"/>
                <w:highlight w:val="none"/>
                <w:lang w:val="en-US" w:eastAsia="zh-CN"/>
              </w:rPr>
              <w:t>物料</w:t>
            </w:r>
            <w:r>
              <w:rPr>
                <w:rFonts w:hint="default" w:ascii="Times New Roman" w:hAnsi="Times New Roman" w:cs="Times New Roman"/>
                <w:color w:val="auto"/>
                <w:highlight w:val="none"/>
              </w:rPr>
              <w:t>进行适度的湿度调节。根据</w:t>
            </w:r>
            <w:r>
              <w:rPr>
                <w:rFonts w:hint="eastAsia" w:cs="Times New Roman"/>
                <w:color w:val="auto"/>
                <w:highlight w:val="none"/>
                <w:lang w:eastAsia="zh-CN"/>
              </w:rPr>
              <w:t>工艺流程中水的配比可知</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环保砖添加水量</w:t>
            </w:r>
            <w:r>
              <w:rPr>
                <w:rFonts w:hint="default" w:ascii="Times New Roman" w:hAnsi="Times New Roman" w:cs="Times New Roman"/>
                <w:color w:val="auto"/>
                <w:highlight w:val="none"/>
              </w:rPr>
              <w:t>为</w:t>
            </w:r>
            <w:r>
              <w:rPr>
                <w:rFonts w:hint="eastAsia" w:cs="Times New Roman"/>
                <w:color w:val="auto"/>
                <w:highlight w:val="none"/>
                <w:lang w:val="en-US" w:eastAsia="zh-CN"/>
              </w:rPr>
              <w:t>25000t/a（83.33</w:t>
            </w:r>
            <w:r>
              <w:rPr>
                <w:rFonts w:hint="default" w:ascii="Times New Roman" w:hAnsi="Times New Roman" w:cs="Times New Roman"/>
                <w:color w:val="auto"/>
                <w:highlight w:val="none"/>
                <w:lang w:val="en-US" w:eastAsia="zh-CN"/>
              </w:rPr>
              <w:t>t/d</w:t>
            </w:r>
            <w:r>
              <w:rPr>
                <w:rFonts w:hint="eastAsia" w:cs="Times New Roman"/>
                <w:color w:val="auto"/>
                <w:highlight w:val="none"/>
                <w:lang w:val="en-US" w:eastAsia="zh-CN"/>
              </w:rPr>
              <w:t>）</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项目</w:t>
            </w:r>
            <w:r>
              <w:rPr>
                <w:rFonts w:hint="default" w:ascii="Times New Roman" w:hAnsi="Times New Roman" w:cs="Times New Roman"/>
                <w:color w:val="auto"/>
                <w:highlight w:val="none"/>
                <w:lang w:val="en-US" w:eastAsia="zh-CN"/>
              </w:rPr>
              <w:t>搅拌用</w:t>
            </w:r>
            <w:r>
              <w:rPr>
                <w:rFonts w:hint="default" w:ascii="Times New Roman" w:hAnsi="Times New Roman" w:cs="Times New Roman"/>
                <w:color w:val="auto"/>
                <w:highlight w:val="none"/>
              </w:rPr>
              <w:t>水全部</w:t>
            </w:r>
            <w:r>
              <w:rPr>
                <w:rFonts w:hint="default" w:ascii="Times New Roman" w:hAnsi="Times New Roman" w:cs="Times New Roman"/>
                <w:color w:val="auto"/>
                <w:highlight w:val="none"/>
                <w:lang w:val="en-US" w:eastAsia="zh-CN"/>
              </w:rPr>
              <w:t>损耗或进入产品</w:t>
            </w:r>
            <w:r>
              <w:rPr>
                <w:rFonts w:hint="default" w:ascii="Times New Roman" w:hAnsi="Times New Roman" w:cs="Times New Roman"/>
                <w:color w:val="auto"/>
                <w:highlight w:val="none"/>
              </w:rPr>
              <w:t>，不外排。</w:t>
            </w:r>
          </w:p>
          <w:p w14:paraId="192D60C9">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（2）渗滤液</w:t>
            </w:r>
          </w:p>
          <w:p w14:paraId="38C90CD6">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本项目锂</w:t>
            </w:r>
            <w:r>
              <w:rPr>
                <w:rFonts w:hint="eastAsia" w:cs="Times New Roman"/>
                <w:color w:val="auto"/>
                <w:highlight w:val="none"/>
                <w:lang w:val="en-US" w:eastAsia="zh-CN"/>
              </w:rPr>
              <w:t>渣</w:t>
            </w:r>
            <w:r>
              <w:rPr>
                <w:rFonts w:hint="default" w:ascii="Times New Roman" w:hAnsi="Times New Roman" w:cs="Times New Roman"/>
                <w:color w:val="auto"/>
                <w:highlight w:val="none"/>
                <w:lang w:val="en-US" w:eastAsia="zh-CN"/>
              </w:rPr>
              <w:t>在仓库堆放自然晾干时会产生渗滤液，根据业主提供资料，</w:t>
            </w:r>
            <w:r>
              <w:rPr>
                <w:rFonts w:hint="default" w:ascii="Times New Roman" w:hAnsi="Times New Roman" w:eastAsia="宋体" w:cs="Times New Roman"/>
                <w:color w:val="auto"/>
                <w:highlight w:val="none"/>
                <w:lang w:val="en-US" w:eastAsia="zh-CN"/>
              </w:rPr>
              <w:t>在仓库自然晾干的</w:t>
            </w:r>
            <w:r>
              <w:rPr>
                <w:rFonts w:hint="eastAsia" w:cs="Times New Roman"/>
                <w:color w:val="auto"/>
                <w:highlight w:val="none"/>
                <w:lang w:val="en-US" w:eastAsia="zh-CN"/>
              </w:rPr>
              <w:t>锂渣</w:t>
            </w:r>
            <w:r>
              <w:rPr>
                <w:rFonts w:hint="default" w:ascii="Times New Roman" w:hAnsi="Times New Roman" w:eastAsia="宋体" w:cs="Times New Roman"/>
                <w:color w:val="auto"/>
                <w:highlight w:val="none"/>
                <w:lang w:val="en-US" w:eastAsia="zh-CN"/>
              </w:rPr>
              <w:t>含水率由</w:t>
            </w:r>
            <w:r>
              <w:rPr>
                <w:rFonts w:hint="eastAsia" w:cs="Times New Roman"/>
                <w:color w:val="auto"/>
                <w:highlight w:val="none"/>
                <w:lang w:val="en-US" w:eastAsia="zh-CN"/>
              </w:rPr>
              <w:t>20</w:t>
            </w:r>
            <w:r>
              <w:rPr>
                <w:rFonts w:hint="default" w:ascii="Times New Roman" w:hAnsi="Times New Roman" w:eastAsia="宋体" w:cs="Times New Roman"/>
                <w:color w:val="auto"/>
                <w:highlight w:val="none"/>
                <w:lang w:val="en-US" w:eastAsia="zh-CN"/>
              </w:rPr>
              <w:t>%降至16%，本项目</w:t>
            </w:r>
            <w:r>
              <w:rPr>
                <w:rFonts w:hint="eastAsia" w:cs="Times New Roman"/>
                <w:color w:val="auto"/>
                <w:highlight w:val="none"/>
                <w:lang w:val="en-US" w:eastAsia="zh-CN"/>
              </w:rPr>
              <w:t>锂渣</w:t>
            </w:r>
            <w:r>
              <w:rPr>
                <w:rFonts w:hint="default" w:ascii="Times New Roman" w:hAnsi="Times New Roman" w:eastAsia="宋体" w:cs="Times New Roman"/>
                <w:color w:val="auto"/>
                <w:highlight w:val="none"/>
                <w:lang w:val="en-US" w:eastAsia="zh-CN"/>
              </w:rPr>
              <w:t>的年用量为</w:t>
            </w:r>
            <w:r>
              <w:rPr>
                <w:rFonts w:hint="eastAsia" w:cs="Times New Roman"/>
                <w:color w:val="auto"/>
                <w:highlight w:val="none"/>
                <w:lang w:val="en-US" w:eastAsia="zh-CN"/>
              </w:rPr>
              <w:t>430000</w:t>
            </w:r>
            <w:r>
              <w:rPr>
                <w:rFonts w:hint="default" w:ascii="Times New Roman" w:hAnsi="Times New Roman" w:eastAsia="宋体" w:cs="Times New Roman"/>
                <w:color w:val="auto"/>
                <w:highlight w:val="none"/>
                <w:lang w:val="en-US" w:eastAsia="zh-CN"/>
              </w:rPr>
              <w:t>t/a，则渗滤液的产生量为</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72</w:t>
            </w:r>
            <w:r>
              <w:rPr>
                <w:rFonts w:hint="default" w:ascii="Times New Roman" w:hAnsi="Times New Roman" w:eastAsia="宋体" w:cs="Times New Roman"/>
                <w:color w:val="auto"/>
                <w:highlight w:val="none"/>
                <w:lang w:val="en-US" w:eastAsia="zh-CN"/>
              </w:rPr>
              <w:t>00t/a</w:t>
            </w:r>
            <w:r>
              <w:rPr>
                <w:rFonts w:hint="eastAsia" w:cs="Times New Roman"/>
                <w:color w:val="auto"/>
                <w:highlight w:val="none"/>
                <w:lang w:val="en-US" w:eastAsia="zh-CN"/>
              </w:rPr>
              <w:t>（57.33t/d）</w:t>
            </w:r>
            <w:r>
              <w:rPr>
                <w:rFonts w:hint="default" w:ascii="Times New Roman" w:hAnsi="Times New Roman" w:eastAsia="宋体" w:cs="Times New Roman"/>
                <w:color w:val="auto"/>
                <w:highlight w:val="none"/>
                <w:lang w:val="en-US" w:eastAsia="zh-CN"/>
              </w:rPr>
              <w:t>，其中20</w:t>
            </w:r>
            <w:r>
              <w:rPr>
                <w:rFonts w:hint="default" w:ascii="Times New Roman" w:hAnsi="Times New Roman" w:cs="Times New Roman"/>
                <w:color w:val="auto"/>
                <w:highlight w:val="none"/>
                <w:lang w:val="en-US" w:eastAsia="zh-CN"/>
              </w:rPr>
              <w:t>%</w:t>
            </w:r>
            <w:r>
              <w:rPr>
                <w:rFonts w:hint="default" w:ascii="Times New Roman" w:hAnsi="Times New Roman" w:eastAsia="宋体" w:cs="Times New Roman"/>
                <w:color w:val="auto"/>
                <w:highlight w:val="none"/>
                <w:lang w:val="en-US" w:eastAsia="zh-CN"/>
              </w:rPr>
              <w:t>损耗，80%由导流槽收集至渗滤液池，随后回用于</w:t>
            </w:r>
            <w:r>
              <w:rPr>
                <w:rFonts w:hint="default" w:ascii="Times New Roman" w:hAnsi="Times New Roman" w:cs="Times New Roman"/>
                <w:color w:val="auto"/>
                <w:highlight w:val="none"/>
                <w:lang w:val="en-US" w:eastAsia="zh-CN"/>
              </w:rPr>
              <w:t>产品</w:t>
            </w:r>
            <w:r>
              <w:rPr>
                <w:rFonts w:hint="default" w:ascii="Times New Roman" w:hAnsi="Times New Roman" w:eastAsia="宋体" w:cs="Times New Roman"/>
                <w:color w:val="auto"/>
                <w:highlight w:val="none"/>
                <w:lang w:val="en-US" w:eastAsia="zh-CN"/>
              </w:rPr>
              <w:t>生产，则渗滤液收集量为</w:t>
            </w:r>
            <w:r>
              <w:rPr>
                <w:rFonts w:hint="eastAsia" w:cs="Times New Roman"/>
                <w:color w:val="auto"/>
                <w:highlight w:val="none"/>
                <w:lang w:val="en-US" w:eastAsia="zh-CN"/>
              </w:rPr>
              <w:t>13760</w:t>
            </w:r>
            <w:r>
              <w:rPr>
                <w:rFonts w:hint="default" w:ascii="Times New Roman" w:hAnsi="Times New Roman" w:eastAsia="宋体" w:cs="Times New Roman"/>
                <w:color w:val="auto"/>
                <w:highlight w:val="none"/>
                <w:lang w:val="en-US" w:eastAsia="zh-CN"/>
              </w:rPr>
              <w:t>t/a</w:t>
            </w:r>
            <w:r>
              <w:rPr>
                <w:rFonts w:hint="default" w:ascii="Times New Roman" w:hAnsi="Times New Roman" w:cs="Times New Roman"/>
                <w:color w:val="auto"/>
                <w:highlight w:val="none"/>
                <w:lang w:val="en-US" w:eastAsia="zh-CN"/>
              </w:rPr>
              <w:t>（</w:t>
            </w:r>
            <w:r>
              <w:rPr>
                <w:rFonts w:hint="eastAsia" w:cs="Times New Roman"/>
                <w:color w:val="auto"/>
                <w:highlight w:val="none"/>
                <w:lang w:val="en-US" w:eastAsia="zh-CN"/>
              </w:rPr>
              <w:t>45.87</w:t>
            </w:r>
            <w:r>
              <w:rPr>
                <w:rFonts w:hint="default" w:ascii="Times New Roman" w:hAnsi="Times New Roman" w:cs="Times New Roman"/>
                <w:color w:val="auto"/>
                <w:highlight w:val="none"/>
                <w:lang w:val="en-US" w:eastAsia="zh-CN"/>
              </w:rPr>
              <w:t>t/d），本项目设置容积为</w:t>
            </w:r>
            <w:r>
              <w:rPr>
                <w:rFonts w:hint="eastAsia" w:cs="Times New Roman"/>
                <w:color w:val="auto"/>
                <w:highlight w:val="none"/>
                <w:lang w:val="en-US" w:eastAsia="zh-CN"/>
              </w:rPr>
              <w:t>60</w:t>
            </w:r>
            <w:r>
              <w:rPr>
                <w:rFonts w:hint="default" w:ascii="Times New Roman" w:hAnsi="Times New Roman" w:cs="Times New Roman"/>
                <w:color w:val="auto"/>
                <w:highlight w:val="none"/>
                <w:lang w:val="en-US" w:eastAsia="zh-CN"/>
              </w:rPr>
              <w:t>m</w:t>
            </w:r>
            <w:r>
              <w:rPr>
                <w:rFonts w:hint="default" w:ascii="Times New Roman" w:hAnsi="Times New Roman" w:cs="Times New Roman"/>
                <w:color w:val="auto"/>
                <w:highlight w:val="none"/>
                <w:vertAlign w:val="superscript"/>
                <w:lang w:val="en-US" w:eastAsia="zh-CN"/>
              </w:rPr>
              <w:t>3</w:t>
            </w:r>
            <w:r>
              <w:rPr>
                <w:rFonts w:hint="default" w:ascii="Times New Roman" w:hAnsi="Times New Roman" w:cs="Times New Roman"/>
                <w:color w:val="auto"/>
                <w:highlight w:val="none"/>
                <w:lang w:val="en-US" w:eastAsia="zh-CN"/>
              </w:rPr>
              <w:t>的渗滤液池一个，位于锂渣仓库</w:t>
            </w:r>
            <w:r>
              <w:rPr>
                <w:rFonts w:hint="eastAsia" w:cs="Times New Roman"/>
                <w:color w:val="auto"/>
                <w:highlight w:val="none"/>
                <w:lang w:val="en-US" w:eastAsia="zh-CN"/>
              </w:rPr>
              <w:t>西南</w:t>
            </w:r>
            <w:r>
              <w:rPr>
                <w:rFonts w:hint="default" w:ascii="Times New Roman" w:hAnsi="Times New Roman" w:cs="Times New Roman"/>
                <w:color w:val="auto"/>
                <w:highlight w:val="none"/>
                <w:lang w:val="en-US" w:eastAsia="zh-CN"/>
              </w:rPr>
              <w:t>角，锂渣仓库四周设导流槽，渗滤液</w:t>
            </w:r>
            <w:r>
              <w:rPr>
                <w:rFonts w:hint="default" w:ascii="Times New Roman" w:hAnsi="Times New Roman" w:cs="Times New Roman"/>
                <w:color w:val="auto"/>
                <w:highlight w:val="none"/>
                <w:lang w:eastAsia="zh-CN"/>
              </w:rPr>
              <w:t>通过导流槽进入</w:t>
            </w:r>
            <w:r>
              <w:rPr>
                <w:rFonts w:hint="default" w:ascii="Times New Roman" w:hAnsi="Times New Roman" w:cs="Times New Roman"/>
                <w:color w:val="auto"/>
                <w:highlight w:val="none"/>
                <w:lang w:val="en-US" w:eastAsia="zh-CN"/>
              </w:rPr>
              <w:t>渗滤液池然后回用于搅拌用水，</w:t>
            </w:r>
            <w:r>
              <w:rPr>
                <w:rFonts w:hint="eastAsia" w:cs="Times New Roman"/>
                <w:color w:val="auto"/>
                <w:highlight w:val="none"/>
                <w:lang w:val="en-US" w:eastAsia="zh-CN"/>
              </w:rPr>
              <w:t>渗滤液池防渗要求依据《危险废物贮存污染控制标准》GB18597-2023要求，渗透系数≤10</w:t>
            </w:r>
            <w:r>
              <w:rPr>
                <w:rFonts w:hint="eastAsia" w:cs="Times New Roman"/>
                <w:color w:val="auto"/>
                <w:highlight w:val="none"/>
                <w:vertAlign w:val="superscript"/>
                <w:lang w:val="en-US" w:eastAsia="zh-CN"/>
              </w:rPr>
              <w:t>-10</w:t>
            </w:r>
            <w:r>
              <w:rPr>
                <w:rFonts w:hint="eastAsia" w:cs="Times New Roman"/>
                <w:color w:val="auto"/>
                <w:highlight w:val="none"/>
                <w:lang w:val="en-US" w:eastAsia="zh-CN"/>
              </w:rPr>
              <w:t>cm/s；</w:t>
            </w:r>
            <w:r>
              <w:rPr>
                <w:rFonts w:hint="default" w:ascii="Times New Roman" w:hAnsi="Times New Roman" w:cs="Times New Roman"/>
                <w:color w:val="auto"/>
                <w:highlight w:val="none"/>
                <w:lang w:val="en-US" w:eastAsia="zh-CN"/>
              </w:rPr>
              <w:t>本项目</w:t>
            </w:r>
            <w:r>
              <w:rPr>
                <w:rFonts w:hint="default" w:ascii="Times New Roman" w:hAnsi="Times New Roman" w:eastAsia="宋体" w:cs="Times New Roman"/>
                <w:color w:val="auto"/>
                <w:highlight w:val="none"/>
                <w:lang w:val="en-US" w:eastAsia="zh-CN"/>
              </w:rPr>
              <w:t>渗滤液收集量为</w:t>
            </w:r>
            <w:r>
              <w:rPr>
                <w:rFonts w:hint="eastAsia" w:cs="Times New Roman"/>
                <w:color w:val="auto"/>
                <w:highlight w:val="none"/>
                <w:lang w:val="en-US" w:eastAsia="zh-CN"/>
              </w:rPr>
              <w:t>45.87</w:t>
            </w:r>
            <w:r>
              <w:rPr>
                <w:rFonts w:hint="default" w:ascii="Times New Roman" w:hAnsi="Times New Roman" w:cs="Times New Roman"/>
                <w:color w:val="auto"/>
                <w:highlight w:val="none"/>
                <w:lang w:val="en-US" w:eastAsia="zh-CN"/>
              </w:rPr>
              <w:t>t/d，因此渗滤液池容积可行</w:t>
            </w:r>
            <w:r>
              <w:rPr>
                <w:rFonts w:hint="default" w:ascii="Times New Roman" w:hAnsi="Times New Roman" w:eastAsia="宋体" w:cs="Times New Roman"/>
                <w:color w:val="auto"/>
                <w:highlight w:val="none"/>
                <w:lang w:val="en-US" w:eastAsia="zh-CN"/>
              </w:rPr>
              <w:t>。</w:t>
            </w:r>
          </w:p>
          <w:p w14:paraId="78DA31D7">
            <w:pPr>
              <w:pStyle w:val="76"/>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olor w:val="auto"/>
                <w:highlight w:val="none"/>
                <w:lang w:eastAsia="zh-CN"/>
              </w:rPr>
            </w:pPr>
            <w:r>
              <w:rPr>
                <w:rFonts w:hint="eastAsia" w:ascii="Times New Roman" w:hAnsi="Times New Roman" w:eastAsia="宋体" w:cs="Times New Roman"/>
                <w:bCs/>
                <w:color w:val="auto"/>
                <w:kern w:val="2"/>
                <w:sz w:val="24"/>
                <w:szCs w:val="24"/>
                <w:highlight w:val="none"/>
                <w:lang w:val="en-US" w:eastAsia="zh-CN" w:bidi="ar-SA"/>
              </w:rPr>
              <w:t>（3）</w:t>
            </w:r>
            <w:r>
              <w:rPr>
                <w:rFonts w:hint="eastAsia"/>
                <w:color w:val="auto"/>
                <w:highlight w:val="none"/>
                <w:lang w:eastAsia="zh-CN"/>
              </w:rPr>
              <w:t>设备清洗废水</w:t>
            </w:r>
          </w:p>
          <w:p w14:paraId="63349B66">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rPr>
            </w:pPr>
            <w:r>
              <w:rPr>
                <w:rFonts w:hint="default"/>
                <w:color w:val="auto"/>
                <w:spacing w:val="-1"/>
                <w:highlight w:val="none"/>
              </w:rPr>
              <w:t>根据建设单位提供资料，项目运营期搅拌机、静压机等设备</w:t>
            </w:r>
            <w:r>
              <w:rPr>
                <w:rFonts w:hint="default"/>
                <w:color w:val="auto"/>
                <w:spacing w:val="-3"/>
                <w:highlight w:val="none"/>
              </w:rPr>
              <w:t>平均每天需要用水清洗一次，每次清洗用水量约为</w:t>
            </w:r>
            <w:r>
              <w:rPr>
                <w:rFonts w:hint="default" w:ascii="Times New Roman" w:hAnsi="Times New Roman" w:eastAsia="Times New Roman" w:cs="Times New Roman"/>
                <w:color w:val="auto"/>
                <w:spacing w:val="-3"/>
                <w:highlight w:val="none"/>
              </w:rPr>
              <w:t>5m</w:t>
            </w:r>
            <w:r>
              <w:rPr>
                <w:rFonts w:hint="default" w:ascii="Times New Roman" w:hAnsi="Times New Roman" w:eastAsia="Times New Roman" w:cs="Times New Roman"/>
                <w:color w:val="auto"/>
                <w:spacing w:val="-3"/>
                <w:position w:val="7"/>
                <w:sz w:val="15"/>
                <w:szCs w:val="15"/>
                <w:highlight w:val="none"/>
              </w:rPr>
              <w:t>3</w:t>
            </w:r>
            <w:r>
              <w:rPr>
                <w:rFonts w:hint="default" w:ascii="Times New Roman" w:hAnsi="Times New Roman" w:eastAsia="Times New Roman" w:cs="Times New Roman"/>
                <w:color w:val="auto"/>
                <w:spacing w:val="-3"/>
                <w:highlight w:val="none"/>
              </w:rPr>
              <w:t>/d</w:t>
            </w:r>
            <w:r>
              <w:rPr>
                <w:rFonts w:hint="default"/>
                <w:color w:val="auto"/>
                <w:spacing w:val="-3"/>
                <w:highlight w:val="none"/>
              </w:rPr>
              <w:t>，</w:t>
            </w:r>
            <w:r>
              <w:rPr>
                <w:rFonts w:hint="default" w:ascii="Times New Roman" w:hAnsi="Times New Roman" w:eastAsia="Times New Roman" w:cs="Times New Roman"/>
                <w:color w:val="auto"/>
                <w:spacing w:val="-3"/>
                <w:highlight w:val="none"/>
              </w:rPr>
              <w:t>1500m</w:t>
            </w:r>
            <w:r>
              <w:rPr>
                <w:rFonts w:hint="default" w:ascii="Times New Roman" w:hAnsi="Times New Roman" w:eastAsia="Times New Roman" w:cs="Times New Roman"/>
                <w:color w:val="auto"/>
                <w:spacing w:val="-3"/>
                <w:position w:val="7"/>
                <w:sz w:val="15"/>
                <w:szCs w:val="15"/>
                <w:highlight w:val="none"/>
              </w:rPr>
              <w:t>3</w:t>
            </w:r>
            <w:r>
              <w:rPr>
                <w:rFonts w:hint="default" w:ascii="Times New Roman" w:hAnsi="Times New Roman" w:eastAsia="Times New Roman" w:cs="Times New Roman"/>
                <w:color w:val="auto"/>
                <w:spacing w:val="-3"/>
                <w:highlight w:val="none"/>
              </w:rPr>
              <w:t>/a</w:t>
            </w:r>
            <w:r>
              <w:rPr>
                <w:rFonts w:hint="default"/>
                <w:color w:val="auto"/>
                <w:spacing w:val="-3"/>
                <w:highlight w:val="none"/>
              </w:rPr>
              <w:t>，设备</w:t>
            </w:r>
            <w:r>
              <w:rPr>
                <w:rFonts w:hint="default"/>
                <w:color w:val="auto"/>
                <w:spacing w:val="-2"/>
                <w:highlight w:val="none"/>
              </w:rPr>
              <w:t>清洗废水产生量以用水量</w:t>
            </w:r>
            <w:r>
              <w:rPr>
                <w:rFonts w:hint="default" w:ascii="Times New Roman" w:hAnsi="Times New Roman" w:eastAsia="Times New Roman" w:cs="Times New Roman"/>
                <w:color w:val="auto"/>
                <w:spacing w:val="-2"/>
                <w:highlight w:val="none"/>
              </w:rPr>
              <w:t>80%</w:t>
            </w:r>
            <w:r>
              <w:rPr>
                <w:rFonts w:hint="default"/>
                <w:color w:val="auto"/>
                <w:spacing w:val="-2"/>
                <w:highlight w:val="none"/>
              </w:rPr>
              <w:t>计，则设备清洗废水产生量为</w:t>
            </w:r>
            <w:r>
              <w:rPr>
                <w:rFonts w:hint="default" w:ascii="Times New Roman" w:hAnsi="Times New Roman" w:eastAsia="Times New Roman" w:cs="Times New Roman"/>
                <w:color w:val="auto"/>
                <w:spacing w:val="-2"/>
                <w:highlight w:val="none"/>
              </w:rPr>
              <w:t>1200m</w:t>
            </w:r>
            <w:r>
              <w:rPr>
                <w:rFonts w:hint="default" w:ascii="Times New Roman" w:hAnsi="Times New Roman" w:eastAsia="Times New Roman" w:cs="Times New Roman"/>
                <w:color w:val="auto"/>
                <w:spacing w:val="-2"/>
                <w:position w:val="8"/>
                <w:sz w:val="15"/>
                <w:szCs w:val="15"/>
                <w:highlight w:val="none"/>
              </w:rPr>
              <w:t>3</w:t>
            </w:r>
            <w:r>
              <w:rPr>
                <w:rFonts w:hint="default" w:ascii="Times New Roman" w:hAnsi="Times New Roman" w:eastAsia="Times New Roman" w:cs="Times New Roman"/>
                <w:color w:val="auto"/>
                <w:spacing w:val="-2"/>
                <w:highlight w:val="none"/>
              </w:rPr>
              <w:t>/a</w:t>
            </w:r>
            <w:r>
              <w:rPr>
                <w:rFonts w:hint="eastAsia" w:eastAsia="宋体" w:cs="Times New Roman"/>
                <w:color w:val="auto"/>
                <w:spacing w:val="-2"/>
                <w:highlight w:val="none"/>
                <w:lang w:eastAsia="zh-CN"/>
              </w:rPr>
              <w:t>（</w:t>
            </w:r>
            <w:r>
              <w:rPr>
                <w:rFonts w:hint="default" w:ascii="Times New Roman" w:hAnsi="Times New Roman" w:eastAsia="Times New Roman" w:cs="Times New Roman"/>
                <w:color w:val="auto"/>
                <w:spacing w:val="-2"/>
                <w:highlight w:val="none"/>
              </w:rPr>
              <w:t>4m</w:t>
            </w:r>
            <w:r>
              <w:rPr>
                <w:rFonts w:hint="default" w:ascii="Times New Roman" w:hAnsi="Times New Roman" w:eastAsia="Times New Roman" w:cs="Times New Roman"/>
                <w:color w:val="auto"/>
                <w:spacing w:val="-2"/>
                <w:position w:val="8"/>
                <w:sz w:val="15"/>
                <w:szCs w:val="15"/>
                <w:highlight w:val="none"/>
              </w:rPr>
              <w:t>3</w:t>
            </w:r>
            <w:r>
              <w:rPr>
                <w:rFonts w:hint="default" w:ascii="Times New Roman" w:hAnsi="Times New Roman" w:eastAsia="Times New Roman" w:cs="Times New Roman"/>
                <w:color w:val="auto"/>
                <w:spacing w:val="-2"/>
                <w:highlight w:val="none"/>
              </w:rPr>
              <w:t>/d</w:t>
            </w:r>
            <w:r>
              <w:rPr>
                <w:rFonts w:hint="eastAsia" w:eastAsia="宋体" w:cs="Times New Roman"/>
                <w:color w:val="auto"/>
                <w:spacing w:val="-2"/>
                <w:highlight w:val="none"/>
                <w:lang w:eastAsia="zh-CN"/>
              </w:rPr>
              <w:t>）</w:t>
            </w:r>
            <w:r>
              <w:rPr>
                <w:rFonts w:hint="default"/>
                <w:color w:val="auto"/>
                <w:spacing w:val="-2"/>
                <w:highlight w:val="none"/>
              </w:rPr>
              <w:t>，经</w:t>
            </w:r>
            <w:r>
              <w:rPr>
                <w:rFonts w:hint="default"/>
                <w:color w:val="auto"/>
                <w:spacing w:val="-1"/>
                <w:highlight w:val="none"/>
              </w:rPr>
              <w:t>收集后回用于搅拌工序，无废水排放。</w:t>
            </w:r>
          </w:p>
          <w:p w14:paraId="0F87E9FD">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default"/>
                <w:color w:val="auto"/>
                <w:highlight w:val="none"/>
              </w:rPr>
              <w:t>洗车</w:t>
            </w:r>
            <w:r>
              <w:rPr>
                <w:rFonts w:hint="eastAsia"/>
                <w:color w:val="auto"/>
                <w:highlight w:val="none"/>
                <w:lang w:val="en-US" w:eastAsia="zh-CN"/>
              </w:rPr>
              <w:t>废</w:t>
            </w:r>
            <w:r>
              <w:rPr>
                <w:rFonts w:hint="default"/>
                <w:color w:val="auto"/>
                <w:highlight w:val="none"/>
              </w:rPr>
              <w:t>水</w:t>
            </w:r>
          </w:p>
          <w:p w14:paraId="08F8FB6C">
            <w:pPr>
              <w:pStyle w:val="76"/>
              <w:keepNext w:val="0"/>
              <w:keepLines w:val="0"/>
              <w:suppressLineNumbers w:val="0"/>
              <w:bidi w:val="0"/>
              <w:spacing w:before="0" w:beforeAutospacing="0" w:after="0" w:afterAutospacing="0"/>
              <w:ind w:left="0" w:right="0"/>
              <w:rPr>
                <w:rFonts w:hint="eastAsia"/>
                <w:color w:val="auto"/>
                <w:highlight w:val="none"/>
                <w:lang w:eastAsia="zh-CN"/>
              </w:rPr>
            </w:pPr>
            <w:r>
              <w:rPr>
                <w:rFonts w:hint="default"/>
                <w:color w:val="auto"/>
                <w:highlight w:val="none"/>
              </w:rPr>
              <w:t>项目洗车平台</w:t>
            </w:r>
            <w:r>
              <w:rPr>
                <w:rFonts w:hint="eastAsia"/>
                <w:color w:val="auto"/>
                <w:highlight w:val="none"/>
                <w:lang w:eastAsia="zh-CN"/>
              </w:rPr>
              <w:t>依托现有工程</w:t>
            </w:r>
            <w:r>
              <w:rPr>
                <w:rFonts w:hint="default"/>
                <w:color w:val="auto"/>
                <w:highlight w:val="none"/>
              </w:rPr>
              <w:t>，对进、出运输车辆进行冲洗，一般运输量为</w:t>
            </w:r>
            <w:r>
              <w:rPr>
                <w:rFonts w:hint="eastAsia"/>
                <w:color w:val="auto"/>
                <w:highlight w:val="none"/>
                <w:lang w:val="en-US" w:eastAsia="zh-CN"/>
              </w:rPr>
              <w:t>4</w:t>
            </w:r>
            <w:r>
              <w:rPr>
                <w:rFonts w:hint="default" w:ascii="Times New Roman" w:hAnsi="Times New Roman" w:eastAsia="Times New Roman" w:cs="Times New Roman"/>
                <w:color w:val="auto"/>
                <w:highlight w:val="none"/>
              </w:rPr>
              <w:t>0t/</w:t>
            </w:r>
            <w:r>
              <w:rPr>
                <w:rFonts w:hint="default"/>
                <w:color w:val="auto"/>
                <w:highlight w:val="none"/>
              </w:rPr>
              <w:t>辆</w:t>
            </w:r>
            <w:r>
              <w:rPr>
                <w:rFonts w:hint="default"/>
                <w:color w:val="auto"/>
                <w:spacing w:val="-7"/>
                <w:highlight w:val="none"/>
              </w:rPr>
              <w:t>计，平均每天发载货车</w:t>
            </w:r>
            <w:r>
              <w:rPr>
                <w:rFonts w:hint="default" w:ascii="Times New Roman" w:hAnsi="Times New Roman" w:eastAsia="Times New Roman" w:cs="Times New Roman"/>
                <w:color w:val="auto"/>
                <w:spacing w:val="-7"/>
                <w:highlight w:val="none"/>
              </w:rPr>
              <w:t>7</w:t>
            </w:r>
            <w:r>
              <w:rPr>
                <w:rFonts w:hint="eastAsia" w:ascii="Times New Roman" w:hAnsi="Times New Roman" w:eastAsia="宋体" w:cs="Times New Roman"/>
                <w:color w:val="auto"/>
                <w:spacing w:val="-7"/>
                <w:highlight w:val="none"/>
                <w:lang w:val="en-US" w:eastAsia="zh-CN"/>
              </w:rPr>
              <w:t>5</w:t>
            </w:r>
            <w:r>
              <w:rPr>
                <w:rFonts w:hint="default"/>
                <w:color w:val="auto"/>
                <w:spacing w:val="-7"/>
                <w:highlight w:val="none"/>
              </w:rPr>
              <w:t>辆，冲洗水量不超过</w:t>
            </w:r>
            <w:r>
              <w:rPr>
                <w:rFonts w:hint="default" w:ascii="Times New Roman" w:hAnsi="Times New Roman" w:eastAsia="Times New Roman" w:cs="Times New Roman"/>
                <w:color w:val="auto"/>
                <w:spacing w:val="-7"/>
                <w:highlight w:val="none"/>
              </w:rPr>
              <w:t>0.2m</w:t>
            </w:r>
            <w:r>
              <w:rPr>
                <w:rFonts w:hint="default" w:ascii="Times New Roman" w:hAnsi="Times New Roman" w:eastAsia="Times New Roman" w:cs="Times New Roman"/>
                <w:color w:val="auto"/>
                <w:spacing w:val="-7"/>
                <w:position w:val="8"/>
                <w:sz w:val="15"/>
                <w:szCs w:val="15"/>
                <w:highlight w:val="none"/>
              </w:rPr>
              <w:t>3</w:t>
            </w:r>
            <w:r>
              <w:rPr>
                <w:rFonts w:hint="default" w:ascii="Times New Roman" w:hAnsi="Times New Roman" w:eastAsia="Times New Roman" w:cs="Times New Roman"/>
                <w:color w:val="auto"/>
                <w:spacing w:val="-7"/>
                <w:highlight w:val="none"/>
              </w:rPr>
              <w:t>/</w:t>
            </w:r>
            <w:r>
              <w:rPr>
                <w:rFonts w:hint="default"/>
                <w:color w:val="auto"/>
                <w:spacing w:val="-7"/>
                <w:highlight w:val="none"/>
              </w:rPr>
              <w:t>辆，以降低运输扬尘的产生。</w:t>
            </w:r>
            <w:r>
              <w:rPr>
                <w:rFonts w:hint="default"/>
                <w:color w:val="auto"/>
                <w:highlight w:val="none"/>
              </w:rPr>
              <w:t>则车辆清洗用水量约</w:t>
            </w:r>
            <w:r>
              <w:rPr>
                <w:rFonts w:hint="eastAsia"/>
                <w:color w:val="auto"/>
                <w:highlight w:val="none"/>
                <w:lang w:val="en-US" w:eastAsia="zh-CN"/>
              </w:rPr>
              <w:t>4500</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7"/>
                <w:sz w:val="15"/>
                <w:szCs w:val="15"/>
                <w:highlight w:val="none"/>
              </w:rPr>
              <w:t>3</w:t>
            </w:r>
            <w:r>
              <w:rPr>
                <w:rFonts w:hint="default" w:ascii="Times New Roman" w:hAnsi="Times New Roman" w:eastAsia="Times New Roman" w:cs="Times New Roman"/>
                <w:color w:val="auto"/>
                <w:highlight w:val="none"/>
              </w:rPr>
              <w:t>/a</w:t>
            </w:r>
            <w:r>
              <w:rPr>
                <w:rFonts w:hint="default"/>
                <w:color w:val="auto"/>
                <w:highlight w:val="none"/>
              </w:rPr>
              <w:t>（</w:t>
            </w:r>
            <w:r>
              <w:rPr>
                <w:rFonts w:hint="eastAsia" w:ascii="Times New Roman" w:hAnsi="Times New Roman" w:eastAsia="宋体" w:cs="Times New Roman"/>
                <w:color w:val="auto"/>
                <w:highlight w:val="none"/>
                <w:lang w:val="en-US" w:eastAsia="zh-CN"/>
              </w:rPr>
              <w:t>15</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7"/>
                <w:sz w:val="15"/>
                <w:szCs w:val="15"/>
                <w:highlight w:val="none"/>
              </w:rPr>
              <w:t>3</w:t>
            </w:r>
            <w:r>
              <w:rPr>
                <w:rFonts w:hint="default" w:ascii="Times New Roman" w:hAnsi="Times New Roman" w:eastAsia="Times New Roman" w:cs="Times New Roman"/>
                <w:color w:val="auto"/>
                <w:highlight w:val="none"/>
              </w:rPr>
              <w:t>/d</w:t>
            </w:r>
            <w:r>
              <w:rPr>
                <w:rFonts w:hint="default"/>
                <w:color w:val="auto"/>
                <w:spacing w:val="6"/>
                <w:highlight w:val="none"/>
              </w:rPr>
              <w:t>），</w:t>
            </w:r>
            <w:r>
              <w:rPr>
                <w:rFonts w:hint="default"/>
                <w:color w:val="auto"/>
                <w:highlight w:val="none"/>
              </w:rPr>
              <w:t>损</w:t>
            </w:r>
            <w:r>
              <w:rPr>
                <w:rFonts w:hint="default"/>
                <w:color w:val="auto"/>
                <w:spacing w:val="-1"/>
                <w:highlight w:val="none"/>
              </w:rPr>
              <w:t>耗约</w:t>
            </w:r>
            <w:r>
              <w:rPr>
                <w:rFonts w:hint="eastAsia" w:ascii="Times New Roman" w:hAnsi="Times New Roman" w:eastAsia="宋体" w:cs="Times New Roman"/>
                <w:color w:val="auto"/>
                <w:spacing w:val="-1"/>
                <w:highlight w:val="none"/>
                <w:lang w:val="en-US" w:eastAsia="zh-CN"/>
              </w:rPr>
              <w:t>900</w:t>
            </w:r>
            <w:r>
              <w:rPr>
                <w:rFonts w:hint="default" w:ascii="Times New Roman" w:hAnsi="Times New Roman" w:eastAsia="Times New Roman" w:cs="Times New Roman"/>
                <w:color w:val="auto"/>
                <w:spacing w:val="-1"/>
                <w:highlight w:val="none"/>
              </w:rPr>
              <w:t>m</w:t>
            </w:r>
            <w:r>
              <w:rPr>
                <w:rFonts w:hint="default" w:ascii="Times New Roman" w:hAnsi="Times New Roman" w:eastAsia="Times New Roman" w:cs="Times New Roman"/>
                <w:color w:val="auto"/>
                <w:spacing w:val="-1"/>
                <w:position w:val="7"/>
                <w:sz w:val="15"/>
                <w:szCs w:val="15"/>
                <w:highlight w:val="none"/>
              </w:rPr>
              <w:t>3</w:t>
            </w:r>
            <w:r>
              <w:rPr>
                <w:rFonts w:hint="default" w:ascii="Times New Roman" w:hAnsi="Times New Roman" w:eastAsia="Times New Roman" w:cs="Times New Roman"/>
                <w:color w:val="auto"/>
                <w:spacing w:val="-1"/>
                <w:highlight w:val="none"/>
              </w:rPr>
              <w:t>/a</w:t>
            </w:r>
            <w:r>
              <w:rPr>
                <w:rFonts w:hint="default"/>
                <w:color w:val="auto"/>
                <w:spacing w:val="-1"/>
                <w:highlight w:val="none"/>
              </w:rPr>
              <w:t>（</w:t>
            </w:r>
            <w:r>
              <w:rPr>
                <w:rFonts w:hint="eastAsia" w:ascii="Times New Roman" w:hAnsi="Times New Roman" w:eastAsia="宋体" w:cs="Times New Roman"/>
                <w:color w:val="auto"/>
                <w:spacing w:val="-1"/>
                <w:highlight w:val="none"/>
                <w:lang w:val="en-US" w:eastAsia="zh-CN"/>
              </w:rPr>
              <w:t>3</w:t>
            </w:r>
            <w:r>
              <w:rPr>
                <w:rFonts w:hint="default" w:ascii="Times New Roman" w:hAnsi="Times New Roman" w:eastAsia="Times New Roman" w:cs="Times New Roman"/>
                <w:color w:val="auto"/>
                <w:spacing w:val="-1"/>
                <w:highlight w:val="none"/>
              </w:rPr>
              <w:t>m</w:t>
            </w:r>
            <w:r>
              <w:rPr>
                <w:rFonts w:hint="default" w:ascii="Times New Roman" w:hAnsi="Times New Roman" w:eastAsia="Times New Roman" w:cs="Times New Roman"/>
                <w:color w:val="auto"/>
                <w:spacing w:val="-1"/>
                <w:position w:val="7"/>
                <w:sz w:val="15"/>
                <w:szCs w:val="15"/>
                <w:highlight w:val="none"/>
              </w:rPr>
              <w:t>3</w:t>
            </w:r>
            <w:r>
              <w:rPr>
                <w:rFonts w:hint="default" w:ascii="Times New Roman" w:hAnsi="Times New Roman" w:eastAsia="Times New Roman" w:cs="Times New Roman"/>
                <w:color w:val="auto"/>
                <w:spacing w:val="-1"/>
                <w:highlight w:val="none"/>
              </w:rPr>
              <w:t>/d</w:t>
            </w:r>
            <w:r>
              <w:rPr>
                <w:rFonts w:hint="default"/>
                <w:color w:val="auto"/>
                <w:spacing w:val="-1"/>
                <w:highlight w:val="none"/>
              </w:rPr>
              <w:t>）</w:t>
            </w:r>
            <w:r>
              <w:rPr>
                <w:rFonts w:hint="eastAsia"/>
                <w:color w:val="auto"/>
                <w:spacing w:val="-1"/>
                <w:highlight w:val="none"/>
                <w:lang w:eastAsia="zh-CN"/>
              </w:rPr>
              <w:t>，</w:t>
            </w:r>
            <w:r>
              <w:rPr>
                <w:rFonts w:hint="default" w:ascii="Times New Roman" w:hAnsi="Times New Roman" w:cs="Times New Roman"/>
                <w:color w:val="auto"/>
                <w:highlight w:val="none"/>
                <w:lang w:val="en-US" w:eastAsia="zh-CN"/>
              </w:rPr>
              <w:t>洗车废水</w:t>
            </w:r>
            <w:r>
              <w:rPr>
                <w:rFonts w:hint="default" w:ascii="Times New Roman" w:hAnsi="Times New Roman" w:cs="Times New Roman"/>
                <w:color w:val="auto"/>
                <w:highlight w:val="none"/>
              </w:rPr>
              <w:t>产生量</w:t>
            </w:r>
            <w:r>
              <w:rPr>
                <w:rFonts w:hint="default" w:ascii="Times New Roman" w:hAnsi="Times New Roman" w:cs="Times New Roman"/>
                <w:color w:val="auto"/>
                <w:highlight w:val="none"/>
                <w:lang w:val="en-US" w:eastAsia="zh-CN"/>
              </w:rPr>
              <w:t>3</w:t>
            </w:r>
            <w:r>
              <w:rPr>
                <w:rFonts w:hint="eastAsia" w:cs="Times New Roman"/>
                <w:color w:val="auto"/>
                <w:highlight w:val="none"/>
                <w:lang w:val="en-US" w:eastAsia="zh-CN"/>
              </w:rPr>
              <w:t>600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1</w:t>
            </w:r>
            <w:r>
              <w:rPr>
                <w:rFonts w:hint="eastAsia" w:cs="Times New Roman"/>
                <w:color w:val="auto"/>
                <w:highlight w:val="none"/>
                <w:lang w:val="en-US" w:eastAsia="zh-CN"/>
              </w:rPr>
              <w:t>2</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lang w:eastAsia="zh-CN"/>
              </w:rPr>
              <w:t>）</w:t>
            </w:r>
            <w:r>
              <w:rPr>
                <w:rFonts w:hint="default"/>
                <w:color w:val="auto"/>
                <w:spacing w:val="-1"/>
                <w:highlight w:val="none"/>
              </w:rPr>
              <w:t>。</w:t>
            </w:r>
            <w:r>
              <w:rPr>
                <w:rFonts w:hint="eastAsia" w:cs="Times New Roman"/>
                <w:color w:val="auto"/>
                <w:highlight w:val="none"/>
                <w:lang w:eastAsia="zh-CN"/>
              </w:rPr>
              <w:t>洗车废水经</w:t>
            </w:r>
            <w:r>
              <w:rPr>
                <w:rFonts w:hint="default" w:ascii="Times New Roman" w:hAnsi="Times New Roman" w:cs="Times New Roman"/>
                <w:color w:val="auto"/>
                <w:highlight w:val="none"/>
                <w:lang w:eastAsia="zh-CN"/>
              </w:rPr>
              <w:t>收集</w:t>
            </w:r>
            <w:r>
              <w:rPr>
                <w:rFonts w:hint="eastAsia" w:cs="Times New Roman"/>
                <w:color w:val="auto"/>
                <w:highlight w:val="none"/>
                <w:lang w:eastAsia="zh-CN"/>
              </w:rPr>
              <w:t>进入</w:t>
            </w:r>
            <w:r>
              <w:rPr>
                <w:rFonts w:hint="default" w:ascii="Times New Roman" w:hAnsi="Times New Roman" w:cs="Times New Roman"/>
                <w:color w:val="auto"/>
                <w:highlight w:val="none"/>
              </w:rPr>
              <w:t>沉淀</w:t>
            </w:r>
            <w:r>
              <w:rPr>
                <w:rFonts w:hint="default" w:ascii="Times New Roman" w:hAnsi="Times New Roman" w:cs="Times New Roman"/>
                <w:color w:val="auto"/>
                <w:highlight w:val="none"/>
                <w:lang w:val="en-US" w:eastAsia="zh-CN"/>
              </w:rPr>
              <w:t>池沉淀</w:t>
            </w:r>
            <w:r>
              <w:rPr>
                <w:rFonts w:hint="default" w:ascii="Times New Roman" w:hAnsi="Times New Roman" w:cs="Times New Roman"/>
                <w:color w:val="auto"/>
                <w:highlight w:val="none"/>
                <w:lang w:eastAsia="zh-CN"/>
              </w:rPr>
              <w:t>，沉淀处理达</w:t>
            </w:r>
            <w:r>
              <w:rPr>
                <w:rFonts w:hint="default"/>
                <w:highlight w:val="none"/>
              </w:rPr>
              <w:t>《城市污水再生利用工业用水水质》（GB/T19923-2024）中洗涤水标准</w:t>
            </w:r>
            <w:r>
              <w:rPr>
                <w:rFonts w:hint="eastAsia"/>
                <w:highlight w:val="none"/>
              </w:rPr>
              <w:t>、《无机化学工业污染物排放标准》（GB31573-2015）和《工业废水铊污染物排放标准》（DB36/1149-2019）</w:t>
            </w:r>
            <w:r>
              <w:rPr>
                <w:rFonts w:hint="eastAsia"/>
                <w:color w:val="auto"/>
                <w:highlight w:val="none"/>
              </w:rPr>
              <w:t>标准</w:t>
            </w:r>
            <w:r>
              <w:rPr>
                <w:rFonts w:hint="eastAsia"/>
                <w:color w:val="FF0000"/>
                <w:highlight w:val="none"/>
                <w:lang w:eastAsia="zh-CN"/>
              </w:rPr>
              <w:t>中的较严值</w:t>
            </w:r>
            <w:r>
              <w:rPr>
                <w:rFonts w:hint="eastAsia"/>
                <w:color w:val="auto"/>
                <w:highlight w:val="none"/>
                <w:lang w:val="en-US" w:eastAsia="zh-CN"/>
              </w:rPr>
              <w:t>后</w:t>
            </w:r>
            <w:r>
              <w:rPr>
                <w:rFonts w:hint="default" w:ascii="Times New Roman" w:hAnsi="Times New Roman" w:cs="Times New Roman"/>
                <w:color w:val="auto"/>
                <w:highlight w:val="none"/>
                <w:lang w:eastAsia="zh-CN"/>
              </w:rPr>
              <w:t>，回用于洗</w:t>
            </w:r>
            <w:r>
              <w:rPr>
                <w:rFonts w:hint="default" w:ascii="Times New Roman" w:hAnsi="Times New Roman" w:cs="Times New Roman"/>
                <w:color w:val="auto"/>
                <w:highlight w:val="none"/>
                <w:lang w:val="en-US" w:eastAsia="zh-CN"/>
              </w:rPr>
              <w:t>车</w:t>
            </w:r>
            <w:r>
              <w:rPr>
                <w:rFonts w:hint="default" w:ascii="Times New Roman" w:hAnsi="Times New Roman" w:cs="Times New Roman"/>
                <w:color w:val="auto"/>
                <w:highlight w:val="none"/>
                <w:lang w:eastAsia="zh-CN"/>
              </w:rPr>
              <w:t>环节，不外排。</w:t>
            </w:r>
          </w:p>
          <w:p w14:paraId="52DAE197">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eastAsia="zh-CN"/>
              </w:rPr>
              <w:t>（</w:t>
            </w:r>
            <w:r>
              <w:rPr>
                <w:rFonts w:hint="eastAsia"/>
                <w:color w:val="auto"/>
                <w:highlight w:val="none"/>
                <w:lang w:val="en-US" w:eastAsia="zh-CN"/>
              </w:rPr>
              <w:t>5</w:t>
            </w:r>
            <w:r>
              <w:rPr>
                <w:rFonts w:hint="eastAsia"/>
                <w:color w:val="auto"/>
                <w:highlight w:val="none"/>
                <w:lang w:eastAsia="zh-CN"/>
              </w:rPr>
              <w:t>）</w:t>
            </w:r>
            <w:r>
              <w:rPr>
                <w:rFonts w:hint="eastAsia"/>
                <w:color w:val="auto"/>
                <w:highlight w:val="none"/>
                <w:lang w:val="en-US" w:eastAsia="zh-CN"/>
              </w:rPr>
              <w:t>养护</w:t>
            </w:r>
            <w:r>
              <w:rPr>
                <w:rFonts w:hint="eastAsia" w:ascii="Times New Roman" w:eastAsia="宋体"/>
                <w:color w:val="auto"/>
                <w:highlight w:val="none"/>
                <w:lang w:val="en-US" w:eastAsia="zh-CN"/>
              </w:rPr>
              <w:t>废</w:t>
            </w:r>
            <w:r>
              <w:rPr>
                <w:rFonts w:hint="eastAsia"/>
                <w:color w:val="auto"/>
                <w:highlight w:val="none"/>
                <w:lang w:val="en-US" w:eastAsia="zh-CN"/>
              </w:rPr>
              <w:t>水</w:t>
            </w:r>
          </w:p>
          <w:p w14:paraId="6919FC03">
            <w:pPr>
              <w:pStyle w:val="76"/>
              <w:keepNext w:val="0"/>
              <w:keepLines w:val="0"/>
              <w:suppressLineNumbers w:val="0"/>
              <w:bidi w:val="0"/>
              <w:spacing w:before="0" w:beforeAutospacing="0" w:after="0" w:afterAutospacing="0"/>
              <w:ind w:left="0" w:right="0"/>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环保</w:t>
            </w:r>
            <w:r>
              <w:rPr>
                <w:rFonts w:hint="eastAsia" w:cs="Times New Roman"/>
                <w:color w:val="auto"/>
                <w:highlight w:val="none"/>
                <w:lang w:val="en-US" w:eastAsia="zh-CN"/>
              </w:rPr>
              <w:t>免烧</w:t>
            </w:r>
            <w:r>
              <w:rPr>
                <w:rFonts w:hint="default" w:ascii="Times New Roman" w:hAnsi="Times New Roman" w:cs="Times New Roman"/>
                <w:color w:val="auto"/>
                <w:highlight w:val="none"/>
                <w:lang w:val="en-US" w:eastAsia="zh-CN"/>
              </w:rPr>
              <w:t>砖养护过程</w:t>
            </w:r>
            <w:r>
              <w:rPr>
                <w:rFonts w:hint="eastAsia" w:cs="Times New Roman"/>
                <w:color w:val="auto"/>
                <w:highlight w:val="none"/>
                <w:lang w:val="en-US" w:eastAsia="zh-CN"/>
              </w:rPr>
              <w:t>需要</w:t>
            </w:r>
            <w:r>
              <w:rPr>
                <w:rFonts w:hint="default" w:ascii="Times New Roman" w:hAnsi="Times New Roman" w:cs="Times New Roman"/>
                <w:color w:val="auto"/>
                <w:highlight w:val="none"/>
                <w:lang w:val="en-US" w:eastAsia="zh-CN"/>
              </w:rPr>
              <w:t>养护用水，根据业主提供资料，养护用水量</w:t>
            </w:r>
            <w:r>
              <w:rPr>
                <w:rFonts w:hint="default" w:ascii="Times New Roman" w:hAnsi="Times New Roman" w:cs="Times New Roman"/>
                <w:color w:val="auto"/>
                <w:highlight w:val="none"/>
              </w:rPr>
              <w:t>约</w:t>
            </w:r>
            <w:r>
              <w:rPr>
                <w:rFonts w:hint="default" w:ascii="Times New Roman" w:hAnsi="Times New Roman" w:cs="Times New Roman"/>
                <w:color w:val="auto"/>
                <w:highlight w:val="none"/>
                <w:lang w:val="en-US" w:eastAsia="zh-CN"/>
              </w:rPr>
              <w:t>为240</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0.8</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lang w:eastAsia="zh-CN"/>
              </w:rPr>
              <w:t>），</w:t>
            </w:r>
            <w:r>
              <w:rPr>
                <w:rFonts w:hint="default"/>
                <w:color w:val="auto"/>
                <w:spacing w:val="-1"/>
                <w:highlight w:val="none"/>
              </w:rPr>
              <w:t>养护过程中约</w:t>
            </w:r>
            <w:r>
              <w:rPr>
                <w:rFonts w:hint="eastAsia" w:ascii="Times New Roman" w:hAnsi="Times New Roman" w:eastAsia="宋体" w:cs="Times New Roman"/>
                <w:color w:val="auto"/>
                <w:spacing w:val="-1"/>
                <w:highlight w:val="none"/>
                <w:lang w:val="en-US" w:eastAsia="zh-CN"/>
              </w:rPr>
              <w:t>8</w:t>
            </w:r>
            <w:r>
              <w:rPr>
                <w:rFonts w:hint="default" w:ascii="Times New Roman" w:hAnsi="Times New Roman" w:eastAsia="Times New Roman" w:cs="Times New Roman"/>
                <w:color w:val="auto"/>
                <w:spacing w:val="-1"/>
                <w:highlight w:val="none"/>
              </w:rPr>
              <w:t>0%</w:t>
            </w:r>
            <w:r>
              <w:rPr>
                <w:rFonts w:hint="default"/>
                <w:color w:val="auto"/>
                <w:highlight w:val="none"/>
              </w:rPr>
              <w:t>的水蒸发损耗，</w:t>
            </w:r>
            <w:r>
              <w:rPr>
                <w:rFonts w:hint="eastAsia"/>
                <w:color w:val="auto"/>
                <w:highlight w:val="none"/>
                <w:lang w:eastAsia="zh-CN"/>
              </w:rPr>
              <w:t>约产生</w:t>
            </w:r>
            <w:r>
              <w:rPr>
                <w:rFonts w:hint="eastAsia"/>
                <w:color w:val="auto"/>
                <w:highlight w:val="none"/>
                <w:lang w:val="en-US" w:eastAsia="zh-CN"/>
              </w:rPr>
              <w:t>20%的</w:t>
            </w:r>
            <w:r>
              <w:rPr>
                <w:rFonts w:hint="default" w:ascii="Times New Roman" w:hAnsi="Times New Roman" w:cs="Times New Roman"/>
                <w:color w:val="auto"/>
                <w:highlight w:val="none"/>
                <w:lang w:val="en-US" w:eastAsia="zh-CN"/>
              </w:rPr>
              <w:t>养护废水</w:t>
            </w:r>
            <w:r>
              <w:rPr>
                <w:rFonts w:hint="eastAsia" w:cs="Times New Roman"/>
                <w:color w:val="auto"/>
                <w:highlight w:val="none"/>
                <w:lang w:val="en-US" w:eastAsia="zh-CN"/>
              </w:rPr>
              <w:t>48</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/a</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0.</w:t>
            </w:r>
            <w:r>
              <w:rPr>
                <w:rFonts w:hint="eastAsia" w:cs="Times New Roman"/>
                <w:color w:val="auto"/>
                <w:highlight w:val="none"/>
                <w:lang w:val="en-US" w:eastAsia="zh-CN"/>
              </w:rPr>
              <w:t>16</w:t>
            </w:r>
            <w:r>
              <w:rPr>
                <w:rFonts w:hint="default" w:ascii="Times New Roman" w:hAnsi="Times New Roman" w:cs="Times New Roman"/>
                <w:color w:val="auto"/>
                <w:highlight w:val="none"/>
              </w:rPr>
              <w:t>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d</w:t>
            </w:r>
            <w:r>
              <w:rPr>
                <w:rFonts w:hint="default" w:ascii="Times New Roman" w:hAnsi="Times New Roman" w:cs="Times New Roman"/>
                <w:color w:val="auto"/>
                <w:highlight w:val="none"/>
                <w:lang w:eastAsia="zh-CN"/>
              </w:rPr>
              <w:t>），养护区四周设有导流槽，养护废水通过导流槽进入</w:t>
            </w:r>
            <w:r>
              <w:rPr>
                <w:rFonts w:hint="default" w:ascii="Times New Roman" w:hAnsi="Times New Roman" w:cs="Times New Roman"/>
                <w:color w:val="auto"/>
                <w:highlight w:val="none"/>
                <w:lang w:val="en-US" w:eastAsia="zh-CN"/>
              </w:rPr>
              <w:t>沉淀池</w:t>
            </w:r>
            <w:r>
              <w:rPr>
                <w:rFonts w:hint="default" w:ascii="Times New Roman" w:hAnsi="Times New Roman" w:cs="Times New Roman"/>
                <w:color w:val="auto"/>
                <w:highlight w:val="none"/>
                <w:lang w:eastAsia="zh-CN"/>
              </w:rPr>
              <w:t>沉淀，沉淀后达</w:t>
            </w:r>
            <w:r>
              <w:rPr>
                <w:rFonts w:hint="default"/>
                <w:highlight w:val="none"/>
              </w:rPr>
              <w:t>《城市污水再生利用工业用水水质》（GB/T19923-2024）中洗涤水标准</w:t>
            </w:r>
            <w:r>
              <w:rPr>
                <w:rFonts w:hint="eastAsia"/>
                <w:highlight w:val="none"/>
              </w:rPr>
              <w:t>、《无机化学工业污染物排放标准》（GB31573-2015）和《工业废水铊污染物排放标准》（DB36/1149-2019）标准</w:t>
            </w:r>
            <w:r>
              <w:rPr>
                <w:rFonts w:hint="eastAsia"/>
                <w:color w:val="FF0000"/>
                <w:highlight w:val="none"/>
                <w:lang w:eastAsia="zh-CN"/>
              </w:rPr>
              <w:t>中的较严值</w:t>
            </w:r>
            <w:r>
              <w:rPr>
                <w:rFonts w:hint="eastAsia"/>
                <w:color w:val="auto"/>
                <w:highlight w:val="none"/>
                <w:lang w:val="en-US" w:eastAsia="zh-CN"/>
              </w:rPr>
              <w:t>后</w:t>
            </w:r>
            <w:r>
              <w:rPr>
                <w:rFonts w:hint="default" w:ascii="Times New Roman" w:hAnsi="Times New Roman" w:cs="Times New Roman"/>
                <w:color w:val="auto"/>
                <w:highlight w:val="none"/>
                <w:lang w:eastAsia="zh-CN"/>
              </w:rPr>
              <w:t>，回用于</w:t>
            </w:r>
            <w:r>
              <w:rPr>
                <w:rFonts w:hint="eastAsia" w:cs="Times New Roman"/>
                <w:color w:val="auto"/>
                <w:highlight w:val="none"/>
                <w:lang w:val="en-US" w:eastAsia="zh-CN"/>
              </w:rPr>
              <w:t>抑尘用水</w:t>
            </w:r>
            <w:r>
              <w:rPr>
                <w:rFonts w:hint="default" w:ascii="Times New Roman" w:hAnsi="Times New Roman" w:cs="Times New Roman"/>
                <w:color w:val="auto"/>
                <w:highlight w:val="none"/>
                <w:lang w:eastAsia="zh-CN"/>
              </w:rPr>
              <w:t>不外排。</w:t>
            </w:r>
          </w:p>
          <w:p w14:paraId="42959919">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本项目仅冲洗车表面的粉尘，但由于本项目运输锂渣，洗车废水</w:t>
            </w:r>
            <w:r>
              <w:rPr>
                <w:rFonts w:hint="default" w:ascii="Times New Roman" w:hAnsi="Times New Roman" w:eastAsia="宋体" w:cs="Times New Roman"/>
                <w:color w:val="auto"/>
                <w:kern w:val="2"/>
                <w:sz w:val="24"/>
                <w:szCs w:val="24"/>
                <w:highlight w:val="none"/>
                <w:lang w:val="en-US" w:eastAsia="zh-CN" w:bidi="ar-SA"/>
              </w:rPr>
              <w:t>主要污染物为COD、SS、石油类、总铍、总铊、氟化物</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b w:val="0"/>
                <w:bCs w:val="0"/>
                <w:color w:val="auto"/>
                <w:sz w:val="24"/>
                <w:szCs w:val="32"/>
                <w:highlight w:val="none"/>
                <w:lang w:val="en-US" w:eastAsia="zh-CN"/>
              </w:rPr>
              <w:t>参考类似建设项目，养护及</w:t>
            </w:r>
            <w:r>
              <w:rPr>
                <w:rFonts w:hint="eastAsia" w:ascii="Times New Roman" w:hAnsi="Times New Roman" w:cs="Times New Roman"/>
                <w:b w:val="0"/>
                <w:bCs w:val="0"/>
                <w:color w:val="auto"/>
                <w:sz w:val="24"/>
                <w:szCs w:val="32"/>
                <w:highlight w:val="none"/>
                <w:lang w:val="en-US" w:eastAsia="zh-CN"/>
              </w:rPr>
              <w:t>洗车</w:t>
            </w:r>
            <w:r>
              <w:rPr>
                <w:rFonts w:hint="default" w:ascii="Times New Roman" w:hAnsi="Times New Roman" w:eastAsia="宋体" w:cs="Times New Roman"/>
                <w:b w:val="0"/>
                <w:bCs w:val="0"/>
                <w:color w:val="auto"/>
                <w:sz w:val="24"/>
                <w:szCs w:val="32"/>
                <w:highlight w:val="none"/>
                <w:lang w:val="en-US" w:eastAsia="zh-CN"/>
              </w:rPr>
              <w:t>废水污染物浓度为COD</w:t>
            </w:r>
            <w:r>
              <w:rPr>
                <w:rFonts w:hint="default" w:ascii="Times New Roman" w:hAnsi="Times New Roman" w:eastAsia="宋体" w:cs="Times New Roman"/>
                <w:b w:val="0"/>
                <w:bCs w:val="0"/>
                <w:color w:val="auto"/>
                <w:sz w:val="24"/>
                <w:szCs w:val="32"/>
                <w:highlight w:val="none"/>
                <w:vertAlign w:val="subscript"/>
                <w:lang w:val="en-US" w:eastAsia="zh-CN"/>
              </w:rPr>
              <w:t>Cr</w:t>
            </w:r>
            <w:r>
              <w:rPr>
                <w:rFonts w:hint="default" w:ascii="Times New Roman" w:hAnsi="Times New Roman" w:eastAsia="宋体" w:cs="Times New Roman"/>
                <w:b w:val="0"/>
                <w:bCs w:val="0"/>
                <w:color w:val="auto"/>
                <w:sz w:val="24"/>
                <w:szCs w:val="32"/>
                <w:highlight w:val="none"/>
                <w:lang w:val="en-US" w:eastAsia="zh-CN"/>
              </w:rPr>
              <w:t>：40mg/L、SS：</w:t>
            </w:r>
            <w:r>
              <w:rPr>
                <w:rFonts w:hint="eastAsia" w:ascii="Times New Roman" w:hAnsi="Times New Roman" w:cs="Times New Roman"/>
                <w:b w:val="0"/>
                <w:bCs w:val="0"/>
                <w:color w:val="auto"/>
                <w:sz w:val="24"/>
                <w:szCs w:val="32"/>
                <w:highlight w:val="none"/>
                <w:lang w:val="en-US" w:eastAsia="zh-CN"/>
              </w:rPr>
              <w:t>4</w:t>
            </w:r>
            <w:r>
              <w:rPr>
                <w:rFonts w:hint="default" w:ascii="Times New Roman" w:hAnsi="Times New Roman" w:eastAsia="宋体" w:cs="Times New Roman"/>
                <w:b w:val="0"/>
                <w:bCs w:val="0"/>
                <w:color w:val="auto"/>
                <w:sz w:val="24"/>
                <w:szCs w:val="32"/>
                <w:highlight w:val="none"/>
                <w:lang w:val="en-US" w:eastAsia="zh-CN"/>
              </w:rPr>
              <w:t>00mg/L、石油类：1mg/L、总铍：0.005mg/L、总铊：0.01mg/L和氟化物：5mg/L。</w:t>
            </w:r>
            <w:r>
              <w:rPr>
                <w:rFonts w:hint="eastAsia"/>
                <w:color w:val="auto"/>
                <w:highlight w:val="none"/>
                <w:lang w:val="en-US" w:eastAsia="zh-CN"/>
              </w:rPr>
              <w:t>本项目洗车废水和养护废水进沉淀池沉淀后，</w:t>
            </w:r>
            <w:r>
              <w:rPr>
                <w:rFonts w:hint="eastAsia" w:ascii="Times New Roman" w:eastAsia="宋体"/>
                <w:color w:val="auto"/>
                <w:highlight w:val="none"/>
                <w:lang w:val="en-US" w:eastAsia="zh-CN"/>
              </w:rPr>
              <w:t>采用絮凝</w:t>
            </w:r>
            <w:r>
              <w:rPr>
                <w:rFonts w:hint="eastAsia" w:eastAsia="宋体"/>
                <w:color w:val="auto"/>
                <w:highlight w:val="none"/>
                <w:lang w:eastAsia="zh-CN"/>
              </w:rPr>
              <w:t>沉淀处理后达</w:t>
            </w:r>
            <w:r>
              <w:rPr>
                <w:rFonts w:hint="eastAsia"/>
                <w:highlight w:val="none"/>
              </w:rPr>
              <w:t>《城市污水再生利用工业用水水质》（GB/T19923-2024）中洗涤水标准、《无机化学工业污染物排放标准》（GB31573-2015）和《工业废水铊污染物排放标准》（DB36/1149-2019）标准</w:t>
            </w:r>
            <w:r>
              <w:rPr>
                <w:rFonts w:hint="eastAsia"/>
                <w:color w:val="FF0000"/>
                <w:highlight w:val="none"/>
                <w:lang w:eastAsia="zh-CN"/>
              </w:rPr>
              <w:t>中的较严值</w:t>
            </w:r>
            <w:r>
              <w:rPr>
                <w:rFonts w:hint="eastAsia"/>
                <w:color w:val="auto"/>
                <w:highlight w:val="none"/>
                <w:lang w:eastAsia="zh-CN"/>
              </w:rPr>
              <w:t>后回用，</w:t>
            </w:r>
            <w:r>
              <w:rPr>
                <w:rFonts w:hint="eastAsia"/>
                <w:color w:val="auto"/>
                <w:highlight w:val="none"/>
                <w:lang w:val="en-US" w:eastAsia="zh-CN"/>
              </w:rPr>
              <w:t>本项目沉淀池依托租赁厂房东南侧的一容积为600m</w:t>
            </w:r>
            <w:r>
              <w:rPr>
                <w:rFonts w:hint="eastAsia"/>
                <w:color w:val="auto"/>
                <w:highlight w:val="none"/>
                <w:vertAlign w:val="superscript"/>
                <w:lang w:val="en-US" w:eastAsia="zh-CN"/>
              </w:rPr>
              <w:t>3</w:t>
            </w:r>
            <w:r>
              <w:rPr>
                <w:rFonts w:hint="eastAsia"/>
                <w:color w:val="auto"/>
                <w:highlight w:val="none"/>
                <w:lang w:val="en-US" w:eastAsia="zh-CN"/>
              </w:rPr>
              <w:t>的沉淀池，通过管道和导流槽收集，本项目洗车废水和养护废水</w:t>
            </w:r>
            <w:r>
              <w:rPr>
                <w:rFonts w:hint="eastAsia" w:ascii="Times New Roman" w:eastAsia="宋体"/>
                <w:color w:val="auto"/>
                <w:highlight w:val="none"/>
                <w:lang w:val="en-US" w:eastAsia="zh-CN"/>
              </w:rPr>
              <w:t>收集量为</w:t>
            </w:r>
            <w:r>
              <w:rPr>
                <w:rFonts w:hint="eastAsia"/>
                <w:color w:val="auto"/>
                <w:highlight w:val="none"/>
                <w:lang w:val="en-US" w:eastAsia="zh-CN"/>
              </w:rPr>
              <w:t>12.16t/d，因此沉</w:t>
            </w:r>
            <w:r>
              <w:rPr>
                <w:rFonts w:hint="eastAsia"/>
                <w:color w:val="auto"/>
                <w:sz w:val="24"/>
                <w:szCs w:val="24"/>
                <w:highlight w:val="none"/>
                <w:lang w:val="en-US" w:eastAsia="zh-CN"/>
              </w:rPr>
              <w:t>淀池容积可行</w:t>
            </w:r>
            <w:r>
              <w:rPr>
                <w:rFonts w:hint="eastAsia" w:ascii="Times New Roman" w:eastAsia="宋体"/>
                <w:color w:val="auto"/>
                <w:sz w:val="24"/>
                <w:szCs w:val="24"/>
                <w:highlight w:val="none"/>
                <w:lang w:val="en-US" w:eastAsia="zh-CN"/>
              </w:rPr>
              <w:t>。</w:t>
            </w:r>
          </w:p>
          <w:p w14:paraId="2B351AE0">
            <w:pPr>
              <w:pStyle w:val="76"/>
              <w:keepNext w:val="0"/>
              <w:keepLines w:val="0"/>
              <w:numPr>
                <w:ilvl w:val="0"/>
                <w:numId w:val="0"/>
              </w:numPr>
              <w:suppressLineNumbers w:val="0"/>
              <w:bidi w:val="0"/>
              <w:spacing w:before="0" w:beforeAutospacing="0" w:after="0" w:afterAutospacing="0"/>
              <w:ind w:left="0" w:leftChars="0" w:right="0" w:rightChars="0" w:firstLine="480" w:firstLineChars="200"/>
              <w:rPr>
                <w:rFonts w:hint="default"/>
                <w:color w:val="auto"/>
                <w:highlight w:val="none"/>
              </w:rPr>
            </w:pPr>
            <w:r>
              <w:rPr>
                <w:rFonts w:hint="default" w:ascii="Times New Roman" w:hAnsi="Times New Roman" w:eastAsia="宋体" w:cs="Times New Roman"/>
                <w:bCs/>
                <w:color w:val="auto"/>
                <w:kern w:val="2"/>
                <w:sz w:val="24"/>
                <w:szCs w:val="24"/>
                <w:highlight w:val="none"/>
                <w:lang w:val="en-US" w:eastAsia="zh-CN" w:bidi="ar-SA"/>
              </w:rPr>
              <w:t>（</w:t>
            </w:r>
            <w:r>
              <w:rPr>
                <w:rFonts w:hint="eastAsia" w:cs="Times New Roman"/>
                <w:bCs/>
                <w:color w:val="auto"/>
                <w:kern w:val="2"/>
                <w:sz w:val="24"/>
                <w:szCs w:val="24"/>
                <w:highlight w:val="none"/>
                <w:lang w:val="en-US" w:eastAsia="zh-CN" w:bidi="ar-SA"/>
              </w:rPr>
              <w:t>6</w:t>
            </w:r>
            <w:r>
              <w:rPr>
                <w:rFonts w:hint="default" w:ascii="Times New Roman" w:hAnsi="Times New Roman" w:eastAsia="宋体" w:cs="Times New Roman"/>
                <w:bCs/>
                <w:color w:val="auto"/>
                <w:kern w:val="2"/>
                <w:sz w:val="24"/>
                <w:szCs w:val="24"/>
                <w:highlight w:val="none"/>
                <w:lang w:val="en-US" w:eastAsia="zh-CN" w:bidi="ar-SA"/>
              </w:rPr>
              <w:t>）</w:t>
            </w:r>
            <w:r>
              <w:rPr>
                <w:rFonts w:hint="eastAsia"/>
                <w:color w:val="auto"/>
                <w:highlight w:val="none"/>
                <w:lang w:val="en-US" w:eastAsia="zh-CN"/>
              </w:rPr>
              <w:t>抑尘</w:t>
            </w:r>
            <w:r>
              <w:rPr>
                <w:rFonts w:hint="eastAsia" w:ascii="Times New Roman" w:eastAsia="宋体"/>
                <w:color w:val="auto"/>
                <w:highlight w:val="none"/>
                <w:lang w:val="en-US" w:eastAsia="zh-CN"/>
              </w:rPr>
              <w:t>用水</w:t>
            </w:r>
          </w:p>
          <w:p w14:paraId="703926DD">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项目在</w:t>
            </w:r>
            <w:r>
              <w:rPr>
                <w:rFonts w:hint="eastAsia"/>
                <w:color w:val="auto"/>
                <w:highlight w:val="none"/>
                <w:lang w:val="en-US" w:eastAsia="zh-CN"/>
              </w:rPr>
              <w:t>原料</w:t>
            </w:r>
            <w:r>
              <w:rPr>
                <w:rFonts w:hint="eastAsia"/>
                <w:color w:val="auto"/>
                <w:highlight w:val="none"/>
              </w:rPr>
              <w:t>仓库</w:t>
            </w:r>
            <w:r>
              <w:rPr>
                <w:rFonts w:hint="eastAsia"/>
                <w:color w:val="auto"/>
                <w:highlight w:val="none"/>
                <w:lang w:val="en-US" w:eastAsia="zh-CN"/>
              </w:rPr>
              <w:t>及</w:t>
            </w:r>
            <w:r>
              <w:rPr>
                <w:rFonts w:hint="eastAsia"/>
                <w:color w:val="auto"/>
                <w:highlight w:val="none"/>
              </w:rPr>
              <w:t>周边</w:t>
            </w:r>
            <w:r>
              <w:rPr>
                <w:rFonts w:hint="eastAsia"/>
                <w:color w:val="auto"/>
                <w:highlight w:val="none"/>
                <w:lang w:eastAsia="zh-CN"/>
              </w:rPr>
              <w:t>、</w:t>
            </w:r>
            <w:r>
              <w:rPr>
                <w:rFonts w:hint="eastAsia"/>
                <w:color w:val="auto"/>
                <w:highlight w:val="none"/>
                <w:lang w:val="en-US" w:eastAsia="zh-CN"/>
              </w:rPr>
              <w:t>生产区域、厂内</w:t>
            </w:r>
            <w:r>
              <w:rPr>
                <w:rFonts w:hint="eastAsia"/>
                <w:color w:val="auto"/>
                <w:highlight w:val="none"/>
                <w:lang w:eastAsia="zh-CN"/>
              </w:rPr>
              <w:t>原料输送沿线</w:t>
            </w:r>
            <w:r>
              <w:rPr>
                <w:rFonts w:hint="eastAsia"/>
                <w:color w:val="auto"/>
                <w:highlight w:val="none"/>
              </w:rPr>
              <w:t>设有喷淋装置，根据企业提供的资料，喷淋水量约</w:t>
            </w:r>
            <w:r>
              <w:rPr>
                <w:rFonts w:hint="eastAsia"/>
                <w:color w:val="auto"/>
                <w:highlight w:val="none"/>
                <w:lang w:val="en-US" w:eastAsia="zh-CN"/>
              </w:rPr>
              <w:t>3000</w:t>
            </w:r>
            <w:r>
              <w:rPr>
                <w:rFonts w:hint="eastAsia"/>
                <w:color w:val="auto"/>
                <w:highlight w:val="none"/>
              </w:rPr>
              <w:t>m</w:t>
            </w:r>
            <w:r>
              <w:rPr>
                <w:rFonts w:hint="eastAsia"/>
                <w:color w:val="auto"/>
                <w:highlight w:val="none"/>
                <w:vertAlign w:val="superscript"/>
              </w:rPr>
              <w:t>3</w:t>
            </w:r>
            <w:r>
              <w:rPr>
                <w:rFonts w:hint="eastAsia"/>
                <w:color w:val="auto"/>
                <w:highlight w:val="none"/>
              </w:rPr>
              <w:t>/a</w:t>
            </w:r>
            <w:r>
              <w:rPr>
                <w:rFonts w:hint="eastAsia"/>
                <w:color w:val="auto"/>
                <w:highlight w:val="none"/>
                <w:lang w:eastAsia="zh-CN"/>
              </w:rPr>
              <w:t>（</w:t>
            </w:r>
            <w:r>
              <w:rPr>
                <w:rFonts w:hint="eastAsia"/>
                <w:color w:val="auto"/>
                <w:highlight w:val="none"/>
                <w:lang w:val="en-US" w:eastAsia="zh-CN"/>
              </w:rPr>
              <w:t>10</w:t>
            </w:r>
            <w:r>
              <w:rPr>
                <w:rFonts w:hint="eastAsia"/>
                <w:color w:val="auto"/>
                <w:highlight w:val="none"/>
              </w:rPr>
              <w:t>m</w:t>
            </w:r>
            <w:r>
              <w:rPr>
                <w:rFonts w:hint="eastAsia"/>
                <w:color w:val="auto"/>
                <w:highlight w:val="none"/>
                <w:vertAlign w:val="superscript"/>
              </w:rPr>
              <w:t>3</w:t>
            </w:r>
            <w:r>
              <w:rPr>
                <w:rFonts w:hint="eastAsia"/>
                <w:color w:val="auto"/>
                <w:highlight w:val="none"/>
              </w:rPr>
              <w:t>/</w:t>
            </w:r>
            <w:r>
              <w:rPr>
                <w:rFonts w:hint="eastAsia"/>
                <w:color w:val="auto"/>
                <w:highlight w:val="none"/>
                <w:lang w:val="en-US" w:eastAsia="zh-CN"/>
              </w:rPr>
              <w:t>d</w:t>
            </w:r>
            <w:r>
              <w:rPr>
                <w:rFonts w:hint="eastAsia"/>
                <w:color w:val="auto"/>
                <w:highlight w:val="none"/>
                <w:lang w:eastAsia="zh-CN"/>
              </w:rPr>
              <w:t>），</w:t>
            </w:r>
            <w:r>
              <w:rPr>
                <w:rFonts w:hint="eastAsia"/>
                <w:color w:val="auto"/>
                <w:highlight w:val="none"/>
              </w:rPr>
              <w:t>该部分</w:t>
            </w:r>
            <w:r>
              <w:rPr>
                <w:rFonts w:hint="eastAsia"/>
                <w:color w:val="auto"/>
                <w:highlight w:val="none"/>
                <w:lang w:val="en-US" w:eastAsia="zh-CN"/>
              </w:rPr>
              <w:t>水分全部损耗</w:t>
            </w:r>
            <w:r>
              <w:rPr>
                <w:rFonts w:hint="eastAsia"/>
                <w:color w:val="auto"/>
                <w:highlight w:val="none"/>
              </w:rPr>
              <w:t>。</w:t>
            </w:r>
          </w:p>
          <w:p w14:paraId="663E2123">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w:t>
            </w:r>
            <w:r>
              <w:rPr>
                <w:rFonts w:hint="default"/>
                <w:color w:val="auto"/>
                <w:highlight w:val="none"/>
              </w:rPr>
              <w:t>生活</w:t>
            </w:r>
            <w:r>
              <w:rPr>
                <w:rFonts w:hint="eastAsia"/>
                <w:color w:val="auto"/>
                <w:highlight w:val="none"/>
                <w:lang w:val="en-US" w:eastAsia="zh-CN"/>
              </w:rPr>
              <w:t>污</w:t>
            </w:r>
            <w:r>
              <w:rPr>
                <w:rFonts w:hint="default"/>
                <w:color w:val="auto"/>
                <w:highlight w:val="none"/>
              </w:rPr>
              <w:t>水</w:t>
            </w:r>
          </w:p>
          <w:p w14:paraId="5E22FB72">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color w:val="auto"/>
                <w:kern w:val="2"/>
                <w:sz w:val="24"/>
                <w:szCs w:val="24"/>
                <w:highlight w:val="none"/>
                <w:lang w:val="en-US" w:eastAsia="zh-CN" w:bidi="ar-SA"/>
              </w:rPr>
            </w:pPr>
            <w:r>
              <w:rPr>
                <w:rFonts w:hint="eastAsia"/>
                <w:color w:val="auto"/>
                <w:sz w:val="24"/>
                <w:szCs w:val="24"/>
                <w:highlight w:val="none"/>
                <w:lang w:eastAsia="zh-CN"/>
              </w:rPr>
              <w:t>本次扩建新增劳动定员</w:t>
            </w:r>
            <w:r>
              <w:rPr>
                <w:rFonts w:hint="eastAsia"/>
                <w:color w:val="auto"/>
                <w:sz w:val="24"/>
                <w:szCs w:val="24"/>
                <w:highlight w:val="none"/>
                <w:lang w:val="en-US" w:eastAsia="zh-CN"/>
              </w:rPr>
              <w:t>1</w:t>
            </w:r>
            <w:r>
              <w:rPr>
                <w:rFonts w:hint="default"/>
                <w:color w:val="auto"/>
                <w:sz w:val="24"/>
                <w:szCs w:val="24"/>
                <w:highlight w:val="none"/>
              </w:rPr>
              <w:t>0人，全部在厂内食宿，参考《生活及服务业用水定额 第2部分：服务业、居民生活和建筑业》（DB36/T 1827.1-2023）中员工生活用水量按城镇居民用水160L/（人·d）计，则用水量为</w:t>
            </w:r>
            <w:r>
              <w:rPr>
                <w:rFonts w:hint="eastAsia"/>
                <w:color w:val="auto"/>
                <w:sz w:val="24"/>
                <w:szCs w:val="24"/>
                <w:highlight w:val="none"/>
                <w:lang w:val="en-US" w:eastAsia="zh-CN"/>
              </w:rPr>
              <w:t>480</w:t>
            </w:r>
            <w:r>
              <w:rPr>
                <w:rFonts w:hint="default"/>
                <w:color w:val="auto"/>
                <w:sz w:val="24"/>
                <w:szCs w:val="24"/>
                <w:highlight w:val="none"/>
              </w:rPr>
              <w:t>m</w:t>
            </w:r>
            <w:r>
              <w:rPr>
                <w:rFonts w:hint="default"/>
                <w:color w:val="auto"/>
                <w:sz w:val="24"/>
                <w:szCs w:val="24"/>
                <w:highlight w:val="none"/>
                <w:vertAlign w:val="superscript"/>
              </w:rPr>
              <w:t>3</w:t>
            </w:r>
            <w:r>
              <w:rPr>
                <w:rFonts w:hint="default"/>
                <w:color w:val="auto"/>
                <w:sz w:val="24"/>
                <w:szCs w:val="24"/>
                <w:highlight w:val="none"/>
              </w:rPr>
              <w:t>/a</w:t>
            </w:r>
            <w:r>
              <w:rPr>
                <w:rFonts w:hint="eastAsia"/>
                <w:color w:val="auto"/>
                <w:sz w:val="24"/>
                <w:szCs w:val="24"/>
                <w:highlight w:val="none"/>
                <w:lang w:eastAsia="zh-CN"/>
              </w:rPr>
              <w:t>（</w:t>
            </w:r>
            <w:r>
              <w:rPr>
                <w:rFonts w:hint="eastAsia"/>
                <w:color w:val="auto"/>
                <w:sz w:val="24"/>
                <w:szCs w:val="24"/>
                <w:highlight w:val="none"/>
                <w:lang w:val="en-US" w:eastAsia="zh-CN"/>
              </w:rPr>
              <w:t>1.6</w:t>
            </w:r>
            <w:r>
              <w:rPr>
                <w:rFonts w:hint="default"/>
                <w:color w:val="auto"/>
                <w:sz w:val="24"/>
                <w:szCs w:val="24"/>
                <w:highlight w:val="none"/>
              </w:rPr>
              <w:t>m</w:t>
            </w:r>
            <w:r>
              <w:rPr>
                <w:rFonts w:hint="default"/>
                <w:color w:val="auto"/>
                <w:sz w:val="24"/>
                <w:szCs w:val="24"/>
                <w:highlight w:val="none"/>
                <w:vertAlign w:val="superscript"/>
              </w:rPr>
              <w:t>3</w:t>
            </w:r>
            <w:r>
              <w:rPr>
                <w:rFonts w:hint="default"/>
                <w:color w:val="auto"/>
                <w:sz w:val="24"/>
                <w:szCs w:val="24"/>
                <w:highlight w:val="none"/>
              </w:rPr>
              <w:t>/d</w:t>
            </w:r>
            <w:r>
              <w:rPr>
                <w:rFonts w:hint="eastAsia"/>
                <w:color w:val="auto"/>
                <w:sz w:val="24"/>
                <w:szCs w:val="24"/>
                <w:highlight w:val="none"/>
                <w:lang w:eastAsia="zh-CN"/>
              </w:rPr>
              <w:t>）</w:t>
            </w:r>
            <w:r>
              <w:rPr>
                <w:rFonts w:hint="default"/>
                <w:color w:val="auto"/>
                <w:sz w:val="24"/>
                <w:szCs w:val="24"/>
                <w:highlight w:val="none"/>
              </w:rPr>
              <w:t>。排污系数按80%计，生活污水产生量为</w:t>
            </w:r>
            <w:r>
              <w:rPr>
                <w:rFonts w:hint="eastAsia"/>
                <w:color w:val="auto"/>
                <w:sz w:val="24"/>
                <w:szCs w:val="24"/>
                <w:highlight w:val="none"/>
                <w:lang w:val="en-US" w:eastAsia="zh-CN"/>
              </w:rPr>
              <w:t>384</w:t>
            </w:r>
            <w:r>
              <w:rPr>
                <w:rFonts w:hint="default"/>
                <w:color w:val="auto"/>
                <w:sz w:val="24"/>
                <w:szCs w:val="24"/>
                <w:highlight w:val="none"/>
              </w:rPr>
              <w:t>m</w:t>
            </w:r>
            <w:r>
              <w:rPr>
                <w:rFonts w:hint="default"/>
                <w:color w:val="auto"/>
                <w:sz w:val="24"/>
                <w:szCs w:val="24"/>
                <w:highlight w:val="none"/>
                <w:vertAlign w:val="superscript"/>
              </w:rPr>
              <w:t>3</w:t>
            </w:r>
            <w:r>
              <w:rPr>
                <w:rFonts w:hint="default"/>
                <w:color w:val="auto"/>
                <w:sz w:val="24"/>
                <w:szCs w:val="24"/>
                <w:highlight w:val="none"/>
              </w:rPr>
              <w:t>/a</w:t>
            </w:r>
            <w:r>
              <w:rPr>
                <w:rFonts w:hint="eastAsia"/>
                <w:color w:val="auto"/>
                <w:sz w:val="24"/>
                <w:szCs w:val="24"/>
                <w:highlight w:val="none"/>
                <w:lang w:eastAsia="zh-CN"/>
              </w:rPr>
              <w:t>（</w:t>
            </w:r>
            <w:r>
              <w:rPr>
                <w:rFonts w:hint="eastAsia"/>
                <w:color w:val="auto"/>
                <w:sz w:val="24"/>
                <w:szCs w:val="24"/>
                <w:highlight w:val="none"/>
                <w:lang w:val="en-US" w:eastAsia="zh-CN"/>
              </w:rPr>
              <w:t>1.28</w:t>
            </w:r>
            <w:r>
              <w:rPr>
                <w:rFonts w:hint="default"/>
                <w:color w:val="auto"/>
                <w:sz w:val="24"/>
                <w:szCs w:val="24"/>
                <w:highlight w:val="none"/>
              </w:rPr>
              <w:t>m</w:t>
            </w:r>
            <w:r>
              <w:rPr>
                <w:rFonts w:hint="default"/>
                <w:color w:val="auto"/>
                <w:sz w:val="24"/>
                <w:szCs w:val="24"/>
                <w:highlight w:val="none"/>
                <w:vertAlign w:val="superscript"/>
              </w:rPr>
              <w:t>3</w:t>
            </w:r>
            <w:r>
              <w:rPr>
                <w:rFonts w:hint="default"/>
                <w:color w:val="auto"/>
                <w:sz w:val="24"/>
                <w:szCs w:val="24"/>
                <w:highlight w:val="none"/>
              </w:rPr>
              <w:t>/d</w:t>
            </w:r>
            <w:r>
              <w:rPr>
                <w:rFonts w:hint="eastAsia"/>
                <w:color w:val="auto"/>
                <w:sz w:val="24"/>
                <w:szCs w:val="24"/>
                <w:highlight w:val="none"/>
                <w:lang w:eastAsia="zh-CN"/>
              </w:rPr>
              <w:t>）</w:t>
            </w:r>
            <w:r>
              <w:rPr>
                <w:rFonts w:hint="default"/>
                <w:color w:val="auto"/>
                <w:highlight w:val="none"/>
              </w:rPr>
              <w:t>。</w:t>
            </w:r>
            <w:r>
              <w:rPr>
                <w:rFonts w:hint="eastAsia" w:ascii="Times New Roman" w:hAnsi="Times New Roman" w:eastAsia="宋体" w:cs="Times New Roman"/>
                <w:color w:val="auto"/>
                <w:sz w:val="24"/>
                <w:highlight w:val="none"/>
              </w:rPr>
              <w:t>项目产生的生活污水主要污染物</w:t>
            </w:r>
            <w:r>
              <w:rPr>
                <w:rFonts w:hint="default" w:ascii="Times New Roman" w:hAnsi="Times New Roman" w:eastAsia="宋体" w:cs="Times New Roman"/>
                <w:color w:val="auto"/>
                <w:sz w:val="24"/>
                <w:highlight w:val="none"/>
              </w:rPr>
              <w:t>为COD</w:t>
            </w:r>
            <w:r>
              <w:rPr>
                <w:rFonts w:hint="default" w:ascii="Times New Roman" w:hAnsi="Times New Roman" w:eastAsia="宋体" w:cs="Times New Roman"/>
                <w:color w:val="auto"/>
                <w:sz w:val="24"/>
                <w:highlight w:val="none"/>
                <w:vertAlign w:val="subscript"/>
              </w:rPr>
              <w:t>Cr</w:t>
            </w:r>
            <w:r>
              <w:rPr>
                <w:rFonts w:hint="default" w:ascii="Times New Roman" w:hAnsi="Times New Roman" w:eastAsia="宋体" w:cs="Times New Roman"/>
                <w:color w:val="auto"/>
                <w:sz w:val="24"/>
                <w:highlight w:val="none"/>
              </w:rPr>
              <w:t>、BOD</w:t>
            </w:r>
            <w:r>
              <w:rPr>
                <w:rFonts w:hint="default" w:ascii="Times New Roman" w:hAnsi="Times New Roman" w:eastAsia="宋体" w:cs="Times New Roman"/>
                <w:color w:val="auto"/>
                <w:sz w:val="24"/>
                <w:highlight w:val="none"/>
                <w:vertAlign w:val="subscript"/>
              </w:rPr>
              <w:t>5</w:t>
            </w:r>
            <w:r>
              <w:rPr>
                <w:rFonts w:hint="default" w:ascii="Times New Roman" w:hAnsi="Times New Roman" w:eastAsia="宋体" w:cs="Times New Roman"/>
                <w:color w:val="auto"/>
                <w:sz w:val="24"/>
                <w:highlight w:val="none"/>
              </w:rPr>
              <w:t>、NH</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rPr>
              <w:t>-N、SS</w:t>
            </w:r>
            <w:r>
              <w:rPr>
                <w:rFonts w:hint="eastAsia" w:ascii="Times New Roman" w:hAnsi="Times New Roman" w:eastAsia="宋体" w:cs="Times New Roman"/>
                <w:color w:val="auto"/>
                <w:sz w:val="24"/>
                <w:highlight w:val="none"/>
                <w:lang w:val="en-US" w:eastAsia="zh-CN"/>
              </w:rPr>
              <w:t>、总磷、总氮</w:t>
            </w:r>
            <w:r>
              <w:rPr>
                <w:rFonts w:hint="eastAsia"/>
                <w:color w:val="auto"/>
                <w:highlight w:val="none"/>
                <w:lang w:eastAsia="zh-CN"/>
              </w:rPr>
              <w:t>、</w:t>
            </w:r>
            <w:r>
              <w:rPr>
                <w:rFonts w:hint="eastAsia"/>
                <w:color w:val="auto"/>
                <w:highlight w:val="none"/>
                <w:lang w:val="en-US" w:eastAsia="zh-CN"/>
              </w:rPr>
              <w:t>动植物油</w:t>
            </w:r>
            <w:r>
              <w:rPr>
                <w:rFonts w:hint="default" w:ascii="Times New Roman" w:hAnsi="Times New Roman" w:eastAsia="宋体" w:cs="Times New Roman"/>
                <w:color w:val="auto"/>
                <w:sz w:val="24"/>
                <w:highlight w:val="none"/>
              </w:rPr>
              <w:t>，水质通过类比分析确定，其水质情况大体为COD</w:t>
            </w:r>
            <w:r>
              <w:rPr>
                <w:rFonts w:hint="default" w:ascii="Times New Roman" w:hAnsi="Times New Roman" w:eastAsia="宋体" w:cs="Times New Roman"/>
                <w:color w:val="auto"/>
                <w:sz w:val="24"/>
                <w:highlight w:val="none"/>
                <w:vertAlign w:val="subscript"/>
              </w:rPr>
              <w:t>Cr</w:t>
            </w:r>
            <w:r>
              <w:rPr>
                <w:rFonts w:hint="default" w:ascii="Times New Roman" w:hAnsi="Times New Roman" w:eastAsia="宋体" w:cs="Times New Roman"/>
                <w:color w:val="auto"/>
                <w:sz w:val="24"/>
                <w:highlight w:val="none"/>
              </w:rPr>
              <w:t>：250mg/L、BOD</w:t>
            </w:r>
            <w:r>
              <w:rPr>
                <w:rFonts w:hint="default" w:ascii="Times New Roman" w:hAnsi="Times New Roman" w:eastAsia="宋体" w:cs="Times New Roman"/>
                <w:color w:val="auto"/>
                <w:sz w:val="24"/>
                <w:highlight w:val="none"/>
                <w:vertAlign w:val="subscript"/>
              </w:rPr>
              <w:t>5</w:t>
            </w:r>
            <w:r>
              <w:rPr>
                <w:rFonts w:hint="eastAsia" w:ascii="Times New Roman" w:hAnsi="Times New Roman" w:eastAsia="宋体" w:cs="Times New Roman"/>
                <w:color w:val="auto"/>
                <w:sz w:val="24"/>
                <w:highlight w:val="none"/>
                <w:vertAlign w:val="subscript"/>
                <w:lang w:eastAsia="zh-CN"/>
              </w:rPr>
              <w:t>:</w:t>
            </w:r>
            <w:r>
              <w:rPr>
                <w:rFonts w:hint="eastAsia" w:ascii="Times New Roman" w:hAnsi="Times New Roman" w:eastAsia="宋体" w:cs="Times New Roman"/>
                <w:color w:val="auto"/>
                <w:sz w:val="24"/>
                <w:highlight w:val="none"/>
              </w:rPr>
              <w:t>100</w:t>
            </w:r>
            <w:r>
              <w:rPr>
                <w:rFonts w:hint="default" w:ascii="Times New Roman" w:hAnsi="Times New Roman" w:eastAsia="宋体" w:cs="Times New Roman"/>
                <w:color w:val="auto"/>
                <w:sz w:val="24"/>
                <w:highlight w:val="none"/>
              </w:rPr>
              <w:t>mg/L、SS：</w:t>
            </w:r>
            <w:r>
              <w:rPr>
                <w:rFonts w:hint="eastAsia" w:ascii="Times New Roman" w:hAnsi="Times New Roman" w:eastAsia="宋体" w:cs="Times New Roman"/>
                <w:color w:val="auto"/>
                <w:sz w:val="24"/>
                <w:highlight w:val="none"/>
              </w:rPr>
              <w:t>15</w:t>
            </w:r>
            <w:r>
              <w:rPr>
                <w:rFonts w:hint="default" w:ascii="Times New Roman" w:hAnsi="Times New Roman" w:eastAsia="宋体" w:cs="Times New Roman"/>
                <w:color w:val="auto"/>
                <w:sz w:val="24"/>
                <w:highlight w:val="none"/>
              </w:rPr>
              <w:t>0mg/L、NH</w:t>
            </w:r>
            <w:r>
              <w:rPr>
                <w:rFonts w:hint="default" w:ascii="Times New Roman" w:hAnsi="Times New Roman" w:eastAsia="宋体" w:cs="Times New Roman"/>
                <w:color w:val="auto"/>
                <w:sz w:val="24"/>
                <w:highlight w:val="none"/>
                <w:vertAlign w:val="subscript"/>
              </w:rPr>
              <w:t>3</w:t>
            </w:r>
            <w:r>
              <w:rPr>
                <w:rFonts w:hint="default" w:ascii="Times New Roman" w:hAnsi="Times New Roman" w:eastAsia="宋体" w:cs="Times New Roman"/>
                <w:color w:val="auto"/>
                <w:sz w:val="24"/>
                <w:highlight w:val="none"/>
              </w:rPr>
              <w:t>-N：</w:t>
            </w:r>
            <w:r>
              <w:rPr>
                <w:rFonts w:hint="eastAsia" w:ascii="Times New Roman" w:hAnsi="Times New Roman" w:eastAsia="宋体" w:cs="Times New Roman"/>
                <w:color w:val="auto"/>
                <w:sz w:val="24"/>
                <w:highlight w:val="none"/>
              </w:rPr>
              <w:t>25</w:t>
            </w:r>
            <w:r>
              <w:rPr>
                <w:rFonts w:hint="default" w:ascii="Times New Roman" w:hAnsi="Times New Roman" w:eastAsia="宋体" w:cs="Times New Roman"/>
                <w:color w:val="auto"/>
                <w:sz w:val="24"/>
                <w:highlight w:val="none"/>
              </w:rPr>
              <w:t>mg/L</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b w:val="0"/>
                <w:bCs w:val="0"/>
                <w:caps w:val="0"/>
                <w:smallCaps w:val="0"/>
                <w:color w:val="auto"/>
                <w:sz w:val="24"/>
                <w:szCs w:val="24"/>
                <w:highlight w:val="none"/>
                <w:lang w:val="en-US" w:eastAsia="zh-CN" w:bidi="en-US"/>
              </w:rPr>
              <w:t>总磷2mg/L、总氮35mg/L、动植物油30mg/L</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highlight w:val="none"/>
              </w:rPr>
              <w:t>生活污水经</w:t>
            </w:r>
            <w:r>
              <w:rPr>
                <w:rFonts w:hint="eastAsia" w:cs="Times New Roman"/>
                <w:color w:val="auto"/>
                <w:highlight w:val="none"/>
                <w:lang w:val="en-US" w:eastAsia="zh-CN"/>
              </w:rPr>
              <w:t>隔油池、</w:t>
            </w:r>
            <w:r>
              <w:rPr>
                <w:rFonts w:hint="default" w:ascii="Times New Roman" w:hAnsi="Times New Roman" w:eastAsia="宋体" w:cs="Times New Roman"/>
                <w:color w:val="auto"/>
                <w:highlight w:val="none"/>
              </w:rPr>
              <w:t>化粪池处理后</w:t>
            </w:r>
            <w:r>
              <w:rPr>
                <w:rFonts w:hint="eastAsia" w:ascii="Times New Roman" w:hAnsi="Times New Roman" w:eastAsia="宋体" w:cs="Times New Roman"/>
                <w:color w:val="auto"/>
                <w:highlight w:val="none"/>
              </w:rPr>
              <w:t>排入</w:t>
            </w:r>
            <w:r>
              <w:rPr>
                <w:rFonts w:hint="eastAsia" w:ascii="Times New Roman" w:hAnsi="Times New Roman" w:eastAsia="宋体" w:cs="Times New Roman"/>
                <w:color w:val="auto"/>
                <w:highlight w:val="none"/>
                <w:lang w:val="en-US" w:eastAsia="zh-CN"/>
              </w:rPr>
              <w:t>建筑陶瓷产业园污水处理厂</w:t>
            </w:r>
            <w:r>
              <w:rPr>
                <w:rFonts w:hint="default" w:ascii="Times New Roman" w:hAnsi="Times New Roman" w:eastAsia="宋体" w:cs="Times New Roman"/>
                <w:color w:val="auto"/>
                <w:highlight w:val="none"/>
              </w:rPr>
              <w:t>深度处理，污水处理厂尾水水质达到《城镇污水处理厂污染物排放标准》（GB18918-2002）中一级A标准</w:t>
            </w:r>
            <w:r>
              <w:rPr>
                <w:rFonts w:hint="eastAsia" w:ascii="Times New Roman" w:hAnsi="Times New Roman" w:eastAsia="宋体" w:cs="宋体"/>
                <w:color w:val="auto"/>
                <w:highlight w:val="none"/>
              </w:rPr>
              <w:t>后外排至</w:t>
            </w:r>
            <w:r>
              <w:rPr>
                <w:rFonts w:hint="eastAsia" w:ascii="Times New Roman" w:hAnsi="Times New Roman" w:eastAsia="宋体" w:cs="宋体"/>
                <w:color w:val="auto"/>
                <w:highlight w:val="none"/>
                <w:lang w:val="en-US" w:eastAsia="zh-CN"/>
              </w:rPr>
              <w:t>肖江</w:t>
            </w:r>
            <w:r>
              <w:rPr>
                <w:rFonts w:hint="eastAsia" w:ascii="Times New Roman" w:hAnsi="Times New Roman" w:eastAsia="宋体" w:cs="宋体"/>
                <w:color w:val="auto"/>
                <w:highlight w:val="none"/>
              </w:rPr>
              <w:t>。</w:t>
            </w:r>
          </w:p>
          <w:p w14:paraId="56C4F0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Times New Roman" w:hAnsi="Times New Roman" w:eastAsia="宋体" w:cs="Times New Roman"/>
                <w:bCs/>
                <w:color w:val="auto"/>
                <w:kern w:val="2"/>
                <w:sz w:val="24"/>
                <w:szCs w:val="24"/>
                <w:highlight w:val="none"/>
                <w:lang w:val="en-US" w:eastAsia="zh-CN" w:bidi="ar-SA"/>
              </w:rPr>
            </w:pPr>
            <w:r>
              <w:rPr>
                <w:rFonts w:hint="eastAsia" w:ascii="Times New Roman" w:hAnsi="Times New Roman" w:eastAsia="宋体" w:cs="Times New Roman"/>
                <w:bCs/>
                <w:color w:val="auto"/>
                <w:kern w:val="2"/>
                <w:sz w:val="24"/>
                <w:szCs w:val="24"/>
                <w:highlight w:val="none"/>
                <w:lang w:val="en-US" w:eastAsia="zh-CN" w:bidi="ar-SA"/>
              </w:rPr>
              <w:t>（</w:t>
            </w:r>
            <w:r>
              <w:rPr>
                <w:rFonts w:hint="eastAsia" w:cs="Times New Roman"/>
                <w:bCs/>
                <w:color w:val="auto"/>
                <w:kern w:val="2"/>
                <w:sz w:val="24"/>
                <w:szCs w:val="24"/>
                <w:highlight w:val="none"/>
                <w:lang w:val="en-US" w:eastAsia="zh-CN" w:bidi="ar-SA"/>
              </w:rPr>
              <w:t>8</w:t>
            </w:r>
            <w:r>
              <w:rPr>
                <w:rFonts w:hint="eastAsia" w:ascii="Times New Roman" w:hAnsi="Times New Roman" w:eastAsia="宋体" w:cs="Times New Roman"/>
                <w:bCs/>
                <w:color w:val="auto"/>
                <w:kern w:val="2"/>
                <w:sz w:val="24"/>
                <w:szCs w:val="24"/>
                <w:highlight w:val="none"/>
                <w:lang w:val="en-US" w:eastAsia="zh-CN" w:bidi="ar-SA"/>
              </w:rPr>
              <w:t>）初期雨水</w:t>
            </w:r>
          </w:p>
          <w:p w14:paraId="47D00A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536" w:firstLineChars="200"/>
              <w:jc w:val="both"/>
              <w:textAlignment w:val="auto"/>
              <w:rPr>
                <w:rFonts w:hint="eastAsia" w:eastAsia="宋体"/>
                <w:color w:val="auto"/>
                <w:highlight w:val="none"/>
                <w:lang w:val="en-US" w:eastAsia="zh-CN"/>
              </w:rPr>
            </w:pPr>
            <w:r>
              <w:rPr>
                <w:rFonts w:hint="default"/>
                <w:color w:val="auto"/>
                <w:spacing w:val="14"/>
                <w:sz w:val="24"/>
                <w:szCs w:val="24"/>
                <w:highlight w:val="none"/>
              </w:rPr>
              <w:t>本环评考虑生产区域收集初期雨水，厂区占地面积约为</w:t>
            </w:r>
            <w:r>
              <w:rPr>
                <w:rFonts w:hint="eastAsia"/>
                <w:color w:val="auto"/>
                <w:spacing w:val="14"/>
                <w:sz w:val="24"/>
                <w:szCs w:val="24"/>
                <w:highlight w:val="none"/>
                <w:lang w:val="en-US" w:eastAsia="zh-CN"/>
              </w:rPr>
              <w:t>12000m</w:t>
            </w:r>
            <w:r>
              <w:rPr>
                <w:rFonts w:hint="eastAsia"/>
                <w:color w:val="auto"/>
                <w:spacing w:val="14"/>
                <w:sz w:val="24"/>
                <w:szCs w:val="24"/>
                <w:highlight w:val="none"/>
                <w:vertAlign w:val="superscript"/>
                <w:lang w:val="en-US" w:eastAsia="zh-CN"/>
              </w:rPr>
              <w:t>2</w:t>
            </w:r>
            <w:r>
              <w:rPr>
                <w:rFonts w:hint="eastAsia" w:cs="Times New Roman"/>
                <w:color w:val="auto"/>
                <w:spacing w:val="-3"/>
                <w:sz w:val="24"/>
                <w:szCs w:val="24"/>
                <w:highlight w:val="none"/>
                <w:lang w:eastAsia="zh-CN"/>
              </w:rPr>
              <w:t>，</w:t>
            </w:r>
            <w:r>
              <w:rPr>
                <w:rFonts w:hint="default" w:ascii="Times New Roman" w:hAnsi="Times New Roman" w:eastAsia="宋体" w:cs="Times New Roman"/>
                <w:color w:val="auto"/>
                <w:sz w:val="24"/>
                <w:szCs w:val="24"/>
                <w:highlight w:val="none"/>
              </w:rPr>
              <w:t>参考《石油化工给水排水系统设计规范》（SH/T3015-2019），本项目初期雨水产生量</w:t>
            </w:r>
            <w:r>
              <w:rPr>
                <w:rFonts w:hint="default" w:ascii="Times New Roman" w:hAnsi="Times New Roman" w:eastAsia="宋体" w:cs="Times New Roman"/>
                <w:color w:val="FF0000"/>
                <w:sz w:val="24"/>
                <w:szCs w:val="24"/>
                <w:highlight w:val="none"/>
              </w:rPr>
              <w:t>按</w:t>
            </w:r>
            <w:r>
              <w:rPr>
                <w:rFonts w:hint="eastAsia" w:cs="Times New Roman"/>
                <w:color w:val="FF0000"/>
                <w:sz w:val="24"/>
                <w:szCs w:val="24"/>
                <w:highlight w:val="none"/>
                <w:lang w:val="en-US" w:eastAsia="zh-CN"/>
              </w:rPr>
              <w:t>20</w:t>
            </w:r>
            <w:r>
              <w:rPr>
                <w:rFonts w:hint="default" w:ascii="Times New Roman" w:hAnsi="Times New Roman" w:eastAsia="宋体" w:cs="Times New Roman"/>
                <w:color w:val="FF0000"/>
                <w:sz w:val="24"/>
                <w:szCs w:val="24"/>
                <w:highlight w:val="none"/>
              </w:rPr>
              <w:t>mm降雨量计算</w:t>
            </w:r>
            <w:r>
              <w:rPr>
                <w:rFonts w:hint="default" w:ascii="Times New Roman" w:hAnsi="Times New Roman" w:eastAsia="宋体" w:cs="Times New Roman"/>
                <w:color w:val="FF0000"/>
                <w:sz w:val="24"/>
                <w:szCs w:val="24"/>
                <w:highlight w:val="none"/>
                <w:lang w:eastAsia="zh-CN"/>
              </w:rPr>
              <w:t>，</w:t>
            </w:r>
            <w:r>
              <w:rPr>
                <w:rFonts w:hint="default"/>
                <w:color w:val="FF0000"/>
                <w:highlight w:val="none"/>
                <w:lang w:val="en-US" w:eastAsia="zh-CN"/>
              </w:rPr>
              <w:t>初期</w:t>
            </w:r>
            <w:r>
              <w:rPr>
                <w:rFonts w:hint="eastAsia"/>
                <w:color w:val="FF0000"/>
                <w:highlight w:val="none"/>
                <w:lang w:val="en-US" w:eastAsia="zh-CN"/>
              </w:rPr>
              <w:t>雨</w:t>
            </w:r>
            <w:r>
              <w:rPr>
                <w:rFonts w:hint="default"/>
                <w:color w:val="FF0000"/>
                <w:highlight w:val="none"/>
                <w:lang w:val="en-US" w:eastAsia="zh-CN"/>
              </w:rPr>
              <w:t>水</w:t>
            </w:r>
            <w:r>
              <w:rPr>
                <w:rFonts w:hint="eastAsia"/>
                <w:color w:val="FF0000"/>
                <w:highlight w:val="none"/>
                <w:lang w:val="en-US" w:eastAsia="zh-CN"/>
              </w:rPr>
              <w:t>一次产生</w:t>
            </w:r>
            <w:r>
              <w:rPr>
                <w:rFonts w:hint="default"/>
                <w:color w:val="FF0000"/>
                <w:highlight w:val="none"/>
                <w:lang w:val="en-US" w:eastAsia="zh-CN"/>
              </w:rPr>
              <w:t>量</w:t>
            </w:r>
            <w:r>
              <w:rPr>
                <w:rFonts w:hint="eastAsia"/>
                <w:color w:val="FF0000"/>
                <w:highlight w:val="none"/>
                <w:lang w:val="en-US" w:eastAsia="zh-CN"/>
              </w:rPr>
              <w:t>为240</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，全年按10次计算，初期雨水产生量</w:t>
            </w:r>
            <w:r>
              <w:rPr>
                <w:rFonts w:hint="eastAsia"/>
                <w:color w:val="FF0000"/>
                <w:highlight w:val="none"/>
                <w:lang w:val="en-US" w:eastAsia="zh-CN"/>
              </w:rPr>
              <w:t>2400</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/a（</w:t>
            </w:r>
            <w:r>
              <w:rPr>
                <w:rFonts w:hint="eastAsia"/>
                <w:color w:val="FF0000"/>
                <w:highlight w:val="none"/>
                <w:lang w:val="en-US" w:eastAsia="zh-CN"/>
              </w:rPr>
              <w:t>8</w:t>
            </w:r>
            <w:r>
              <w:rPr>
                <w:rFonts w:hint="default"/>
                <w:color w:val="FF0000"/>
                <w:highlight w:val="none"/>
                <w:lang w:val="en-US" w:eastAsia="zh-CN"/>
              </w:rPr>
              <w:t>m</w:t>
            </w:r>
            <w:r>
              <w:rPr>
                <w:rFonts w:hint="default"/>
                <w:color w:val="FF0000"/>
                <w:highlight w:val="none"/>
                <w:vertAlign w:val="superscript"/>
                <w:lang w:val="en-US" w:eastAsia="zh-CN"/>
              </w:rPr>
              <w:t>3</w:t>
            </w:r>
            <w:r>
              <w:rPr>
                <w:rFonts w:hint="default"/>
                <w:color w:val="FF0000"/>
                <w:highlight w:val="none"/>
                <w:lang w:val="en-US" w:eastAsia="zh-CN"/>
              </w:rPr>
              <w:t>/d）</w:t>
            </w:r>
            <w:r>
              <w:rPr>
                <w:rFonts w:hint="default" w:ascii="Times New Roman" w:hAnsi="Times New Roman" w:cs="Times New Roman"/>
                <w:bCs/>
                <w:color w:val="auto"/>
                <w:kern w:val="2"/>
                <w:sz w:val="24"/>
                <w:szCs w:val="24"/>
                <w:highlight w:val="none"/>
                <w:lang w:val="en-US" w:eastAsia="zh-CN" w:bidi="ar-SA"/>
              </w:rPr>
              <w:t>。</w:t>
            </w:r>
            <w:r>
              <w:rPr>
                <w:rFonts w:hint="default" w:ascii="Times New Roman" w:hAnsi="Times New Roman" w:eastAsia="宋体" w:cs="Times New Roman"/>
                <w:b w:val="0"/>
                <w:bCs w:val="0"/>
                <w:color w:val="auto"/>
                <w:sz w:val="24"/>
                <w:szCs w:val="32"/>
                <w:highlight w:val="none"/>
                <w:lang w:val="en-US" w:eastAsia="zh-CN"/>
              </w:rPr>
              <w:t>参考</w:t>
            </w:r>
            <w:r>
              <w:rPr>
                <w:rFonts w:hint="eastAsia" w:cs="Times New Roman"/>
                <w:b w:val="0"/>
                <w:bCs w:val="0"/>
                <w:color w:val="auto"/>
                <w:sz w:val="24"/>
                <w:szCs w:val="32"/>
                <w:highlight w:val="none"/>
                <w:lang w:val="en-US" w:eastAsia="zh-CN"/>
              </w:rPr>
              <w:t>同类型</w:t>
            </w:r>
            <w:r>
              <w:rPr>
                <w:rFonts w:hint="default" w:ascii="Times New Roman" w:hAnsi="Times New Roman" w:eastAsia="宋体" w:cs="Times New Roman"/>
                <w:b w:val="0"/>
                <w:bCs w:val="0"/>
                <w:color w:val="auto"/>
                <w:sz w:val="24"/>
                <w:szCs w:val="32"/>
                <w:highlight w:val="none"/>
                <w:lang w:val="en-US" w:eastAsia="zh-CN"/>
              </w:rPr>
              <w:t>建设项目，初期雨水的污染物浓度为COD</w:t>
            </w:r>
            <w:r>
              <w:rPr>
                <w:rFonts w:hint="default" w:ascii="Times New Roman" w:hAnsi="Times New Roman" w:eastAsia="宋体" w:cs="Times New Roman"/>
                <w:b w:val="0"/>
                <w:bCs w:val="0"/>
                <w:color w:val="auto"/>
                <w:sz w:val="24"/>
                <w:szCs w:val="32"/>
                <w:highlight w:val="none"/>
                <w:vertAlign w:val="subscript"/>
                <w:lang w:val="en-US" w:eastAsia="zh-CN"/>
              </w:rPr>
              <w:t>Cr</w:t>
            </w:r>
            <w:r>
              <w:rPr>
                <w:rFonts w:hint="default" w:ascii="Times New Roman" w:hAnsi="Times New Roman" w:eastAsia="宋体" w:cs="Times New Roman"/>
                <w:b w:val="0"/>
                <w:bCs w:val="0"/>
                <w:color w:val="auto"/>
                <w:sz w:val="24"/>
                <w:szCs w:val="32"/>
                <w:highlight w:val="none"/>
                <w:lang w:val="en-US" w:eastAsia="zh-CN"/>
              </w:rPr>
              <w:t>：40mg/L、SS：400mg/L、NH</w:t>
            </w:r>
            <w:r>
              <w:rPr>
                <w:rFonts w:hint="default" w:ascii="Times New Roman" w:hAnsi="Times New Roman" w:eastAsia="宋体" w:cs="Times New Roman"/>
                <w:b w:val="0"/>
                <w:bCs w:val="0"/>
                <w:color w:val="auto"/>
                <w:sz w:val="24"/>
                <w:szCs w:val="32"/>
                <w:highlight w:val="none"/>
                <w:vertAlign w:val="subscript"/>
                <w:lang w:val="en-US" w:eastAsia="zh-CN"/>
              </w:rPr>
              <w:t>3</w:t>
            </w:r>
            <w:r>
              <w:rPr>
                <w:rFonts w:hint="default" w:ascii="Times New Roman" w:hAnsi="Times New Roman" w:eastAsia="宋体" w:cs="Times New Roman"/>
                <w:b w:val="0"/>
                <w:bCs w:val="0"/>
                <w:color w:val="auto"/>
                <w:sz w:val="24"/>
                <w:szCs w:val="32"/>
                <w:highlight w:val="none"/>
                <w:lang w:val="en-US" w:eastAsia="zh-CN"/>
              </w:rPr>
              <w:t>-N：0.5mg/L、总铍：0.01mg/L、总铊：0.0</w:t>
            </w:r>
            <w:r>
              <w:rPr>
                <w:rFonts w:hint="eastAsia" w:ascii="Times New Roman" w:hAnsi="Times New Roman" w:eastAsia="宋体" w:cs="Times New Roman"/>
                <w:b w:val="0"/>
                <w:bCs w:val="0"/>
                <w:color w:val="auto"/>
                <w:sz w:val="24"/>
                <w:szCs w:val="32"/>
                <w:highlight w:val="none"/>
                <w:lang w:val="en-US" w:eastAsia="zh-CN"/>
              </w:rPr>
              <w:t>2</w:t>
            </w:r>
            <w:r>
              <w:rPr>
                <w:rFonts w:hint="default" w:ascii="Times New Roman" w:hAnsi="Times New Roman" w:eastAsia="宋体" w:cs="Times New Roman"/>
                <w:b w:val="0"/>
                <w:bCs w:val="0"/>
                <w:color w:val="auto"/>
                <w:sz w:val="24"/>
                <w:szCs w:val="32"/>
                <w:highlight w:val="none"/>
                <w:lang w:val="en-US" w:eastAsia="zh-CN"/>
              </w:rPr>
              <w:t>mg/L和氟化物：5mg/L。</w:t>
            </w:r>
            <w:r>
              <w:rPr>
                <w:rFonts w:hint="eastAsia" w:ascii="Times New Roman" w:hAnsi="Times New Roman" w:eastAsia="宋体" w:cs="Times New Roman"/>
                <w:bCs/>
                <w:color w:val="auto"/>
                <w:kern w:val="2"/>
                <w:sz w:val="24"/>
                <w:szCs w:val="24"/>
                <w:highlight w:val="none"/>
                <w:lang w:val="en-US" w:eastAsia="zh-CN" w:bidi="ar-SA"/>
              </w:rPr>
              <w:t>本项目</w:t>
            </w:r>
            <w:r>
              <w:rPr>
                <w:rFonts w:hint="eastAsia"/>
                <w:color w:val="auto"/>
                <w:highlight w:val="none"/>
                <w:lang w:eastAsia="zh-CN"/>
              </w:rPr>
              <w:t>依托现有项目的</w:t>
            </w:r>
            <w:r>
              <w:rPr>
                <w:rFonts w:hint="eastAsia"/>
                <w:color w:val="auto"/>
                <w:highlight w:val="none"/>
                <w:lang w:val="en-US" w:eastAsia="zh-CN"/>
              </w:rPr>
              <w:t>初期雨水池一座，容积为960m</w:t>
            </w:r>
            <w:r>
              <w:rPr>
                <w:rFonts w:hint="eastAsia"/>
                <w:color w:val="auto"/>
                <w:highlight w:val="none"/>
                <w:vertAlign w:val="superscript"/>
                <w:lang w:val="en-US" w:eastAsia="zh-CN"/>
              </w:rPr>
              <w:t>3</w:t>
            </w:r>
            <w:r>
              <w:rPr>
                <w:rFonts w:hint="eastAsia"/>
                <w:color w:val="auto"/>
                <w:highlight w:val="none"/>
                <w:lang w:val="en-US" w:eastAsia="zh-CN"/>
              </w:rPr>
              <w:t>，位于1#厂房外东北侧，</w:t>
            </w:r>
            <w:r>
              <w:rPr>
                <w:rFonts w:hint="default" w:ascii="Times New Roman" w:hAnsi="Times New Roman" w:eastAsia="宋体" w:cs="Times New Roman"/>
                <w:color w:val="auto"/>
                <w:sz w:val="24"/>
                <w:highlight w:val="none"/>
              </w:rPr>
              <w:t>建设单位需对初期雨水进行收集和处理，以减少对周围地表水的不利影响</w:t>
            </w:r>
            <w:r>
              <w:rPr>
                <w:rFonts w:hint="eastAsia" w:cs="Times New Roman"/>
                <w:color w:val="auto"/>
                <w:sz w:val="24"/>
                <w:highlight w:val="none"/>
                <w:lang w:eastAsia="zh-CN"/>
              </w:rPr>
              <w:t>，</w:t>
            </w:r>
            <w:r>
              <w:rPr>
                <w:rFonts w:hint="eastAsia"/>
                <w:color w:val="auto"/>
                <w:highlight w:val="none"/>
                <w:lang w:val="en-US" w:eastAsia="zh-CN"/>
              </w:rPr>
              <w:t>通过对租赁厂房四周设置围堰仅收集租赁厂房初期雨水，再经氧化+除铊除氟+絮凝沉淀处理后达到《城市污水再生利用工业用水水质》（GB/T19923-2024）、《无机化学工业污染物排放标准》（GB31573-2015）和《工业废水铊污染物排放标准》（DB36/1149-2019）标准中的</w:t>
            </w:r>
            <w:r>
              <w:rPr>
                <w:rFonts w:hint="eastAsia"/>
                <w:color w:val="EE0000"/>
              </w:rPr>
              <w:t>较严值</w:t>
            </w:r>
            <w:r>
              <w:rPr>
                <w:rFonts w:hint="eastAsia"/>
                <w:color w:val="auto"/>
                <w:highlight w:val="none"/>
                <w:lang w:val="en-US" w:eastAsia="zh-CN"/>
              </w:rPr>
              <w:t>后，回用于抑尘用水。</w:t>
            </w:r>
          </w:p>
          <w:p w14:paraId="5A2B6640">
            <w:pPr>
              <w:keepNext w:val="0"/>
              <w:keepLines w:val="0"/>
              <w:suppressLineNumbers w:val="0"/>
              <w:bidi w:val="0"/>
              <w:spacing w:before="0" w:beforeAutospacing="0" w:after="0" w:afterAutospacing="0"/>
              <w:ind w:left="0" w:right="0"/>
              <w:rPr>
                <w:rFonts w:hint="default" w:ascii="Times New Roman" w:hAnsi="Times New Roman" w:eastAsia="宋体" w:cs="Times New Roman"/>
                <w:bCs/>
                <w:color w:val="auto"/>
                <w:kern w:val="2"/>
                <w:sz w:val="24"/>
                <w:szCs w:val="24"/>
                <w:highlight w:val="none"/>
                <w:lang w:val="en-US" w:eastAsia="zh-CN" w:bidi="ar-SA"/>
              </w:rPr>
            </w:pPr>
            <w:r>
              <w:rPr>
                <w:rFonts w:hint="default"/>
                <w:color w:val="auto"/>
                <w:highlight w:val="none"/>
              </w:rPr>
              <w:t>根据宜春市生态环境保护委员会办公室出具了</w:t>
            </w:r>
            <w:r>
              <w:rPr>
                <w:rFonts w:hint="default"/>
                <w:color w:val="FF0000"/>
                <w:highlight w:val="none"/>
              </w:rPr>
              <w:t>《碳酸锂生产行业生态环境监管标准（试行）》（宜环委办字〔2023〕2号）文，初期雨水收集池按照厂区面积不低于每公顷300立方米的标准建设，本项目占地面积</w:t>
            </w:r>
            <w:r>
              <w:rPr>
                <w:rFonts w:hint="eastAsia"/>
                <w:color w:val="FF0000"/>
                <w:highlight w:val="none"/>
                <w:lang w:val="en-US" w:eastAsia="zh-CN"/>
              </w:rPr>
              <w:t>1.2</w:t>
            </w:r>
            <w:r>
              <w:rPr>
                <w:rFonts w:hint="default"/>
                <w:color w:val="FF0000"/>
                <w:highlight w:val="none"/>
              </w:rPr>
              <w:t>公顷，在满足一次收集量的情况下，需要建设不低于</w:t>
            </w:r>
            <w:r>
              <w:rPr>
                <w:rFonts w:hint="eastAsia"/>
                <w:color w:val="FF0000"/>
                <w:highlight w:val="none"/>
                <w:lang w:val="en-US" w:eastAsia="zh-CN"/>
              </w:rPr>
              <w:t>36</w:t>
            </w:r>
            <w:r>
              <w:rPr>
                <w:rFonts w:hint="default"/>
                <w:color w:val="FF0000"/>
                <w:highlight w:val="none"/>
              </w:rPr>
              <w:t>0m</w:t>
            </w:r>
            <w:r>
              <w:rPr>
                <w:rFonts w:hint="default"/>
                <w:color w:val="FF0000"/>
                <w:highlight w:val="none"/>
                <w:vertAlign w:val="superscript"/>
              </w:rPr>
              <w:t>3</w:t>
            </w:r>
            <w:r>
              <w:rPr>
                <w:rFonts w:hint="default"/>
                <w:color w:val="FF0000"/>
                <w:highlight w:val="none"/>
              </w:rPr>
              <w:t>的初期雨水池</w:t>
            </w:r>
            <w:r>
              <w:rPr>
                <w:rFonts w:hint="default"/>
                <w:color w:val="auto"/>
                <w:highlight w:val="none"/>
              </w:rPr>
              <w:t>。</w:t>
            </w:r>
            <w:r>
              <w:rPr>
                <w:rFonts w:hint="eastAsia"/>
                <w:color w:val="auto"/>
                <w:highlight w:val="none"/>
                <w:lang w:eastAsia="zh-CN"/>
              </w:rPr>
              <w:t>本项目</w:t>
            </w:r>
            <w:r>
              <w:rPr>
                <w:rFonts w:hint="default"/>
                <w:color w:val="auto"/>
                <w:highlight w:val="none"/>
              </w:rPr>
              <w:t>依托现有</w:t>
            </w:r>
            <w:r>
              <w:rPr>
                <w:rFonts w:hint="eastAsia"/>
                <w:color w:val="auto"/>
                <w:highlight w:val="none"/>
                <w:lang w:eastAsia="zh-CN"/>
              </w:rPr>
              <w:t>工程</w:t>
            </w:r>
            <w:r>
              <w:rPr>
                <w:rFonts w:hint="default"/>
                <w:color w:val="auto"/>
                <w:highlight w:val="none"/>
              </w:rPr>
              <w:t>初期雨水收集池</w:t>
            </w:r>
            <w:r>
              <w:rPr>
                <w:rFonts w:hint="default"/>
                <w:color w:val="FF0000"/>
                <w:highlight w:val="none"/>
              </w:rPr>
              <w:t>（</w:t>
            </w:r>
            <w:r>
              <w:rPr>
                <w:rFonts w:hint="eastAsia"/>
                <w:color w:val="FF0000"/>
                <w:highlight w:val="none"/>
                <w:lang w:val="en-US" w:eastAsia="zh-CN"/>
              </w:rPr>
              <w:t>96</w:t>
            </w:r>
            <w:r>
              <w:rPr>
                <w:rFonts w:hint="default"/>
                <w:color w:val="FF0000"/>
                <w:highlight w:val="none"/>
              </w:rPr>
              <w:t>0m</w:t>
            </w:r>
            <w:r>
              <w:rPr>
                <w:rFonts w:hint="default"/>
                <w:color w:val="FF0000"/>
                <w:highlight w:val="none"/>
                <w:vertAlign w:val="superscript"/>
              </w:rPr>
              <w:t>3</w:t>
            </w:r>
            <w:r>
              <w:rPr>
                <w:rFonts w:hint="default"/>
                <w:color w:val="FF0000"/>
                <w:highlight w:val="none"/>
              </w:rPr>
              <w:t>）</w:t>
            </w:r>
            <w:r>
              <w:rPr>
                <w:rFonts w:hint="default"/>
                <w:color w:val="auto"/>
                <w:highlight w:val="none"/>
              </w:rPr>
              <w:t>，能满足要求</w:t>
            </w:r>
            <w:r>
              <w:rPr>
                <w:rFonts w:hint="eastAsia" w:ascii="Times New Roman" w:hAnsi="Times New Roman" w:eastAsia="宋体" w:cs="Times New Roman"/>
                <w:color w:val="auto"/>
                <w:sz w:val="24"/>
                <w:szCs w:val="24"/>
                <w:highlight w:val="none"/>
              </w:rPr>
              <w:t>。本项目采取</w:t>
            </w:r>
            <w:r>
              <w:rPr>
                <w:rFonts w:hint="default" w:ascii="Times New Roman" w:hAnsi="Times New Roman" w:eastAsia="宋体" w:cs="Times New Roman"/>
                <w:color w:val="auto"/>
                <w:sz w:val="24"/>
                <w:szCs w:val="24"/>
                <w:highlight w:val="none"/>
              </w:rPr>
              <w:t>雨污分流，</w:t>
            </w:r>
            <w:r>
              <w:rPr>
                <w:rFonts w:hint="default" w:ascii="Times New Roman" w:hAnsi="Times New Roman" w:eastAsia="宋体" w:cs="Times New Roman"/>
                <w:b w:val="0"/>
                <w:bCs/>
                <w:color w:val="auto"/>
                <w:kern w:val="2"/>
                <w:sz w:val="24"/>
                <w:szCs w:val="24"/>
                <w:highlight w:val="none"/>
                <w:u w:val="none"/>
                <w:lang w:val="en-US" w:eastAsia="zh-CN" w:bidi="ar-SA"/>
              </w:rPr>
              <w:t>沿厂界设置</w:t>
            </w:r>
            <w:r>
              <w:rPr>
                <w:rFonts w:hint="eastAsia" w:cs="Times New Roman"/>
                <w:b w:val="0"/>
                <w:bCs/>
                <w:color w:val="auto"/>
                <w:kern w:val="2"/>
                <w:sz w:val="24"/>
                <w:szCs w:val="24"/>
                <w:highlight w:val="none"/>
                <w:u w:val="none"/>
                <w:lang w:val="en-US" w:eastAsia="zh-CN" w:bidi="ar-SA"/>
              </w:rPr>
              <w:t>围堰及</w:t>
            </w:r>
            <w:r>
              <w:rPr>
                <w:rFonts w:hint="default" w:ascii="Times New Roman" w:hAnsi="Times New Roman" w:eastAsia="宋体" w:cs="Times New Roman"/>
                <w:b w:val="0"/>
                <w:bCs/>
                <w:color w:val="auto"/>
                <w:kern w:val="2"/>
                <w:sz w:val="24"/>
                <w:szCs w:val="24"/>
                <w:highlight w:val="none"/>
                <w:u w:val="none"/>
                <w:lang w:val="en-US" w:eastAsia="zh-CN" w:bidi="ar-SA"/>
              </w:rPr>
              <w:t>雨水沟，以保证</w:t>
            </w:r>
            <w:r>
              <w:rPr>
                <w:rFonts w:hint="eastAsia" w:cs="Times New Roman"/>
                <w:b w:val="0"/>
                <w:bCs/>
                <w:color w:val="auto"/>
                <w:kern w:val="2"/>
                <w:sz w:val="24"/>
                <w:szCs w:val="24"/>
                <w:highlight w:val="none"/>
                <w:u w:val="none"/>
                <w:lang w:val="en-US" w:eastAsia="zh-CN" w:bidi="ar-SA"/>
              </w:rPr>
              <w:t>仅租赁厂房</w:t>
            </w:r>
            <w:r>
              <w:rPr>
                <w:rFonts w:hint="eastAsia" w:ascii="Times New Roman" w:hAnsi="Times New Roman" w:eastAsia="宋体" w:cs="Times New Roman"/>
                <w:b w:val="0"/>
                <w:bCs/>
                <w:color w:val="auto"/>
                <w:kern w:val="2"/>
                <w:sz w:val="24"/>
                <w:szCs w:val="24"/>
                <w:highlight w:val="none"/>
                <w:u w:val="none"/>
                <w:lang w:val="en-US" w:eastAsia="zh-CN" w:bidi="ar-SA"/>
              </w:rPr>
              <w:t>初期</w:t>
            </w:r>
            <w:r>
              <w:rPr>
                <w:rFonts w:hint="default" w:ascii="Times New Roman" w:hAnsi="Times New Roman" w:eastAsia="宋体" w:cs="Times New Roman"/>
                <w:b w:val="0"/>
                <w:bCs/>
                <w:color w:val="auto"/>
                <w:kern w:val="2"/>
                <w:sz w:val="24"/>
                <w:szCs w:val="24"/>
                <w:highlight w:val="none"/>
                <w:u w:val="none"/>
                <w:lang w:val="en-US" w:eastAsia="zh-CN" w:bidi="ar-SA"/>
              </w:rPr>
              <w:t>雨水能顺利引入沉淀池</w:t>
            </w:r>
            <w:r>
              <w:rPr>
                <w:rFonts w:hint="eastAsia" w:ascii="Times New Roman" w:hAnsi="Times New Roman" w:eastAsia="宋体" w:cs="Times New Roman"/>
                <w:b w:val="0"/>
                <w:bCs/>
                <w:color w:val="auto"/>
                <w:kern w:val="2"/>
                <w:sz w:val="24"/>
                <w:szCs w:val="24"/>
                <w:highlight w:val="none"/>
                <w:u w:val="none"/>
                <w:lang w:val="en-US" w:eastAsia="zh-CN" w:bidi="ar-SA"/>
              </w:rPr>
              <w:t>，初期雨水池设置阀门，待收集完</w:t>
            </w:r>
            <w:r>
              <w:rPr>
                <w:rFonts w:hint="eastAsia" w:cs="Times New Roman"/>
                <w:b w:val="0"/>
                <w:bCs/>
                <w:color w:val="FF0000"/>
                <w:kern w:val="2"/>
                <w:sz w:val="24"/>
                <w:szCs w:val="24"/>
                <w:highlight w:val="none"/>
                <w:u w:val="none"/>
                <w:lang w:val="en-US" w:eastAsia="zh-CN" w:bidi="ar-SA"/>
              </w:rPr>
              <w:t>20</w:t>
            </w:r>
            <w:r>
              <w:rPr>
                <w:rFonts w:hint="eastAsia" w:ascii="Times New Roman" w:hAnsi="Times New Roman" w:eastAsia="宋体" w:cs="Times New Roman"/>
                <w:b w:val="0"/>
                <w:bCs/>
                <w:color w:val="FF0000"/>
                <w:kern w:val="2"/>
                <w:sz w:val="24"/>
                <w:szCs w:val="24"/>
                <w:highlight w:val="none"/>
                <w:u w:val="none"/>
                <w:lang w:val="en-US" w:eastAsia="zh-CN" w:bidi="ar-SA"/>
              </w:rPr>
              <w:t>mm</w:t>
            </w:r>
            <w:r>
              <w:rPr>
                <w:rFonts w:hint="eastAsia" w:ascii="Times New Roman" w:hAnsi="Times New Roman" w:eastAsia="宋体" w:cs="Times New Roman"/>
                <w:b w:val="0"/>
                <w:bCs/>
                <w:color w:val="auto"/>
                <w:kern w:val="2"/>
                <w:sz w:val="24"/>
                <w:szCs w:val="24"/>
                <w:highlight w:val="none"/>
                <w:u w:val="none"/>
                <w:lang w:val="en-US" w:eastAsia="zh-CN" w:bidi="ar-SA"/>
              </w:rPr>
              <w:t>降雨量后阀门自动关闭</w:t>
            </w:r>
            <w:r>
              <w:rPr>
                <w:rFonts w:hint="eastAsia" w:ascii="Times New Roman" w:hAnsi="Times New Roman" w:eastAsia="宋体" w:cs="Times New Roman"/>
                <w:color w:val="auto"/>
                <w:sz w:val="24"/>
                <w:highlight w:val="none"/>
              </w:rPr>
              <w:t>。</w:t>
            </w:r>
            <w:r>
              <w:rPr>
                <w:rFonts w:hint="eastAsia" w:ascii="Times New Roman" w:hAnsi="Times New Roman" w:eastAsia="宋体" w:cs="Times New Roman"/>
                <w:bCs/>
                <w:color w:val="auto"/>
                <w:kern w:val="2"/>
                <w:sz w:val="24"/>
                <w:szCs w:val="24"/>
                <w:highlight w:val="none"/>
                <w:lang w:val="en-US" w:eastAsia="zh-CN" w:bidi="ar-SA"/>
              </w:rPr>
              <w:t>雨水排放口安装氟化物、铊在线监测设备，并与市、县两级在线监控管理平台联网。</w:t>
            </w:r>
          </w:p>
          <w:p w14:paraId="159CF70C">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ascii="Times New Roman" w:hAnsi="Times New Roman" w:cs="Times New Roman"/>
                <w:color w:val="auto"/>
                <w:highlight w:val="none"/>
                <w:lang w:val="en-US" w:eastAsia="zh-CN"/>
              </w:rPr>
              <w:t>项</w:t>
            </w:r>
            <w:r>
              <w:rPr>
                <w:rFonts w:hint="default" w:ascii="Times New Roman" w:hAnsi="Times New Roman" w:cs="Times New Roman"/>
                <w:color w:val="FF0000"/>
                <w:highlight w:val="none"/>
                <w:lang w:val="en-US" w:eastAsia="zh-CN"/>
              </w:rPr>
              <w:t>目排水实行雨污分流制。</w:t>
            </w:r>
            <w:r>
              <w:rPr>
                <w:rFonts w:hint="default" w:ascii="Times New Roman" w:hAnsi="Times New Roman" w:cs="Times New Roman"/>
                <w:color w:val="FF0000"/>
                <w:highlight w:val="none"/>
              </w:rPr>
              <w:t>项目后期雨水</w:t>
            </w:r>
            <w:r>
              <w:rPr>
                <w:rFonts w:hint="default" w:ascii="Times New Roman" w:hAnsi="Times New Roman" w:cs="Times New Roman"/>
                <w:color w:val="FF0000"/>
                <w:sz w:val="24"/>
                <w:szCs w:val="24"/>
                <w:highlight w:val="none"/>
                <w:lang w:val="en-US" w:eastAsia="zh-CN"/>
              </w:rPr>
              <w:t>排放时自动监测铊、氟化物含量，</w:t>
            </w:r>
            <w:r>
              <w:rPr>
                <w:rFonts w:hint="default" w:ascii="Times New Roman" w:hAnsi="Times New Roman" w:cs="Times New Roman"/>
                <w:color w:val="FF0000"/>
                <w:sz w:val="24"/>
                <w:szCs w:val="24"/>
                <w:highlight w:val="none"/>
              </w:rPr>
              <w:t>排入</w:t>
            </w:r>
            <w:r>
              <w:rPr>
                <w:rFonts w:hint="default" w:ascii="Times New Roman" w:hAnsi="Times New Roman" w:cs="Times New Roman"/>
                <w:color w:val="FF0000"/>
                <w:sz w:val="24"/>
                <w:szCs w:val="24"/>
                <w:highlight w:val="none"/>
                <w:lang w:val="en-US" w:eastAsia="zh-CN"/>
              </w:rPr>
              <w:t>园区雨水管网后排入项目西边水库</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highlight w:val="none"/>
              </w:rPr>
              <w:t>铊预警限值浓度为</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μg/L（</w:t>
            </w:r>
            <w:r>
              <w:rPr>
                <w:rFonts w:hint="default" w:ascii="Times New Roman" w:hAnsi="Times New Roman" w:cs="Times New Roman"/>
                <w:color w:val="auto"/>
                <w:highlight w:val="none"/>
                <w:lang w:val="en-US" w:eastAsia="zh-CN"/>
              </w:rPr>
              <w:t>参照《工业废水铊污染物排放标准》（DB36/1149-2019）标准限值</w:t>
            </w:r>
            <w:r>
              <w:rPr>
                <w:rFonts w:hint="default" w:ascii="Times New Roman" w:hAnsi="Times New Roman" w:cs="Times New Roman"/>
                <w:color w:val="auto"/>
                <w:highlight w:val="none"/>
              </w:rPr>
              <w:t>），氟化物预警限值浓度为2mg/L（参照《无机化学工业污染物排放标准》（GB31573-2015）的水污染物排放限值）</w:t>
            </w:r>
            <w:r>
              <w:rPr>
                <w:rFonts w:hint="default" w:ascii="Times New Roman" w:hAnsi="Times New Roman" w:cs="Times New Roman"/>
                <w:color w:val="auto"/>
                <w:highlight w:val="none"/>
                <w:lang w:eastAsia="zh-CN"/>
              </w:rPr>
              <w:t>，</w:t>
            </w:r>
            <w:r>
              <w:rPr>
                <w:rFonts w:hint="default" w:ascii="Times New Roman" w:hAnsi="Times New Roman" w:cs="Times New Roman"/>
                <w:color w:val="auto"/>
                <w:sz w:val="24"/>
                <w:szCs w:val="24"/>
                <w:highlight w:val="none"/>
                <w:lang w:val="en-US" w:eastAsia="zh-CN"/>
              </w:rPr>
              <w:t>超过预</w:t>
            </w:r>
            <w:r>
              <w:rPr>
                <w:rFonts w:hint="default" w:ascii="Times New Roman" w:hAnsi="Times New Roman" w:cs="Times New Roman"/>
                <w:color w:val="auto"/>
                <w:highlight w:val="none"/>
              </w:rPr>
              <w:t>警限值浓度</w:t>
            </w:r>
            <w:r>
              <w:rPr>
                <w:rFonts w:hint="default" w:ascii="Times New Roman" w:hAnsi="Times New Roman" w:cs="Times New Roman"/>
                <w:color w:val="auto"/>
                <w:highlight w:val="none"/>
                <w:lang w:val="en-US" w:eastAsia="zh-CN"/>
              </w:rPr>
              <w:t>后立即停止排放</w:t>
            </w:r>
            <w:r>
              <w:rPr>
                <w:rFonts w:hint="default" w:ascii="Times New Roman" w:hAnsi="Times New Roman" w:cs="Times New Roman"/>
                <w:color w:val="auto"/>
                <w:sz w:val="24"/>
                <w:szCs w:val="24"/>
                <w:highlight w:val="none"/>
                <w:lang w:val="en-US" w:eastAsia="zh-CN"/>
              </w:rPr>
              <w:t>；</w:t>
            </w:r>
            <w:r>
              <w:rPr>
                <w:rFonts w:hint="default" w:ascii="Times New Roman" w:hAnsi="Times New Roman" w:cs="Times New Roman"/>
                <w:color w:val="auto"/>
                <w:highlight w:val="none"/>
                <w:lang w:val="en-US" w:eastAsia="zh-CN"/>
              </w:rPr>
              <w:t>生活污水经隔油池、化粪池处理达到建筑陶瓷产业园污水处理厂接管标准要求后经市政污水管网纳入建筑陶瓷产业园污水处理厂处理，处理达标后尾水执行《城镇污水处理厂污染物排放标准》（GB18918-2002）中一级A标准排放至肖江。</w:t>
            </w:r>
          </w:p>
          <w:p w14:paraId="419E2FB2">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3</w:t>
            </w:r>
            <w:r>
              <w:rPr>
                <w:rFonts w:hint="default"/>
                <w:b/>
                <w:bCs w:val="0"/>
                <w:color w:val="auto"/>
                <w:highlight w:val="none"/>
              </w:rPr>
              <w:t>、废水治理设施技术可行性分析</w:t>
            </w:r>
          </w:p>
          <w:p w14:paraId="0787EB3B">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FF0000"/>
                <w:highlight w:val="none"/>
                <w:lang w:val="en-US" w:eastAsia="zh-CN"/>
              </w:rPr>
              <w:t>本环评建议废水分类收集，分质处理。各类废水收集处理方式见下文。</w:t>
            </w:r>
          </w:p>
          <w:p w14:paraId="3169B2A6">
            <w:pPr>
              <w:pStyle w:val="76"/>
              <w:keepNext w:val="0"/>
              <w:keepLines w:val="0"/>
              <w:suppressLineNumbers w:val="0"/>
              <w:bidi w:val="0"/>
              <w:spacing w:before="0" w:beforeAutospacing="0" w:after="0" w:afterAutospacing="0"/>
              <w:ind w:left="0" w:right="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eastAsia"/>
                <w:color w:val="auto"/>
                <w:highlight w:val="none"/>
                <w:lang w:val="en-US" w:eastAsia="zh-CN"/>
              </w:rPr>
              <w:t>生活污水</w:t>
            </w:r>
          </w:p>
          <w:p w14:paraId="004B42AA">
            <w:pPr>
              <w:pStyle w:val="76"/>
              <w:keepNext w:val="0"/>
              <w:keepLines w:val="0"/>
              <w:suppressLineNumbers w:val="0"/>
              <w:bidi w:val="0"/>
              <w:spacing w:before="0" w:beforeAutospacing="0" w:after="0" w:afterAutospacing="0"/>
              <w:ind w:left="0" w:right="0"/>
              <w:rPr>
                <w:rFonts w:hint="default" w:eastAsia="宋体"/>
                <w:color w:val="auto"/>
                <w:highlight w:val="none"/>
              </w:rPr>
            </w:pPr>
            <w:r>
              <w:rPr>
                <w:rFonts w:hint="default"/>
                <w:color w:val="auto"/>
                <w:highlight w:val="none"/>
              </w:rPr>
              <w:t>项目</w:t>
            </w:r>
            <w:r>
              <w:rPr>
                <w:rFonts w:hint="eastAsia"/>
                <w:color w:val="auto"/>
                <w:highlight w:val="none"/>
                <w:lang w:val="en-US" w:eastAsia="zh-CN"/>
              </w:rPr>
              <w:t>外排</w:t>
            </w:r>
            <w:r>
              <w:rPr>
                <w:rFonts w:hint="default"/>
                <w:color w:val="auto"/>
                <w:highlight w:val="none"/>
              </w:rPr>
              <w:t>废水来自员工活动产生的生活污水，主要污染因子为COD</w:t>
            </w:r>
            <w:r>
              <w:rPr>
                <w:rFonts w:hint="default"/>
                <w:color w:val="auto"/>
                <w:highlight w:val="none"/>
                <w:vertAlign w:val="subscript"/>
              </w:rPr>
              <w:t>Cr</w:t>
            </w:r>
            <w:r>
              <w:rPr>
                <w:rFonts w:hint="default"/>
                <w:color w:val="auto"/>
                <w:highlight w:val="none"/>
              </w:rPr>
              <w:t>、BOD</w:t>
            </w:r>
            <w:r>
              <w:rPr>
                <w:rFonts w:hint="default"/>
                <w:color w:val="auto"/>
                <w:highlight w:val="none"/>
                <w:vertAlign w:val="subscript"/>
              </w:rPr>
              <w:t>5</w:t>
            </w:r>
            <w:r>
              <w:rPr>
                <w:rFonts w:hint="default"/>
                <w:color w:val="auto"/>
                <w:highlight w:val="none"/>
              </w:rPr>
              <w:t>、SS、NH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TN、</w:t>
            </w:r>
            <w:r>
              <w:rPr>
                <w:rFonts w:hint="default"/>
                <w:color w:val="auto"/>
                <w:highlight w:val="none"/>
              </w:rPr>
              <w:t>TP</w:t>
            </w:r>
            <w:r>
              <w:rPr>
                <w:rFonts w:hint="eastAsia"/>
                <w:color w:val="auto"/>
                <w:highlight w:val="none"/>
                <w:lang w:eastAsia="zh-CN"/>
              </w:rPr>
              <w:t>、</w:t>
            </w:r>
            <w:r>
              <w:rPr>
                <w:rFonts w:hint="eastAsia"/>
                <w:color w:val="auto"/>
                <w:highlight w:val="none"/>
                <w:lang w:val="en-US" w:eastAsia="zh-CN"/>
              </w:rPr>
              <w:t>动植物油</w:t>
            </w:r>
            <w:r>
              <w:rPr>
                <w:rFonts w:hint="default"/>
                <w:color w:val="auto"/>
                <w:highlight w:val="none"/>
              </w:rPr>
              <w:t>。根据“《排污许可证申请与核发技术规范总则》（HJ942-2018）中4.5.3.1”，废水污染治理工艺分为一级处理（过滤、沉淀、气浮、其他），二级处理（A/O、A</w:t>
            </w:r>
            <w:r>
              <w:rPr>
                <w:rFonts w:hint="default"/>
                <w:color w:val="auto"/>
                <w:highlight w:val="none"/>
                <w:vertAlign w:val="superscript"/>
              </w:rPr>
              <w:t>2</w:t>
            </w:r>
            <w:r>
              <w:rPr>
                <w:rFonts w:hint="default"/>
                <w:color w:val="auto"/>
                <w:highlight w:val="none"/>
              </w:rPr>
              <w:t>/O、SBR、活性污泥法、生物接触氧化、其他）、深度处理（超滤/纳滤、反渗透、吸附过滤、蒸发结晶、其他）、其他。</w:t>
            </w:r>
            <w:r>
              <w:rPr>
                <w:rFonts w:hint="eastAsia"/>
                <w:color w:val="auto"/>
                <w:highlight w:val="none"/>
                <w:lang w:eastAsia="zh-CN"/>
              </w:rPr>
              <w:t>本项目</w:t>
            </w:r>
            <w:r>
              <w:rPr>
                <w:rFonts w:hint="default"/>
                <w:color w:val="auto"/>
                <w:highlight w:val="none"/>
              </w:rPr>
              <w:t>生活污水处理工艺为</w:t>
            </w:r>
            <w:r>
              <w:rPr>
                <w:rFonts w:hint="eastAsia"/>
                <w:color w:val="auto"/>
                <w:highlight w:val="none"/>
                <w:lang w:val="en-US" w:eastAsia="zh-CN"/>
              </w:rPr>
              <w:t>隔油池+</w:t>
            </w:r>
            <w:r>
              <w:rPr>
                <w:rFonts w:hint="default"/>
                <w:color w:val="auto"/>
                <w:highlight w:val="none"/>
              </w:rPr>
              <w:t>化粪池，属于可行技术。化粪池是一种利用沉淀和厌氧发酵的原理，去除生活污水中悬浮性有机物的处理设施，属于初级的过渡性生活处理构筑物，可有效处理粪便等，属于可行性技术。</w:t>
            </w:r>
            <w:r>
              <w:rPr>
                <w:rFonts w:hint="eastAsia" w:eastAsia="宋体"/>
                <w:color w:val="auto"/>
                <w:highlight w:val="none"/>
                <w:lang w:val="en-US" w:eastAsia="zh-CN"/>
              </w:rPr>
              <w:t>本项目化粪池依托</w:t>
            </w:r>
            <w:r>
              <w:rPr>
                <w:rFonts w:hint="eastAsia" w:cs="Times New Roman"/>
                <w:bCs/>
                <w:color w:val="auto"/>
                <w:kern w:val="2"/>
                <w:sz w:val="24"/>
                <w:szCs w:val="24"/>
                <w:highlight w:val="none"/>
                <w:lang w:val="en-US" w:eastAsia="zh-CN" w:bidi="ar-SA"/>
              </w:rPr>
              <w:t>江西恒辉陶瓷有限公司</w:t>
            </w:r>
            <w:r>
              <w:rPr>
                <w:rFonts w:hint="eastAsia" w:eastAsia="宋体"/>
                <w:color w:val="auto"/>
                <w:highlight w:val="none"/>
                <w:lang w:val="en-US" w:eastAsia="zh-CN"/>
              </w:rPr>
              <w:t>，</w:t>
            </w:r>
            <w:r>
              <w:rPr>
                <w:rFonts w:hint="eastAsia" w:cs="Times New Roman"/>
                <w:bCs/>
                <w:color w:val="auto"/>
                <w:kern w:val="2"/>
                <w:sz w:val="24"/>
                <w:szCs w:val="24"/>
                <w:highlight w:val="none"/>
                <w:lang w:val="en-US" w:eastAsia="zh-CN" w:bidi="ar-SA"/>
              </w:rPr>
              <w:t>江西恒辉陶瓷有限公司</w:t>
            </w:r>
            <w:r>
              <w:rPr>
                <w:rFonts w:hint="eastAsia" w:eastAsia="宋体" w:cs="Times New Roman"/>
                <w:bCs/>
                <w:color w:val="auto"/>
                <w:kern w:val="2"/>
                <w:sz w:val="24"/>
                <w:szCs w:val="24"/>
                <w:highlight w:val="none"/>
                <w:lang w:val="en-US" w:eastAsia="zh-CN" w:bidi="ar-SA"/>
              </w:rPr>
              <w:t>现已停产，厂区无工作人员，</w:t>
            </w:r>
            <w:r>
              <w:rPr>
                <w:rFonts w:hint="eastAsia" w:cs="Times New Roman"/>
                <w:bCs/>
                <w:color w:val="auto"/>
                <w:kern w:val="2"/>
                <w:sz w:val="24"/>
                <w:szCs w:val="24"/>
                <w:highlight w:val="none"/>
                <w:lang w:val="en-US" w:eastAsia="zh-CN" w:bidi="ar-SA"/>
              </w:rPr>
              <w:t>江西恒辉陶瓷有限公司</w:t>
            </w:r>
            <w:r>
              <w:rPr>
                <w:rFonts w:hint="eastAsia" w:eastAsia="宋体"/>
                <w:color w:val="auto"/>
                <w:highlight w:val="none"/>
                <w:lang w:val="en-US" w:eastAsia="zh-CN"/>
              </w:rPr>
              <w:t>化粪池处理能力为</w:t>
            </w:r>
            <w:r>
              <w:rPr>
                <w:rFonts w:hint="eastAsia"/>
                <w:color w:val="auto"/>
                <w:highlight w:val="none"/>
                <w:lang w:val="en-US" w:eastAsia="zh-CN"/>
              </w:rPr>
              <w:t>50</w:t>
            </w:r>
            <w:r>
              <w:rPr>
                <w:rFonts w:hint="eastAsia" w:eastAsia="宋体"/>
                <w:color w:val="auto"/>
                <w:highlight w:val="none"/>
                <w:lang w:val="en-US" w:eastAsia="zh-CN"/>
              </w:rPr>
              <w:t>t/d，</w:t>
            </w:r>
            <w:r>
              <w:rPr>
                <w:rFonts w:hint="eastAsia"/>
                <w:color w:val="auto"/>
                <w:highlight w:val="none"/>
                <w:lang w:val="en-US" w:eastAsia="zh-CN"/>
              </w:rPr>
              <w:t>现有项目已占2.56</w:t>
            </w:r>
            <w:r>
              <w:rPr>
                <w:rFonts w:hint="eastAsia" w:eastAsia="宋体"/>
                <w:color w:val="auto"/>
                <w:highlight w:val="none"/>
                <w:lang w:val="en-US" w:eastAsia="zh-CN"/>
              </w:rPr>
              <w:t>t/d</w:t>
            </w:r>
            <w:r>
              <w:rPr>
                <w:rFonts w:hint="eastAsia"/>
                <w:color w:val="auto"/>
                <w:highlight w:val="none"/>
                <w:lang w:val="en-US" w:eastAsia="zh-CN"/>
              </w:rPr>
              <w:t>，剩余处理能力47.34t/d，</w:t>
            </w:r>
            <w:r>
              <w:rPr>
                <w:rFonts w:hint="eastAsia" w:eastAsia="宋体"/>
                <w:color w:val="auto"/>
                <w:highlight w:val="none"/>
                <w:lang w:val="en-US" w:eastAsia="zh-CN"/>
              </w:rPr>
              <w:t>本项目生活污水量为</w:t>
            </w:r>
            <w:r>
              <w:rPr>
                <w:rFonts w:hint="eastAsia"/>
                <w:color w:val="auto"/>
                <w:highlight w:val="none"/>
                <w:lang w:val="en-US" w:eastAsia="zh-CN"/>
              </w:rPr>
              <w:t>384</w:t>
            </w:r>
            <w:r>
              <w:rPr>
                <w:rFonts w:hint="eastAsia" w:eastAsia="宋体"/>
                <w:color w:val="auto"/>
                <w:highlight w:val="none"/>
              </w:rPr>
              <w:t>m</w:t>
            </w:r>
            <w:r>
              <w:rPr>
                <w:rFonts w:hint="eastAsia" w:eastAsia="宋体"/>
                <w:color w:val="auto"/>
                <w:highlight w:val="none"/>
                <w:vertAlign w:val="superscript"/>
                <w:lang w:val="en-US" w:eastAsia="zh-CN"/>
              </w:rPr>
              <w:t>3</w:t>
            </w:r>
            <w:r>
              <w:rPr>
                <w:rFonts w:hint="eastAsia" w:eastAsia="宋体"/>
                <w:color w:val="auto"/>
                <w:highlight w:val="none"/>
              </w:rPr>
              <w:t>/</w:t>
            </w:r>
            <w:r>
              <w:rPr>
                <w:rFonts w:hint="eastAsia" w:eastAsia="宋体"/>
                <w:color w:val="auto"/>
                <w:highlight w:val="none"/>
                <w:lang w:val="en-US" w:eastAsia="zh-CN"/>
              </w:rPr>
              <w:t>a</w:t>
            </w:r>
            <w:r>
              <w:rPr>
                <w:rFonts w:hint="eastAsia" w:eastAsia="宋体"/>
                <w:color w:val="auto"/>
                <w:highlight w:val="none"/>
              </w:rPr>
              <w:t>（</w:t>
            </w:r>
            <w:r>
              <w:rPr>
                <w:rFonts w:hint="eastAsia"/>
                <w:color w:val="auto"/>
                <w:highlight w:val="none"/>
                <w:lang w:val="en-US" w:eastAsia="zh-CN"/>
              </w:rPr>
              <w:t>1.28</w:t>
            </w:r>
            <w:r>
              <w:rPr>
                <w:rFonts w:hint="eastAsia" w:eastAsia="宋体"/>
                <w:color w:val="auto"/>
                <w:highlight w:val="none"/>
              </w:rPr>
              <w:t>m</w:t>
            </w:r>
            <w:r>
              <w:rPr>
                <w:rFonts w:hint="eastAsia" w:eastAsia="宋体"/>
                <w:color w:val="auto"/>
                <w:highlight w:val="none"/>
                <w:vertAlign w:val="superscript"/>
                <w:lang w:val="en-US" w:eastAsia="zh-CN"/>
              </w:rPr>
              <w:t>3</w:t>
            </w:r>
            <w:r>
              <w:rPr>
                <w:rFonts w:hint="eastAsia" w:eastAsia="宋体"/>
                <w:color w:val="auto"/>
                <w:highlight w:val="none"/>
              </w:rPr>
              <w:t>/d）</w:t>
            </w:r>
            <w:r>
              <w:rPr>
                <w:rFonts w:hint="eastAsia" w:eastAsia="宋体"/>
                <w:color w:val="auto"/>
                <w:highlight w:val="none"/>
                <w:lang w:eastAsia="zh-CN"/>
              </w:rPr>
              <w:t>，</w:t>
            </w:r>
            <w:r>
              <w:rPr>
                <w:rFonts w:hint="eastAsia" w:eastAsia="宋体"/>
                <w:color w:val="auto"/>
                <w:highlight w:val="none"/>
                <w:lang w:val="en-US" w:eastAsia="zh-CN"/>
              </w:rPr>
              <w:t>因此本项目生活污水依托可行。</w:t>
            </w:r>
          </w:p>
          <w:p w14:paraId="69E45726">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val="en-US" w:eastAsia="zh-CN"/>
              </w:rPr>
              <w:t>（2）洗车废水和养护废水</w:t>
            </w:r>
          </w:p>
          <w:p w14:paraId="5728A62F">
            <w:pPr>
              <w:pStyle w:val="76"/>
              <w:keepNext w:val="0"/>
              <w:keepLines w:val="0"/>
              <w:suppressLineNumbers w:val="0"/>
              <w:spacing w:before="0" w:beforeAutospacing="0" w:after="0" w:afterAutospacing="0"/>
              <w:ind w:left="0" w:right="0" w:firstLine="480"/>
              <w:rPr>
                <w:rFonts w:hint="eastAsia" w:eastAsia="宋体"/>
                <w:lang w:eastAsia="zh-CN"/>
              </w:rPr>
            </w:pPr>
            <w:r>
              <w:rPr>
                <w:rFonts w:hint="eastAsia"/>
              </w:rPr>
              <w:t>本项目洗车废水和养护废水进沉淀池沉淀后，采用絮凝沉淀处理后达</w:t>
            </w:r>
            <w:r>
              <w:rPr>
                <w:rFonts w:hint="eastAsia"/>
                <w:highlight w:val="none"/>
              </w:rPr>
              <w:t>《城市污水再生利用工业用水水质》（GB/T19923-2024）中洗涤水标准、《无机化学工业污染物排放标准》（GB31573-2015）和《工业废水铊污染物排放标准》（DB36/1149-2019）标准</w:t>
            </w:r>
            <w:r>
              <w:rPr>
                <w:rFonts w:hint="eastAsia"/>
              </w:rPr>
              <w:t>后回用，本项目依托租赁方一</w:t>
            </w:r>
            <w:r>
              <w:rPr>
                <w:rFonts w:hint="eastAsia"/>
                <w:lang w:eastAsia="zh-CN"/>
              </w:rPr>
              <w:t>个</w:t>
            </w:r>
            <w:r>
              <w:rPr>
                <w:rFonts w:hint="eastAsia"/>
              </w:rPr>
              <w:t>容积为600m</w:t>
            </w:r>
            <w:r>
              <w:rPr>
                <w:rFonts w:hint="eastAsia"/>
                <w:vertAlign w:val="superscript"/>
              </w:rPr>
              <w:t>3</w:t>
            </w:r>
            <w:r>
              <w:rPr>
                <w:rFonts w:hint="eastAsia"/>
              </w:rPr>
              <w:t>的沉淀池，位于租赁2#厂房东南侧，通过管道和导流槽收集，</w:t>
            </w:r>
            <w:r>
              <w:rPr>
                <w:rFonts w:hint="eastAsia"/>
                <w:color w:val="FF0000"/>
              </w:rPr>
              <w:t>车辆冲洗废水</w:t>
            </w:r>
            <w:r>
              <w:rPr>
                <w:rFonts w:hint="eastAsia"/>
                <w:color w:val="FF0000"/>
                <w:lang w:eastAsia="zh-CN"/>
              </w:rPr>
              <w:t>和养护废水通过</w:t>
            </w:r>
            <w:r>
              <w:rPr>
                <w:rFonts w:hint="eastAsia"/>
                <w:color w:val="FF0000"/>
              </w:rPr>
              <w:t>沉淀池处理后回用</w:t>
            </w:r>
            <w:r>
              <w:rPr>
                <w:rFonts w:hint="eastAsia"/>
                <w:color w:val="FF0000"/>
                <w:lang w:eastAsia="zh-CN"/>
              </w:rPr>
              <w:t>与洗车及降尘</w:t>
            </w:r>
            <w:r>
              <w:rPr>
                <w:rFonts w:hint="eastAsia"/>
                <w:color w:val="FF0000"/>
              </w:rPr>
              <w:t>。洗车用水可能会含有部分一价铊，其毒性大，通过定期投加氧化剂将一价铊氧化为三价铊，降低毒性。同时在沉淀池投加PAM、PAC，利用PAM、PAC絮状物吸附并提高沉淀效果。</w:t>
            </w:r>
            <w:r>
              <w:rPr>
                <w:rFonts w:hint="eastAsia"/>
                <w:color w:val="FF0000"/>
                <w:lang w:eastAsia="zh-CN"/>
              </w:rPr>
              <w:t>项目洗车用水和降尘用水对水质要求不高，经上述处理后可满足水质要求。</w:t>
            </w:r>
            <w:r>
              <w:rPr>
                <w:rFonts w:hint="eastAsia"/>
                <w:color w:val="FF0000"/>
              </w:rPr>
              <w:t>项目洗车废水和养护废水收集量为12.16t/d，</w:t>
            </w:r>
            <w:r>
              <w:rPr>
                <w:rFonts w:hint="eastAsia"/>
                <w:color w:val="FF0000"/>
                <w:lang w:eastAsia="zh-CN"/>
              </w:rPr>
              <w:t>依托租赁方</w:t>
            </w:r>
            <w:r>
              <w:rPr>
                <w:rFonts w:hint="eastAsia"/>
                <w:color w:val="FF0000"/>
                <w:lang w:val="en-US" w:eastAsia="zh-CN"/>
              </w:rPr>
              <w:t>600m</w:t>
            </w:r>
            <w:r>
              <w:rPr>
                <w:rFonts w:hint="eastAsia"/>
                <w:color w:val="FF0000"/>
                <w:vertAlign w:val="superscript"/>
                <w:lang w:val="en-US" w:eastAsia="zh-CN"/>
              </w:rPr>
              <w:t>3</w:t>
            </w:r>
            <w:r>
              <w:rPr>
                <w:rFonts w:hint="eastAsia"/>
                <w:color w:val="FF0000"/>
                <w:lang w:val="en-US" w:eastAsia="zh-CN"/>
              </w:rPr>
              <w:t>的</w:t>
            </w:r>
            <w:r>
              <w:rPr>
                <w:rFonts w:hint="eastAsia"/>
                <w:color w:val="FF0000"/>
              </w:rPr>
              <w:t>沉淀池容积足够</w:t>
            </w:r>
            <w:r>
              <w:rPr>
                <w:rFonts w:hint="eastAsia"/>
                <w:color w:val="FF0000"/>
                <w:lang w:eastAsia="zh-CN"/>
              </w:rPr>
              <w:t>。洗车用水量为</w:t>
            </w:r>
            <w:r>
              <w:rPr>
                <w:rFonts w:hint="eastAsia"/>
                <w:color w:val="FF0000"/>
                <w:lang w:val="en-US" w:eastAsia="zh-CN"/>
              </w:rPr>
              <w:t>15t/d，洗车废水和养护废水可完全被消纳</w:t>
            </w:r>
            <w:r>
              <w:rPr>
                <w:rFonts w:hint="eastAsia"/>
                <w:color w:val="FF0000"/>
              </w:rPr>
              <w:t>。</w:t>
            </w:r>
            <w:r>
              <w:rPr>
                <w:rFonts w:hint="default"/>
              </w:rPr>
              <w:t>根据上述计算，养护</w:t>
            </w:r>
            <w:r>
              <w:rPr>
                <w:rFonts w:hint="eastAsia"/>
                <w:lang w:eastAsia="zh-CN"/>
              </w:rPr>
              <w:t>废水</w:t>
            </w:r>
            <w:r>
              <w:rPr>
                <w:rFonts w:hint="default"/>
              </w:rPr>
              <w:t>及</w:t>
            </w:r>
            <w:r>
              <w:rPr>
                <w:rFonts w:hint="eastAsia"/>
                <w:lang w:eastAsia="zh-CN"/>
              </w:rPr>
              <w:t>洗车废水</w:t>
            </w:r>
            <w:r>
              <w:rPr>
                <w:rFonts w:hint="default"/>
              </w:rPr>
              <w:t>可</w:t>
            </w:r>
            <w:r>
              <w:rPr>
                <w:rFonts w:hint="default"/>
                <w:highlight w:val="none"/>
              </w:rPr>
              <w:t>满足《城市污水再生利用工业用水水质》（GB/T19923-2024）、</w:t>
            </w:r>
            <w:r>
              <w:rPr>
                <w:rFonts w:hint="eastAsia"/>
                <w:highlight w:val="none"/>
              </w:rPr>
              <w:t>《无机化学工业污染物排放标准》（GB31573-2015）和《工业废水铊污染物排放标准》（DB36/1149-2019）标准</w:t>
            </w:r>
            <w:r>
              <w:rPr>
                <w:rFonts w:hint="eastAsia"/>
                <w:color w:val="FF0000"/>
                <w:highlight w:val="none"/>
                <w:lang w:eastAsia="zh-CN"/>
              </w:rPr>
              <w:t>中的较严值</w:t>
            </w:r>
            <w:r>
              <w:rPr>
                <w:rFonts w:hint="default"/>
              </w:rPr>
              <w:t>。</w:t>
            </w:r>
            <w:r>
              <w:rPr>
                <w:rFonts w:hint="default"/>
                <w:color w:val="FF0000"/>
              </w:rPr>
              <w:t>因此，</w:t>
            </w:r>
            <w:r>
              <w:rPr>
                <w:rFonts w:hint="eastAsia"/>
                <w:color w:val="FF0000"/>
              </w:rPr>
              <w:t>洗车废水和养护废水</w:t>
            </w:r>
            <w:r>
              <w:rPr>
                <w:rFonts w:hint="default"/>
                <w:color w:val="FF0000"/>
              </w:rPr>
              <w:t>经沉淀后</w:t>
            </w:r>
            <w:r>
              <w:rPr>
                <w:rFonts w:hint="eastAsia"/>
                <w:color w:val="FF0000"/>
                <w:lang w:eastAsia="zh-CN"/>
              </w:rPr>
              <w:t>水质科达回用标准</w:t>
            </w:r>
            <w:r>
              <w:rPr>
                <w:rFonts w:hint="default"/>
                <w:color w:val="FF0000"/>
              </w:rPr>
              <w:t>。</w:t>
            </w:r>
            <w:r>
              <w:rPr>
                <w:rFonts w:hint="eastAsia"/>
                <w:color w:val="FF0000"/>
                <w:lang w:eastAsia="zh-CN"/>
              </w:rPr>
              <w:t>综上，项目洗车废水和养护废水回用可行</w:t>
            </w:r>
            <w:r>
              <w:rPr>
                <w:rFonts w:hint="eastAsia"/>
                <w:lang w:eastAsia="zh-CN"/>
              </w:rPr>
              <w:t>。</w:t>
            </w:r>
          </w:p>
          <w:p w14:paraId="2E3C624B">
            <w:pPr>
              <w:pStyle w:val="76"/>
              <w:keepNext w:val="0"/>
              <w:keepLines w:val="0"/>
              <w:suppressLineNumbers w:val="0"/>
              <w:bidi w:val="0"/>
              <w:spacing w:before="0" w:beforeAutospacing="0" w:after="0" w:afterAutospacing="0"/>
              <w:ind w:left="0" w:right="0"/>
              <w:rPr>
                <w:rFonts w:hint="eastAsia" w:ascii="Times New Roman" w:hAnsi="Times New Roman" w:cs="Times New Roman"/>
                <w:color w:val="auto"/>
                <w:kern w:val="2"/>
                <w:sz w:val="24"/>
                <w:szCs w:val="24"/>
                <w:highlight w:val="none"/>
                <w:lang w:val="en-US" w:eastAsia="zh-CN" w:bidi="ar-SA"/>
              </w:rPr>
            </w:pPr>
            <w:r>
              <w:rPr>
                <w:rFonts w:hint="eastAsia" w:ascii="Times New Roman" w:hAnsi="Times New Roman" w:cs="Times New Roman"/>
                <w:color w:val="auto"/>
                <w:kern w:val="2"/>
                <w:sz w:val="24"/>
                <w:szCs w:val="24"/>
                <w:highlight w:val="none"/>
                <w:lang w:val="en-US" w:eastAsia="zh-CN" w:bidi="ar-SA"/>
              </w:rPr>
              <w:t>（3）</w:t>
            </w:r>
            <w:r>
              <w:rPr>
                <w:rFonts w:hint="eastAsia" w:cs="Times New Roman"/>
                <w:color w:val="auto"/>
                <w:kern w:val="2"/>
                <w:sz w:val="24"/>
                <w:szCs w:val="24"/>
                <w:highlight w:val="none"/>
                <w:lang w:val="en-US" w:eastAsia="zh-CN" w:bidi="ar-SA"/>
              </w:rPr>
              <w:t>初期</w:t>
            </w:r>
            <w:r>
              <w:rPr>
                <w:rFonts w:hint="eastAsia" w:ascii="Times New Roman" w:hAnsi="Times New Roman" w:cs="Times New Roman"/>
                <w:color w:val="auto"/>
                <w:kern w:val="2"/>
                <w:sz w:val="24"/>
                <w:szCs w:val="24"/>
                <w:highlight w:val="none"/>
                <w:lang w:val="en-US" w:eastAsia="zh-CN" w:bidi="ar-SA"/>
              </w:rPr>
              <w:t>雨水</w:t>
            </w:r>
          </w:p>
          <w:p w14:paraId="7A977DF0">
            <w:pPr>
              <w:pStyle w:val="121"/>
              <w:keepNext w:val="0"/>
              <w:keepLines w:val="0"/>
              <w:suppressLineNumbers w:val="0"/>
              <w:spacing w:before="0" w:beforeAutospacing="0" w:after="0" w:afterAutospacing="0"/>
              <w:ind w:left="0" w:right="0"/>
              <w:rPr>
                <w:rFonts w:hint="default"/>
                <w:color w:val="FF0000"/>
                <w:szCs w:val="22"/>
              </w:rPr>
            </w:pPr>
            <w:r>
              <w:rPr>
                <w:rFonts w:hint="default"/>
                <w:color w:val="FF0000"/>
              </w:rPr>
              <w:t>初期雨水采用氧化+除铊除氟+絮凝沉淀处理后回用于</w:t>
            </w:r>
            <w:r>
              <w:rPr>
                <w:rFonts w:hint="eastAsia"/>
                <w:color w:val="FF0000"/>
                <w:lang w:eastAsia="zh-CN"/>
              </w:rPr>
              <w:t>厂区降尘</w:t>
            </w:r>
            <w:r>
              <w:rPr>
                <w:rFonts w:hint="default"/>
                <w:color w:val="FF0000"/>
                <w:szCs w:val="22"/>
              </w:rPr>
              <w:t>。</w:t>
            </w:r>
          </w:p>
          <w:p w14:paraId="20C76BDB">
            <w:pPr>
              <w:pStyle w:val="121"/>
              <w:keepNext w:val="0"/>
              <w:keepLines w:val="0"/>
              <w:suppressLineNumbers w:val="0"/>
              <w:spacing w:before="0" w:beforeAutospacing="0" w:after="0" w:afterAutospacing="0"/>
              <w:ind w:left="0" w:right="0"/>
              <w:rPr>
                <w:rFonts w:hint="default"/>
                <w:color w:val="FF0000"/>
                <w:szCs w:val="22"/>
              </w:rPr>
            </w:pPr>
            <w:r>
              <w:rPr>
                <w:rFonts w:hint="default"/>
                <w:color w:val="FF0000"/>
              </w:rPr>
              <w:t>初期雨水</w:t>
            </w:r>
            <w:r>
              <w:rPr>
                <w:rFonts w:hint="default"/>
                <w:color w:val="FF0000"/>
                <w:szCs w:val="22"/>
              </w:rPr>
              <w:t>可能会含有部分一价铊，其毒性大，且不易降解，通过投加氧化剂（双氧水）将一价铊氧化为三价铊，降低毒性。经氧化后的三价铊废水进行二级反应池，在此投加</w:t>
            </w:r>
            <w:bookmarkStart w:id="426" w:name="OLE_LINK41"/>
            <w:r>
              <w:rPr>
                <w:rFonts w:hint="default"/>
                <w:color w:val="FF0000"/>
                <w:szCs w:val="22"/>
              </w:rPr>
              <w:t>高分子</w:t>
            </w:r>
            <w:bookmarkEnd w:id="426"/>
            <w:r>
              <w:rPr>
                <w:rFonts w:hint="default"/>
                <w:color w:val="FF0000"/>
                <w:szCs w:val="22"/>
              </w:rPr>
              <w:t>络合剂，利用络合作用与三价铊络合为难溶于水的沉淀物，便于后续沉淀去除铊。经络合的铊沉淀物颗粒较小，沉淀效果不佳，在三级反应池投加少量PAM、PAC、石灰，利用PAM、PAC絮状物吸附并提高沉淀效果，利用石灰与氟化物反应生产氟化钙，去除氟化物。最终沉淀进行泥水分离。经沉淀后的上清液铊离子基本达标。确保出水完全合格后回用。</w:t>
            </w:r>
          </w:p>
          <w:p w14:paraId="1D817A37">
            <w:pPr>
              <w:keepNext w:val="0"/>
              <w:keepLines w:val="0"/>
              <w:suppressLineNumbers w:val="0"/>
              <w:spacing w:before="0" w:beforeAutospacing="0" w:after="0" w:afterAutospacing="0" w:line="360" w:lineRule="auto"/>
              <w:ind w:left="12" w:right="42" w:firstLine="480"/>
              <w:rPr>
                <w:rFonts w:hint="default"/>
                <w:color w:val="FF0000"/>
                <w:sz w:val="24"/>
                <w:szCs w:val="22"/>
              </w:rPr>
            </w:pPr>
            <w:r>
              <w:rPr>
                <w:rFonts w:hint="default"/>
                <w:color w:val="FF0000"/>
                <w:sz w:val="24"/>
                <w:szCs w:val="22"/>
              </w:rPr>
              <w:t>除铊、铍、氟方程式如下：</w:t>
            </w:r>
          </w:p>
          <w:p w14:paraId="0B3A58AA">
            <w:pPr>
              <w:keepNext w:val="0"/>
              <w:keepLines w:val="0"/>
              <w:suppressLineNumbers w:val="0"/>
              <w:spacing w:before="0" w:beforeAutospacing="0" w:after="0" w:afterAutospacing="0" w:line="360" w:lineRule="auto"/>
              <w:ind w:left="0" w:right="0" w:firstLine="500"/>
              <w:jc w:val="center"/>
              <w:rPr>
                <w:rFonts w:hint="default"/>
                <w:color w:val="FF0000"/>
                <w:sz w:val="24"/>
                <w:szCs w:val="32"/>
              </w:rPr>
            </w:pPr>
            <w:r>
              <w:rPr>
                <w:rFonts w:hint="default"/>
                <w:color w:val="FF0000"/>
                <w:spacing w:val="10"/>
                <w:position w:val="16"/>
                <w:sz w:val="24"/>
                <w:szCs w:val="32"/>
              </w:rPr>
              <w:t>4</w:t>
            </w:r>
            <w:r>
              <w:rPr>
                <w:rFonts w:hint="default"/>
                <w:color w:val="FF0000"/>
                <w:position w:val="16"/>
                <w:sz w:val="24"/>
                <w:szCs w:val="32"/>
              </w:rPr>
              <w:t>Tl</w:t>
            </w:r>
            <w:r>
              <w:rPr>
                <w:rFonts w:hint="default"/>
                <w:color w:val="FF0000"/>
                <w:spacing w:val="7"/>
                <w:position w:val="24"/>
                <w:sz w:val="24"/>
                <w:szCs w:val="32"/>
              </w:rPr>
              <w:t>+</w:t>
            </w:r>
            <w:r>
              <w:rPr>
                <w:rFonts w:hint="default"/>
                <w:color w:val="FF0000"/>
                <w:spacing w:val="7"/>
                <w:position w:val="16"/>
                <w:sz w:val="24"/>
                <w:szCs w:val="32"/>
              </w:rPr>
              <w:t>+2</w:t>
            </w:r>
            <w:r>
              <w:rPr>
                <w:rFonts w:hint="default"/>
                <w:color w:val="FF0000"/>
                <w:position w:val="16"/>
                <w:sz w:val="24"/>
                <w:szCs w:val="32"/>
              </w:rPr>
              <w:t>H</w:t>
            </w:r>
            <w:r>
              <w:rPr>
                <w:rFonts w:hint="default"/>
                <w:color w:val="FF0000"/>
                <w:spacing w:val="7"/>
                <w:position w:val="13"/>
                <w:sz w:val="24"/>
                <w:szCs w:val="32"/>
                <w:vertAlign w:val="subscript"/>
              </w:rPr>
              <w:t>2</w:t>
            </w:r>
            <w:r>
              <w:rPr>
                <w:rFonts w:hint="default"/>
                <w:color w:val="FF0000"/>
                <w:position w:val="16"/>
                <w:sz w:val="24"/>
                <w:szCs w:val="32"/>
              </w:rPr>
              <w:t>O</w:t>
            </w:r>
            <w:r>
              <w:rPr>
                <w:rFonts w:hint="default"/>
                <w:color w:val="FF0000"/>
                <w:spacing w:val="7"/>
                <w:position w:val="13"/>
                <w:sz w:val="24"/>
                <w:szCs w:val="32"/>
                <w:vertAlign w:val="subscript"/>
              </w:rPr>
              <w:t>2</w:t>
            </w:r>
            <w:r>
              <w:rPr>
                <w:rFonts w:hint="default"/>
                <w:color w:val="FF0000"/>
                <w:spacing w:val="7"/>
                <w:position w:val="16"/>
                <w:sz w:val="24"/>
                <w:szCs w:val="32"/>
              </w:rPr>
              <w:t>→4</w:t>
            </w:r>
            <w:r>
              <w:rPr>
                <w:rFonts w:hint="default"/>
                <w:color w:val="FF0000"/>
                <w:position w:val="16"/>
                <w:sz w:val="24"/>
                <w:szCs w:val="32"/>
              </w:rPr>
              <w:t>TI</w:t>
            </w:r>
            <w:r>
              <w:rPr>
                <w:rFonts w:hint="default"/>
                <w:color w:val="FF0000"/>
                <w:spacing w:val="7"/>
                <w:position w:val="24"/>
                <w:sz w:val="24"/>
                <w:szCs w:val="32"/>
                <w:vertAlign w:val="superscript"/>
              </w:rPr>
              <w:t>3+</w:t>
            </w:r>
            <w:r>
              <w:rPr>
                <w:rFonts w:hint="default"/>
                <w:color w:val="FF0000"/>
                <w:spacing w:val="7"/>
                <w:position w:val="16"/>
                <w:sz w:val="24"/>
                <w:szCs w:val="32"/>
              </w:rPr>
              <w:t>+2</w:t>
            </w:r>
            <w:r>
              <w:rPr>
                <w:rFonts w:hint="default"/>
                <w:color w:val="FF0000"/>
                <w:position w:val="16"/>
                <w:sz w:val="24"/>
                <w:szCs w:val="32"/>
              </w:rPr>
              <w:t>H</w:t>
            </w:r>
            <w:r>
              <w:rPr>
                <w:rFonts w:hint="default"/>
                <w:color w:val="FF0000"/>
                <w:spacing w:val="7"/>
                <w:position w:val="13"/>
                <w:sz w:val="24"/>
                <w:szCs w:val="32"/>
                <w:vertAlign w:val="subscript"/>
              </w:rPr>
              <w:t>2</w:t>
            </w:r>
            <w:r>
              <w:rPr>
                <w:rFonts w:hint="default"/>
                <w:color w:val="FF0000"/>
                <w:position w:val="16"/>
                <w:sz w:val="24"/>
                <w:szCs w:val="32"/>
              </w:rPr>
              <w:t>O</w:t>
            </w:r>
            <w:r>
              <w:rPr>
                <w:rFonts w:hint="default"/>
                <w:color w:val="FF0000"/>
                <w:spacing w:val="7"/>
                <w:position w:val="16"/>
                <w:sz w:val="24"/>
                <w:szCs w:val="32"/>
              </w:rPr>
              <w:t>+</w:t>
            </w:r>
            <w:r>
              <w:rPr>
                <w:rFonts w:hint="default"/>
                <w:color w:val="FF0000"/>
                <w:position w:val="16"/>
                <w:sz w:val="24"/>
                <w:szCs w:val="32"/>
              </w:rPr>
              <w:t>O</w:t>
            </w:r>
            <w:r>
              <w:rPr>
                <w:rFonts w:hint="default"/>
                <w:color w:val="FF0000"/>
                <w:spacing w:val="7"/>
                <w:position w:val="13"/>
                <w:sz w:val="24"/>
                <w:szCs w:val="32"/>
                <w:vertAlign w:val="subscript"/>
              </w:rPr>
              <w:t>2</w:t>
            </w:r>
            <w:r>
              <w:rPr>
                <w:rFonts w:hint="default"/>
                <w:color w:val="FF0000"/>
                <w:spacing w:val="7"/>
                <w:position w:val="16"/>
                <w:sz w:val="24"/>
                <w:szCs w:val="32"/>
              </w:rPr>
              <w:t>↑</w:t>
            </w:r>
          </w:p>
          <w:p w14:paraId="58682C93">
            <w:pPr>
              <w:keepNext w:val="0"/>
              <w:keepLines w:val="0"/>
              <w:suppressLineNumbers w:val="0"/>
              <w:spacing w:before="0" w:beforeAutospacing="0" w:after="0" w:afterAutospacing="0" w:line="360" w:lineRule="auto"/>
              <w:ind w:left="0" w:right="0"/>
              <w:jc w:val="center"/>
              <w:rPr>
                <w:rFonts w:hint="default"/>
                <w:color w:val="FF0000"/>
                <w:sz w:val="24"/>
                <w:szCs w:val="32"/>
              </w:rPr>
            </w:pPr>
            <w:r>
              <w:rPr>
                <w:rFonts w:hint="default"/>
                <w:color w:val="FF0000"/>
                <w:position w:val="3"/>
                <w:sz w:val="24"/>
                <w:szCs w:val="32"/>
              </w:rPr>
              <w:t>Tl</w:t>
            </w:r>
            <w:r>
              <w:rPr>
                <w:rFonts w:hint="default"/>
                <w:color w:val="FF0000"/>
                <w:spacing w:val="6"/>
                <w:position w:val="11"/>
                <w:sz w:val="24"/>
                <w:szCs w:val="32"/>
                <w:vertAlign w:val="superscript"/>
              </w:rPr>
              <w:t>3+</w:t>
            </w:r>
            <w:r>
              <w:rPr>
                <w:rFonts w:hint="default"/>
                <w:color w:val="FF0000"/>
                <w:spacing w:val="4"/>
                <w:position w:val="3"/>
                <w:sz w:val="24"/>
                <w:szCs w:val="32"/>
              </w:rPr>
              <w:t>+</w:t>
            </w:r>
            <w:r>
              <w:rPr>
                <w:rFonts w:hint="default"/>
                <w:color w:val="FF0000"/>
                <w:spacing w:val="3"/>
                <w:position w:val="3"/>
                <w:sz w:val="24"/>
                <w:szCs w:val="32"/>
              </w:rPr>
              <w:t>3</w:t>
            </w:r>
            <w:r>
              <w:rPr>
                <w:rFonts w:hint="default"/>
                <w:color w:val="FF0000"/>
                <w:position w:val="3"/>
                <w:sz w:val="24"/>
                <w:szCs w:val="32"/>
              </w:rPr>
              <w:t>OH</w:t>
            </w:r>
            <w:r>
              <w:rPr>
                <w:rFonts w:hint="default"/>
                <w:color w:val="FF0000"/>
                <w:spacing w:val="3"/>
                <w:position w:val="11"/>
                <w:sz w:val="24"/>
                <w:szCs w:val="32"/>
              </w:rPr>
              <w:t>-</w:t>
            </w:r>
            <w:r>
              <w:rPr>
                <w:rFonts w:hint="default"/>
                <w:color w:val="FF0000"/>
                <w:spacing w:val="3"/>
                <w:position w:val="3"/>
                <w:sz w:val="24"/>
                <w:szCs w:val="32"/>
              </w:rPr>
              <w:t>→</w:t>
            </w:r>
            <w:r>
              <w:rPr>
                <w:rFonts w:hint="default"/>
                <w:color w:val="FF0000"/>
                <w:position w:val="3"/>
                <w:sz w:val="24"/>
                <w:szCs w:val="32"/>
              </w:rPr>
              <w:t>Tl</w:t>
            </w:r>
            <w:r>
              <w:rPr>
                <w:rFonts w:hint="default"/>
                <w:color w:val="FF0000"/>
                <w:spacing w:val="3"/>
                <w:position w:val="3"/>
                <w:sz w:val="24"/>
                <w:szCs w:val="32"/>
              </w:rPr>
              <w:t>(</w:t>
            </w:r>
            <w:r>
              <w:rPr>
                <w:rFonts w:hint="default"/>
                <w:color w:val="FF0000"/>
                <w:position w:val="3"/>
                <w:sz w:val="24"/>
                <w:szCs w:val="32"/>
              </w:rPr>
              <w:t>OH</w:t>
            </w:r>
            <w:r>
              <w:rPr>
                <w:rFonts w:hint="default"/>
                <w:color w:val="FF0000"/>
                <w:spacing w:val="3"/>
                <w:position w:val="3"/>
                <w:sz w:val="24"/>
                <w:szCs w:val="32"/>
              </w:rPr>
              <w:t>)</w:t>
            </w:r>
            <w:r>
              <w:rPr>
                <w:rFonts w:hint="default"/>
                <w:color w:val="FF0000"/>
                <w:spacing w:val="3"/>
                <w:sz w:val="24"/>
                <w:szCs w:val="32"/>
                <w:vertAlign w:val="subscript"/>
              </w:rPr>
              <w:t>3</w:t>
            </w:r>
            <w:r>
              <w:rPr>
                <w:rFonts w:hint="default"/>
                <w:color w:val="FF0000"/>
                <w:spacing w:val="3"/>
                <w:position w:val="3"/>
                <w:sz w:val="24"/>
                <w:szCs w:val="32"/>
              </w:rPr>
              <w:t>↓</w:t>
            </w:r>
          </w:p>
          <w:p w14:paraId="2F82F3CC">
            <w:pPr>
              <w:keepNext w:val="0"/>
              <w:keepLines w:val="0"/>
              <w:suppressLineNumbers w:val="0"/>
              <w:spacing w:before="0" w:beforeAutospacing="0" w:after="0" w:afterAutospacing="0" w:line="360" w:lineRule="auto"/>
              <w:ind w:left="0" w:right="0"/>
              <w:jc w:val="center"/>
              <w:rPr>
                <w:rFonts w:hint="default"/>
                <w:color w:val="FF0000"/>
                <w:sz w:val="24"/>
                <w:szCs w:val="32"/>
              </w:rPr>
            </w:pPr>
            <w:r>
              <w:rPr>
                <w:rFonts w:hint="default"/>
                <w:color w:val="FF0000"/>
                <w:position w:val="16"/>
                <w:sz w:val="24"/>
                <w:szCs w:val="32"/>
              </w:rPr>
              <w:t>R</w:t>
            </w:r>
            <w:r>
              <w:rPr>
                <w:rFonts w:hint="default"/>
                <w:color w:val="FF0000"/>
                <w:position w:val="24"/>
                <w:sz w:val="24"/>
                <w:szCs w:val="32"/>
              </w:rPr>
              <w:t>x</w:t>
            </w:r>
            <w:r>
              <w:rPr>
                <w:rFonts w:hint="default"/>
                <w:color w:val="FF0000"/>
                <w:spacing w:val="10"/>
                <w:position w:val="24"/>
                <w:sz w:val="24"/>
                <w:szCs w:val="32"/>
              </w:rPr>
              <w:t>-</w:t>
            </w:r>
            <w:r>
              <w:rPr>
                <w:rFonts w:hint="default"/>
                <w:color w:val="FF0000"/>
                <w:spacing w:val="10"/>
                <w:position w:val="16"/>
                <w:sz w:val="24"/>
                <w:szCs w:val="32"/>
              </w:rPr>
              <w:t>+</w:t>
            </w:r>
            <w:r>
              <w:rPr>
                <w:rFonts w:hint="default"/>
                <w:color w:val="FF0000"/>
                <w:position w:val="16"/>
                <w:sz w:val="24"/>
                <w:szCs w:val="32"/>
              </w:rPr>
              <w:t>XTl</w:t>
            </w:r>
            <w:r>
              <w:rPr>
                <w:rFonts w:hint="default"/>
                <w:color w:val="FF0000"/>
                <w:spacing w:val="10"/>
                <w:position w:val="24"/>
                <w:sz w:val="24"/>
                <w:szCs w:val="32"/>
                <w:vertAlign w:val="superscript"/>
              </w:rPr>
              <w:t>3</w:t>
            </w:r>
            <w:r>
              <w:rPr>
                <w:rFonts w:hint="default"/>
                <w:color w:val="FF0000"/>
                <w:spacing w:val="5"/>
                <w:position w:val="24"/>
                <w:sz w:val="24"/>
                <w:szCs w:val="32"/>
                <w:vertAlign w:val="superscript"/>
              </w:rPr>
              <w:t>+</w:t>
            </w:r>
            <w:r>
              <w:rPr>
                <w:rFonts w:hint="default"/>
                <w:color w:val="FF0000"/>
                <w:spacing w:val="5"/>
                <w:position w:val="16"/>
                <w:sz w:val="24"/>
                <w:szCs w:val="32"/>
              </w:rPr>
              <w:t>→</w:t>
            </w:r>
            <w:r>
              <w:rPr>
                <w:rFonts w:hint="default"/>
                <w:color w:val="FF0000"/>
                <w:position w:val="16"/>
                <w:sz w:val="24"/>
                <w:szCs w:val="32"/>
              </w:rPr>
              <w:t>Tl</w:t>
            </w:r>
            <w:r>
              <w:rPr>
                <w:rFonts w:hint="default"/>
                <w:color w:val="FF0000"/>
                <w:position w:val="14"/>
                <w:sz w:val="24"/>
                <w:szCs w:val="32"/>
              </w:rPr>
              <w:t>x</w:t>
            </w:r>
            <w:r>
              <w:rPr>
                <w:rFonts w:hint="default"/>
                <w:color w:val="FF0000"/>
                <w:position w:val="16"/>
                <w:sz w:val="24"/>
                <w:szCs w:val="32"/>
              </w:rPr>
              <w:t>R</w:t>
            </w:r>
            <w:r>
              <w:rPr>
                <w:rFonts w:hint="default"/>
                <w:color w:val="FF0000"/>
                <w:spacing w:val="5"/>
                <w:position w:val="16"/>
                <w:sz w:val="24"/>
                <w:szCs w:val="32"/>
              </w:rPr>
              <w:t>↓(</w:t>
            </w:r>
            <w:r>
              <w:rPr>
                <w:rFonts w:hint="default"/>
                <w:color w:val="FF0000"/>
                <w:position w:val="16"/>
                <w:sz w:val="24"/>
                <w:szCs w:val="32"/>
              </w:rPr>
              <w:t>R</w:t>
            </w:r>
            <w:r>
              <w:rPr>
                <w:rFonts w:hint="default"/>
                <w:color w:val="FF0000"/>
                <w:spacing w:val="5"/>
                <w:position w:val="16"/>
                <w:sz w:val="24"/>
                <w:szCs w:val="32"/>
              </w:rPr>
              <w:t>代表重金属捕捉剂的络合阴离子基团)</w:t>
            </w:r>
          </w:p>
          <w:p w14:paraId="4DCF9E45">
            <w:pPr>
              <w:keepNext w:val="0"/>
              <w:keepLines w:val="0"/>
              <w:suppressLineNumbers w:val="0"/>
              <w:spacing w:before="0" w:beforeAutospacing="0" w:after="0" w:afterAutospacing="0" w:line="360" w:lineRule="auto"/>
              <w:ind w:left="0" w:right="0"/>
              <w:jc w:val="center"/>
              <w:rPr>
                <w:rFonts w:hint="default"/>
                <w:color w:val="FF0000"/>
                <w:sz w:val="24"/>
                <w:szCs w:val="32"/>
              </w:rPr>
            </w:pPr>
            <w:r>
              <w:rPr>
                <w:rFonts w:hint="default"/>
                <w:color w:val="FF0000"/>
                <w:sz w:val="24"/>
                <w:szCs w:val="32"/>
              </w:rPr>
              <w:t>Be</w:t>
            </w:r>
            <w:r>
              <w:rPr>
                <w:rFonts w:hint="default"/>
                <w:color w:val="FF0000"/>
                <w:sz w:val="24"/>
                <w:szCs w:val="32"/>
                <w:vertAlign w:val="superscript"/>
              </w:rPr>
              <w:t>2+</w:t>
            </w:r>
            <w:r>
              <w:rPr>
                <w:rFonts w:hint="default"/>
                <w:color w:val="FF0000"/>
                <w:sz w:val="24"/>
                <w:szCs w:val="32"/>
              </w:rPr>
              <w:t>+2OH</w:t>
            </w:r>
            <w:r>
              <w:rPr>
                <w:rFonts w:hint="default"/>
                <w:color w:val="FF0000"/>
                <w:sz w:val="24"/>
                <w:szCs w:val="32"/>
                <w:vertAlign w:val="superscript"/>
              </w:rPr>
              <w:t>-</w:t>
            </w:r>
            <w:r>
              <w:rPr>
                <w:rFonts w:hint="default"/>
                <w:color w:val="FF0000"/>
                <w:sz w:val="24"/>
                <w:szCs w:val="32"/>
              </w:rPr>
              <w:t>→Be(OH)</w:t>
            </w:r>
            <w:r>
              <w:rPr>
                <w:rFonts w:hint="default"/>
                <w:color w:val="FF0000"/>
                <w:sz w:val="24"/>
                <w:szCs w:val="32"/>
                <w:vertAlign w:val="subscript"/>
              </w:rPr>
              <w:t>2</w:t>
            </w:r>
            <w:r>
              <w:rPr>
                <w:rFonts w:hint="default"/>
                <w:color w:val="FF0000"/>
                <w:sz w:val="24"/>
                <w:szCs w:val="32"/>
              </w:rPr>
              <w:t>↓</w:t>
            </w:r>
          </w:p>
          <w:p w14:paraId="30F789A5">
            <w:pPr>
              <w:keepNext w:val="0"/>
              <w:keepLines w:val="0"/>
              <w:suppressLineNumbers w:val="0"/>
              <w:adjustRightInd w:val="0"/>
              <w:spacing w:before="0" w:beforeAutospacing="0" w:after="0" w:afterAutospacing="0" w:line="360" w:lineRule="auto"/>
              <w:ind w:left="0" w:right="0"/>
              <w:jc w:val="center"/>
              <w:rPr>
                <w:rFonts w:hint="default"/>
                <w:color w:val="FF0000"/>
                <w:sz w:val="24"/>
                <w:szCs w:val="32"/>
              </w:rPr>
            </w:pPr>
            <w:r>
              <w:rPr>
                <w:rFonts w:hint="default"/>
                <w:color w:val="FF0000"/>
                <w:position w:val="1"/>
                <w:sz w:val="24"/>
                <w:szCs w:val="32"/>
              </w:rPr>
              <w:t>Al</w:t>
            </w:r>
            <w:r>
              <w:rPr>
                <w:rFonts w:hint="default"/>
                <w:color w:val="FF0000"/>
                <w:position w:val="1"/>
                <w:sz w:val="24"/>
                <w:szCs w:val="32"/>
                <w:vertAlign w:val="superscript"/>
              </w:rPr>
              <w:t>3+</w:t>
            </w:r>
            <w:r>
              <w:rPr>
                <w:rFonts w:hint="default"/>
                <w:color w:val="FF0000"/>
                <w:position w:val="1"/>
                <w:sz w:val="24"/>
                <w:szCs w:val="32"/>
              </w:rPr>
              <w:t>+3F</w:t>
            </w:r>
            <w:r>
              <w:rPr>
                <w:rFonts w:hint="default"/>
                <w:color w:val="FF0000"/>
                <w:position w:val="6"/>
                <w:sz w:val="24"/>
                <w:szCs w:val="32"/>
              </w:rPr>
              <w:t>-</w:t>
            </w:r>
            <w:r>
              <w:rPr>
                <w:rFonts w:hint="default"/>
                <w:color w:val="FF0000"/>
                <w:sz w:val="24"/>
                <w:szCs w:val="32"/>
              </w:rPr>
              <w:t>=Al(F)</w:t>
            </w:r>
            <w:r>
              <w:rPr>
                <w:rFonts w:hint="default"/>
                <w:color w:val="FF0000"/>
                <w:sz w:val="24"/>
                <w:szCs w:val="32"/>
                <w:vertAlign w:val="subscript"/>
              </w:rPr>
              <w:t>3</w:t>
            </w:r>
            <w:r>
              <w:rPr>
                <w:rFonts w:hint="default"/>
                <w:color w:val="FF0000"/>
                <w:sz w:val="24"/>
                <w:szCs w:val="32"/>
              </w:rPr>
              <w:t>↓</w:t>
            </w:r>
          </w:p>
          <w:p w14:paraId="23684AD9">
            <w:pPr>
              <w:keepNext w:val="0"/>
              <w:keepLines w:val="0"/>
              <w:suppressLineNumbers w:val="0"/>
              <w:adjustRightInd w:val="0"/>
              <w:spacing w:before="0" w:beforeAutospacing="0" w:after="0" w:afterAutospacing="0" w:line="360" w:lineRule="auto"/>
              <w:ind w:left="0" w:right="0"/>
              <w:jc w:val="center"/>
              <w:rPr>
                <w:rFonts w:hint="default"/>
                <w:color w:val="FF0000"/>
                <w:sz w:val="24"/>
                <w:szCs w:val="32"/>
              </w:rPr>
            </w:pPr>
            <w:r>
              <w:rPr>
                <w:rFonts w:hint="default"/>
                <w:color w:val="FF0000"/>
                <w:position w:val="1"/>
                <w:sz w:val="24"/>
                <w:szCs w:val="32"/>
              </w:rPr>
              <w:t>Ca</w:t>
            </w:r>
            <w:r>
              <w:rPr>
                <w:rFonts w:hint="default"/>
                <w:color w:val="FF0000"/>
                <w:spacing w:val="3"/>
                <w:position w:val="5"/>
                <w:sz w:val="24"/>
                <w:szCs w:val="18"/>
                <w:vertAlign w:val="superscript"/>
              </w:rPr>
              <w:t>2+</w:t>
            </w:r>
            <w:r>
              <w:rPr>
                <w:rFonts w:hint="default"/>
                <w:color w:val="FF0000"/>
                <w:spacing w:val="3"/>
                <w:position w:val="1"/>
                <w:sz w:val="24"/>
                <w:szCs w:val="32"/>
              </w:rPr>
              <w:t>+F</w:t>
            </w:r>
            <w:r>
              <w:rPr>
                <w:rFonts w:hint="default"/>
                <w:color w:val="FF0000"/>
                <w:spacing w:val="3"/>
                <w:position w:val="7"/>
                <w:sz w:val="24"/>
                <w:szCs w:val="32"/>
              </w:rPr>
              <w:t>-</w:t>
            </w:r>
            <w:r>
              <w:rPr>
                <w:rFonts w:hint="default"/>
                <w:color w:val="FF0000"/>
                <w:spacing w:val="3"/>
                <w:position w:val="3"/>
                <w:sz w:val="24"/>
                <w:szCs w:val="32"/>
              </w:rPr>
              <w:t>→</w:t>
            </w:r>
            <w:r>
              <w:rPr>
                <w:rFonts w:hint="default"/>
                <w:color w:val="FF0000"/>
                <w:position w:val="1"/>
                <w:sz w:val="24"/>
                <w:szCs w:val="32"/>
              </w:rPr>
              <w:t>CaF</w:t>
            </w:r>
            <w:r>
              <w:rPr>
                <w:rFonts w:hint="default"/>
                <w:color w:val="FF0000"/>
                <w:spacing w:val="3"/>
                <w:position w:val="-3"/>
                <w:sz w:val="24"/>
                <w:szCs w:val="18"/>
                <w:vertAlign w:val="subscript"/>
              </w:rPr>
              <w:t>2</w:t>
            </w:r>
            <w:r>
              <w:rPr>
                <w:rFonts w:hint="default"/>
                <w:color w:val="FF0000"/>
                <w:spacing w:val="3"/>
                <w:position w:val="2"/>
                <w:sz w:val="24"/>
                <w:szCs w:val="32"/>
              </w:rPr>
              <w:t>↓</w:t>
            </w:r>
          </w:p>
          <w:p w14:paraId="730C1A61">
            <w:pPr>
              <w:keepNext w:val="0"/>
              <w:keepLines w:val="0"/>
              <w:suppressLineNumbers w:val="0"/>
              <w:spacing w:before="0" w:beforeAutospacing="0" w:after="0" w:afterAutospacing="0" w:line="360" w:lineRule="auto"/>
              <w:ind w:left="12" w:right="42" w:firstLine="480"/>
              <w:rPr>
                <w:rFonts w:hint="default"/>
                <w:color w:val="FF0000"/>
                <w:sz w:val="24"/>
                <w:szCs w:val="22"/>
              </w:rPr>
            </w:pPr>
            <w:r>
              <w:rPr>
                <w:rFonts w:hint="default"/>
                <w:color w:val="FF0000"/>
                <w:sz w:val="24"/>
                <w:szCs w:val="22"/>
              </w:rPr>
              <w:t>本工艺流程具有以下3特点：</w:t>
            </w:r>
          </w:p>
          <w:p w14:paraId="325CFA3E">
            <w:pPr>
              <w:keepNext w:val="0"/>
              <w:keepLines w:val="0"/>
              <w:suppressLineNumbers w:val="0"/>
              <w:spacing w:before="0" w:beforeAutospacing="0" w:after="0" w:afterAutospacing="0" w:line="360" w:lineRule="auto"/>
              <w:ind w:left="12" w:right="42" w:firstLine="480"/>
              <w:rPr>
                <w:rFonts w:hint="default"/>
                <w:color w:val="FF0000"/>
                <w:sz w:val="24"/>
                <w:szCs w:val="22"/>
              </w:rPr>
            </w:pPr>
            <w:r>
              <w:rPr>
                <w:rFonts w:hint="default" w:ascii="Cambria Math" w:hAnsi="Cambria Math" w:cs="Cambria Math"/>
                <w:color w:val="FF0000"/>
                <w:sz w:val="24"/>
                <w:szCs w:val="22"/>
              </w:rPr>
              <w:t>①</w:t>
            </w:r>
            <w:r>
              <w:rPr>
                <w:rFonts w:hint="default"/>
                <w:color w:val="FF0000"/>
                <w:sz w:val="24"/>
                <w:szCs w:val="22"/>
              </w:rPr>
              <w:t>本工艺采用预处理+综合沉淀处理，现利用氧化剂将一价铊氧化为三价铊，降低毒性，同时提高沉淀效果。</w:t>
            </w:r>
          </w:p>
          <w:p w14:paraId="33F8F1DE">
            <w:pPr>
              <w:keepNext w:val="0"/>
              <w:keepLines w:val="0"/>
              <w:suppressLineNumbers w:val="0"/>
              <w:spacing w:before="0" w:beforeAutospacing="0" w:after="0" w:afterAutospacing="0" w:line="360" w:lineRule="auto"/>
              <w:ind w:left="12" w:right="42" w:firstLine="480"/>
              <w:rPr>
                <w:rFonts w:hint="default"/>
                <w:color w:val="FF0000"/>
                <w:sz w:val="24"/>
                <w:szCs w:val="22"/>
              </w:rPr>
            </w:pPr>
            <w:r>
              <w:rPr>
                <w:rFonts w:hint="default" w:ascii="Cambria Math" w:hAnsi="Cambria Math" w:cs="Cambria Math"/>
                <w:color w:val="FF0000"/>
                <w:sz w:val="24"/>
                <w:szCs w:val="22"/>
              </w:rPr>
              <w:t>②</w:t>
            </w:r>
            <w:r>
              <w:rPr>
                <w:rFonts w:hint="default"/>
                <w:color w:val="FF0000"/>
                <w:sz w:val="24"/>
                <w:szCs w:val="22"/>
              </w:rPr>
              <w:t>利用络合药物提高三价铊的共沉率，确保出水达标。</w:t>
            </w:r>
          </w:p>
          <w:p w14:paraId="3A2131BD">
            <w:pPr>
              <w:pStyle w:val="54"/>
              <w:keepNext w:val="0"/>
              <w:keepLines w:val="0"/>
              <w:suppressLineNumbers w:val="0"/>
              <w:spacing w:before="0" w:beforeAutospacing="0" w:after="0" w:afterAutospacing="0"/>
              <w:ind w:left="0" w:right="0"/>
              <w:rPr>
                <w:rFonts w:hint="default"/>
                <w:color w:val="FF0000"/>
              </w:rPr>
            </w:pPr>
            <w:r>
              <w:rPr>
                <w:rFonts w:hint="default"/>
                <w:color w:val="FF0000"/>
              </w:rPr>
              <w:t>工艺流程详见下图：</w:t>
            </w:r>
          </w:p>
          <w:p w14:paraId="2CD05E4D">
            <w:pPr>
              <w:pStyle w:val="113"/>
              <w:keepNext/>
              <w:keepLines w:val="0"/>
              <w:pageBreakBefore w:val="0"/>
              <w:widowControl w:val="0"/>
              <w:suppressLineNumbers w:val="0"/>
              <w:kinsoku/>
              <w:wordWrap/>
              <w:overflowPunct w:val="0"/>
              <w:topLinePunct w:val="0"/>
              <w:autoSpaceDE/>
              <w:autoSpaceDN/>
              <w:bidi w:val="0"/>
              <w:adjustRightInd w:val="0"/>
              <w:snapToGrid w:val="0"/>
              <w:spacing w:beforeAutospacing="0" w:afterAutospacing="0"/>
              <w:ind w:left="0" w:right="0" w:firstLine="0" w:firstLineChars="0"/>
              <w:textAlignment w:val="auto"/>
              <w:rPr>
                <w:rFonts w:hint="default"/>
              </w:rPr>
            </w:pPr>
            <w:r>
              <w:rPr>
                <w:rFonts w:hint="default"/>
                <w:color w:val="FF0000"/>
              </w:rPr>
              <w:drawing>
                <wp:inline distT="0" distB="0" distL="0" distR="0">
                  <wp:extent cx="3569335" cy="2889250"/>
                  <wp:effectExtent l="0" t="0" r="12065" b="6350"/>
                  <wp:docPr id="52428866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288669"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3569335" cy="2889250"/>
                          </a:xfrm>
                          <a:prstGeom prst="rect">
                            <a:avLst/>
                          </a:prstGeom>
                          <a:noFill/>
                          <a:ln>
                            <a:noFill/>
                          </a:ln>
                        </pic:spPr>
                      </pic:pic>
                    </a:graphicData>
                  </a:graphic>
                </wp:inline>
              </w:drawing>
            </w:r>
          </w:p>
          <w:p w14:paraId="391B7DD7">
            <w:pPr>
              <w:pStyle w:val="113"/>
              <w:keepNext/>
              <w:keepLines w:val="0"/>
              <w:pageBreakBefore w:val="0"/>
              <w:widowControl w:val="0"/>
              <w:suppressLineNumbers w:val="0"/>
              <w:kinsoku/>
              <w:wordWrap/>
              <w:overflowPunct w:val="0"/>
              <w:topLinePunct w:val="0"/>
              <w:autoSpaceDE/>
              <w:autoSpaceDN/>
              <w:bidi w:val="0"/>
              <w:adjustRightInd w:val="0"/>
              <w:snapToGrid w:val="0"/>
              <w:spacing w:beforeAutospacing="0" w:afterAutospacing="0" w:line="240" w:lineRule="auto"/>
              <w:ind w:left="0" w:right="0" w:firstLine="0" w:firstLineChars="0"/>
              <w:textAlignment w:val="auto"/>
              <w:rPr>
                <w:rFonts w:hint="default"/>
                <w:color w:val="FF0000"/>
              </w:rPr>
            </w:pPr>
            <w:r>
              <w:rPr>
                <w:rFonts w:hint="default"/>
                <w:color w:val="FF0000"/>
              </w:rPr>
              <w:t>图4-2  初期雨水处理工艺流程图</w:t>
            </w:r>
          </w:p>
          <w:p w14:paraId="3761B96D">
            <w:pPr>
              <w:pStyle w:val="76"/>
              <w:keepNext w:val="0"/>
              <w:keepLines w:val="0"/>
              <w:suppressLineNumbers w:val="0"/>
              <w:spacing w:before="0" w:beforeAutospacing="0" w:after="0" w:afterAutospacing="0"/>
              <w:ind w:left="0" w:right="0" w:firstLine="468"/>
              <w:rPr>
                <w:rFonts w:hint="default"/>
              </w:rPr>
            </w:pPr>
            <w:r>
              <w:rPr>
                <w:rFonts w:hint="default"/>
                <w:spacing w:val="-3"/>
              </w:rPr>
              <w:t>项目厂区初期雨水收</w:t>
            </w:r>
            <w:r>
              <w:rPr>
                <w:rFonts w:hint="eastAsia"/>
              </w:rPr>
              <w:t>集面积</w:t>
            </w:r>
            <w:r>
              <w:rPr>
                <w:rFonts w:hint="eastAsia"/>
                <w:color w:val="FF0000"/>
              </w:rPr>
              <w:t>约12000m</w:t>
            </w:r>
            <w:r>
              <w:rPr>
                <w:rFonts w:hint="eastAsia"/>
                <w:color w:val="FF0000"/>
                <w:vertAlign w:val="superscript"/>
              </w:rPr>
              <w:t>2</w:t>
            </w:r>
            <w:r>
              <w:rPr>
                <w:rFonts w:hint="eastAsia"/>
                <w:color w:val="FF0000"/>
              </w:rPr>
              <w:t>，</w:t>
            </w:r>
            <w:r>
              <w:rPr>
                <w:rFonts w:hint="default"/>
                <w:color w:val="FF0000"/>
              </w:rPr>
              <w:t>建设单位需对初期雨水进行收集和处理，以减少对周围地表水的不利影响</w:t>
            </w:r>
            <w:r>
              <w:rPr>
                <w:rFonts w:hint="eastAsia"/>
                <w:color w:val="FF0000"/>
              </w:rPr>
              <w:t>，通过对租赁厂房四周设置围堰仅收集租赁厂房初期雨水，再经</w:t>
            </w:r>
            <w:r>
              <w:rPr>
                <w:rFonts w:hint="eastAsia"/>
                <w:color w:val="FF0000"/>
                <w:lang w:eastAsia="zh-CN"/>
              </w:rPr>
              <w:t>氧化+除铊除氟+絮凝沉淀（</w:t>
            </w:r>
            <w:r>
              <w:rPr>
                <w:rFonts w:hint="eastAsia"/>
                <w:color w:val="FF0000"/>
                <w:lang w:val="en-US" w:eastAsia="zh-CN"/>
              </w:rPr>
              <w:t>960t/d</w:t>
            </w:r>
            <w:r>
              <w:rPr>
                <w:rFonts w:hint="eastAsia"/>
                <w:color w:val="FF0000"/>
                <w:lang w:eastAsia="zh-CN"/>
              </w:rPr>
              <w:t>）</w:t>
            </w:r>
            <w:r>
              <w:rPr>
                <w:rFonts w:hint="eastAsia"/>
                <w:color w:val="FF0000"/>
              </w:rPr>
              <w:t>处理后达到</w:t>
            </w:r>
            <w:r>
              <w:rPr>
                <w:rFonts w:hint="eastAsia"/>
                <w:color w:val="FF0000"/>
                <w:highlight w:val="none"/>
              </w:rPr>
              <w:t>《城市污水再生利用工业用水水质》（GB/T19923-2024）、《无机化学工业污染物排放标准》（GB31573-2015）和《工业废水铊污染物排放标准》（DB36/1149-2019）标准</w:t>
            </w:r>
            <w:r>
              <w:rPr>
                <w:rFonts w:hint="eastAsia"/>
                <w:color w:val="FF0000"/>
              </w:rPr>
              <w:t>后，回用于抑尘用水。本项目依托现有工程初期雨水池一座，容积为960m</w:t>
            </w:r>
            <w:r>
              <w:rPr>
                <w:rFonts w:hint="eastAsia"/>
                <w:color w:val="FF0000"/>
                <w:vertAlign w:val="superscript"/>
              </w:rPr>
              <w:t>3</w:t>
            </w:r>
            <w:r>
              <w:rPr>
                <w:rFonts w:hint="eastAsia"/>
                <w:color w:val="FF0000"/>
              </w:rPr>
              <w:t>，位于租赁1#厂房外东北侧，本项目一次初期雨水的收集量为</w:t>
            </w:r>
            <w:r>
              <w:rPr>
                <w:rFonts w:hint="eastAsia"/>
                <w:color w:val="FF0000"/>
                <w:lang w:val="en-US" w:eastAsia="zh-CN"/>
              </w:rPr>
              <w:t>240</w:t>
            </w:r>
            <w:r>
              <w:rPr>
                <w:rFonts w:hint="eastAsia"/>
                <w:color w:val="FF0000"/>
              </w:rPr>
              <w:t>m</w:t>
            </w:r>
            <w:r>
              <w:rPr>
                <w:rFonts w:hint="eastAsia"/>
                <w:color w:val="FF0000"/>
                <w:vertAlign w:val="superscript"/>
              </w:rPr>
              <w:t>3</w:t>
            </w:r>
            <w:r>
              <w:rPr>
                <w:rFonts w:hint="eastAsia"/>
                <w:color w:val="FF0000"/>
              </w:rPr>
              <w:t>，因此初期雨水池容积可行。项目</w:t>
            </w:r>
            <w:r>
              <w:rPr>
                <w:rFonts w:hint="eastAsia"/>
                <w:color w:val="FF0000"/>
                <w:lang w:eastAsia="zh-CN"/>
              </w:rPr>
              <w:t>初期雨水产生</w:t>
            </w:r>
            <w:r>
              <w:rPr>
                <w:rFonts w:hint="eastAsia"/>
                <w:color w:val="FF0000"/>
              </w:rPr>
              <w:t>量为</w:t>
            </w:r>
            <w:r>
              <w:rPr>
                <w:rFonts w:hint="eastAsia"/>
                <w:color w:val="FF0000"/>
                <w:lang w:val="en-US" w:eastAsia="zh-CN"/>
              </w:rPr>
              <w:t>8</w:t>
            </w:r>
            <w:r>
              <w:rPr>
                <w:rFonts w:hint="eastAsia"/>
                <w:color w:val="FF0000"/>
              </w:rPr>
              <w:t>t/d，</w:t>
            </w:r>
            <w:r>
              <w:rPr>
                <w:rFonts w:hint="eastAsia"/>
                <w:color w:val="FF0000"/>
                <w:lang w:eastAsia="zh-CN"/>
              </w:rPr>
              <w:t>本项目抑尘用水量为</w:t>
            </w:r>
            <w:r>
              <w:rPr>
                <w:rFonts w:hint="eastAsia"/>
                <w:color w:val="FF0000"/>
                <w:lang w:val="en-US" w:eastAsia="zh-CN"/>
              </w:rPr>
              <w:t>10t/d，本项目产生的初期雨水可完全被消纳</w:t>
            </w:r>
            <w:r>
              <w:rPr>
                <w:rFonts w:hint="eastAsia"/>
                <w:color w:val="FF0000"/>
              </w:rPr>
              <w:t>。</w:t>
            </w:r>
          </w:p>
          <w:p w14:paraId="42E58966">
            <w:pPr>
              <w:pStyle w:val="76"/>
              <w:keepNext w:val="0"/>
              <w:keepLines w:val="0"/>
              <w:suppressLineNumbers w:val="0"/>
              <w:bidi w:val="0"/>
              <w:spacing w:before="0" w:beforeAutospacing="0" w:after="0" w:afterAutospacing="0"/>
              <w:ind w:left="0" w:right="0"/>
              <w:rPr>
                <w:rFonts w:hint="default" w:ascii="Times New Roman" w:eastAsia="宋体"/>
                <w:color w:val="auto"/>
                <w:highlight w:val="none"/>
                <w:lang w:val="en-US" w:eastAsia="zh-CN"/>
              </w:rPr>
            </w:pPr>
            <w:r>
              <w:rPr>
                <w:rFonts w:hint="default"/>
              </w:rPr>
              <w:t>根据上述计算，</w:t>
            </w:r>
            <w:r>
              <w:rPr>
                <w:rFonts w:hint="eastAsia"/>
              </w:rPr>
              <w:t>初期雨水回用水可满足</w:t>
            </w:r>
            <w:r>
              <w:rPr>
                <w:rFonts w:hint="eastAsia"/>
                <w:highlight w:val="none"/>
              </w:rPr>
              <w:t>《城市污水再生利用工业用水水质》（GB/T19923-2024）、《无机化学工业污染物排放标准》（GB31573-2015）和《工业废水铊污染物排放（DB36/1149-2019）标准</w:t>
            </w:r>
            <w:r>
              <w:rPr>
                <w:rFonts w:hint="eastAsia"/>
              </w:rPr>
              <w:t>，</w:t>
            </w:r>
            <w:r>
              <w:rPr>
                <w:rFonts w:hint="default"/>
              </w:rPr>
              <w:t>因此，</w:t>
            </w:r>
            <w:r>
              <w:rPr>
                <w:rFonts w:hint="eastAsia"/>
              </w:rPr>
              <w:t>初期雨水</w:t>
            </w:r>
            <w:r>
              <w:rPr>
                <w:rFonts w:hint="default"/>
              </w:rPr>
              <w:t>经沉淀</w:t>
            </w:r>
            <w:r>
              <w:rPr>
                <w:rFonts w:hint="eastAsia"/>
              </w:rPr>
              <w:t>处理</w:t>
            </w:r>
            <w:r>
              <w:rPr>
                <w:rFonts w:hint="default"/>
              </w:rPr>
              <w:t>后回用是可行的。</w:t>
            </w:r>
          </w:p>
          <w:p w14:paraId="432843DE">
            <w:pPr>
              <w:pStyle w:val="76"/>
              <w:keepNext w:val="0"/>
              <w:keepLines w:val="0"/>
              <w:suppressLineNumbers w:val="0"/>
              <w:bidi w:val="0"/>
              <w:spacing w:before="0" w:beforeAutospacing="0" w:after="0" w:afterAutospacing="0"/>
              <w:ind w:left="0" w:right="0"/>
              <w:rPr>
                <w:rFonts w:hint="default" w:ascii="Times New Roman" w:hAnsi="Times New Roman" w:eastAsia="宋体" w:cs="Times New Roman"/>
                <w:bCs/>
                <w:color w:val="FF0000"/>
                <w:kern w:val="2"/>
                <w:sz w:val="24"/>
                <w:szCs w:val="24"/>
                <w:highlight w:val="none"/>
                <w:lang w:val="en-US" w:eastAsia="zh-CN" w:bidi="ar-SA"/>
              </w:rPr>
            </w:pPr>
            <w:r>
              <w:rPr>
                <w:rFonts w:hint="eastAsia"/>
                <w:color w:val="FF0000"/>
                <w:highlight w:val="none"/>
              </w:rPr>
              <w:t>后期雨水</w:t>
            </w:r>
            <w:r>
              <w:rPr>
                <w:rFonts w:hint="eastAsia"/>
                <w:color w:val="FF0000"/>
                <w:sz w:val="24"/>
                <w:szCs w:val="24"/>
                <w:highlight w:val="none"/>
                <w:lang w:val="en-US" w:eastAsia="zh-CN"/>
              </w:rPr>
              <w:t>排放时自动监测铊、氟化物含量，</w:t>
            </w:r>
            <w:r>
              <w:rPr>
                <w:rFonts w:hint="eastAsia"/>
                <w:color w:val="FF0000"/>
                <w:sz w:val="24"/>
                <w:szCs w:val="24"/>
                <w:highlight w:val="none"/>
              </w:rPr>
              <w:t>排入</w:t>
            </w:r>
            <w:r>
              <w:rPr>
                <w:rFonts w:hint="eastAsia"/>
                <w:color w:val="FF0000"/>
                <w:sz w:val="24"/>
                <w:szCs w:val="24"/>
                <w:highlight w:val="none"/>
                <w:lang w:val="en-US" w:eastAsia="zh-CN"/>
              </w:rPr>
              <w:t>园区雨水管网，</w:t>
            </w:r>
            <w:r>
              <w:rPr>
                <w:rFonts w:hint="eastAsia"/>
                <w:color w:val="FF0000"/>
                <w:highlight w:val="none"/>
              </w:rPr>
              <w:t>铊预警限值浓度为</w:t>
            </w:r>
            <w:r>
              <w:rPr>
                <w:rFonts w:hint="eastAsia"/>
                <w:color w:val="FF0000"/>
                <w:highlight w:val="none"/>
                <w:lang w:val="en-US" w:eastAsia="zh-CN"/>
              </w:rPr>
              <w:t>5</w:t>
            </w:r>
            <w:r>
              <w:rPr>
                <w:rFonts w:hint="default" w:ascii="Times New Roman" w:hAnsi="Times New Roman" w:cs="Times New Roman"/>
                <w:color w:val="FF0000"/>
                <w:highlight w:val="none"/>
              </w:rPr>
              <w:t>μ</w:t>
            </w:r>
            <w:r>
              <w:rPr>
                <w:rFonts w:hint="eastAsia"/>
                <w:color w:val="FF0000"/>
                <w:highlight w:val="none"/>
              </w:rPr>
              <w:t>g/L（参照</w:t>
            </w:r>
            <w:r>
              <w:rPr>
                <w:rFonts w:hint="eastAsia"/>
                <w:color w:val="FF0000"/>
                <w:highlight w:val="none"/>
                <w:lang w:val="en-US" w:eastAsia="zh-CN"/>
              </w:rPr>
              <w:t>《工业废水铊污染物排放标准》（DB36/1149-2019）标准</w:t>
            </w:r>
            <w:r>
              <w:rPr>
                <w:rFonts w:hint="eastAsia"/>
                <w:color w:val="FF0000"/>
                <w:highlight w:val="none"/>
              </w:rPr>
              <w:t>限值），氟化物预警限值浓度为2mg/L（参照《无机化学工业污染物排放标准》（GB31573-2015）的水污染物排放限值）</w:t>
            </w:r>
            <w:r>
              <w:rPr>
                <w:rFonts w:hint="eastAsia"/>
                <w:color w:val="FF0000"/>
                <w:highlight w:val="none"/>
                <w:lang w:eastAsia="zh-CN"/>
              </w:rPr>
              <w:t>，</w:t>
            </w:r>
            <w:r>
              <w:rPr>
                <w:rFonts w:hint="eastAsia"/>
                <w:color w:val="FF0000"/>
                <w:sz w:val="24"/>
                <w:szCs w:val="24"/>
                <w:highlight w:val="none"/>
                <w:lang w:val="en-US" w:eastAsia="zh-CN"/>
              </w:rPr>
              <w:t>超过预</w:t>
            </w:r>
            <w:r>
              <w:rPr>
                <w:rFonts w:hint="eastAsia"/>
                <w:color w:val="FF0000"/>
                <w:highlight w:val="none"/>
              </w:rPr>
              <w:t>警限值浓度</w:t>
            </w:r>
            <w:r>
              <w:rPr>
                <w:rFonts w:hint="eastAsia"/>
                <w:color w:val="FF0000"/>
                <w:highlight w:val="none"/>
                <w:lang w:val="en-US" w:eastAsia="zh-CN"/>
              </w:rPr>
              <w:t>后立即停止排放</w:t>
            </w:r>
            <w:r>
              <w:rPr>
                <w:rFonts w:hint="eastAsia"/>
                <w:color w:val="FF0000"/>
                <w:sz w:val="24"/>
                <w:szCs w:val="24"/>
                <w:highlight w:val="none"/>
                <w:lang w:val="en-US" w:eastAsia="zh-CN"/>
              </w:rPr>
              <w:t>；本项目仅生活污水外排至污水处理厂处理，其重金属等污染物均达标排放，</w:t>
            </w:r>
            <w:r>
              <w:rPr>
                <w:rFonts w:hint="default"/>
                <w:color w:val="FF0000"/>
                <w:highlight w:val="none"/>
              </w:rPr>
              <w:t>故不会对项目附近水</w:t>
            </w:r>
            <w:r>
              <w:rPr>
                <w:rFonts w:hint="eastAsia"/>
                <w:color w:val="FF0000"/>
                <w:highlight w:val="none"/>
                <w:lang w:val="en-US" w:eastAsia="zh-CN"/>
              </w:rPr>
              <w:t>体</w:t>
            </w:r>
            <w:r>
              <w:rPr>
                <w:rFonts w:hint="default"/>
                <w:color w:val="FF0000"/>
                <w:highlight w:val="none"/>
              </w:rPr>
              <w:t>带来不利影响。</w:t>
            </w:r>
          </w:p>
          <w:p w14:paraId="1C78CCCC">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b/>
                <w:bCs w:val="0"/>
                <w:color w:val="auto"/>
                <w:highlight w:val="none"/>
              </w:rPr>
              <w:t>4、废水环境影响分析</w:t>
            </w:r>
          </w:p>
          <w:p w14:paraId="523BD883">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本项目废水主要为生活污水，废水总排放量为</w:t>
            </w:r>
            <w:r>
              <w:rPr>
                <w:rFonts w:hint="eastAsia"/>
                <w:color w:val="auto"/>
                <w:highlight w:val="none"/>
                <w:lang w:val="en-US" w:eastAsia="zh-CN"/>
              </w:rPr>
              <w:t>384</w:t>
            </w:r>
            <w:r>
              <w:rPr>
                <w:rFonts w:hint="default"/>
                <w:color w:val="auto"/>
                <w:highlight w:val="none"/>
              </w:rPr>
              <w:t>m</w:t>
            </w:r>
            <w:r>
              <w:rPr>
                <w:rFonts w:hint="default"/>
                <w:color w:val="auto"/>
                <w:highlight w:val="none"/>
                <w:vertAlign w:val="superscript"/>
              </w:rPr>
              <w:t>3</w:t>
            </w:r>
            <w:r>
              <w:rPr>
                <w:rFonts w:hint="default"/>
                <w:color w:val="auto"/>
                <w:highlight w:val="none"/>
              </w:rPr>
              <w:t>/a，废水中主要污染物为pH、COD</w:t>
            </w:r>
            <w:r>
              <w:rPr>
                <w:rFonts w:hint="default"/>
                <w:color w:val="auto"/>
                <w:highlight w:val="none"/>
                <w:vertAlign w:val="subscript"/>
              </w:rPr>
              <w:t>Cr</w:t>
            </w:r>
            <w:r>
              <w:rPr>
                <w:rFonts w:hint="default"/>
                <w:color w:val="auto"/>
                <w:highlight w:val="none"/>
              </w:rPr>
              <w:t>、BOD</w:t>
            </w:r>
            <w:r>
              <w:rPr>
                <w:rFonts w:hint="default"/>
                <w:color w:val="auto"/>
                <w:highlight w:val="none"/>
                <w:vertAlign w:val="subscript"/>
              </w:rPr>
              <w:t>5</w:t>
            </w:r>
            <w:r>
              <w:rPr>
                <w:rFonts w:hint="default"/>
                <w:color w:val="auto"/>
                <w:highlight w:val="none"/>
              </w:rPr>
              <w:t>、SS、NH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TN、</w:t>
            </w:r>
            <w:r>
              <w:rPr>
                <w:rFonts w:hint="default"/>
                <w:color w:val="auto"/>
                <w:highlight w:val="none"/>
              </w:rPr>
              <w:t>TP</w:t>
            </w:r>
            <w:r>
              <w:rPr>
                <w:rFonts w:hint="eastAsia"/>
                <w:color w:val="auto"/>
                <w:highlight w:val="none"/>
                <w:lang w:eastAsia="zh-CN"/>
              </w:rPr>
              <w:t>、</w:t>
            </w:r>
            <w:r>
              <w:rPr>
                <w:rFonts w:hint="eastAsia"/>
                <w:color w:val="auto"/>
                <w:highlight w:val="none"/>
                <w:lang w:val="en-US" w:eastAsia="zh-CN"/>
              </w:rPr>
              <w:t>动植物油</w:t>
            </w:r>
            <w:r>
              <w:rPr>
                <w:rFonts w:hint="default"/>
                <w:color w:val="auto"/>
                <w:highlight w:val="none"/>
              </w:rPr>
              <w:t>。生活污水经</w:t>
            </w:r>
            <w:r>
              <w:rPr>
                <w:rFonts w:hint="eastAsia"/>
                <w:color w:val="auto"/>
                <w:highlight w:val="none"/>
                <w:lang w:val="en-US" w:eastAsia="zh-CN"/>
              </w:rPr>
              <w:t>隔油池、</w:t>
            </w:r>
            <w:r>
              <w:rPr>
                <w:rFonts w:hint="default"/>
                <w:color w:val="auto"/>
                <w:highlight w:val="none"/>
              </w:rPr>
              <w:t>化粪池处理后</w:t>
            </w:r>
            <w:r>
              <w:rPr>
                <w:rFonts w:hint="eastAsia"/>
                <w:color w:val="auto"/>
                <w:highlight w:val="none"/>
              </w:rPr>
              <w:t>排入</w:t>
            </w:r>
            <w:r>
              <w:rPr>
                <w:rFonts w:hint="eastAsia"/>
                <w:color w:val="auto"/>
                <w:highlight w:val="none"/>
                <w:lang w:val="en-US" w:eastAsia="zh-CN"/>
              </w:rPr>
              <w:t>建筑陶瓷产业园污水处理厂</w:t>
            </w:r>
            <w:r>
              <w:rPr>
                <w:rFonts w:hint="default"/>
                <w:color w:val="auto"/>
                <w:highlight w:val="none"/>
              </w:rPr>
              <w:t>深度处理，污水处理厂处理达标尾水水质达到《城镇污水处理厂污染物排放标准》（GB18918-2002）中一级A标准</w:t>
            </w:r>
            <w:r>
              <w:rPr>
                <w:rFonts w:hint="eastAsia"/>
                <w:color w:val="auto"/>
                <w:highlight w:val="none"/>
              </w:rPr>
              <w:t>后外排至</w:t>
            </w:r>
            <w:r>
              <w:rPr>
                <w:rFonts w:hint="eastAsia"/>
                <w:color w:val="auto"/>
                <w:highlight w:val="none"/>
                <w:lang w:val="en-US" w:eastAsia="zh-CN"/>
              </w:rPr>
              <w:t>肖江</w:t>
            </w:r>
            <w:r>
              <w:rPr>
                <w:rFonts w:hint="eastAsia"/>
                <w:color w:val="auto"/>
                <w:highlight w:val="none"/>
              </w:rPr>
              <w:t>。</w:t>
            </w:r>
            <w:r>
              <w:rPr>
                <w:rFonts w:hint="default"/>
                <w:color w:val="auto"/>
                <w:highlight w:val="none"/>
              </w:rPr>
              <w:t>根据工程分析可知，废水经预处理后废水总排放口处废水污染物pH、COD</w:t>
            </w:r>
            <w:r>
              <w:rPr>
                <w:rFonts w:hint="default"/>
                <w:color w:val="auto"/>
                <w:highlight w:val="none"/>
                <w:vertAlign w:val="subscript"/>
              </w:rPr>
              <w:t>Cr</w:t>
            </w:r>
            <w:r>
              <w:rPr>
                <w:rFonts w:hint="default"/>
                <w:color w:val="auto"/>
                <w:highlight w:val="none"/>
              </w:rPr>
              <w:t>、BOD</w:t>
            </w:r>
            <w:r>
              <w:rPr>
                <w:rFonts w:hint="default"/>
                <w:color w:val="auto"/>
                <w:highlight w:val="none"/>
                <w:vertAlign w:val="subscript"/>
              </w:rPr>
              <w:t>5</w:t>
            </w:r>
            <w:r>
              <w:rPr>
                <w:rFonts w:hint="default"/>
                <w:color w:val="auto"/>
                <w:highlight w:val="none"/>
              </w:rPr>
              <w:t>、SS、NH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TN、</w:t>
            </w:r>
            <w:r>
              <w:rPr>
                <w:rFonts w:hint="default"/>
                <w:color w:val="auto"/>
                <w:highlight w:val="none"/>
              </w:rPr>
              <w:t>TP</w:t>
            </w:r>
            <w:r>
              <w:rPr>
                <w:rFonts w:hint="eastAsia"/>
                <w:color w:val="auto"/>
                <w:highlight w:val="none"/>
                <w:lang w:eastAsia="zh-CN"/>
              </w:rPr>
              <w:t>、</w:t>
            </w:r>
            <w:r>
              <w:rPr>
                <w:rFonts w:hint="eastAsia"/>
                <w:color w:val="auto"/>
                <w:highlight w:val="none"/>
                <w:lang w:val="en-US" w:eastAsia="zh-CN"/>
              </w:rPr>
              <w:t>动植物油</w:t>
            </w:r>
            <w:r>
              <w:rPr>
                <w:rFonts w:hint="default"/>
                <w:color w:val="auto"/>
                <w:highlight w:val="none"/>
              </w:rPr>
              <w:t>满足</w:t>
            </w:r>
            <w:r>
              <w:rPr>
                <w:rFonts w:hint="eastAsia"/>
                <w:color w:val="auto"/>
                <w:highlight w:val="none"/>
                <w:lang w:val="en-US" w:eastAsia="zh-CN"/>
              </w:rPr>
              <w:t>建筑陶瓷产业园污水处理厂</w:t>
            </w:r>
            <w:r>
              <w:rPr>
                <w:rFonts w:hint="default"/>
                <w:color w:val="auto"/>
                <w:highlight w:val="none"/>
              </w:rPr>
              <w:t>接管标准，污水处理厂尾水可满足《城镇污水处理厂污染物排放标准》（GB18918-2002）表1中一级A标准，项目废水处理可行。项目废水拟预处理后纳管进入污水处理厂集中处理，不会进入周边河道，故不会对项目附近河道水质带来不利影响。</w:t>
            </w:r>
          </w:p>
          <w:p w14:paraId="6F6BFCAF">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5、依托污水处理设施的环境可行性评价</w:t>
            </w:r>
          </w:p>
          <w:p w14:paraId="25BB40A6">
            <w:pPr>
              <w:pStyle w:val="76"/>
              <w:keepNext w:val="0"/>
              <w:keepLines w:val="0"/>
              <w:suppressLineNumbers w:val="0"/>
              <w:bidi w:val="0"/>
              <w:spacing w:before="0" w:beforeAutospacing="0" w:after="0" w:afterAutospacing="0"/>
              <w:ind w:left="0" w:right="0"/>
              <w:rPr>
                <w:rFonts w:hint="eastAsia"/>
                <w:b/>
                <w:bCs w:val="0"/>
                <w:color w:val="auto"/>
                <w:highlight w:val="none"/>
                <w:lang w:val="en-US" w:eastAsia="zh-CN"/>
              </w:rPr>
            </w:pPr>
            <w:r>
              <w:rPr>
                <w:rFonts w:hint="eastAsia"/>
                <w:b/>
                <w:bCs w:val="0"/>
                <w:color w:val="auto"/>
                <w:highlight w:val="none"/>
                <w:lang w:eastAsia="zh-CN"/>
              </w:rPr>
              <w:t>（</w:t>
            </w:r>
            <w:r>
              <w:rPr>
                <w:rFonts w:hint="eastAsia"/>
                <w:b/>
                <w:bCs w:val="0"/>
                <w:color w:val="auto"/>
                <w:highlight w:val="none"/>
                <w:lang w:val="en-US" w:eastAsia="zh-CN"/>
              </w:rPr>
              <w:t>1</w:t>
            </w:r>
            <w:r>
              <w:rPr>
                <w:rFonts w:hint="eastAsia"/>
                <w:b/>
                <w:bCs w:val="0"/>
                <w:color w:val="auto"/>
                <w:highlight w:val="none"/>
                <w:lang w:eastAsia="zh-CN"/>
              </w:rPr>
              <w:t>）</w:t>
            </w:r>
            <w:r>
              <w:rPr>
                <w:rFonts w:hint="eastAsia"/>
                <w:b/>
                <w:bCs w:val="0"/>
                <w:color w:val="auto"/>
                <w:highlight w:val="none"/>
                <w:lang w:val="en-US" w:eastAsia="zh-CN"/>
              </w:rPr>
              <w:t>依托化粪池处理可行性</w:t>
            </w:r>
          </w:p>
          <w:p w14:paraId="6B066DD8">
            <w:pPr>
              <w:pStyle w:val="76"/>
              <w:keepNext w:val="0"/>
              <w:keepLines w:val="0"/>
              <w:suppressLineNumbers w:val="0"/>
              <w:bidi w:val="0"/>
              <w:spacing w:before="0" w:beforeAutospacing="0" w:after="0" w:afterAutospacing="0"/>
              <w:ind w:left="0" w:right="0"/>
              <w:rPr>
                <w:rFonts w:hint="eastAsia"/>
                <w:b/>
                <w:bCs w:val="0"/>
                <w:color w:val="auto"/>
                <w:highlight w:val="none"/>
                <w:lang w:val="en-US" w:eastAsia="zh-CN"/>
              </w:rPr>
            </w:pPr>
            <w:r>
              <w:rPr>
                <w:rFonts w:hint="eastAsia" w:eastAsia="宋体"/>
                <w:color w:val="auto"/>
                <w:highlight w:val="none"/>
                <w:lang w:val="en-US" w:eastAsia="zh-CN"/>
              </w:rPr>
              <w:t>本项目化粪池依托</w:t>
            </w:r>
            <w:r>
              <w:rPr>
                <w:rFonts w:hint="eastAsia" w:cs="Times New Roman"/>
                <w:bCs/>
                <w:color w:val="auto"/>
                <w:kern w:val="2"/>
                <w:sz w:val="24"/>
                <w:szCs w:val="24"/>
                <w:highlight w:val="none"/>
                <w:lang w:val="en-US" w:eastAsia="zh-CN" w:bidi="ar-SA"/>
              </w:rPr>
              <w:t>江西恒辉陶瓷有限公司</w:t>
            </w:r>
            <w:r>
              <w:rPr>
                <w:rFonts w:hint="eastAsia" w:eastAsia="宋体"/>
                <w:color w:val="auto"/>
                <w:highlight w:val="none"/>
                <w:lang w:val="en-US" w:eastAsia="zh-CN"/>
              </w:rPr>
              <w:t>，</w:t>
            </w:r>
            <w:r>
              <w:rPr>
                <w:rFonts w:hint="eastAsia" w:cs="Times New Roman"/>
                <w:bCs/>
                <w:color w:val="auto"/>
                <w:kern w:val="2"/>
                <w:sz w:val="24"/>
                <w:szCs w:val="24"/>
                <w:highlight w:val="none"/>
                <w:lang w:val="en-US" w:eastAsia="zh-CN" w:bidi="ar-SA"/>
              </w:rPr>
              <w:t>江西恒辉陶瓷有限公司</w:t>
            </w:r>
            <w:r>
              <w:rPr>
                <w:rFonts w:hint="eastAsia" w:eastAsia="宋体" w:cs="Times New Roman"/>
                <w:bCs/>
                <w:color w:val="auto"/>
                <w:kern w:val="2"/>
                <w:sz w:val="24"/>
                <w:szCs w:val="24"/>
                <w:highlight w:val="none"/>
                <w:lang w:val="en-US" w:eastAsia="zh-CN" w:bidi="ar-SA"/>
              </w:rPr>
              <w:t>现已停产，厂区无工作人员，</w:t>
            </w:r>
            <w:r>
              <w:rPr>
                <w:rFonts w:hint="eastAsia" w:cs="Times New Roman"/>
                <w:bCs/>
                <w:color w:val="auto"/>
                <w:kern w:val="2"/>
                <w:sz w:val="24"/>
                <w:szCs w:val="24"/>
                <w:highlight w:val="none"/>
                <w:lang w:val="en-US" w:eastAsia="zh-CN" w:bidi="ar-SA"/>
              </w:rPr>
              <w:t>江西恒辉陶瓷有限公司</w:t>
            </w:r>
            <w:r>
              <w:rPr>
                <w:rFonts w:hint="eastAsia" w:eastAsia="宋体"/>
                <w:color w:val="auto"/>
                <w:highlight w:val="none"/>
                <w:lang w:val="en-US" w:eastAsia="zh-CN"/>
              </w:rPr>
              <w:t>化粪池处理能力为10t/d，本项目生活污水量为</w:t>
            </w:r>
            <w:r>
              <w:rPr>
                <w:rFonts w:hint="eastAsia"/>
                <w:color w:val="auto"/>
                <w:highlight w:val="none"/>
                <w:lang w:val="en-US" w:eastAsia="zh-CN"/>
              </w:rPr>
              <w:t>384</w:t>
            </w:r>
            <w:r>
              <w:rPr>
                <w:rFonts w:hint="eastAsia" w:eastAsia="宋体"/>
                <w:color w:val="auto"/>
                <w:highlight w:val="none"/>
              </w:rPr>
              <w:t>m</w:t>
            </w:r>
            <w:r>
              <w:rPr>
                <w:rFonts w:hint="eastAsia" w:eastAsia="宋体"/>
                <w:color w:val="auto"/>
                <w:highlight w:val="none"/>
                <w:vertAlign w:val="superscript"/>
                <w:lang w:val="en-US" w:eastAsia="zh-CN"/>
              </w:rPr>
              <w:t>3</w:t>
            </w:r>
            <w:r>
              <w:rPr>
                <w:rFonts w:hint="eastAsia" w:eastAsia="宋体"/>
                <w:color w:val="auto"/>
                <w:highlight w:val="none"/>
              </w:rPr>
              <w:t>/</w:t>
            </w:r>
            <w:r>
              <w:rPr>
                <w:rFonts w:hint="eastAsia" w:eastAsia="宋体"/>
                <w:color w:val="auto"/>
                <w:highlight w:val="none"/>
                <w:lang w:val="en-US" w:eastAsia="zh-CN"/>
              </w:rPr>
              <w:t>a</w:t>
            </w:r>
            <w:r>
              <w:rPr>
                <w:rFonts w:hint="eastAsia" w:eastAsia="宋体"/>
                <w:color w:val="auto"/>
                <w:highlight w:val="none"/>
              </w:rPr>
              <w:t>（</w:t>
            </w:r>
            <w:r>
              <w:rPr>
                <w:rFonts w:hint="eastAsia"/>
                <w:color w:val="auto"/>
                <w:highlight w:val="none"/>
                <w:lang w:val="en-US" w:eastAsia="zh-CN"/>
              </w:rPr>
              <w:t>1.28</w:t>
            </w:r>
            <w:r>
              <w:rPr>
                <w:rFonts w:hint="eastAsia" w:eastAsia="宋体"/>
                <w:color w:val="auto"/>
                <w:highlight w:val="none"/>
              </w:rPr>
              <w:t>m</w:t>
            </w:r>
            <w:r>
              <w:rPr>
                <w:rFonts w:hint="eastAsia" w:eastAsia="宋体"/>
                <w:color w:val="auto"/>
                <w:highlight w:val="none"/>
                <w:vertAlign w:val="superscript"/>
                <w:lang w:val="en-US" w:eastAsia="zh-CN"/>
              </w:rPr>
              <w:t>3</w:t>
            </w:r>
            <w:r>
              <w:rPr>
                <w:rFonts w:hint="eastAsia" w:eastAsia="宋体"/>
                <w:color w:val="auto"/>
                <w:highlight w:val="none"/>
              </w:rPr>
              <w:t>/d）</w:t>
            </w:r>
            <w:r>
              <w:rPr>
                <w:rFonts w:hint="eastAsia" w:eastAsia="宋体"/>
                <w:color w:val="auto"/>
                <w:highlight w:val="none"/>
                <w:lang w:eastAsia="zh-CN"/>
              </w:rPr>
              <w:t>，</w:t>
            </w:r>
            <w:r>
              <w:rPr>
                <w:rFonts w:hint="eastAsia" w:eastAsia="宋体"/>
                <w:color w:val="auto"/>
                <w:highlight w:val="none"/>
                <w:lang w:val="en-US" w:eastAsia="zh-CN"/>
              </w:rPr>
              <w:t>因此本项目生活污水依托可行。</w:t>
            </w:r>
          </w:p>
          <w:p w14:paraId="2A213FCF">
            <w:pPr>
              <w:pStyle w:val="76"/>
              <w:keepNext w:val="0"/>
              <w:keepLines w:val="0"/>
              <w:suppressLineNumbers w:val="0"/>
              <w:bidi w:val="0"/>
              <w:spacing w:before="0" w:beforeAutospacing="0" w:after="0" w:afterAutospacing="0"/>
              <w:ind w:left="0" w:right="0"/>
              <w:rPr>
                <w:rFonts w:hint="default"/>
                <w:b/>
                <w:bCs w:val="0"/>
                <w:color w:val="auto"/>
                <w:highlight w:val="none"/>
                <w:lang w:val="en-US" w:eastAsia="zh-CN"/>
              </w:rPr>
            </w:pPr>
            <w:r>
              <w:rPr>
                <w:rFonts w:hint="eastAsia"/>
                <w:b/>
                <w:bCs w:val="0"/>
                <w:color w:val="auto"/>
                <w:highlight w:val="none"/>
                <w:lang w:val="en-US" w:eastAsia="zh-CN"/>
              </w:rPr>
              <w:t>（2）依托污水处理厂处理可行性</w:t>
            </w:r>
          </w:p>
          <w:p w14:paraId="092B66F1">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水量可行性</w:t>
            </w:r>
          </w:p>
          <w:p w14:paraId="3D898738">
            <w:pPr>
              <w:pStyle w:val="76"/>
              <w:keepNext w:val="0"/>
              <w:keepLines w:val="0"/>
              <w:suppressLineNumbers w:val="0"/>
              <w:bidi w:val="0"/>
              <w:spacing w:before="0" w:beforeAutospacing="0" w:after="0" w:afterAutospacing="0"/>
              <w:ind w:left="0" w:right="0"/>
              <w:rPr>
                <w:rStyle w:val="81"/>
                <w:rFonts w:hint="eastAsia"/>
                <w:bCs/>
                <w:color w:val="auto"/>
                <w:highlight w:val="none"/>
              </w:rPr>
            </w:pPr>
            <w:r>
              <w:rPr>
                <w:rFonts w:hint="eastAsia"/>
                <w:color w:val="auto"/>
                <w:highlight w:val="none"/>
              </w:rPr>
              <w:t>根据调查，目前</w:t>
            </w:r>
            <w:r>
              <w:rPr>
                <w:rFonts w:hint="eastAsia"/>
                <w:color w:val="auto"/>
                <w:highlight w:val="none"/>
                <w:lang w:val="en-US" w:eastAsia="zh-CN"/>
              </w:rPr>
              <w:t>建筑陶瓷产业园污水处理厂</w:t>
            </w:r>
            <w:r>
              <w:rPr>
                <w:rFonts w:hint="default"/>
                <w:color w:val="auto"/>
                <w:highlight w:val="none"/>
                <w:lang w:val="en-US" w:eastAsia="en-US"/>
              </w:rPr>
              <w:t>日处理</w:t>
            </w:r>
            <w:r>
              <w:rPr>
                <w:rFonts w:hint="default"/>
                <w:color w:val="auto"/>
                <w:highlight w:val="none"/>
                <w:lang w:val="en-US" w:eastAsia="zh-CN"/>
              </w:rPr>
              <w:t>污</w:t>
            </w:r>
            <w:r>
              <w:rPr>
                <w:rFonts w:hint="default"/>
                <w:color w:val="auto"/>
                <w:highlight w:val="none"/>
                <w:lang w:val="en-US" w:eastAsia="en-US"/>
              </w:rPr>
              <w:t>水30000m</w:t>
            </w:r>
            <w:r>
              <w:rPr>
                <w:rFonts w:hint="default"/>
                <w:color w:val="auto"/>
                <w:highlight w:val="none"/>
                <w:vertAlign w:val="superscript"/>
                <w:lang w:val="en-US" w:eastAsia="en-US"/>
              </w:rPr>
              <w:t>3</w:t>
            </w:r>
            <w:r>
              <w:rPr>
                <w:rFonts w:hint="default"/>
                <w:color w:val="auto"/>
                <w:highlight w:val="none"/>
                <w:lang w:val="en-US" w:eastAsia="en-US"/>
              </w:rPr>
              <w:t>/d，</w:t>
            </w:r>
            <w:r>
              <w:rPr>
                <w:rFonts w:hint="eastAsia"/>
                <w:color w:val="auto"/>
                <w:highlight w:val="none"/>
              </w:rPr>
              <w:t>结合近几年污水处理厂在线监测数据，</w:t>
            </w:r>
            <w:r>
              <w:rPr>
                <w:rFonts w:hint="eastAsia" w:ascii="Times New Roman" w:eastAsia="宋体"/>
                <w:color w:val="auto"/>
                <w:highlight w:val="none"/>
                <w:lang w:val="en-US" w:eastAsia="zh-CN"/>
              </w:rPr>
              <w:t>建筑陶瓷产业园污水处理厂</w:t>
            </w:r>
            <w:r>
              <w:rPr>
                <w:rFonts w:hint="eastAsia"/>
                <w:color w:val="auto"/>
                <w:highlight w:val="none"/>
              </w:rPr>
              <w:t>实际处理污水量</w:t>
            </w:r>
            <w:r>
              <w:rPr>
                <w:rFonts w:hint="eastAsia"/>
                <w:color w:val="auto"/>
                <w:highlight w:val="none"/>
                <w:lang w:val="en-US" w:eastAsia="zh-CN"/>
              </w:rPr>
              <w:t>约为18000</w:t>
            </w:r>
            <w:r>
              <w:rPr>
                <w:rFonts w:hint="eastAsia"/>
                <w:color w:val="auto"/>
                <w:highlight w:val="none"/>
              </w:rPr>
              <w:t>m</w:t>
            </w:r>
            <w:r>
              <w:rPr>
                <w:rFonts w:hint="eastAsia"/>
                <w:color w:val="auto"/>
                <w:highlight w:val="none"/>
                <w:vertAlign w:val="superscript"/>
                <w:lang w:val="en-US" w:eastAsia="zh-CN"/>
              </w:rPr>
              <w:t>3</w:t>
            </w:r>
            <w:r>
              <w:rPr>
                <w:rFonts w:hint="eastAsia"/>
                <w:color w:val="auto"/>
                <w:highlight w:val="none"/>
              </w:rPr>
              <w:t>/d。</w:t>
            </w:r>
            <w:r>
              <w:rPr>
                <w:rStyle w:val="81"/>
                <w:rFonts w:hint="eastAsia"/>
                <w:bCs/>
                <w:color w:val="auto"/>
                <w:highlight w:val="none"/>
              </w:rPr>
              <w:t>本项目新增废水量为</w:t>
            </w:r>
            <w:r>
              <w:rPr>
                <w:rStyle w:val="81"/>
                <w:rFonts w:hint="eastAsia"/>
                <w:bCs/>
                <w:color w:val="auto"/>
                <w:highlight w:val="none"/>
                <w:lang w:val="en-US" w:eastAsia="zh-CN"/>
              </w:rPr>
              <w:t>384</w:t>
            </w:r>
            <w:r>
              <w:rPr>
                <w:rStyle w:val="81"/>
                <w:rFonts w:hint="eastAsia"/>
                <w:bCs/>
                <w:color w:val="auto"/>
                <w:highlight w:val="none"/>
              </w:rPr>
              <w:t>m</w:t>
            </w:r>
            <w:r>
              <w:rPr>
                <w:rStyle w:val="81"/>
                <w:rFonts w:hint="eastAsia"/>
                <w:bCs/>
                <w:color w:val="auto"/>
                <w:highlight w:val="none"/>
                <w:vertAlign w:val="superscript"/>
                <w:lang w:val="en-US" w:eastAsia="zh-CN"/>
              </w:rPr>
              <w:t>3</w:t>
            </w:r>
            <w:r>
              <w:rPr>
                <w:rStyle w:val="81"/>
                <w:rFonts w:hint="eastAsia"/>
                <w:bCs/>
                <w:color w:val="auto"/>
                <w:highlight w:val="none"/>
              </w:rPr>
              <w:t>/</w:t>
            </w:r>
            <w:r>
              <w:rPr>
                <w:rStyle w:val="81"/>
                <w:rFonts w:hint="eastAsia"/>
                <w:bCs/>
                <w:color w:val="auto"/>
                <w:highlight w:val="none"/>
                <w:lang w:val="en-US" w:eastAsia="zh-CN"/>
              </w:rPr>
              <w:t>a</w:t>
            </w:r>
            <w:r>
              <w:rPr>
                <w:rStyle w:val="81"/>
                <w:rFonts w:hint="eastAsia"/>
                <w:bCs/>
                <w:color w:val="auto"/>
                <w:highlight w:val="none"/>
              </w:rPr>
              <w:t>（</w:t>
            </w:r>
            <w:r>
              <w:rPr>
                <w:rStyle w:val="81"/>
                <w:rFonts w:hint="eastAsia"/>
                <w:bCs/>
                <w:color w:val="auto"/>
                <w:highlight w:val="none"/>
                <w:lang w:val="en-US" w:eastAsia="zh-CN"/>
              </w:rPr>
              <w:t>1.28</w:t>
            </w:r>
            <w:r>
              <w:rPr>
                <w:rStyle w:val="81"/>
                <w:rFonts w:hint="eastAsia"/>
                <w:bCs/>
                <w:color w:val="auto"/>
                <w:highlight w:val="none"/>
              </w:rPr>
              <w:t>m</w:t>
            </w:r>
            <w:r>
              <w:rPr>
                <w:rStyle w:val="81"/>
                <w:rFonts w:hint="eastAsia"/>
                <w:bCs/>
                <w:color w:val="auto"/>
                <w:highlight w:val="none"/>
                <w:vertAlign w:val="superscript"/>
                <w:lang w:val="en-US" w:eastAsia="zh-CN"/>
              </w:rPr>
              <w:t>3</w:t>
            </w:r>
            <w:r>
              <w:rPr>
                <w:rStyle w:val="81"/>
                <w:rFonts w:hint="eastAsia"/>
                <w:bCs/>
                <w:color w:val="auto"/>
                <w:highlight w:val="none"/>
              </w:rPr>
              <w:t>/d），因此现有</w:t>
            </w:r>
            <w:r>
              <w:rPr>
                <w:rStyle w:val="81"/>
                <w:rFonts w:hint="eastAsia"/>
                <w:bCs/>
                <w:color w:val="auto"/>
                <w:highlight w:val="none"/>
                <w:lang w:eastAsia="zh-CN"/>
              </w:rPr>
              <w:t>建筑陶瓷产业园污水处理厂</w:t>
            </w:r>
            <w:r>
              <w:rPr>
                <w:rStyle w:val="81"/>
                <w:rFonts w:hint="eastAsia"/>
                <w:bCs/>
                <w:color w:val="auto"/>
                <w:highlight w:val="none"/>
              </w:rPr>
              <w:t>可接纳本项目新增废水。</w:t>
            </w:r>
          </w:p>
          <w:p w14:paraId="2560368B">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水质可行性</w:t>
            </w:r>
          </w:p>
          <w:p w14:paraId="6008A325">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本项目纳管排放的废水主要污染物为pH、COD</w:t>
            </w:r>
            <w:r>
              <w:rPr>
                <w:rFonts w:hint="default"/>
                <w:color w:val="auto"/>
                <w:highlight w:val="none"/>
                <w:vertAlign w:val="subscript"/>
              </w:rPr>
              <w:t>Cr</w:t>
            </w:r>
            <w:r>
              <w:rPr>
                <w:rFonts w:hint="default"/>
                <w:color w:val="auto"/>
                <w:highlight w:val="none"/>
              </w:rPr>
              <w:t>、BOD</w:t>
            </w:r>
            <w:r>
              <w:rPr>
                <w:rFonts w:hint="default"/>
                <w:color w:val="auto"/>
                <w:highlight w:val="none"/>
                <w:vertAlign w:val="subscript"/>
              </w:rPr>
              <w:t>5</w:t>
            </w:r>
            <w:r>
              <w:rPr>
                <w:rFonts w:hint="default"/>
                <w:color w:val="auto"/>
                <w:highlight w:val="none"/>
              </w:rPr>
              <w:t>、SS、NH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TN、</w:t>
            </w:r>
            <w:r>
              <w:rPr>
                <w:rFonts w:hint="default"/>
                <w:color w:val="auto"/>
                <w:highlight w:val="none"/>
              </w:rPr>
              <w:t>TP，污染因子较为简单。</w:t>
            </w:r>
            <w:r>
              <w:rPr>
                <w:rFonts w:hint="eastAsia"/>
                <w:color w:val="auto"/>
                <w:highlight w:val="none"/>
                <w:lang w:val="en-US" w:eastAsia="zh-CN"/>
              </w:rPr>
              <w:t>建筑陶瓷产业园污水处理厂</w:t>
            </w:r>
            <w:r>
              <w:rPr>
                <w:rFonts w:hint="eastAsia"/>
                <w:color w:val="auto"/>
                <w:highlight w:val="none"/>
              </w:rPr>
              <w:t>为园区配套污水处理厂，</w:t>
            </w:r>
            <w:r>
              <w:rPr>
                <w:rFonts w:hint="default"/>
                <w:color w:val="auto"/>
                <w:highlight w:val="none"/>
                <w:lang w:val="en-US" w:eastAsia="en-US"/>
              </w:rPr>
              <w:t>处理工艺为“粗细格栅+调节池+生化池+配水井+二沉池+调节池+高密度沉淀池+V型滤池+除氟系统+消毒计量池”组合工艺，</w:t>
            </w:r>
            <w:r>
              <w:rPr>
                <w:rFonts w:hint="eastAsia"/>
                <w:color w:val="auto"/>
                <w:highlight w:val="none"/>
              </w:rPr>
              <w:t>主要处理工业园区内建材、</w:t>
            </w:r>
            <w:r>
              <w:rPr>
                <w:rFonts w:hint="eastAsia"/>
                <w:color w:val="auto"/>
                <w:highlight w:val="none"/>
                <w:lang w:val="en-US" w:eastAsia="zh-CN"/>
              </w:rPr>
              <w:t>陶瓷</w:t>
            </w:r>
            <w:r>
              <w:rPr>
                <w:rFonts w:hint="eastAsia"/>
                <w:color w:val="auto"/>
                <w:highlight w:val="none"/>
              </w:rPr>
              <w:t>、</w:t>
            </w:r>
            <w:r>
              <w:rPr>
                <w:rFonts w:hint="eastAsia"/>
                <w:color w:val="auto"/>
                <w:highlight w:val="none"/>
                <w:lang w:val="en-US" w:eastAsia="zh-CN"/>
              </w:rPr>
              <w:t>新能源</w:t>
            </w:r>
            <w:r>
              <w:rPr>
                <w:rFonts w:hint="eastAsia"/>
                <w:color w:val="auto"/>
                <w:highlight w:val="none"/>
              </w:rPr>
              <w:t>等企业的工业废水和园区内的生活污水，本项目无生产废水，生活废水水质简单，</w:t>
            </w:r>
            <w:r>
              <w:rPr>
                <w:rFonts w:hint="default"/>
                <w:color w:val="auto"/>
                <w:highlight w:val="none"/>
              </w:rPr>
              <w:t>废水在厂区处理后，可满足</w:t>
            </w:r>
            <w:r>
              <w:rPr>
                <w:rFonts w:hint="eastAsia" w:ascii="Times New Roman" w:eastAsia="宋体"/>
                <w:color w:val="auto"/>
                <w:highlight w:val="none"/>
                <w:lang w:val="en-US" w:eastAsia="zh-CN"/>
              </w:rPr>
              <w:t>建筑陶瓷产业园污水处理厂</w:t>
            </w:r>
            <w:r>
              <w:rPr>
                <w:rFonts w:hint="default"/>
                <w:color w:val="auto"/>
                <w:highlight w:val="none"/>
              </w:rPr>
              <w:t>接管要求。因此，从水质角度分析，本项目废水进入</w:t>
            </w:r>
            <w:r>
              <w:rPr>
                <w:rFonts w:hint="eastAsia" w:ascii="Times New Roman" w:eastAsia="宋体"/>
                <w:color w:val="auto"/>
                <w:highlight w:val="none"/>
                <w:lang w:val="en-US" w:eastAsia="zh-CN"/>
              </w:rPr>
              <w:t>建筑陶瓷产业园污水处理厂</w:t>
            </w:r>
            <w:r>
              <w:rPr>
                <w:rFonts w:hint="default"/>
                <w:color w:val="auto"/>
                <w:highlight w:val="none"/>
              </w:rPr>
              <w:t>处理可行。</w:t>
            </w:r>
          </w:p>
          <w:p w14:paraId="2183C6C6">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3</w:t>
            </w:r>
            <w:r>
              <w:rPr>
                <w:rFonts w:hint="eastAsia"/>
                <w:color w:val="auto"/>
                <w:highlight w:val="none"/>
                <w:lang w:eastAsia="zh-CN"/>
              </w:rPr>
              <w:t>）</w:t>
            </w:r>
            <w:r>
              <w:rPr>
                <w:rFonts w:hint="default"/>
                <w:color w:val="auto"/>
                <w:highlight w:val="none"/>
              </w:rPr>
              <w:t>从纳污管网角度分析</w:t>
            </w:r>
          </w:p>
          <w:p w14:paraId="0AE68D86">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本项目位于</w:t>
            </w:r>
            <w:r>
              <w:rPr>
                <w:rFonts w:hint="eastAsia"/>
                <w:color w:val="auto"/>
                <w:highlight w:val="none"/>
                <w:lang w:val="en-US" w:eastAsia="zh-CN"/>
              </w:rPr>
              <w:t>江西省建筑陶瓷产业基地江西恒辉陶瓷有限公司厂区内</w:t>
            </w:r>
            <w:r>
              <w:rPr>
                <w:rFonts w:hint="default"/>
                <w:color w:val="auto"/>
                <w:highlight w:val="none"/>
              </w:rPr>
              <w:t>，项目所在区域已接通污水管网，从纳污管网角度分析，本项目废水进入</w:t>
            </w:r>
            <w:r>
              <w:rPr>
                <w:rFonts w:hint="eastAsia"/>
                <w:color w:val="auto"/>
                <w:highlight w:val="none"/>
                <w:lang w:val="en-US" w:eastAsia="zh-CN"/>
              </w:rPr>
              <w:t>建筑陶瓷产业园污水处理厂</w:t>
            </w:r>
            <w:r>
              <w:rPr>
                <w:rFonts w:hint="default"/>
                <w:color w:val="auto"/>
                <w:highlight w:val="none"/>
              </w:rPr>
              <w:t>处理可行。</w:t>
            </w:r>
          </w:p>
          <w:p w14:paraId="2072B630">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综上所述，本项目废水经预处理措施处理达接管标准后，排入</w:t>
            </w:r>
            <w:r>
              <w:rPr>
                <w:rFonts w:hint="eastAsia"/>
                <w:color w:val="auto"/>
                <w:highlight w:val="none"/>
                <w:lang w:val="en-US" w:eastAsia="zh-CN"/>
              </w:rPr>
              <w:t>建筑陶瓷产业园污水处理厂</w:t>
            </w:r>
            <w:r>
              <w:rPr>
                <w:rFonts w:hint="eastAsia"/>
                <w:color w:val="auto"/>
                <w:highlight w:val="none"/>
              </w:rPr>
              <w:t>进一步处理的方案可行。</w:t>
            </w:r>
          </w:p>
          <w:p w14:paraId="6642CBC0">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6、</w:t>
            </w:r>
            <w:r>
              <w:rPr>
                <w:rFonts w:hint="eastAsia"/>
                <w:b/>
                <w:bCs w:val="0"/>
                <w:color w:val="auto"/>
                <w:highlight w:val="none"/>
              </w:rPr>
              <w:t>废水自行</w:t>
            </w:r>
            <w:r>
              <w:rPr>
                <w:rFonts w:hint="default"/>
                <w:b/>
                <w:bCs w:val="0"/>
                <w:color w:val="auto"/>
                <w:highlight w:val="none"/>
              </w:rPr>
              <w:t>监测计划</w:t>
            </w:r>
          </w:p>
          <w:p w14:paraId="393321BF">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本项目运营期外排废水主要为生活污水，生活污水经</w:t>
            </w:r>
            <w:r>
              <w:rPr>
                <w:rFonts w:hint="eastAsia"/>
                <w:color w:val="auto"/>
                <w:highlight w:val="none"/>
                <w:lang w:val="en-US" w:eastAsia="zh-CN"/>
              </w:rPr>
              <w:t>隔油池、</w:t>
            </w:r>
            <w:r>
              <w:rPr>
                <w:rFonts w:hint="default"/>
                <w:color w:val="auto"/>
                <w:highlight w:val="none"/>
              </w:rPr>
              <w:t>化粪池处理后</w:t>
            </w:r>
            <w:r>
              <w:rPr>
                <w:rFonts w:hint="eastAsia"/>
                <w:color w:val="auto"/>
                <w:highlight w:val="none"/>
              </w:rPr>
              <w:t>排入</w:t>
            </w:r>
            <w:r>
              <w:rPr>
                <w:rFonts w:hint="eastAsia"/>
                <w:color w:val="auto"/>
                <w:highlight w:val="none"/>
                <w:lang w:val="en-US" w:eastAsia="zh-CN"/>
              </w:rPr>
              <w:t>建筑陶瓷产业园污水处理厂</w:t>
            </w:r>
            <w:r>
              <w:rPr>
                <w:rFonts w:hint="default"/>
                <w:color w:val="auto"/>
                <w:highlight w:val="none"/>
              </w:rPr>
              <w:t>深度处理，属于间接排放口。</w:t>
            </w:r>
          </w:p>
          <w:p w14:paraId="62649306">
            <w:pPr>
              <w:pStyle w:val="76"/>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rPr>
              <w:t>根据本项目工程特点，并结合《排污许可证申请与核发技术规范总则》（HJ942-2018）、《排污许可证申请与核发技术规范废弃资源加工工业》（HJ1034）和《排污单位自行监测技术指南</w:t>
            </w:r>
            <w:r>
              <w:rPr>
                <w:rFonts w:hint="eastAsia"/>
                <w:color w:val="auto"/>
                <w:highlight w:val="none"/>
                <w:lang w:val="en-US" w:eastAsia="zh-CN"/>
              </w:rPr>
              <w:t xml:space="preserve"> </w:t>
            </w:r>
            <w:r>
              <w:rPr>
                <w:rFonts w:hint="eastAsia"/>
                <w:color w:val="auto"/>
                <w:highlight w:val="none"/>
              </w:rPr>
              <w:t>砖瓦工业》（HJ1254-2022）</w:t>
            </w:r>
            <w:r>
              <w:rPr>
                <w:rFonts w:hint="eastAsia"/>
                <w:color w:val="auto"/>
                <w:highlight w:val="none"/>
                <w:lang w:eastAsia="zh-CN"/>
              </w:rPr>
              <w:t>、</w:t>
            </w:r>
            <w:r>
              <w:rPr>
                <w:rFonts w:hint="eastAsia"/>
                <w:color w:val="FF0000"/>
                <w:highlight w:val="none"/>
              </w:rPr>
              <w:t>《宜春市涉锂电主要行业生态环境监管标准（试行）》（宜环委办字〔</w:t>
            </w:r>
            <w:r>
              <w:rPr>
                <w:rFonts w:hint="default"/>
                <w:color w:val="FF0000"/>
                <w:highlight w:val="none"/>
              </w:rPr>
              <w:t>2023</w:t>
            </w:r>
            <w:r>
              <w:rPr>
                <w:rFonts w:hint="eastAsia"/>
                <w:color w:val="FF0000"/>
                <w:highlight w:val="none"/>
              </w:rPr>
              <w:t>〕</w:t>
            </w:r>
            <w:r>
              <w:rPr>
                <w:rFonts w:hint="default"/>
                <w:color w:val="FF0000"/>
                <w:highlight w:val="none"/>
              </w:rPr>
              <w:t>2号）</w:t>
            </w:r>
            <w:r>
              <w:rPr>
                <w:rFonts w:hint="eastAsia" w:ascii="Times New Roman" w:hAnsi="Times New Roman" w:eastAsia="宋体" w:cs="Times New Roman"/>
                <w:color w:val="auto"/>
                <w:highlight w:val="none"/>
              </w:rPr>
              <w:t>各项</w:t>
            </w:r>
            <w:r>
              <w:rPr>
                <w:rFonts w:hint="default"/>
                <w:spacing w:val="-1"/>
              </w:rPr>
              <w:t>要求</w:t>
            </w:r>
            <w:r>
              <w:rPr>
                <w:rFonts w:hint="eastAsia"/>
                <w:color w:val="auto"/>
                <w:highlight w:val="none"/>
              </w:rPr>
              <w:t>的相关规定，本项目废水</w:t>
            </w:r>
            <w:r>
              <w:rPr>
                <w:rFonts w:hint="eastAsia"/>
                <w:color w:val="auto"/>
                <w:highlight w:val="none"/>
                <w:lang w:eastAsia="zh-CN"/>
              </w:rPr>
              <w:t>自行监测计划见</w:t>
            </w:r>
            <w:r>
              <w:rPr>
                <w:rFonts w:hint="eastAsia"/>
                <w:color w:val="auto"/>
                <w:highlight w:val="none"/>
              </w:rPr>
              <w:t>下表</w:t>
            </w:r>
            <w:r>
              <w:rPr>
                <w:rFonts w:hint="eastAsia"/>
                <w:color w:val="auto"/>
                <w:highlight w:val="none"/>
                <w:lang w:eastAsia="zh-CN"/>
              </w:rPr>
              <w:t>。</w:t>
            </w:r>
          </w:p>
          <w:p w14:paraId="7F123C20">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废水自行监测计划要求</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0"/>
              <w:gridCol w:w="1923"/>
              <w:gridCol w:w="1105"/>
              <w:gridCol w:w="4268"/>
            </w:tblGrid>
            <w:tr w14:paraId="5311DB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665" w:type="pct"/>
                  <w:noWrap w:val="0"/>
                  <w:vAlign w:val="center"/>
                </w:tcPr>
                <w:p w14:paraId="2844777B">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监测点位</w:t>
                  </w:r>
                </w:p>
              </w:tc>
              <w:tc>
                <w:tcPr>
                  <w:tcW w:w="1142" w:type="pct"/>
                  <w:noWrap w:val="0"/>
                  <w:vAlign w:val="center"/>
                </w:tcPr>
                <w:p w14:paraId="02A3C85F">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监测指标</w:t>
                  </w:r>
                </w:p>
              </w:tc>
              <w:tc>
                <w:tcPr>
                  <w:tcW w:w="656" w:type="pct"/>
                  <w:noWrap w:val="0"/>
                  <w:vAlign w:val="center"/>
                </w:tcPr>
                <w:p w14:paraId="1C996F11">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监测频次</w:t>
                  </w:r>
                </w:p>
              </w:tc>
              <w:tc>
                <w:tcPr>
                  <w:tcW w:w="2535" w:type="pct"/>
                  <w:noWrap w:val="0"/>
                  <w:vAlign w:val="center"/>
                </w:tcPr>
                <w:p w14:paraId="10AF7BCA">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执行排放标准</w:t>
                  </w:r>
                </w:p>
              </w:tc>
            </w:tr>
            <w:tr w14:paraId="52B0F4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5" w:type="pct"/>
                  <w:vMerge w:val="restart"/>
                  <w:noWrap w:val="0"/>
                  <w:vAlign w:val="center"/>
                </w:tcPr>
                <w:p w14:paraId="02F364ED">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val="en-US" w:eastAsia="zh-CN"/>
                    </w:rPr>
                    <w:t>废水总排放口</w:t>
                  </w:r>
                </w:p>
              </w:tc>
              <w:tc>
                <w:tcPr>
                  <w:tcW w:w="1142" w:type="pct"/>
                  <w:noWrap w:val="0"/>
                  <w:vAlign w:val="center"/>
                </w:tcPr>
                <w:p w14:paraId="7EDDD257">
                  <w:pPr>
                    <w:pStyle w:val="78"/>
                    <w:keepNext w:val="0"/>
                    <w:keepLines w:val="0"/>
                    <w:suppressLineNumbers w:val="0"/>
                    <w:bidi w:val="0"/>
                    <w:spacing w:beforeAutospacing="0" w:afterAutospacing="0"/>
                    <w:ind w:left="0" w:right="0"/>
                    <w:rPr>
                      <w:rFonts w:hint="default" w:eastAsia="宋体"/>
                      <w:color w:val="auto"/>
                      <w:highlight w:val="none"/>
                      <w:lang w:val="en-US" w:eastAsia="zh-CN"/>
                    </w:rPr>
                  </w:pPr>
                  <w:r>
                    <w:rPr>
                      <w:rFonts w:hint="default"/>
                      <w:color w:val="auto"/>
                      <w:highlight w:val="none"/>
                    </w:rPr>
                    <w:t>pH、COD</w:t>
                  </w:r>
                  <w:r>
                    <w:rPr>
                      <w:rFonts w:hint="default"/>
                      <w:color w:val="auto"/>
                      <w:highlight w:val="none"/>
                      <w:vertAlign w:val="subscript"/>
                    </w:rPr>
                    <w:t>Cr</w:t>
                  </w:r>
                  <w:r>
                    <w:rPr>
                      <w:rFonts w:hint="default"/>
                      <w:color w:val="auto"/>
                      <w:highlight w:val="none"/>
                    </w:rPr>
                    <w:t>、BOD</w:t>
                  </w:r>
                  <w:r>
                    <w:rPr>
                      <w:rFonts w:hint="default"/>
                      <w:color w:val="auto"/>
                      <w:highlight w:val="none"/>
                      <w:vertAlign w:val="subscript"/>
                    </w:rPr>
                    <w:t>5</w:t>
                  </w:r>
                  <w:r>
                    <w:rPr>
                      <w:rFonts w:hint="default"/>
                      <w:color w:val="auto"/>
                      <w:highlight w:val="none"/>
                    </w:rPr>
                    <w:t>、SS、NH</w:t>
                  </w:r>
                  <w:r>
                    <w:rPr>
                      <w:rFonts w:hint="default"/>
                      <w:color w:val="auto"/>
                      <w:highlight w:val="none"/>
                      <w:vertAlign w:val="subscript"/>
                    </w:rPr>
                    <w:t>3</w:t>
                  </w:r>
                  <w:r>
                    <w:rPr>
                      <w:rFonts w:hint="default"/>
                      <w:color w:val="auto"/>
                      <w:highlight w:val="none"/>
                    </w:rPr>
                    <w:t>-N、</w:t>
                  </w:r>
                  <w:r>
                    <w:rPr>
                      <w:rFonts w:hint="eastAsia"/>
                      <w:color w:val="auto"/>
                      <w:highlight w:val="none"/>
                      <w:lang w:val="en-US" w:eastAsia="zh-CN"/>
                    </w:rPr>
                    <w:t>TN、</w:t>
                  </w:r>
                  <w:r>
                    <w:rPr>
                      <w:rFonts w:hint="default"/>
                      <w:color w:val="auto"/>
                      <w:highlight w:val="none"/>
                    </w:rPr>
                    <w:t>TP</w:t>
                  </w:r>
                  <w:r>
                    <w:rPr>
                      <w:rFonts w:hint="eastAsia"/>
                      <w:color w:val="auto"/>
                      <w:highlight w:val="none"/>
                      <w:lang w:eastAsia="zh-CN"/>
                    </w:rPr>
                    <w:t>、</w:t>
                  </w:r>
                  <w:r>
                    <w:rPr>
                      <w:rFonts w:hint="eastAsia"/>
                      <w:color w:val="auto"/>
                      <w:highlight w:val="none"/>
                      <w:lang w:val="en-US" w:eastAsia="zh-CN"/>
                    </w:rPr>
                    <w:t>动植物油</w:t>
                  </w:r>
                </w:p>
              </w:tc>
              <w:tc>
                <w:tcPr>
                  <w:tcW w:w="656" w:type="pct"/>
                  <w:noWrap w:val="0"/>
                  <w:vAlign w:val="center"/>
                </w:tcPr>
                <w:p w14:paraId="00F4CC76">
                  <w:pPr>
                    <w:pStyle w:val="78"/>
                    <w:keepNext w:val="0"/>
                    <w:keepLines w:val="0"/>
                    <w:suppressLineNumbers w:val="0"/>
                    <w:bidi w:val="0"/>
                    <w:spacing w:beforeAutospacing="0" w:afterAutospacing="0"/>
                    <w:ind w:left="0" w:right="0"/>
                    <w:rPr>
                      <w:rFonts w:hint="eastAsia"/>
                      <w:color w:val="auto"/>
                      <w:highlight w:val="none"/>
                      <w:lang w:eastAsia="zh-CN"/>
                    </w:rPr>
                  </w:pPr>
                  <w:r>
                    <w:rPr>
                      <w:rFonts w:hint="default"/>
                      <w:color w:val="auto"/>
                      <w:highlight w:val="none"/>
                    </w:rPr>
                    <w:t>1次/</w:t>
                  </w:r>
                  <w:r>
                    <w:rPr>
                      <w:rFonts w:hint="eastAsia"/>
                      <w:color w:val="auto"/>
                      <w:highlight w:val="none"/>
                      <w:lang w:val="en-US" w:eastAsia="zh-CN"/>
                    </w:rPr>
                    <w:t>半年</w:t>
                  </w:r>
                </w:p>
              </w:tc>
              <w:tc>
                <w:tcPr>
                  <w:tcW w:w="2535" w:type="pct"/>
                  <w:noWrap w:val="0"/>
                  <w:vAlign w:val="center"/>
                </w:tcPr>
                <w:p w14:paraId="045C7E14">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auto"/>
                      <w:highlight w:val="none"/>
                      <w:lang w:eastAsia="zh-CN"/>
                    </w:rPr>
                    <w:t>建筑陶瓷产业园污水处理厂</w:t>
                  </w:r>
                  <w:r>
                    <w:rPr>
                      <w:rFonts w:hint="eastAsia"/>
                      <w:color w:val="auto"/>
                      <w:highlight w:val="none"/>
                      <w:lang w:val="en-US" w:eastAsia="zh-CN"/>
                    </w:rPr>
                    <w:t>接管标准</w:t>
                  </w:r>
                </w:p>
              </w:tc>
            </w:tr>
            <w:tr w14:paraId="78DBC4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5" w:type="pct"/>
                  <w:vMerge w:val="continue"/>
                  <w:noWrap w:val="0"/>
                  <w:vAlign w:val="center"/>
                </w:tcPr>
                <w:p w14:paraId="6B31850A">
                  <w:pPr>
                    <w:pStyle w:val="78"/>
                    <w:keepNext w:val="0"/>
                    <w:keepLines w:val="0"/>
                    <w:suppressLineNumbers w:val="0"/>
                    <w:bidi w:val="0"/>
                    <w:spacing w:beforeAutospacing="0" w:afterAutospacing="0"/>
                    <w:ind w:left="0" w:right="0"/>
                    <w:rPr>
                      <w:rFonts w:hint="eastAsia"/>
                      <w:color w:val="auto"/>
                      <w:highlight w:val="none"/>
                      <w:lang w:val="en-US" w:eastAsia="zh-CN"/>
                    </w:rPr>
                  </w:pPr>
                </w:p>
              </w:tc>
              <w:tc>
                <w:tcPr>
                  <w:tcW w:w="1142" w:type="pct"/>
                  <w:shd w:val="clear" w:color="auto" w:fill="auto"/>
                  <w:noWrap w:val="0"/>
                  <w:vAlign w:val="center"/>
                </w:tcPr>
                <w:p w14:paraId="1D728B46">
                  <w:pPr>
                    <w:pStyle w:val="78"/>
                    <w:keepNext w:val="0"/>
                    <w:keepLines w:val="0"/>
                    <w:suppressLineNumbers w:val="0"/>
                    <w:bidi w:val="0"/>
                    <w:spacing w:beforeAutospacing="0" w:afterAutospacing="0"/>
                    <w:ind w:left="0" w:leftChars="0" w:right="0" w:rightChars="0"/>
                    <w:rPr>
                      <w:rFonts w:hint="eastAsia" w:ascii="Times New Roman" w:hAnsi="Times New Roman" w:eastAsia="宋体" w:cs="Times New Roman"/>
                      <w:color w:val="FF0000"/>
                      <w:kern w:val="2"/>
                      <w:sz w:val="21"/>
                      <w:szCs w:val="21"/>
                      <w:highlight w:val="none"/>
                      <w:lang w:val="en-US" w:eastAsia="zh-CN" w:bidi="ar-SA"/>
                    </w:rPr>
                  </w:pPr>
                  <w:r>
                    <w:rPr>
                      <w:rFonts w:hint="default"/>
                      <w:color w:val="FF0000"/>
                      <w:spacing w:val="7"/>
                      <w:highlight w:val="none"/>
                    </w:rPr>
                    <w:t>氟化物、铊</w:t>
                  </w:r>
                </w:p>
              </w:tc>
              <w:tc>
                <w:tcPr>
                  <w:tcW w:w="656" w:type="pct"/>
                  <w:shd w:val="clear" w:color="auto" w:fill="auto"/>
                  <w:noWrap w:val="0"/>
                  <w:vAlign w:val="center"/>
                </w:tcPr>
                <w:p w14:paraId="43DFE6EE">
                  <w:pPr>
                    <w:pStyle w:val="78"/>
                    <w:keepNext w:val="0"/>
                    <w:keepLines w:val="0"/>
                    <w:suppressLineNumbers w:val="0"/>
                    <w:bidi w:val="0"/>
                    <w:spacing w:beforeAutospacing="0" w:afterAutospacing="0"/>
                    <w:ind w:left="0" w:leftChars="0" w:right="0" w:rightChars="0"/>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自动监测</w:t>
                  </w:r>
                </w:p>
              </w:tc>
              <w:tc>
                <w:tcPr>
                  <w:tcW w:w="2535" w:type="pct"/>
                  <w:vMerge w:val="restart"/>
                  <w:shd w:val="clear" w:color="auto" w:fill="auto"/>
                  <w:noWrap w:val="0"/>
                  <w:vAlign w:val="center"/>
                </w:tcPr>
                <w:p w14:paraId="473A9E68">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FF0000"/>
                    </w:rPr>
                    <w:t>铊预警限值浓度为</w:t>
                  </w:r>
                  <w:r>
                    <w:rPr>
                      <w:rFonts w:hint="eastAsia"/>
                      <w:color w:val="FF0000"/>
                      <w:lang w:val="en-US" w:eastAsia="zh-CN"/>
                    </w:rPr>
                    <w:t>2</w:t>
                  </w:r>
                  <w:r>
                    <w:rPr>
                      <w:rFonts w:hint="eastAsia"/>
                      <w:color w:val="FF0000"/>
                    </w:rPr>
                    <w:t>μg/L，氟化物预警限值浓度为2mg/L参照</w:t>
                  </w:r>
                  <w:r>
                    <w:rPr>
                      <w:rFonts w:hint="eastAsia"/>
                      <w:color w:val="FF0000"/>
                      <w:highlight w:val="none"/>
                    </w:rPr>
                    <w:t>《宜春市涉锂电主要行业生态环境监管标准（试行）》（宜环委办字〔</w:t>
                  </w:r>
                  <w:r>
                    <w:rPr>
                      <w:rFonts w:hint="default"/>
                      <w:color w:val="FF0000"/>
                      <w:highlight w:val="none"/>
                    </w:rPr>
                    <w:t>2023</w:t>
                  </w:r>
                  <w:r>
                    <w:rPr>
                      <w:rFonts w:hint="eastAsia"/>
                      <w:color w:val="FF0000"/>
                      <w:highlight w:val="none"/>
                    </w:rPr>
                    <w:t>〕</w:t>
                  </w:r>
                  <w:r>
                    <w:rPr>
                      <w:rFonts w:hint="default"/>
                      <w:color w:val="FF0000"/>
                      <w:highlight w:val="none"/>
                    </w:rPr>
                    <w:t>2号）</w:t>
                  </w:r>
                  <w:r>
                    <w:rPr>
                      <w:rFonts w:hint="eastAsia"/>
                      <w:color w:val="FF0000"/>
                      <w:highlight w:val="none"/>
                    </w:rPr>
                    <w:t>中相关浓度预警值要求</w:t>
                  </w:r>
                  <w:r>
                    <w:rPr>
                      <w:rFonts w:hint="eastAsia"/>
                      <w:color w:val="FF0000"/>
                      <w:highlight w:val="none"/>
                      <w:lang w:eastAsia="zh-CN"/>
                    </w:rPr>
                    <w:t>。</w:t>
                  </w:r>
                </w:p>
              </w:tc>
            </w:tr>
            <w:tr w14:paraId="33385A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65" w:type="pct"/>
                  <w:noWrap w:val="0"/>
                  <w:vAlign w:val="center"/>
                </w:tcPr>
                <w:p w14:paraId="1A96E4D8">
                  <w:pPr>
                    <w:pStyle w:val="78"/>
                    <w:keepNext w:val="0"/>
                    <w:keepLines w:val="0"/>
                    <w:suppressLineNumbers w:val="0"/>
                    <w:bidi w:val="0"/>
                    <w:spacing w:beforeAutospacing="0" w:afterAutospacing="0"/>
                    <w:ind w:left="0" w:right="0"/>
                    <w:rPr>
                      <w:rFonts w:hint="default"/>
                      <w:color w:val="auto"/>
                      <w:highlight w:val="none"/>
                      <w:lang w:val="en-US" w:eastAsia="zh-CN"/>
                    </w:rPr>
                  </w:pPr>
                  <w:r>
                    <w:rPr>
                      <w:rFonts w:hint="eastAsia"/>
                      <w:color w:val="FF0000"/>
                      <w:highlight w:val="none"/>
                      <w:lang w:val="en-US" w:eastAsia="zh-CN"/>
                    </w:rPr>
                    <w:t>雨水排放口</w:t>
                  </w:r>
                </w:p>
              </w:tc>
              <w:tc>
                <w:tcPr>
                  <w:tcW w:w="1142" w:type="pct"/>
                  <w:noWrap w:val="0"/>
                  <w:vAlign w:val="center"/>
                </w:tcPr>
                <w:p w14:paraId="221B5443">
                  <w:pPr>
                    <w:pStyle w:val="78"/>
                    <w:keepNext w:val="0"/>
                    <w:keepLines w:val="0"/>
                    <w:suppressLineNumbers w:val="0"/>
                    <w:bidi w:val="0"/>
                    <w:spacing w:beforeAutospacing="0" w:afterAutospacing="0"/>
                    <w:ind w:left="0" w:right="0"/>
                    <w:rPr>
                      <w:rFonts w:hint="eastAsia" w:eastAsia="宋体"/>
                      <w:color w:val="FF0000"/>
                      <w:highlight w:val="none"/>
                      <w:lang w:eastAsia="zh-CN"/>
                    </w:rPr>
                  </w:pPr>
                  <w:r>
                    <w:rPr>
                      <w:rFonts w:hint="default"/>
                      <w:color w:val="FF0000"/>
                      <w:spacing w:val="7"/>
                      <w:highlight w:val="none"/>
                    </w:rPr>
                    <w:t>氟化物、铊</w:t>
                  </w:r>
                </w:p>
              </w:tc>
              <w:tc>
                <w:tcPr>
                  <w:tcW w:w="656" w:type="pct"/>
                  <w:noWrap w:val="0"/>
                  <w:vAlign w:val="center"/>
                </w:tcPr>
                <w:p w14:paraId="34C9EBB2">
                  <w:pPr>
                    <w:pStyle w:val="78"/>
                    <w:keepNext w:val="0"/>
                    <w:keepLines w:val="0"/>
                    <w:suppressLineNumbers w:val="0"/>
                    <w:bidi w:val="0"/>
                    <w:spacing w:beforeAutospacing="0" w:afterAutospacing="0"/>
                    <w:ind w:left="0" w:right="0"/>
                    <w:rPr>
                      <w:rFonts w:hint="default" w:eastAsia="宋体"/>
                      <w:color w:val="FF0000"/>
                      <w:highlight w:val="none"/>
                      <w:lang w:val="en-US" w:eastAsia="zh-CN"/>
                    </w:rPr>
                  </w:pPr>
                  <w:r>
                    <w:rPr>
                      <w:rFonts w:hint="eastAsia"/>
                      <w:color w:val="FF0000"/>
                      <w:highlight w:val="none"/>
                      <w:lang w:val="en-US" w:eastAsia="zh-CN"/>
                    </w:rPr>
                    <w:t>自动监测</w:t>
                  </w:r>
                </w:p>
              </w:tc>
              <w:tc>
                <w:tcPr>
                  <w:tcW w:w="2535" w:type="pct"/>
                  <w:vMerge w:val="continue"/>
                  <w:noWrap w:val="0"/>
                  <w:vAlign w:val="center"/>
                </w:tcPr>
                <w:p w14:paraId="38BDFB7E">
                  <w:pPr>
                    <w:pStyle w:val="78"/>
                    <w:keepNext w:val="0"/>
                    <w:keepLines w:val="0"/>
                    <w:suppressLineNumbers w:val="0"/>
                    <w:bidi w:val="0"/>
                    <w:spacing w:beforeAutospacing="0" w:afterAutospacing="0"/>
                    <w:ind w:left="0" w:right="0"/>
                    <w:rPr>
                      <w:rFonts w:hint="default"/>
                      <w:color w:val="auto"/>
                      <w:highlight w:val="none"/>
                      <w:lang w:val="en-US" w:eastAsia="zh-CN"/>
                    </w:rPr>
                  </w:pPr>
                </w:p>
              </w:tc>
            </w:tr>
          </w:tbl>
          <w:p w14:paraId="135CAD65">
            <w:pPr>
              <w:pStyle w:val="76"/>
              <w:keepNext w:val="0"/>
              <w:keepLines w:val="0"/>
              <w:suppressLineNumbers w:val="0"/>
              <w:bidi w:val="0"/>
              <w:spacing w:before="0" w:beforeAutospacing="0" w:after="0" w:afterAutospacing="0"/>
              <w:ind w:left="0" w:right="0"/>
              <w:rPr>
                <w:rFonts w:hint="eastAsia"/>
                <w:color w:val="auto"/>
                <w:highlight w:val="none"/>
                <w:lang w:eastAsia="zh-CN"/>
              </w:rPr>
            </w:pPr>
          </w:p>
          <w:p w14:paraId="10CC7374">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6A4E5B39">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0851DA32">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252F4CEE">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202C3F2A">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7C6BA1AD">
            <w:pPr>
              <w:pStyle w:val="76"/>
              <w:keepNext w:val="0"/>
              <w:keepLines w:val="0"/>
              <w:suppressLineNumbers w:val="0"/>
              <w:bidi w:val="0"/>
              <w:spacing w:before="0" w:beforeAutospacing="0" w:after="0" w:afterAutospacing="0"/>
              <w:ind w:left="0" w:right="0"/>
              <w:rPr>
                <w:rFonts w:hint="eastAsia"/>
                <w:color w:val="auto"/>
                <w:highlight w:val="none"/>
                <w:lang w:val="en-US" w:eastAsia="zh-CN"/>
              </w:rPr>
            </w:pPr>
          </w:p>
          <w:p w14:paraId="4F14D739">
            <w:pPr>
              <w:keepNext w:val="0"/>
              <w:keepLines w:val="0"/>
              <w:suppressLineNumbers w:val="0"/>
              <w:spacing w:before="0" w:beforeAutospacing="0" w:after="0" w:afterAutospacing="0"/>
              <w:ind w:left="0" w:right="0" w:firstLine="480"/>
              <w:rPr>
                <w:rFonts w:hint="default"/>
                <w:color w:val="auto"/>
                <w:highlight w:val="none"/>
              </w:rPr>
            </w:pPr>
          </w:p>
        </w:tc>
      </w:tr>
    </w:tbl>
    <w:p w14:paraId="1CA6DA60">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3763"/>
      </w:tblGrid>
      <w:tr w14:paraId="6BB31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1" w:type="dxa"/>
            <w:noWrap w:val="0"/>
            <w:vAlign w:val="center"/>
          </w:tcPr>
          <w:p w14:paraId="40126F9F">
            <w:pPr>
              <w:pStyle w:val="77"/>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运营期环境影响和保护措施</w:t>
            </w:r>
          </w:p>
        </w:tc>
        <w:tc>
          <w:tcPr>
            <w:tcW w:w="13763" w:type="dxa"/>
            <w:noWrap w:val="0"/>
            <w:vAlign w:val="top"/>
          </w:tcPr>
          <w:p w14:paraId="35EEB12A">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三、噪声</w:t>
            </w:r>
          </w:p>
          <w:p w14:paraId="3368AF1F">
            <w:pPr>
              <w:pStyle w:val="76"/>
              <w:keepNext w:val="0"/>
              <w:keepLines w:val="0"/>
              <w:suppressLineNumbers w:val="0"/>
              <w:bidi w:val="0"/>
              <w:spacing w:before="0" w:beforeAutospacing="0" w:after="0" w:afterAutospacing="0"/>
              <w:ind w:left="0" w:right="0"/>
              <w:rPr>
                <w:rFonts w:hint="eastAsia"/>
                <w:b/>
                <w:bCs w:val="0"/>
                <w:color w:val="auto"/>
                <w:highlight w:val="none"/>
                <w:lang w:val="en-US" w:eastAsia="zh-CN"/>
              </w:rPr>
            </w:pPr>
            <w:r>
              <w:rPr>
                <w:rFonts w:hint="default"/>
                <w:b/>
                <w:bCs w:val="0"/>
                <w:color w:val="auto"/>
                <w:highlight w:val="none"/>
                <w:lang w:val="en-US" w:eastAsia="zh-CN"/>
              </w:rPr>
              <w:t>1</w:t>
            </w:r>
            <w:r>
              <w:rPr>
                <w:rFonts w:hint="eastAsia"/>
                <w:b/>
                <w:bCs w:val="0"/>
                <w:color w:val="auto"/>
                <w:highlight w:val="none"/>
                <w:lang w:val="en-US" w:eastAsia="zh-CN"/>
              </w:rPr>
              <w:t>、噪声源强</w:t>
            </w:r>
          </w:p>
          <w:p w14:paraId="41BAB353">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default"/>
                <w:color w:val="auto"/>
                <w:spacing w:val="8"/>
                <w:highlight w:val="none"/>
              </w:rPr>
              <w:t>本项目噪声主要来自破碎机等设备产生的机械噪声</w:t>
            </w:r>
            <w:r>
              <w:rPr>
                <w:rFonts w:hint="eastAsia"/>
                <w:color w:val="auto"/>
                <w:spacing w:val="8"/>
                <w:highlight w:val="none"/>
                <w:lang w:eastAsia="zh-CN"/>
              </w:rPr>
              <w:t>，</w:t>
            </w:r>
            <w:r>
              <w:rPr>
                <w:rFonts w:hint="default"/>
                <w:color w:val="auto"/>
                <w:spacing w:val="-66"/>
                <w:highlight w:val="none"/>
              </w:rPr>
              <w:t xml:space="preserve"> </w:t>
            </w:r>
            <w:r>
              <w:rPr>
                <w:rFonts w:hint="default"/>
                <w:color w:val="auto"/>
                <w:spacing w:val="8"/>
                <w:highlight w:val="none"/>
              </w:rPr>
              <w:t>噪声值为</w:t>
            </w:r>
            <w:r>
              <w:rPr>
                <w:rFonts w:hint="default" w:ascii="Times New Roman" w:hAnsi="Times New Roman" w:eastAsia="Times New Roman" w:cs="Times New Roman"/>
                <w:color w:val="auto"/>
                <w:spacing w:val="-2"/>
                <w:highlight w:val="none"/>
              </w:rPr>
              <w:t>7</w:t>
            </w:r>
            <w:r>
              <w:rPr>
                <w:rFonts w:hint="eastAsia" w:eastAsia="宋体" w:cs="Times New Roman"/>
                <w:color w:val="auto"/>
                <w:spacing w:val="-2"/>
                <w:highlight w:val="none"/>
                <w:lang w:val="en-US" w:eastAsia="zh-CN"/>
              </w:rPr>
              <w:t>5</w:t>
            </w:r>
            <w:r>
              <w:rPr>
                <w:rFonts w:hint="default" w:ascii="Times New Roman" w:hAnsi="Times New Roman" w:eastAsia="Times New Roman" w:cs="Times New Roman"/>
                <w:color w:val="auto"/>
                <w:spacing w:val="-2"/>
                <w:highlight w:val="none"/>
              </w:rPr>
              <w:t>-90dB(A)</w:t>
            </w:r>
            <w:r>
              <w:rPr>
                <w:rFonts w:hint="default"/>
                <w:color w:val="auto"/>
                <w:spacing w:val="-2"/>
                <w:highlight w:val="none"/>
              </w:rPr>
              <w:t>，具体见</w:t>
            </w:r>
            <w:r>
              <w:rPr>
                <w:rFonts w:hint="eastAsia"/>
                <w:color w:val="auto"/>
                <w:spacing w:val="-2"/>
                <w:highlight w:val="none"/>
                <w:lang w:val="en-US" w:eastAsia="zh-CN"/>
              </w:rPr>
              <w:t>下表</w:t>
            </w:r>
            <w:r>
              <w:rPr>
                <w:rFonts w:hint="default"/>
                <w:color w:val="auto"/>
                <w:spacing w:val="-2"/>
                <w:highlight w:val="none"/>
              </w:rPr>
              <w:t>。</w:t>
            </w:r>
          </w:p>
          <w:p w14:paraId="60423FB4">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工业企业噪声源强调查清单（室内声源）</w:t>
            </w:r>
          </w:p>
          <w:tbl>
            <w:tblPr>
              <w:tblStyle w:val="25"/>
              <w:tblW w:w="484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41"/>
              <w:gridCol w:w="803"/>
              <w:gridCol w:w="764"/>
              <w:gridCol w:w="857"/>
              <w:gridCol w:w="465"/>
              <w:gridCol w:w="600"/>
              <w:gridCol w:w="630"/>
              <w:gridCol w:w="480"/>
              <w:gridCol w:w="525"/>
              <w:gridCol w:w="480"/>
              <w:gridCol w:w="495"/>
              <w:gridCol w:w="600"/>
              <w:gridCol w:w="675"/>
              <w:gridCol w:w="615"/>
              <w:gridCol w:w="585"/>
              <w:gridCol w:w="479"/>
              <w:gridCol w:w="661"/>
              <w:gridCol w:w="645"/>
              <w:gridCol w:w="600"/>
              <w:gridCol w:w="615"/>
              <w:gridCol w:w="615"/>
              <w:gridCol w:w="509"/>
            </w:tblGrid>
            <w:tr w14:paraId="7071F0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restart"/>
                  <w:noWrap w:val="0"/>
                  <w:vAlign w:val="center"/>
                </w:tcPr>
                <w:p w14:paraId="2764CB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eastAsia="宋体"/>
                      <w:b/>
                      <w:bCs/>
                      <w:color w:val="auto"/>
                      <w:sz w:val="18"/>
                      <w:szCs w:val="18"/>
                      <w:highlight w:val="none"/>
                      <w:lang w:eastAsia="zh-CN"/>
                    </w:rPr>
                  </w:pPr>
                  <w:r>
                    <w:rPr>
                      <w:rFonts w:hint="eastAsia"/>
                      <w:b/>
                      <w:bCs/>
                      <w:color w:val="auto"/>
                      <w:sz w:val="18"/>
                      <w:szCs w:val="18"/>
                      <w:highlight w:val="none"/>
                      <w:lang w:eastAsia="zh-CN"/>
                    </w:rPr>
                    <w:t>序号</w:t>
                  </w:r>
                </w:p>
              </w:tc>
              <w:tc>
                <w:tcPr>
                  <w:tcW w:w="803" w:type="dxa"/>
                  <w:vMerge w:val="restart"/>
                  <w:noWrap w:val="0"/>
                  <w:vAlign w:val="center"/>
                </w:tcPr>
                <w:p w14:paraId="4A5808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声源名称</w:t>
                  </w:r>
                </w:p>
              </w:tc>
              <w:tc>
                <w:tcPr>
                  <w:tcW w:w="764" w:type="dxa"/>
                  <w:vMerge w:val="restart"/>
                  <w:noWrap w:val="0"/>
                  <w:vAlign w:val="center"/>
                </w:tcPr>
                <w:p w14:paraId="3AAF5A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line="216" w:lineRule="auto"/>
                    <w:ind w:left="-120" w:leftChars="-50" w:right="-120" w:rightChars="-50"/>
                    <w:textAlignment w:val="auto"/>
                    <w:rPr>
                      <w:rFonts w:hint="default"/>
                      <w:b/>
                      <w:bCs/>
                      <w:color w:val="auto"/>
                      <w:sz w:val="18"/>
                      <w:szCs w:val="18"/>
                      <w:highlight w:val="none"/>
                    </w:rPr>
                  </w:pPr>
                  <w:r>
                    <w:rPr>
                      <w:rFonts w:hint="default" w:ascii="Times New Roman" w:hAnsi="Times New Roman" w:eastAsia="宋体" w:cs="Times New Roman"/>
                      <w:b/>
                      <w:bCs/>
                      <w:color w:val="auto"/>
                      <w:sz w:val="18"/>
                      <w:szCs w:val="18"/>
                      <w:highlight w:val="none"/>
                      <w:lang w:val="en-US" w:eastAsia="zh-CN"/>
                    </w:rPr>
                    <w:t>声压级/距声源距离/（dB（A）/m）</w:t>
                  </w:r>
                </w:p>
              </w:tc>
              <w:tc>
                <w:tcPr>
                  <w:tcW w:w="857" w:type="dxa"/>
                  <w:vMerge w:val="restart"/>
                  <w:noWrap w:val="0"/>
                  <w:vAlign w:val="center"/>
                </w:tcPr>
                <w:p w14:paraId="3DE549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声源控制措施</w:t>
                  </w:r>
                </w:p>
              </w:tc>
              <w:tc>
                <w:tcPr>
                  <w:tcW w:w="1695" w:type="dxa"/>
                  <w:gridSpan w:val="3"/>
                  <w:noWrap w:val="0"/>
                  <w:vAlign w:val="center"/>
                </w:tcPr>
                <w:p w14:paraId="6529C6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空间相对位置/m</w:t>
                  </w:r>
                </w:p>
              </w:tc>
              <w:tc>
                <w:tcPr>
                  <w:tcW w:w="1980" w:type="dxa"/>
                  <w:gridSpan w:val="4"/>
                  <w:noWrap w:val="0"/>
                  <w:vAlign w:val="center"/>
                </w:tcPr>
                <w:p w14:paraId="0F1E08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距室内边界距离/m</w:t>
                  </w:r>
                </w:p>
              </w:tc>
              <w:tc>
                <w:tcPr>
                  <w:tcW w:w="2475" w:type="dxa"/>
                  <w:gridSpan w:val="4"/>
                  <w:noWrap w:val="0"/>
                  <w:vAlign w:val="center"/>
                </w:tcPr>
                <w:p w14:paraId="303469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室内边界声级/dB（A）</w:t>
                  </w:r>
                </w:p>
              </w:tc>
              <w:tc>
                <w:tcPr>
                  <w:tcW w:w="479" w:type="dxa"/>
                  <w:vMerge w:val="restart"/>
                  <w:noWrap w:val="0"/>
                  <w:vAlign w:val="center"/>
                </w:tcPr>
                <w:p w14:paraId="656059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运行时段</w:t>
                  </w:r>
                </w:p>
                <w:p w14:paraId="7FBE9C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h/d</w:t>
                  </w:r>
                </w:p>
              </w:tc>
              <w:tc>
                <w:tcPr>
                  <w:tcW w:w="661" w:type="dxa"/>
                  <w:vMerge w:val="restart"/>
                  <w:noWrap w:val="0"/>
                  <w:vAlign w:val="center"/>
                </w:tcPr>
                <w:p w14:paraId="5EF1E1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建筑物插入损失dB(A)</w:t>
                  </w:r>
                </w:p>
              </w:tc>
              <w:tc>
                <w:tcPr>
                  <w:tcW w:w="2475" w:type="dxa"/>
                  <w:gridSpan w:val="4"/>
                  <w:noWrap w:val="0"/>
                  <w:vAlign w:val="center"/>
                </w:tcPr>
                <w:p w14:paraId="1281DA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建筑物外噪声</w:t>
                  </w:r>
                </w:p>
              </w:tc>
              <w:tc>
                <w:tcPr>
                  <w:tcW w:w="509" w:type="dxa"/>
                  <w:vMerge w:val="restart"/>
                  <w:noWrap w:val="0"/>
                  <w:vAlign w:val="center"/>
                </w:tcPr>
                <w:p w14:paraId="717D3A5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sz w:val="18"/>
                      <w:szCs w:val="18"/>
                      <w:highlight w:val="none"/>
                    </w:rPr>
                  </w:pPr>
                  <w:r>
                    <w:rPr>
                      <w:rFonts w:hint="default"/>
                      <w:b/>
                      <w:bCs/>
                      <w:color w:val="auto"/>
                      <w:sz w:val="18"/>
                      <w:szCs w:val="18"/>
                      <w:highlight w:val="none"/>
                    </w:rPr>
                    <w:t>建筑物外距离m</w:t>
                  </w:r>
                </w:p>
              </w:tc>
            </w:tr>
            <w:tr w14:paraId="2B1960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5C4C90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803" w:type="dxa"/>
                  <w:vMerge w:val="continue"/>
                  <w:noWrap w:val="0"/>
                  <w:vAlign w:val="center"/>
                </w:tcPr>
                <w:p w14:paraId="3FD45D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764" w:type="dxa"/>
                  <w:vMerge w:val="continue"/>
                  <w:noWrap w:val="0"/>
                  <w:vAlign w:val="center"/>
                </w:tcPr>
                <w:p w14:paraId="2DB7633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857" w:type="dxa"/>
                  <w:vMerge w:val="continue"/>
                  <w:noWrap w:val="0"/>
                  <w:vAlign w:val="center"/>
                </w:tcPr>
                <w:p w14:paraId="36CC0A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65" w:type="dxa"/>
                  <w:vMerge w:val="restart"/>
                  <w:noWrap w:val="0"/>
                  <w:vAlign w:val="center"/>
                </w:tcPr>
                <w:p w14:paraId="2A82D5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X</w:t>
                  </w:r>
                </w:p>
              </w:tc>
              <w:tc>
                <w:tcPr>
                  <w:tcW w:w="600" w:type="dxa"/>
                  <w:vMerge w:val="restart"/>
                  <w:noWrap w:val="0"/>
                  <w:vAlign w:val="center"/>
                </w:tcPr>
                <w:p w14:paraId="455F1B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Y</w:t>
                  </w:r>
                </w:p>
              </w:tc>
              <w:tc>
                <w:tcPr>
                  <w:tcW w:w="630" w:type="dxa"/>
                  <w:vMerge w:val="restart"/>
                  <w:noWrap w:val="0"/>
                  <w:vAlign w:val="center"/>
                </w:tcPr>
                <w:p w14:paraId="3451BF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Z</w:t>
                  </w:r>
                </w:p>
              </w:tc>
              <w:tc>
                <w:tcPr>
                  <w:tcW w:w="480" w:type="dxa"/>
                  <w:vMerge w:val="restart"/>
                  <w:noWrap w:val="0"/>
                  <w:vAlign w:val="center"/>
                </w:tcPr>
                <w:p w14:paraId="337834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东</w:t>
                  </w:r>
                </w:p>
              </w:tc>
              <w:tc>
                <w:tcPr>
                  <w:tcW w:w="525" w:type="dxa"/>
                  <w:vMerge w:val="restart"/>
                  <w:noWrap w:val="0"/>
                  <w:vAlign w:val="center"/>
                </w:tcPr>
                <w:p w14:paraId="1CCCDBE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南</w:t>
                  </w:r>
                </w:p>
              </w:tc>
              <w:tc>
                <w:tcPr>
                  <w:tcW w:w="480" w:type="dxa"/>
                  <w:vMerge w:val="restart"/>
                  <w:noWrap w:val="0"/>
                  <w:vAlign w:val="center"/>
                </w:tcPr>
                <w:p w14:paraId="4B163A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西</w:t>
                  </w:r>
                </w:p>
              </w:tc>
              <w:tc>
                <w:tcPr>
                  <w:tcW w:w="495" w:type="dxa"/>
                  <w:vMerge w:val="restart"/>
                  <w:noWrap w:val="0"/>
                  <w:vAlign w:val="center"/>
                </w:tcPr>
                <w:p w14:paraId="466A0C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北</w:t>
                  </w:r>
                </w:p>
              </w:tc>
              <w:tc>
                <w:tcPr>
                  <w:tcW w:w="600" w:type="dxa"/>
                  <w:vMerge w:val="restart"/>
                  <w:noWrap w:val="0"/>
                  <w:vAlign w:val="center"/>
                </w:tcPr>
                <w:p w14:paraId="008F4A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东</w:t>
                  </w:r>
                </w:p>
              </w:tc>
              <w:tc>
                <w:tcPr>
                  <w:tcW w:w="675" w:type="dxa"/>
                  <w:vMerge w:val="restart"/>
                  <w:noWrap w:val="0"/>
                  <w:vAlign w:val="center"/>
                </w:tcPr>
                <w:p w14:paraId="25622A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南</w:t>
                  </w:r>
                </w:p>
              </w:tc>
              <w:tc>
                <w:tcPr>
                  <w:tcW w:w="615" w:type="dxa"/>
                  <w:vMerge w:val="restart"/>
                  <w:noWrap w:val="0"/>
                  <w:vAlign w:val="center"/>
                </w:tcPr>
                <w:p w14:paraId="3016C7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西</w:t>
                  </w:r>
                </w:p>
              </w:tc>
              <w:tc>
                <w:tcPr>
                  <w:tcW w:w="585" w:type="dxa"/>
                  <w:vMerge w:val="restart"/>
                  <w:noWrap w:val="0"/>
                  <w:vAlign w:val="center"/>
                </w:tcPr>
                <w:p w14:paraId="349001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北</w:t>
                  </w:r>
                </w:p>
              </w:tc>
              <w:tc>
                <w:tcPr>
                  <w:tcW w:w="479" w:type="dxa"/>
                  <w:vMerge w:val="continue"/>
                  <w:noWrap w:val="0"/>
                  <w:vAlign w:val="center"/>
                </w:tcPr>
                <w:p w14:paraId="6F9AEB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61" w:type="dxa"/>
                  <w:vMerge w:val="continue"/>
                  <w:noWrap w:val="0"/>
                  <w:vAlign w:val="center"/>
                </w:tcPr>
                <w:p w14:paraId="36910B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2475" w:type="dxa"/>
                  <w:gridSpan w:val="4"/>
                  <w:noWrap w:val="0"/>
                  <w:vAlign w:val="center"/>
                </w:tcPr>
                <w:p w14:paraId="4F132A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声压级dB(A)</w:t>
                  </w:r>
                </w:p>
              </w:tc>
              <w:tc>
                <w:tcPr>
                  <w:tcW w:w="509" w:type="dxa"/>
                  <w:vMerge w:val="continue"/>
                  <w:noWrap w:val="0"/>
                  <w:vAlign w:val="center"/>
                </w:tcPr>
                <w:p w14:paraId="3B64DF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sz w:val="18"/>
                      <w:szCs w:val="18"/>
                      <w:highlight w:val="none"/>
                    </w:rPr>
                  </w:pPr>
                </w:p>
              </w:tc>
            </w:tr>
            <w:tr w14:paraId="2249E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vMerge w:val="continue"/>
                  <w:noWrap w:val="0"/>
                  <w:vAlign w:val="center"/>
                </w:tcPr>
                <w:p w14:paraId="3688E9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803" w:type="dxa"/>
                  <w:vMerge w:val="continue"/>
                  <w:noWrap w:val="0"/>
                  <w:vAlign w:val="center"/>
                </w:tcPr>
                <w:p w14:paraId="1A666F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764" w:type="dxa"/>
                  <w:vMerge w:val="continue"/>
                  <w:noWrap w:val="0"/>
                  <w:vAlign w:val="center"/>
                </w:tcPr>
                <w:p w14:paraId="560529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857" w:type="dxa"/>
                  <w:vMerge w:val="continue"/>
                  <w:noWrap w:val="0"/>
                  <w:vAlign w:val="center"/>
                </w:tcPr>
                <w:p w14:paraId="51088A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65" w:type="dxa"/>
                  <w:vMerge w:val="continue"/>
                  <w:noWrap w:val="0"/>
                  <w:vAlign w:val="center"/>
                </w:tcPr>
                <w:p w14:paraId="4E52E0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00" w:type="dxa"/>
                  <w:vMerge w:val="continue"/>
                  <w:noWrap w:val="0"/>
                  <w:vAlign w:val="center"/>
                </w:tcPr>
                <w:p w14:paraId="36744A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30" w:type="dxa"/>
                  <w:vMerge w:val="continue"/>
                  <w:noWrap w:val="0"/>
                  <w:vAlign w:val="center"/>
                </w:tcPr>
                <w:p w14:paraId="5ABC47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80" w:type="dxa"/>
                  <w:vMerge w:val="continue"/>
                  <w:noWrap w:val="0"/>
                  <w:vAlign w:val="center"/>
                </w:tcPr>
                <w:p w14:paraId="4335B9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525" w:type="dxa"/>
                  <w:vMerge w:val="continue"/>
                  <w:noWrap w:val="0"/>
                  <w:vAlign w:val="center"/>
                </w:tcPr>
                <w:p w14:paraId="72DA80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80" w:type="dxa"/>
                  <w:vMerge w:val="continue"/>
                  <w:noWrap w:val="0"/>
                  <w:vAlign w:val="center"/>
                </w:tcPr>
                <w:p w14:paraId="152B70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95" w:type="dxa"/>
                  <w:vMerge w:val="continue"/>
                  <w:noWrap w:val="0"/>
                  <w:vAlign w:val="center"/>
                </w:tcPr>
                <w:p w14:paraId="5C3387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00" w:type="dxa"/>
                  <w:vMerge w:val="continue"/>
                  <w:noWrap w:val="0"/>
                  <w:vAlign w:val="center"/>
                </w:tcPr>
                <w:p w14:paraId="66DD20F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75" w:type="dxa"/>
                  <w:vMerge w:val="continue"/>
                  <w:noWrap w:val="0"/>
                  <w:vAlign w:val="center"/>
                </w:tcPr>
                <w:p w14:paraId="0A857A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15" w:type="dxa"/>
                  <w:vMerge w:val="continue"/>
                  <w:noWrap w:val="0"/>
                  <w:vAlign w:val="center"/>
                </w:tcPr>
                <w:p w14:paraId="5EC7B3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585" w:type="dxa"/>
                  <w:vMerge w:val="continue"/>
                  <w:noWrap w:val="0"/>
                  <w:vAlign w:val="center"/>
                </w:tcPr>
                <w:p w14:paraId="2A640D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479" w:type="dxa"/>
                  <w:vMerge w:val="continue"/>
                  <w:noWrap w:val="0"/>
                  <w:vAlign w:val="center"/>
                </w:tcPr>
                <w:p w14:paraId="503B08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61" w:type="dxa"/>
                  <w:vMerge w:val="continue"/>
                  <w:noWrap w:val="0"/>
                  <w:vAlign w:val="center"/>
                </w:tcPr>
                <w:p w14:paraId="0C9F08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p>
              </w:tc>
              <w:tc>
                <w:tcPr>
                  <w:tcW w:w="645" w:type="dxa"/>
                  <w:noWrap w:val="0"/>
                  <w:vAlign w:val="center"/>
                </w:tcPr>
                <w:p w14:paraId="23F4EC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东</w:t>
                  </w:r>
                </w:p>
              </w:tc>
              <w:tc>
                <w:tcPr>
                  <w:tcW w:w="600" w:type="dxa"/>
                  <w:noWrap w:val="0"/>
                  <w:vAlign w:val="center"/>
                </w:tcPr>
                <w:p w14:paraId="38EF06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南</w:t>
                  </w:r>
                </w:p>
              </w:tc>
              <w:tc>
                <w:tcPr>
                  <w:tcW w:w="615" w:type="dxa"/>
                  <w:noWrap w:val="0"/>
                  <w:vAlign w:val="center"/>
                </w:tcPr>
                <w:p w14:paraId="110CCB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西</w:t>
                  </w:r>
                </w:p>
              </w:tc>
              <w:tc>
                <w:tcPr>
                  <w:tcW w:w="615" w:type="dxa"/>
                  <w:noWrap w:val="0"/>
                  <w:vAlign w:val="center"/>
                </w:tcPr>
                <w:p w14:paraId="5AAE42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b/>
                      <w:bCs/>
                      <w:color w:val="auto"/>
                      <w:sz w:val="18"/>
                      <w:szCs w:val="18"/>
                      <w:highlight w:val="none"/>
                    </w:rPr>
                  </w:pPr>
                  <w:r>
                    <w:rPr>
                      <w:rFonts w:hint="default"/>
                      <w:b/>
                      <w:bCs/>
                      <w:color w:val="auto"/>
                      <w:sz w:val="18"/>
                      <w:szCs w:val="18"/>
                      <w:highlight w:val="none"/>
                    </w:rPr>
                    <w:t>北</w:t>
                  </w:r>
                </w:p>
              </w:tc>
              <w:tc>
                <w:tcPr>
                  <w:tcW w:w="509" w:type="dxa"/>
                  <w:vMerge w:val="continue"/>
                  <w:noWrap w:val="0"/>
                  <w:vAlign w:val="center"/>
                </w:tcPr>
                <w:p w14:paraId="09AA7D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sz w:val="18"/>
                      <w:szCs w:val="18"/>
                      <w:highlight w:val="none"/>
                    </w:rPr>
                  </w:pPr>
                </w:p>
              </w:tc>
            </w:tr>
            <w:tr w14:paraId="3B4ACC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441" w:type="dxa"/>
                  <w:noWrap w:val="0"/>
                  <w:vAlign w:val="center"/>
                </w:tcPr>
                <w:p w14:paraId="197277CE">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noWrap w:val="0"/>
                  <w:vAlign w:val="center"/>
                </w:tcPr>
                <w:p w14:paraId="55AA5F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eastAsia="宋体"/>
                      <w:color w:val="auto"/>
                      <w:sz w:val="18"/>
                      <w:szCs w:val="18"/>
                      <w:highlight w:val="none"/>
                      <w:lang w:val="en-US" w:eastAsia="zh-CN"/>
                    </w:rPr>
                  </w:pPr>
                  <w:r>
                    <w:rPr>
                      <w:rFonts w:hint="eastAsia" w:eastAsia="宋体"/>
                      <w:color w:val="auto"/>
                      <w:sz w:val="18"/>
                      <w:szCs w:val="18"/>
                      <w:highlight w:val="none"/>
                      <w:lang w:eastAsia="zh-CN"/>
                    </w:rPr>
                    <w:t>静压机</w:t>
                  </w:r>
                  <w:r>
                    <w:rPr>
                      <w:rFonts w:hint="eastAsia"/>
                      <w:color w:val="auto"/>
                      <w:sz w:val="18"/>
                      <w:szCs w:val="18"/>
                      <w:highlight w:val="none"/>
                      <w:lang w:val="en-US" w:eastAsia="zh-CN"/>
                    </w:rPr>
                    <w:t>1</w:t>
                  </w:r>
                </w:p>
              </w:tc>
              <w:tc>
                <w:tcPr>
                  <w:tcW w:w="764" w:type="dxa"/>
                  <w:noWrap w:val="0"/>
                  <w:vAlign w:val="center"/>
                </w:tcPr>
                <w:p w14:paraId="4699A3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80</w:t>
                  </w:r>
                </w:p>
              </w:tc>
              <w:tc>
                <w:tcPr>
                  <w:tcW w:w="857" w:type="dxa"/>
                  <w:vMerge w:val="restart"/>
                  <w:noWrap w:val="0"/>
                  <w:vAlign w:val="center"/>
                </w:tcPr>
                <w:p w14:paraId="35AEC7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ascii="Times New Roman" w:hAnsi="Times New Roman" w:eastAsia="宋体" w:cs="Times New Roman"/>
                      <w:color w:val="auto"/>
                      <w:kern w:val="0"/>
                      <w:sz w:val="18"/>
                      <w:szCs w:val="18"/>
                      <w:highlight w:val="none"/>
                      <w:lang w:val="en-US" w:eastAsia="zh-CN" w:bidi="ar-SA"/>
                    </w:rPr>
                    <w:t>采用低噪声设备</w:t>
                  </w:r>
                  <w:r>
                    <w:rPr>
                      <w:rFonts w:hint="eastAsia" w:ascii="Times New Roman" w:hAnsi="Times New Roman" w:eastAsia="宋体" w:cs="Times New Roman"/>
                      <w:color w:val="auto"/>
                      <w:kern w:val="0"/>
                      <w:sz w:val="18"/>
                      <w:szCs w:val="18"/>
                      <w:highlight w:val="none"/>
                      <w:lang w:val="en-US" w:eastAsia="zh-CN" w:bidi="ar-SA"/>
                    </w:rPr>
                    <w:t>、</w:t>
                  </w:r>
                  <w:r>
                    <w:rPr>
                      <w:rFonts w:hint="default" w:ascii="Times New Roman" w:hAnsi="Times New Roman" w:eastAsia="宋体" w:cs="Times New Roman"/>
                      <w:color w:val="auto"/>
                      <w:kern w:val="0"/>
                      <w:sz w:val="18"/>
                      <w:szCs w:val="18"/>
                      <w:highlight w:val="none"/>
                      <w:lang w:val="en-US" w:eastAsia="zh-CN" w:bidi="ar-SA"/>
                    </w:rPr>
                    <w:t>墙壁隔声、减振</w:t>
                  </w:r>
                </w:p>
              </w:tc>
              <w:tc>
                <w:tcPr>
                  <w:tcW w:w="465" w:type="dxa"/>
                  <w:noWrap w:val="0"/>
                  <w:vAlign w:val="center"/>
                </w:tcPr>
                <w:p w14:paraId="68A92C8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23</w:t>
                  </w:r>
                </w:p>
              </w:tc>
              <w:tc>
                <w:tcPr>
                  <w:tcW w:w="600" w:type="dxa"/>
                  <w:noWrap w:val="0"/>
                  <w:vAlign w:val="center"/>
                </w:tcPr>
                <w:p w14:paraId="22DA61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-13</w:t>
                  </w:r>
                </w:p>
              </w:tc>
              <w:tc>
                <w:tcPr>
                  <w:tcW w:w="630" w:type="dxa"/>
                  <w:noWrap w:val="0"/>
                  <w:vAlign w:val="center"/>
                </w:tcPr>
                <w:p w14:paraId="2B9AC5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480" w:type="dxa"/>
                  <w:noWrap w:val="0"/>
                  <w:vAlign w:val="center"/>
                </w:tcPr>
                <w:p w14:paraId="3378367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9</w:t>
                  </w:r>
                </w:p>
              </w:tc>
              <w:tc>
                <w:tcPr>
                  <w:tcW w:w="525" w:type="dxa"/>
                  <w:noWrap w:val="0"/>
                  <w:vAlign w:val="center"/>
                </w:tcPr>
                <w:p w14:paraId="733836B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49</w:t>
                  </w:r>
                </w:p>
              </w:tc>
              <w:tc>
                <w:tcPr>
                  <w:tcW w:w="480" w:type="dxa"/>
                  <w:noWrap w:val="0"/>
                  <w:vAlign w:val="center"/>
                </w:tcPr>
                <w:p w14:paraId="4E8AFE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46</w:t>
                  </w:r>
                </w:p>
              </w:tc>
              <w:tc>
                <w:tcPr>
                  <w:tcW w:w="495" w:type="dxa"/>
                  <w:noWrap w:val="0"/>
                  <w:vAlign w:val="center"/>
                </w:tcPr>
                <w:p w14:paraId="44AE57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66</w:t>
                  </w:r>
                </w:p>
              </w:tc>
              <w:tc>
                <w:tcPr>
                  <w:tcW w:w="600" w:type="dxa"/>
                  <w:noWrap w:val="0"/>
                  <w:vAlign w:val="center"/>
                </w:tcPr>
                <w:p w14:paraId="49AC910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60.9</w:t>
                  </w:r>
                </w:p>
              </w:tc>
              <w:tc>
                <w:tcPr>
                  <w:tcW w:w="675" w:type="dxa"/>
                  <w:noWrap w:val="0"/>
                  <w:vAlign w:val="center"/>
                </w:tcPr>
                <w:p w14:paraId="178C25E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46.2</w:t>
                  </w:r>
                </w:p>
              </w:tc>
              <w:tc>
                <w:tcPr>
                  <w:tcW w:w="615" w:type="dxa"/>
                  <w:noWrap w:val="0"/>
                  <w:vAlign w:val="center"/>
                </w:tcPr>
                <w:p w14:paraId="43B19BB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46.7</w:t>
                  </w:r>
                </w:p>
              </w:tc>
              <w:tc>
                <w:tcPr>
                  <w:tcW w:w="585" w:type="dxa"/>
                  <w:noWrap w:val="0"/>
                  <w:vAlign w:val="center"/>
                </w:tcPr>
                <w:p w14:paraId="6382F56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43.6</w:t>
                  </w:r>
                </w:p>
              </w:tc>
              <w:tc>
                <w:tcPr>
                  <w:tcW w:w="479" w:type="dxa"/>
                  <w:vMerge w:val="restart"/>
                  <w:noWrap w:val="0"/>
                  <w:vAlign w:val="center"/>
                </w:tcPr>
                <w:p w14:paraId="6E16D5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24</w:t>
                  </w:r>
                </w:p>
              </w:tc>
              <w:tc>
                <w:tcPr>
                  <w:tcW w:w="661" w:type="dxa"/>
                  <w:vMerge w:val="restart"/>
                  <w:noWrap w:val="0"/>
                  <w:vAlign w:val="center"/>
                </w:tcPr>
                <w:p w14:paraId="75ECCE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lang w:val="en-US" w:eastAsia="zh-CN"/>
                    </w:rPr>
                  </w:pPr>
                  <w:r>
                    <w:rPr>
                      <w:rFonts w:hint="eastAsia"/>
                      <w:color w:val="auto"/>
                      <w:sz w:val="18"/>
                      <w:szCs w:val="18"/>
                      <w:highlight w:val="none"/>
                      <w:lang w:val="en-US" w:eastAsia="zh-CN"/>
                    </w:rPr>
                    <w:t>15</w:t>
                  </w:r>
                </w:p>
              </w:tc>
              <w:tc>
                <w:tcPr>
                  <w:tcW w:w="645" w:type="dxa"/>
                  <w:noWrap w:val="0"/>
                  <w:vAlign w:val="center"/>
                </w:tcPr>
                <w:p w14:paraId="5357B8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45.9</w:t>
                  </w:r>
                </w:p>
              </w:tc>
              <w:tc>
                <w:tcPr>
                  <w:tcW w:w="600" w:type="dxa"/>
                  <w:noWrap w:val="0"/>
                  <w:vAlign w:val="center"/>
                </w:tcPr>
                <w:p w14:paraId="4472F91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31.2</w:t>
                  </w:r>
                </w:p>
              </w:tc>
              <w:tc>
                <w:tcPr>
                  <w:tcW w:w="615" w:type="dxa"/>
                  <w:noWrap w:val="0"/>
                  <w:vAlign w:val="center"/>
                </w:tcPr>
                <w:p w14:paraId="2724F2D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31.7</w:t>
                  </w:r>
                </w:p>
              </w:tc>
              <w:tc>
                <w:tcPr>
                  <w:tcW w:w="615" w:type="dxa"/>
                  <w:noWrap w:val="0"/>
                  <w:vAlign w:val="center"/>
                </w:tcPr>
                <w:p w14:paraId="368B785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28.6</w:t>
                  </w:r>
                </w:p>
              </w:tc>
              <w:tc>
                <w:tcPr>
                  <w:tcW w:w="509" w:type="dxa"/>
                  <w:vMerge w:val="restart"/>
                  <w:noWrap w:val="0"/>
                  <w:vAlign w:val="center"/>
                </w:tcPr>
                <w:p w14:paraId="3870F4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r>
            <w:tr w14:paraId="23D949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338D74B9">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noWrap w:val="0"/>
                  <w:vAlign w:val="center"/>
                </w:tcPr>
                <w:p w14:paraId="2248B70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eastAsia="宋体"/>
                      <w:color w:val="auto"/>
                      <w:sz w:val="18"/>
                      <w:szCs w:val="18"/>
                      <w:highlight w:val="none"/>
                      <w:lang w:val="en-US" w:eastAsia="zh-CN"/>
                    </w:rPr>
                  </w:pPr>
                  <w:r>
                    <w:rPr>
                      <w:rFonts w:hint="default"/>
                      <w:color w:val="auto"/>
                      <w:sz w:val="18"/>
                      <w:szCs w:val="18"/>
                      <w:highlight w:val="none"/>
                    </w:rPr>
                    <w:t>静压机</w:t>
                  </w:r>
                  <w:r>
                    <w:rPr>
                      <w:rFonts w:hint="eastAsia"/>
                      <w:color w:val="auto"/>
                      <w:sz w:val="18"/>
                      <w:szCs w:val="18"/>
                      <w:highlight w:val="none"/>
                      <w:lang w:val="en-US" w:eastAsia="zh-CN"/>
                    </w:rPr>
                    <w:t>2</w:t>
                  </w:r>
                </w:p>
              </w:tc>
              <w:tc>
                <w:tcPr>
                  <w:tcW w:w="764" w:type="dxa"/>
                  <w:noWrap w:val="0"/>
                  <w:vAlign w:val="center"/>
                </w:tcPr>
                <w:p w14:paraId="39195A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80</w:t>
                  </w:r>
                </w:p>
              </w:tc>
              <w:tc>
                <w:tcPr>
                  <w:tcW w:w="857" w:type="dxa"/>
                  <w:vMerge w:val="continue"/>
                  <w:noWrap w:val="0"/>
                  <w:vAlign w:val="center"/>
                </w:tcPr>
                <w:p w14:paraId="005228E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7D3848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10</w:t>
                  </w:r>
                </w:p>
              </w:tc>
              <w:tc>
                <w:tcPr>
                  <w:tcW w:w="600" w:type="dxa"/>
                  <w:noWrap w:val="0"/>
                  <w:vAlign w:val="center"/>
                </w:tcPr>
                <w:p w14:paraId="42F308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-32</w:t>
                  </w:r>
                </w:p>
              </w:tc>
              <w:tc>
                <w:tcPr>
                  <w:tcW w:w="630" w:type="dxa"/>
                  <w:noWrap w:val="0"/>
                  <w:vAlign w:val="center"/>
                </w:tcPr>
                <w:p w14:paraId="08597E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480" w:type="dxa"/>
                  <w:noWrap w:val="0"/>
                  <w:vAlign w:val="center"/>
                </w:tcPr>
                <w:p w14:paraId="75AA83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32</w:t>
                  </w:r>
                </w:p>
              </w:tc>
              <w:tc>
                <w:tcPr>
                  <w:tcW w:w="525" w:type="dxa"/>
                  <w:noWrap w:val="0"/>
                  <w:vAlign w:val="center"/>
                </w:tcPr>
                <w:p w14:paraId="05856B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47</w:t>
                  </w:r>
                </w:p>
              </w:tc>
              <w:tc>
                <w:tcPr>
                  <w:tcW w:w="480" w:type="dxa"/>
                  <w:noWrap w:val="0"/>
                  <w:vAlign w:val="center"/>
                </w:tcPr>
                <w:p w14:paraId="5726C8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23</w:t>
                  </w:r>
                </w:p>
              </w:tc>
              <w:tc>
                <w:tcPr>
                  <w:tcW w:w="495" w:type="dxa"/>
                  <w:noWrap w:val="0"/>
                  <w:vAlign w:val="center"/>
                </w:tcPr>
                <w:p w14:paraId="24E9A0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68</w:t>
                  </w:r>
                </w:p>
              </w:tc>
              <w:tc>
                <w:tcPr>
                  <w:tcW w:w="600" w:type="dxa"/>
                  <w:noWrap w:val="0"/>
                  <w:vAlign w:val="center"/>
                </w:tcPr>
                <w:p w14:paraId="3F0B1FE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49.9</w:t>
                  </w:r>
                </w:p>
              </w:tc>
              <w:tc>
                <w:tcPr>
                  <w:tcW w:w="675" w:type="dxa"/>
                  <w:noWrap w:val="0"/>
                  <w:vAlign w:val="center"/>
                </w:tcPr>
                <w:p w14:paraId="3263A62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46.6</w:t>
                  </w:r>
                </w:p>
              </w:tc>
              <w:tc>
                <w:tcPr>
                  <w:tcW w:w="615" w:type="dxa"/>
                  <w:noWrap w:val="0"/>
                  <w:vAlign w:val="center"/>
                </w:tcPr>
                <w:p w14:paraId="18A047B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52.8</w:t>
                  </w:r>
                </w:p>
              </w:tc>
              <w:tc>
                <w:tcPr>
                  <w:tcW w:w="585" w:type="dxa"/>
                  <w:noWrap w:val="0"/>
                  <w:vAlign w:val="center"/>
                </w:tcPr>
                <w:p w14:paraId="0532D5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43.3</w:t>
                  </w:r>
                </w:p>
              </w:tc>
              <w:tc>
                <w:tcPr>
                  <w:tcW w:w="479" w:type="dxa"/>
                  <w:vMerge w:val="continue"/>
                  <w:noWrap w:val="0"/>
                  <w:vAlign w:val="center"/>
                </w:tcPr>
                <w:p w14:paraId="062D0F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5F9A1D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74896AF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34.9</w:t>
                  </w:r>
                </w:p>
              </w:tc>
              <w:tc>
                <w:tcPr>
                  <w:tcW w:w="600" w:type="dxa"/>
                  <w:noWrap w:val="0"/>
                  <w:vAlign w:val="center"/>
                </w:tcPr>
                <w:p w14:paraId="338AFB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31.6</w:t>
                  </w:r>
                </w:p>
              </w:tc>
              <w:tc>
                <w:tcPr>
                  <w:tcW w:w="615" w:type="dxa"/>
                  <w:noWrap w:val="0"/>
                  <w:vAlign w:val="center"/>
                </w:tcPr>
                <w:p w14:paraId="717D1D4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37.8</w:t>
                  </w:r>
                </w:p>
              </w:tc>
              <w:tc>
                <w:tcPr>
                  <w:tcW w:w="615" w:type="dxa"/>
                  <w:noWrap w:val="0"/>
                  <w:vAlign w:val="center"/>
                </w:tcPr>
                <w:p w14:paraId="547875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28.3</w:t>
                  </w:r>
                </w:p>
              </w:tc>
              <w:tc>
                <w:tcPr>
                  <w:tcW w:w="509" w:type="dxa"/>
                  <w:vMerge w:val="continue"/>
                  <w:noWrap w:val="0"/>
                  <w:vAlign w:val="center"/>
                </w:tcPr>
                <w:p w14:paraId="29B9A7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3CA8BA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219DD63A">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21F2B27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破碎机</w:t>
                  </w:r>
                </w:p>
              </w:tc>
              <w:tc>
                <w:tcPr>
                  <w:tcW w:w="764" w:type="dxa"/>
                  <w:noWrap w:val="0"/>
                  <w:vAlign w:val="center"/>
                </w:tcPr>
                <w:p w14:paraId="3B82E5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90</w:t>
                  </w:r>
                </w:p>
              </w:tc>
              <w:tc>
                <w:tcPr>
                  <w:tcW w:w="857" w:type="dxa"/>
                  <w:vMerge w:val="continue"/>
                  <w:noWrap w:val="0"/>
                  <w:vAlign w:val="center"/>
                </w:tcPr>
                <w:p w14:paraId="26D013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25BA5B3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eastAsia="宋体"/>
                      <w:color w:val="auto"/>
                      <w:sz w:val="18"/>
                      <w:szCs w:val="18"/>
                      <w:highlight w:val="none"/>
                      <w:lang w:val="en-US" w:eastAsia="zh-CN"/>
                    </w:rPr>
                  </w:pPr>
                  <w:r>
                    <w:rPr>
                      <w:rFonts w:hint="eastAsia"/>
                      <w:color w:val="auto"/>
                      <w:sz w:val="18"/>
                      <w:szCs w:val="18"/>
                      <w:highlight w:val="none"/>
                    </w:rPr>
                    <w:t>3</w:t>
                  </w:r>
                </w:p>
              </w:tc>
              <w:tc>
                <w:tcPr>
                  <w:tcW w:w="600" w:type="dxa"/>
                  <w:noWrap w:val="0"/>
                  <w:vAlign w:val="center"/>
                </w:tcPr>
                <w:p w14:paraId="3891802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w:t>
                  </w:r>
                </w:p>
              </w:tc>
              <w:tc>
                <w:tcPr>
                  <w:tcW w:w="630" w:type="dxa"/>
                  <w:noWrap w:val="0"/>
                  <w:vAlign w:val="center"/>
                </w:tcPr>
                <w:p w14:paraId="4AADB0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480" w:type="dxa"/>
                  <w:noWrap w:val="0"/>
                  <w:vAlign w:val="center"/>
                </w:tcPr>
                <w:p w14:paraId="134A34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10</w:t>
                  </w:r>
                </w:p>
              </w:tc>
              <w:tc>
                <w:tcPr>
                  <w:tcW w:w="525" w:type="dxa"/>
                  <w:noWrap w:val="0"/>
                  <w:vAlign w:val="center"/>
                </w:tcPr>
                <w:p w14:paraId="25E851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77</w:t>
                  </w:r>
                </w:p>
              </w:tc>
              <w:tc>
                <w:tcPr>
                  <w:tcW w:w="480" w:type="dxa"/>
                  <w:noWrap w:val="0"/>
                  <w:vAlign w:val="center"/>
                </w:tcPr>
                <w:p w14:paraId="3FCC94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45</w:t>
                  </w:r>
                </w:p>
              </w:tc>
              <w:tc>
                <w:tcPr>
                  <w:tcW w:w="495" w:type="dxa"/>
                  <w:noWrap w:val="0"/>
                  <w:vAlign w:val="center"/>
                </w:tcPr>
                <w:p w14:paraId="691F92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38</w:t>
                  </w:r>
                </w:p>
              </w:tc>
              <w:tc>
                <w:tcPr>
                  <w:tcW w:w="600" w:type="dxa"/>
                  <w:noWrap w:val="0"/>
                  <w:vAlign w:val="center"/>
                </w:tcPr>
                <w:p w14:paraId="667F7D9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70.0</w:t>
                  </w:r>
                </w:p>
              </w:tc>
              <w:tc>
                <w:tcPr>
                  <w:tcW w:w="675" w:type="dxa"/>
                  <w:noWrap w:val="0"/>
                  <w:vAlign w:val="center"/>
                </w:tcPr>
                <w:p w14:paraId="778466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52.3</w:t>
                  </w:r>
                </w:p>
              </w:tc>
              <w:tc>
                <w:tcPr>
                  <w:tcW w:w="615" w:type="dxa"/>
                  <w:noWrap w:val="0"/>
                  <w:vAlign w:val="center"/>
                </w:tcPr>
                <w:p w14:paraId="71E80E6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56.9</w:t>
                  </w:r>
                </w:p>
              </w:tc>
              <w:tc>
                <w:tcPr>
                  <w:tcW w:w="585" w:type="dxa"/>
                  <w:noWrap w:val="0"/>
                  <w:vAlign w:val="center"/>
                </w:tcPr>
                <w:p w14:paraId="1BF50E3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58.4</w:t>
                  </w:r>
                </w:p>
              </w:tc>
              <w:tc>
                <w:tcPr>
                  <w:tcW w:w="479" w:type="dxa"/>
                  <w:vMerge w:val="continue"/>
                  <w:noWrap w:val="0"/>
                  <w:vAlign w:val="center"/>
                </w:tcPr>
                <w:p w14:paraId="721ECE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0F7D8E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057ED5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55.0</w:t>
                  </w:r>
                </w:p>
              </w:tc>
              <w:tc>
                <w:tcPr>
                  <w:tcW w:w="600" w:type="dxa"/>
                  <w:noWrap w:val="0"/>
                  <w:vAlign w:val="center"/>
                </w:tcPr>
                <w:p w14:paraId="1A88B89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37.3</w:t>
                  </w:r>
                </w:p>
              </w:tc>
              <w:tc>
                <w:tcPr>
                  <w:tcW w:w="615" w:type="dxa"/>
                  <w:noWrap w:val="0"/>
                  <w:vAlign w:val="center"/>
                </w:tcPr>
                <w:p w14:paraId="4367D79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41.9</w:t>
                  </w:r>
                </w:p>
              </w:tc>
              <w:tc>
                <w:tcPr>
                  <w:tcW w:w="615" w:type="dxa"/>
                  <w:noWrap w:val="0"/>
                  <w:vAlign w:val="center"/>
                </w:tcPr>
                <w:p w14:paraId="73E11DA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43.4</w:t>
                  </w:r>
                </w:p>
              </w:tc>
              <w:tc>
                <w:tcPr>
                  <w:tcW w:w="509" w:type="dxa"/>
                  <w:vMerge w:val="continue"/>
                  <w:noWrap w:val="0"/>
                  <w:vAlign w:val="center"/>
                </w:tcPr>
                <w:p w14:paraId="5B6944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11B15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67BD23AB">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2BFDB5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码坯机</w:t>
                  </w:r>
                </w:p>
              </w:tc>
              <w:tc>
                <w:tcPr>
                  <w:tcW w:w="764" w:type="dxa"/>
                  <w:noWrap w:val="0"/>
                  <w:vAlign w:val="center"/>
                </w:tcPr>
                <w:p w14:paraId="39F3AD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80</w:t>
                  </w:r>
                </w:p>
              </w:tc>
              <w:tc>
                <w:tcPr>
                  <w:tcW w:w="857" w:type="dxa"/>
                  <w:vMerge w:val="continue"/>
                  <w:noWrap w:val="0"/>
                  <w:vAlign w:val="center"/>
                </w:tcPr>
                <w:p w14:paraId="7D1876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4CEDAA2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48</w:t>
                  </w:r>
                </w:p>
              </w:tc>
              <w:tc>
                <w:tcPr>
                  <w:tcW w:w="600" w:type="dxa"/>
                  <w:noWrap w:val="0"/>
                  <w:vAlign w:val="center"/>
                </w:tcPr>
                <w:p w14:paraId="6314319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-34</w:t>
                  </w:r>
                </w:p>
              </w:tc>
              <w:tc>
                <w:tcPr>
                  <w:tcW w:w="630" w:type="dxa"/>
                  <w:noWrap w:val="0"/>
                  <w:vAlign w:val="center"/>
                </w:tcPr>
                <w:p w14:paraId="56D817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480" w:type="dxa"/>
                  <w:noWrap w:val="0"/>
                  <w:vAlign w:val="center"/>
                </w:tcPr>
                <w:p w14:paraId="6B36899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7</w:t>
                  </w:r>
                </w:p>
              </w:tc>
              <w:tc>
                <w:tcPr>
                  <w:tcW w:w="525" w:type="dxa"/>
                  <w:noWrap w:val="0"/>
                  <w:vAlign w:val="center"/>
                </w:tcPr>
                <w:p w14:paraId="4155A3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15</w:t>
                  </w:r>
                </w:p>
              </w:tc>
              <w:tc>
                <w:tcPr>
                  <w:tcW w:w="480" w:type="dxa"/>
                  <w:noWrap w:val="0"/>
                  <w:vAlign w:val="center"/>
                </w:tcPr>
                <w:p w14:paraId="294D5F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48</w:t>
                  </w:r>
                </w:p>
              </w:tc>
              <w:tc>
                <w:tcPr>
                  <w:tcW w:w="495" w:type="dxa"/>
                  <w:noWrap w:val="0"/>
                  <w:vAlign w:val="center"/>
                </w:tcPr>
                <w:p w14:paraId="33E5A1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100</w:t>
                  </w:r>
                </w:p>
              </w:tc>
              <w:tc>
                <w:tcPr>
                  <w:tcW w:w="600" w:type="dxa"/>
                  <w:noWrap w:val="0"/>
                  <w:vAlign w:val="center"/>
                </w:tcPr>
                <w:p w14:paraId="730621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63.1</w:t>
                  </w:r>
                </w:p>
              </w:tc>
              <w:tc>
                <w:tcPr>
                  <w:tcW w:w="675" w:type="dxa"/>
                  <w:noWrap w:val="0"/>
                  <w:vAlign w:val="center"/>
                </w:tcPr>
                <w:p w14:paraId="141CBA2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56.5</w:t>
                  </w:r>
                </w:p>
              </w:tc>
              <w:tc>
                <w:tcPr>
                  <w:tcW w:w="615" w:type="dxa"/>
                  <w:noWrap w:val="0"/>
                  <w:vAlign w:val="center"/>
                </w:tcPr>
                <w:p w14:paraId="1F8DE20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46.4</w:t>
                  </w:r>
                </w:p>
              </w:tc>
              <w:tc>
                <w:tcPr>
                  <w:tcW w:w="585" w:type="dxa"/>
                  <w:noWrap w:val="0"/>
                  <w:vAlign w:val="center"/>
                </w:tcPr>
                <w:p w14:paraId="3F6625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40.0</w:t>
                  </w:r>
                </w:p>
              </w:tc>
              <w:tc>
                <w:tcPr>
                  <w:tcW w:w="479" w:type="dxa"/>
                  <w:vMerge w:val="continue"/>
                  <w:noWrap w:val="0"/>
                  <w:vAlign w:val="center"/>
                </w:tcPr>
                <w:p w14:paraId="31B39A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107F48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34A23DF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48.1</w:t>
                  </w:r>
                </w:p>
              </w:tc>
              <w:tc>
                <w:tcPr>
                  <w:tcW w:w="600" w:type="dxa"/>
                  <w:noWrap w:val="0"/>
                  <w:vAlign w:val="center"/>
                </w:tcPr>
                <w:p w14:paraId="171131E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41.5</w:t>
                  </w:r>
                </w:p>
              </w:tc>
              <w:tc>
                <w:tcPr>
                  <w:tcW w:w="615" w:type="dxa"/>
                  <w:noWrap w:val="0"/>
                  <w:vAlign w:val="center"/>
                </w:tcPr>
                <w:p w14:paraId="028925D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31.4</w:t>
                  </w:r>
                </w:p>
              </w:tc>
              <w:tc>
                <w:tcPr>
                  <w:tcW w:w="615" w:type="dxa"/>
                  <w:noWrap w:val="0"/>
                  <w:vAlign w:val="center"/>
                </w:tcPr>
                <w:p w14:paraId="34D3E41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25.0</w:t>
                  </w:r>
                </w:p>
              </w:tc>
              <w:tc>
                <w:tcPr>
                  <w:tcW w:w="509" w:type="dxa"/>
                  <w:vMerge w:val="continue"/>
                  <w:noWrap w:val="0"/>
                  <w:vAlign w:val="center"/>
                </w:tcPr>
                <w:p w14:paraId="30895E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6FB6BC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29ACEDE9">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6F09BD6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搅拌机</w:t>
                  </w:r>
                  <w:r>
                    <w:rPr>
                      <w:rFonts w:hint="eastAsia" w:ascii="Times New Roman" w:hAnsi="Times New Roman" w:eastAsia="宋体" w:cs="Times New Roman"/>
                      <w:color w:val="auto"/>
                      <w:sz w:val="18"/>
                      <w:szCs w:val="18"/>
                      <w:highlight w:val="none"/>
                      <w:lang w:val="en-US" w:eastAsia="zh-CN"/>
                    </w:rPr>
                    <w:t>1</w:t>
                  </w:r>
                </w:p>
              </w:tc>
              <w:tc>
                <w:tcPr>
                  <w:tcW w:w="764" w:type="dxa"/>
                  <w:noWrap w:val="0"/>
                  <w:vAlign w:val="center"/>
                </w:tcPr>
                <w:p w14:paraId="5AC7BB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85</w:t>
                  </w:r>
                </w:p>
              </w:tc>
              <w:tc>
                <w:tcPr>
                  <w:tcW w:w="857" w:type="dxa"/>
                  <w:vMerge w:val="continue"/>
                  <w:noWrap w:val="0"/>
                  <w:vAlign w:val="center"/>
                </w:tcPr>
                <w:p w14:paraId="228237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3CE31DD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12</w:t>
                  </w:r>
                </w:p>
              </w:tc>
              <w:tc>
                <w:tcPr>
                  <w:tcW w:w="600" w:type="dxa"/>
                  <w:noWrap w:val="0"/>
                  <w:vAlign w:val="center"/>
                </w:tcPr>
                <w:p w14:paraId="774965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-10</w:t>
                  </w:r>
                </w:p>
              </w:tc>
              <w:tc>
                <w:tcPr>
                  <w:tcW w:w="630" w:type="dxa"/>
                  <w:noWrap w:val="0"/>
                  <w:vAlign w:val="center"/>
                </w:tcPr>
                <w:p w14:paraId="71CB71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480" w:type="dxa"/>
                  <w:noWrap w:val="0"/>
                  <w:vAlign w:val="center"/>
                </w:tcPr>
                <w:p w14:paraId="4FF391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14</w:t>
                  </w:r>
                </w:p>
              </w:tc>
              <w:tc>
                <w:tcPr>
                  <w:tcW w:w="525" w:type="dxa"/>
                  <w:noWrap w:val="0"/>
                  <w:vAlign w:val="center"/>
                </w:tcPr>
                <w:p w14:paraId="218816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60</w:t>
                  </w:r>
                </w:p>
              </w:tc>
              <w:tc>
                <w:tcPr>
                  <w:tcW w:w="480" w:type="dxa"/>
                  <w:noWrap w:val="0"/>
                  <w:vAlign w:val="center"/>
                </w:tcPr>
                <w:p w14:paraId="75DE92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41</w:t>
                  </w:r>
                </w:p>
              </w:tc>
              <w:tc>
                <w:tcPr>
                  <w:tcW w:w="495" w:type="dxa"/>
                  <w:noWrap w:val="0"/>
                  <w:vAlign w:val="center"/>
                </w:tcPr>
                <w:p w14:paraId="283395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55</w:t>
                  </w:r>
                </w:p>
              </w:tc>
              <w:tc>
                <w:tcPr>
                  <w:tcW w:w="600" w:type="dxa"/>
                  <w:noWrap w:val="0"/>
                  <w:vAlign w:val="center"/>
                </w:tcPr>
                <w:p w14:paraId="2518A9D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62.1</w:t>
                  </w:r>
                </w:p>
              </w:tc>
              <w:tc>
                <w:tcPr>
                  <w:tcW w:w="675" w:type="dxa"/>
                  <w:noWrap w:val="0"/>
                  <w:vAlign w:val="center"/>
                </w:tcPr>
                <w:p w14:paraId="18EA37B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49.4</w:t>
                  </w:r>
                </w:p>
              </w:tc>
              <w:tc>
                <w:tcPr>
                  <w:tcW w:w="615" w:type="dxa"/>
                  <w:noWrap w:val="0"/>
                  <w:vAlign w:val="center"/>
                </w:tcPr>
                <w:p w14:paraId="6D6923E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52.7</w:t>
                  </w:r>
                </w:p>
              </w:tc>
              <w:tc>
                <w:tcPr>
                  <w:tcW w:w="585" w:type="dxa"/>
                  <w:noWrap w:val="0"/>
                  <w:vAlign w:val="center"/>
                </w:tcPr>
                <w:p w14:paraId="0EC9A5C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50.2</w:t>
                  </w:r>
                </w:p>
              </w:tc>
              <w:tc>
                <w:tcPr>
                  <w:tcW w:w="479" w:type="dxa"/>
                  <w:vMerge w:val="continue"/>
                  <w:noWrap w:val="0"/>
                  <w:vAlign w:val="center"/>
                </w:tcPr>
                <w:p w14:paraId="142EA6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4C3B8EA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12493A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47.1</w:t>
                  </w:r>
                </w:p>
              </w:tc>
              <w:tc>
                <w:tcPr>
                  <w:tcW w:w="600" w:type="dxa"/>
                  <w:noWrap w:val="0"/>
                  <w:vAlign w:val="center"/>
                </w:tcPr>
                <w:p w14:paraId="6A2AA62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34.4</w:t>
                  </w:r>
                </w:p>
              </w:tc>
              <w:tc>
                <w:tcPr>
                  <w:tcW w:w="615" w:type="dxa"/>
                  <w:noWrap w:val="0"/>
                  <w:vAlign w:val="center"/>
                </w:tcPr>
                <w:p w14:paraId="6541DEE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37.7</w:t>
                  </w:r>
                </w:p>
              </w:tc>
              <w:tc>
                <w:tcPr>
                  <w:tcW w:w="615" w:type="dxa"/>
                  <w:noWrap w:val="0"/>
                  <w:vAlign w:val="center"/>
                </w:tcPr>
                <w:p w14:paraId="2054645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35.2</w:t>
                  </w:r>
                </w:p>
              </w:tc>
              <w:tc>
                <w:tcPr>
                  <w:tcW w:w="509" w:type="dxa"/>
                  <w:vMerge w:val="continue"/>
                  <w:noWrap w:val="0"/>
                  <w:vAlign w:val="center"/>
                </w:tcPr>
                <w:p w14:paraId="0C7E8E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6DCB94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3613EE33">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141FD8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配料机</w:t>
                  </w:r>
                  <w:r>
                    <w:rPr>
                      <w:rFonts w:hint="eastAsia" w:ascii="Times New Roman" w:hAnsi="Times New Roman" w:eastAsia="宋体" w:cs="Times New Roman"/>
                      <w:color w:val="auto"/>
                      <w:sz w:val="18"/>
                      <w:szCs w:val="18"/>
                      <w:highlight w:val="none"/>
                      <w:lang w:val="en-US" w:eastAsia="zh-CN"/>
                    </w:rPr>
                    <w:t>1</w:t>
                  </w:r>
                </w:p>
              </w:tc>
              <w:tc>
                <w:tcPr>
                  <w:tcW w:w="764" w:type="dxa"/>
                  <w:noWrap w:val="0"/>
                  <w:vAlign w:val="center"/>
                </w:tcPr>
                <w:p w14:paraId="1578A0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75</w:t>
                  </w:r>
                </w:p>
              </w:tc>
              <w:tc>
                <w:tcPr>
                  <w:tcW w:w="857" w:type="dxa"/>
                  <w:vMerge w:val="continue"/>
                  <w:noWrap w:val="0"/>
                  <w:vAlign w:val="center"/>
                </w:tcPr>
                <w:p w14:paraId="27AE75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39C1D6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7</w:t>
                  </w:r>
                </w:p>
              </w:tc>
              <w:tc>
                <w:tcPr>
                  <w:tcW w:w="600" w:type="dxa"/>
                  <w:noWrap w:val="0"/>
                  <w:vAlign w:val="center"/>
                </w:tcPr>
                <w:p w14:paraId="51AD57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w:t>
                  </w:r>
                </w:p>
              </w:tc>
              <w:tc>
                <w:tcPr>
                  <w:tcW w:w="630" w:type="dxa"/>
                  <w:noWrap w:val="0"/>
                  <w:vAlign w:val="center"/>
                </w:tcPr>
                <w:p w14:paraId="26B722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63F8C7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12</w:t>
                  </w:r>
                </w:p>
              </w:tc>
              <w:tc>
                <w:tcPr>
                  <w:tcW w:w="525" w:type="dxa"/>
                  <w:noWrap w:val="0"/>
                  <w:vAlign w:val="center"/>
                </w:tcPr>
                <w:p w14:paraId="458EDA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70</w:t>
                  </w:r>
                </w:p>
              </w:tc>
              <w:tc>
                <w:tcPr>
                  <w:tcW w:w="480" w:type="dxa"/>
                  <w:noWrap w:val="0"/>
                  <w:vAlign w:val="center"/>
                </w:tcPr>
                <w:p w14:paraId="0FC066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43</w:t>
                  </w:r>
                </w:p>
              </w:tc>
              <w:tc>
                <w:tcPr>
                  <w:tcW w:w="495" w:type="dxa"/>
                  <w:noWrap w:val="0"/>
                  <w:vAlign w:val="center"/>
                </w:tcPr>
                <w:p w14:paraId="7185DB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45</w:t>
                  </w:r>
                </w:p>
              </w:tc>
              <w:tc>
                <w:tcPr>
                  <w:tcW w:w="600" w:type="dxa"/>
                  <w:noWrap w:val="0"/>
                  <w:vAlign w:val="center"/>
                </w:tcPr>
                <w:p w14:paraId="327D1E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53.4</w:t>
                  </w:r>
                </w:p>
              </w:tc>
              <w:tc>
                <w:tcPr>
                  <w:tcW w:w="675" w:type="dxa"/>
                  <w:noWrap w:val="0"/>
                  <w:vAlign w:val="center"/>
                </w:tcPr>
                <w:p w14:paraId="0F7FB8E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38.1</w:t>
                  </w:r>
                </w:p>
              </w:tc>
              <w:tc>
                <w:tcPr>
                  <w:tcW w:w="615" w:type="dxa"/>
                  <w:noWrap w:val="0"/>
                  <w:vAlign w:val="center"/>
                </w:tcPr>
                <w:p w14:paraId="27E898A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42.3</w:t>
                  </w:r>
                </w:p>
              </w:tc>
              <w:tc>
                <w:tcPr>
                  <w:tcW w:w="585" w:type="dxa"/>
                  <w:noWrap w:val="0"/>
                  <w:vAlign w:val="center"/>
                </w:tcPr>
                <w:p w14:paraId="7EF477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41.9</w:t>
                  </w:r>
                </w:p>
              </w:tc>
              <w:tc>
                <w:tcPr>
                  <w:tcW w:w="479" w:type="dxa"/>
                  <w:vMerge w:val="continue"/>
                  <w:noWrap w:val="0"/>
                  <w:vAlign w:val="center"/>
                </w:tcPr>
                <w:p w14:paraId="12D59B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4C1C58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06ADC80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38.4</w:t>
                  </w:r>
                </w:p>
              </w:tc>
              <w:tc>
                <w:tcPr>
                  <w:tcW w:w="600" w:type="dxa"/>
                  <w:noWrap w:val="0"/>
                  <w:vAlign w:val="center"/>
                </w:tcPr>
                <w:p w14:paraId="2106B86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23.1</w:t>
                  </w:r>
                </w:p>
              </w:tc>
              <w:tc>
                <w:tcPr>
                  <w:tcW w:w="615" w:type="dxa"/>
                  <w:noWrap w:val="0"/>
                  <w:vAlign w:val="center"/>
                </w:tcPr>
                <w:p w14:paraId="000DB20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27.3</w:t>
                  </w:r>
                </w:p>
              </w:tc>
              <w:tc>
                <w:tcPr>
                  <w:tcW w:w="615" w:type="dxa"/>
                  <w:noWrap w:val="0"/>
                  <w:vAlign w:val="center"/>
                </w:tcPr>
                <w:p w14:paraId="2F85D42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26.9</w:t>
                  </w:r>
                </w:p>
              </w:tc>
              <w:tc>
                <w:tcPr>
                  <w:tcW w:w="509" w:type="dxa"/>
                  <w:vMerge w:val="continue"/>
                  <w:noWrap w:val="0"/>
                  <w:vAlign w:val="center"/>
                </w:tcPr>
                <w:p w14:paraId="3B07B0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7AD6CF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58F4412A">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314B77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给料机</w:t>
                  </w:r>
                </w:p>
              </w:tc>
              <w:tc>
                <w:tcPr>
                  <w:tcW w:w="764" w:type="dxa"/>
                  <w:noWrap w:val="0"/>
                  <w:vAlign w:val="center"/>
                </w:tcPr>
                <w:p w14:paraId="3831AC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75</w:t>
                  </w:r>
                </w:p>
              </w:tc>
              <w:tc>
                <w:tcPr>
                  <w:tcW w:w="857" w:type="dxa"/>
                  <w:vMerge w:val="continue"/>
                  <w:noWrap w:val="0"/>
                  <w:vAlign w:val="center"/>
                </w:tcPr>
                <w:p w14:paraId="201E2B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54A2421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5</w:t>
                  </w:r>
                </w:p>
              </w:tc>
              <w:tc>
                <w:tcPr>
                  <w:tcW w:w="600" w:type="dxa"/>
                  <w:noWrap w:val="0"/>
                  <w:vAlign w:val="center"/>
                </w:tcPr>
                <w:p w14:paraId="3DACC4C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-9</w:t>
                  </w:r>
                </w:p>
              </w:tc>
              <w:tc>
                <w:tcPr>
                  <w:tcW w:w="630" w:type="dxa"/>
                  <w:noWrap w:val="0"/>
                  <w:vAlign w:val="center"/>
                </w:tcPr>
                <w:p w14:paraId="20984E6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080878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19</w:t>
                  </w:r>
                </w:p>
              </w:tc>
              <w:tc>
                <w:tcPr>
                  <w:tcW w:w="525" w:type="dxa"/>
                  <w:noWrap w:val="0"/>
                  <w:vAlign w:val="center"/>
                </w:tcPr>
                <w:p w14:paraId="0693E6D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67</w:t>
                  </w:r>
                </w:p>
              </w:tc>
              <w:tc>
                <w:tcPr>
                  <w:tcW w:w="480" w:type="dxa"/>
                  <w:noWrap w:val="0"/>
                  <w:vAlign w:val="center"/>
                </w:tcPr>
                <w:p w14:paraId="54B13A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36</w:t>
                  </w:r>
                </w:p>
              </w:tc>
              <w:tc>
                <w:tcPr>
                  <w:tcW w:w="495" w:type="dxa"/>
                  <w:noWrap w:val="0"/>
                  <w:vAlign w:val="center"/>
                </w:tcPr>
                <w:p w14:paraId="1880AC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48</w:t>
                  </w:r>
                </w:p>
              </w:tc>
              <w:tc>
                <w:tcPr>
                  <w:tcW w:w="600" w:type="dxa"/>
                  <w:noWrap w:val="0"/>
                  <w:vAlign w:val="center"/>
                </w:tcPr>
                <w:p w14:paraId="70EEF5E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49.4</w:t>
                  </w:r>
                </w:p>
              </w:tc>
              <w:tc>
                <w:tcPr>
                  <w:tcW w:w="675" w:type="dxa"/>
                  <w:noWrap w:val="0"/>
                  <w:vAlign w:val="center"/>
                </w:tcPr>
                <w:p w14:paraId="7C68021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38.5</w:t>
                  </w:r>
                </w:p>
              </w:tc>
              <w:tc>
                <w:tcPr>
                  <w:tcW w:w="615" w:type="dxa"/>
                  <w:noWrap w:val="0"/>
                  <w:vAlign w:val="center"/>
                </w:tcPr>
                <w:p w14:paraId="1116665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43.9</w:t>
                  </w:r>
                </w:p>
              </w:tc>
              <w:tc>
                <w:tcPr>
                  <w:tcW w:w="585" w:type="dxa"/>
                  <w:noWrap w:val="0"/>
                  <w:vAlign w:val="center"/>
                </w:tcPr>
                <w:p w14:paraId="01E2323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41.4</w:t>
                  </w:r>
                </w:p>
              </w:tc>
              <w:tc>
                <w:tcPr>
                  <w:tcW w:w="479" w:type="dxa"/>
                  <w:vMerge w:val="continue"/>
                  <w:noWrap w:val="0"/>
                  <w:vAlign w:val="center"/>
                </w:tcPr>
                <w:p w14:paraId="769FFC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14985C8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2045F4D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34.4</w:t>
                  </w:r>
                </w:p>
              </w:tc>
              <w:tc>
                <w:tcPr>
                  <w:tcW w:w="600" w:type="dxa"/>
                  <w:noWrap w:val="0"/>
                  <w:vAlign w:val="center"/>
                </w:tcPr>
                <w:p w14:paraId="45BE093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23.5</w:t>
                  </w:r>
                </w:p>
              </w:tc>
              <w:tc>
                <w:tcPr>
                  <w:tcW w:w="615" w:type="dxa"/>
                  <w:noWrap w:val="0"/>
                  <w:vAlign w:val="center"/>
                </w:tcPr>
                <w:p w14:paraId="6A47582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28.9</w:t>
                  </w:r>
                </w:p>
              </w:tc>
              <w:tc>
                <w:tcPr>
                  <w:tcW w:w="615" w:type="dxa"/>
                  <w:noWrap w:val="0"/>
                  <w:vAlign w:val="center"/>
                </w:tcPr>
                <w:p w14:paraId="16AD8D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26.4</w:t>
                  </w:r>
                </w:p>
              </w:tc>
              <w:tc>
                <w:tcPr>
                  <w:tcW w:w="509" w:type="dxa"/>
                  <w:vMerge w:val="continue"/>
                  <w:noWrap w:val="0"/>
                  <w:vAlign w:val="center"/>
                </w:tcPr>
                <w:p w14:paraId="726AE4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5B0D20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7642A69F">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086930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打包机</w:t>
                  </w:r>
                </w:p>
              </w:tc>
              <w:tc>
                <w:tcPr>
                  <w:tcW w:w="764" w:type="dxa"/>
                  <w:noWrap w:val="0"/>
                  <w:vAlign w:val="center"/>
                </w:tcPr>
                <w:p w14:paraId="1B69DD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80</w:t>
                  </w:r>
                </w:p>
              </w:tc>
              <w:tc>
                <w:tcPr>
                  <w:tcW w:w="857" w:type="dxa"/>
                  <w:vMerge w:val="continue"/>
                  <w:noWrap w:val="0"/>
                  <w:vAlign w:val="center"/>
                </w:tcPr>
                <w:p w14:paraId="1041B9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37CA5D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26</w:t>
                  </w:r>
                </w:p>
              </w:tc>
              <w:tc>
                <w:tcPr>
                  <w:tcW w:w="600" w:type="dxa"/>
                  <w:noWrap w:val="0"/>
                  <w:vAlign w:val="center"/>
                </w:tcPr>
                <w:p w14:paraId="54AFE14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-36</w:t>
                  </w:r>
                </w:p>
              </w:tc>
              <w:tc>
                <w:tcPr>
                  <w:tcW w:w="630" w:type="dxa"/>
                  <w:noWrap w:val="0"/>
                  <w:vAlign w:val="center"/>
                </w:tcPr>
                <w:p w14:paraId="57A14C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519E2B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24</w:t>
                  </w:r>
                </w:p>
              </w:tc>
              <w:tc>
                <w:tcPr>
                  <w:tcW w:w="525" w:type="dxa"/>
                  <w:noWrap w:val="0"/>
                  <w:vAlign w:val="center"/>
                </w:tcPr>
                <w:p w14:paraId="1E7F27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32</w:t>
                  </w:r>
                </w:p>
              </w:tc>
              <w:tc>
                <w:tcPr>
                  <w:tcW w:w="480" w:type="dxa"/>
                  <w:noWrap w:val="0"/>
                  <w:vAlign w:val="center"/>
                </w:tcPr>
                <w:p w14:paraId="357D75B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31</w:t>
                  </w:r>
                </w:p>
              </w:tc>
              <w:tc>
                <w:tcPr>
                  <w:tcW w:w="495" w:type="dxa"/>
                  <w:noWrap w:val="0"/>
                  <w:vAlign w:val="center"/>
                </w:tcPr>
                <w:p w14:paraId="3A0298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83</w:t>
                  </w:r>
                </w:p>
              </w:tc>
              <w:tc>
                <w:tcPr>
                  <w:tcW w:w="600" w:type="dxa"/>
                  <w:noWrap w:val="0"/>
                  <w:vAlign w:val="center"/>
                </w:tcPr>
                <w:p w14:paraId="596A694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52.4</w:t>
                  </w:r>
                </w:p>
              </w:tc>
              <w:tc>
                <w:tcPr>
                  <w:tcW w:w="675" w:type="dxa"/>
                  <w:noWrap w:val="0"/>
                  <w:vAlign w:val="center"/>
                </w:tcPr>
                <w:p w14:paraId="68B1F9C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49.9</w:t>
                  </w:r>
                </w:p>
              </w:tc>
              <w:tc>
                <w:tcPr>
                  <w:tcW w:w="615" w:type="dxa"/>
                  <w:noWrap w:val="0"/>
                  <w:vAlign w:val="center"/>
                </w:tcPr>
                <w:p w14:paraId="68C1193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50.2</w:t>
                  </w:r>
                </w:p>
              </w:tc>
              <w:tc>
                <w:tcPr>
                  <w:tcW w:w="585" w:type="dxa"/>
                  <w:noWrap w:val="0"/>
                  <w:vAlign w:val="center"/>
                </w:tcPr>
                <w:p w14:paraId="7DC4CA1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41.6</w:t>
                  </w:r>
                </w:p>
              </w:tc>
              <w:tc>
                <w:tcPr>
                  <w:tcW w:w="479" w:type="dxa"/>
                  <w:vMerge w:val="continue"/>
                  <w:noWrap w:val="0"/>
                  <w:vAlign w:val="center"/>
                </w:tcPr>
                <w:p w14:paraId="4AA1B1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6BBA58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1E091A7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37.4</w:t>
                  </w:r>
                </w:p>
              </w:tc>
              <w:tc>
                <w:tcPr>
                  <w:tcW w:w="600" w:type="dxa"/>
                  <w:noWrap w:val="0"/>
                  <w:vAlign w:val="center"/>
                </w:tcPr>
                <w:p w14:paraId="21C6D9B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34.9</w:t>
                  </w:r>
                </w:p>
              </w:tc>
              <w:tc>
                <w:tcPr>
                  <w:tcW w:w="615" w:type="dxa"/>
                  <w:noWrap w:val="0"/>
                  <w:vAlign w:val="center"/>
                </w:tcPr>
                <w:p w14:paraId="3B6FAD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35.2</w:t>
                  </w:r>
                </w:p>
              </w:tc>
              <w:tc>
                <w:tcPr>
                  <w:tcW w:w="615" w:type="dxa"/>
                  <w:noWrap w:val="0"/>
                  <w:vAlign w:val="center"/>
                </w:tcPr>
                <w:p w14:paraId="01AA0B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26.6</w:t>
                  </w:r>
                </w:p>
              </w:tc>
              <w:tc>
                <w:tcPr>
                  <w:tcW w:w="509" w:type="dxa"/>
                  <w:vMerge w:val="continue"/>
                  <w:noWrap w:val="0"/>
                  <w:vAlign w:val="center"/>
                </w:tcPr>
                <w:p w14:paraId="7FDF19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268150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61016743">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542E159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sz w:val="18"/>
                      <w:szCs w:val="18"/>
                      <w:highlight w:val="none"/>
                    </w:rPr>
                    <w:t>配料机</w:t>
                  </w:r>
                  <w:r>
                    <w:rPr>
                      <w:rFonts w:hint="eastAsia" w:ascii="Times New Roman" w:hAnsi="Times New Roman" w:eastAsia="宋体" w:cs="Times New Roman"/>
                      <w:color w:val="auto"/>
                      <w:sz w:val="18"/>
                      <w:szCs w:val="18"/>
                      <w:highlight w:val="none"/>
                      <w:lang w:val="en-US" w:eastAsia="zh-CN"/>
                    </w:rPr>
                    <w:t>2</w:t>
                  </w:r>
                </w:p>
              </w:tc>
              <w:tc>
                <w:tcPr>
                  <w:tcW w:w="764" w:type="dxa"/>
                  <w:noWrap w:val="0"/>
                  <w:vAlign w:val="center"/>
                </w:tcPr>
                <w:p w14:paraId="6E43DB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75</w:t>
                  </w:r>
                </w:p>
              </w:tc>
              <w:tc>
                <w:tcPr>
                  <w:tcW w:w="857" w:type="dxa"/>
                  <w:vMerge w:val="continue"/>
                  <w:noWrap w:val="0"/>
                  <w:vAlign w:val="center"/>
                </w:tcPr>
                <w:p w14:paraId="747303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61800BF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-5</w:t>
                  </w:r>
                </w:p>
              </w:tc>
              <w:tc>
                <w:tcPr>
                  <w:tcW w:w="600" w:type="dxa"/>
                  <w:noWrap w:val="0"/>
                  <w:vAlign w:val="center"/>
                </w:tcPr>
                <w:p w14:paraId="26CF678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-9</w:t>
                  </w:r>
                </w:p>
              </w:tc>
              <w:tc>
                <w:tcPr>
                  <w:tcW w:w="630" w:type="dxa"/>
                  <w:noWrap w:val="0"/>
                  <w:vAlign w:val="center"/>
                </w:tcPr>
                <w:p w14:paraId="445E8F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2E0935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26</w:t>
                  </w:r>
                </w:p>
              </w:tc>
              <w:tc>
                <w:tcPr>
                  <w:tcW w:w="525" w:type="dxa"/>
                  <w:noWrap w:val="0"/>
                  <w:vAlign w:val="center"/>
                </w:tcPr>
                <w:p w14:paraId="172F8A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76</w:t>
                  </w:r>
                </w:p>
              </w:tc>
              <w:tc>
                <w:tcPr>
                  <w:tcW w:w="480" w:type="dxa"/>
                  <w:noWrap w:val="0"/>
                  <w:vAlign w:val="center"/>
                </w:tcPr>
                <w:p w14:paraId="48A89E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19</w:t>
                  </w:r>
                </w:p>
              </w:tc>
              <w:tc>
                <w:tcPr>
                  <w:tcW w:w="495" w:type="dxa"/>
                  <w:noWrap w:val="0"/>
                  <w:vAlign w:val="center"/>
                </w:tcPr>
                <w:p w14:paraId="25819F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39</w:t>
                  </w:r>
                </w:p>
              </w:tc>
              <w:tc>
                <w:tcPr>
                  <w:tcW w:w="600" w:type="dxa"/>
                  <w:noWrap w:val="0"/>
                  <w:vAlign w:val="center"/>
                </w:tcPr>
                <w:p w14:paraId="735B794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46.7</w:t>
                  </w:r>
                </w:p>
              </w:tc>
              <w:tc>
                <w:tcPr>
                  <w:tcW w:w="675" w:type="dxa"/>
                  <w:noWrap w:val="0"/>
                  <w:vAlign w:val="center"/>
                </w:tcPr>
                <w:p w14:paraId="6936F59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37.4</w:t>
                  </w:r>
                </w:p>
              </w:tc>
              <w:tc>
                <w:tcPr>
                  <w:tcW w:w="615" w:type="dxa"/>
                  <w:noWrap w:val="0"/>
                  <w:vAlign w:val="center"/>
                </w:tcPr>
                <w:p w14:paraId="3CCAB671">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49.4</w:t>
                  </w:r>
                </w:p>
              </w:tc>
              <w:tc>
                <w:tcPr>
                  <w:tcW w:w="585" w:type="dxa"/>
                  <w:noWrap w:val="0"/>
                  <w:vAlign w:val="center"/>
                </w:tcPr>
                <w:p w14:paraId="35A83C8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43.2</w:t>
                  </w:r>
                </w:p>
              </w:tc>
              <w:tc>
                <w:tcPr>
                  <w:tcW w:w="479" w:type="dxa"/>
                  <w:vMerge w:val="continue"/>
                  <w:noWrap w:val="0"/>
                  <w:vAlign w:val="center"/>
                </w:tcPr>
                <w:p w14:paraId="5ED1F8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3FB718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49F1C23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31.7</w:t>
                  </w:r>
                </w:p>
              </w:tc>
              <w:tc>
                <w:tcPr>
                  <w:tcW w:w="600" w:type="dxa"/>
                  <w:noWrap w:val="0"/>
                  <w:vAlign w:val="center"/>
                </w:tcPr>
                <w:p w14:paraId="3A5C3E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22.4</w:t>
                  </w:r>
                </w:p>
              </w:tc>
              <w:tc>
                <w:tcPr>
                  <w:tcW w:w="615" w:type="dxa"/>
                  <w:noWrap w:val="0"/>
                  <w:vAlign w:val="center"/>
                </w:tcPr>
                <w:p w14:paraId="2F39737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34.4</w:t>
                  </w:r>
                </w:p>
              </w:tc>
              <w:tc>
                <w:tcPr>
                  <w:tcW w:w="615" w:type="dxa"/>
                  <w:noWrap w:val="0"/>
                  <w:vAlign w:val="center"/>
                </w:tcPr>
                <w:p w14:paraId="58EF87E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28.2</w:t>
                  </w:r>
                </w:p>
              </w:tc>
              <w:tc>
                <w:tcPr>
                  <w:tcW w:w="509" w:type="dxa"/>
                  <w:vMerge w:val="continue"/>
                  <w:noWrap w:val="0"/>
                  <w:vAlign w:val="center"/>
                </w:tcPr>
                <w:p w14:paraId="0C9021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3DB8AB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5F424B62">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7F238B9D">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pacing w:val="7"/>
                      <w:sz w:val="18"/>
                      <w:szCs w:val="18"/>
                      <w:highlight w:val="none"/>
                    </w:rPr>
                    <w:t>搅拌机</w:t>
                  </w:r>
                  <w:r>
                    <w:rPr>
                      <w:rFonts w:hint="eastAsia" w:ascii="Times New Roman" w:hAnsi="Times New Roman" w:cs="Times New Roman"/>
                      <w:color w:val="auto"/>
                      <w:spacing w:val="7"/>
                      <w:sz w:val="18"/>
                      <w:szCs w:val="18"/>
                      <w:highlight w:val="none"/>
                      <w:lang w:val="en-US" w:eastAsia="zh-CN"/>
                    </w:rPr>
                    <w:t>2</w:t>
                  </w:r>
                </w:p>
              </w:tc>
              <w:tc>
                <w:tcPr>
                  <w:tcW w:w="764" w:type="dxa"/>
                  <w:noWrap w:val="0"/>
                  <w:vAlign w:val="center"/>
                </w:tcPr>
                <w:p w14:paraId="64011F7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85</w:t>
                  </w:r>
                </w:p>
              </w:tc>
              <w:tc>
                <w:tcPr>
                  <w:tcW w:w="857" w:type="dxa"/>
                  <w:vMerge w:val="continue"/>
                  <w:noWrap w:val="0"/>
                  <w:vAlign w:val="center"/>
                </w:tcPr>
                <w:p w14:paraId="170BF8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2870909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2</w:t>
                  </w:r>
                </w:p>
              </w:tc>
              <w:tc>
                <w:tcPr>
                  <w:tcW w:w="600" w:type="dxa"/>
                  <w:noWrap w:val="0"/>
                  <w:vAlign w:val="center"/>
                </w:tcPr>
                <w:p w14:paraId="218A01E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-25</w:t>
                  </w:r>
                </w:p>
              </w:tc>
              <w:tc>
                <w:tcPr>
                  <w:tcW w:w="630" w:type="dxa"/>
                  <w:noWrap w:val="0"/>
                  <w:vAlign w:val="center"/>
                </w:tcPr>
                <w:p w14:paraId="057556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3F0461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33</w:t>
                  </w:r>
                </w:p>
              </w:tc>
              <w:tc>
                <w:tcPr>
                  <w:tcW w:w="525" w:type="dxa"/>
                  <w:noWrap w:val="0"/>
                  <w:vAlign w:val="center"/>
                </w:tcPr>
                <w:p w14:paraId="2765BF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57</w:t>
                  </w:r>
                </w:p>
              </w:tc>
              <w:tc>
                <w:tcPr>
                  <w:tcW w:w="480" w:type="dxa"/>
                  <w:noWrap w:val="0"/>
                  <w:vAlign w:val="center"/>
                </w:tcPr>
                <w:p w14:paraId="6EAB19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22</w:t>
                  </w:r>
                </w:p>
              </w:tc>
              <w:tc>
                <w:tcPr>
                  <w:tcW w:w="495" w:type="dxa"/>
                  <w:noWrap w:val="0"/>
                  <w:vAlign w:val="center"/>
                </w:tcPr>
                <w:p w14:paraId="66C9E8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58</w:t>
                  </w:r>
                </w:p>
              </w:tc>
              <w:tc>
                <w:tcPr>
                  <w:tcW w:w="600" w:type="dxa"/>
                  <w:noWrap w:val="0"/>
                  <w:vAlign w:val="center"/>
                </w:tcPr>
                <w:p w14:paraId="3761CD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54.6</w:t>
                  </w:r>
                </w:p>
              </w:tc>
              <w:tc>
                <w:tcPr>
                  <w:tcW w:w="675" w:type="dxa"/>
                  <w:noWrap w:val="0"/>
                  <w:vAlign w:val="center"/>
                </w:tcPr>
                <w:p w14:paraId="1B13FFC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49.9</w:t>
                  </w:r>
                </w:p>
              </w:tc>
              <w:tc>
                <w:tcPr>
                  <w:tcW w:w="615" w:type="dxa"/>
                  <w:noWrap w:val="0"/>
                  <w:vAlign w:val="center"/>
                </w:tcPr>
                <w:p w14:paraId="0FCE6AF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58.2</w:t>
                  </w:r>
                </w:p>
              </w:tc>
              <w:tc>
                <w:tcPr>
                  <w:tcW w:w="585" w:type="dxa"/>
                  <w:noWrap w:val="0"/>
                  <w:vAlign w:val="center"/>
                </w:tcPr>
                <w:p w14:paraId="755B793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49.7</w:t>
                  </w:r>
                </w:p>
              </w:tc>
              <w:tc>
                <w:tcPr>
                  <w:tcW w:w="479" w:type="dxa"/>
                  <w:vMerge w:val="continue"/>
                  <w:noWrap w:val="0"/>
                  <w:vAlign w:val="center"/>
                </w:tcPr>
                <w:p w14:paraId="042EB5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03BF8D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6AF967A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39.6</w:t>
                  </w:r>
                </w:p>
              </w:tc>
              <w:tc>
                <w:tcPr>
                  <w:tcW w:w="600" w:type="dxa"/>
                  <w:noWrap w:val="0"/>
                  <w:vAlign w:val="center"/>
                </w:tcPr>
                <w:p w14:paraId="0A0096F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34.9</w:t>
                  </w:r>
                </w:p>
              </w:tc>
              <w:tc>
                <w:tcPr>
                  <w:tcW w:w="615" w:type="dxa"/>
                  <w:noWrap w:val="0"/>
                  <w:vAlign w:val="center"/>
                </w:tcPr>
                <w:p w14:paraId="363AE1F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43.2</w:t>
                  </w:r>
                </w:p>
              </w:tc>
              <w:tc>
                <w:tcPr>
                  <w:tcW w:w="615" w:type="dxa"/>
                  <w:noWrap w:val="0"/>
                  <w:vAlign w:val="center"/>
                </w:tcPr>
                <w:p w14:paraId="400A324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34.7</w:t>
                  </w:r>
                </w:p>
              </w:tc>
              <w:tc>
                <w:tcPr>
                  <w:tcW w:w="509" w:type="dxa"/>
                  <w:vMerge w:val="continue"/>
                  <w:noWrap w:val="0"/>
                  <w:vAlign w:val="center"/>
                </w:tcPr>
                <w:p w14:paraId="65CC1B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141B1A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06615257">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64DF247A">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eastAsia" w:ascii="Times New Roman" w:hAnsi="Times New Roman" w:eastAsia="宋体" w:cs="Times New Roman"/>
                      <w:color w:val="auto"/>
                      <w:kern w:val="2"/>
                      <w:sz w:val="18"/>
                      <w:szCs w:val="18"/>
                      <w:highlight w:val="none"/>
                      <w:lang w:val="en-US" w:eastAsia="zh-CN" w:bidi="ar-SA"/>
                    </w:rPr>
                  </w:pPr>
                  <w:r>
                    <w:rPr>
                      <w:rFonts w:hint="default" w:ascii="Times New Roman" w:hAnsi="Times New Roman" w:cs="Times New Roman"/>
                      <w:color w:val="auto"/>
                      <w:spacing w:val="7"/>
                      <w:sz w:val="18"/>
                      <w:szCs w:val="18"/>
                      <w:highlight w:val="none"/>
                    </w:rPr>
                    <w:t>输送带</w:t>
                  </w:r>
                </w:p>
              </w:tc>
              <w:tc>
                <w:tcPr>
                  <w:tcW w:w="764" w:type="dxa"/>
                  <w:noWrap w:val="0"/>
                  <w:vAlign w:val="center"/>
                </w:tcPr>
                <w:p w14:paraId="182E0C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80</w:t>
                  </w:r>
                </w:p>
              </w:tc>
              <w:tc>
                <w:tcPr>
                  <w:tcW w:w="857" w:type="dxa"/>
                  <w:vMerge w:val="continue"/>
                  <w:noWrap w:val="0"/>
                  <w:vAlign w:val="center"/>
                </w:tcPr>
                <w:p w14:paraId="4E7D568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57E30CC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7</w:t>
                  </w:r>
                </w:p>
              </w:tc>
              <w:tc>
                <w:tcPr>
                  <w:tcW w:w="600" w:type="dxa"/>
                  <w:noWrap w:val="0"/>
                  <w:vAlign w:val="center"/>
                </w:tcPr>
                <w:p w14:paraId="4D12EA4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-17</w:t>
                  </w:r>
                </w:p>
              </w:tc>
              <w:tc>
                <w:tcPr>
                  <w:tcW w:w="630" w:type="dxa"/>
                  <w:noWrap w:val="0"/>
                  <w:vAlign w:val="center"/>
                </w:tcPr>
                <w:p w14:paraId="5EB2E8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2065A5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23</w:t>
                  </w:r>
                </w:p>
              </w:tc>
              <w:tc>
                <w:tcPr>
                  <w:tcW w:w="525" w:type="dxa"/>
                  <w:noWrap w:val="0"/>
                  <w:vAlign w:val="center"/>
                </w:tcPr>
                <w:p w14:paraId="5017515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60</w:t>
                  </w:r>
                </w:p>
              </w:tc>
              <w:tc>
                <w:tcPr>
                  <w:tcW w:w="480" w:type="dxa"/>
                  <w:noWrap w:val="0"/>
                  <w:vAlign w:val="center"/>
                </w:tcPr>
                <w:p w14:paraId="0A650E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32</w:t>
                  </w:r>
                </w:p>
              </w:tc>
              <w:tc>
                <w:tcPr>
                  <w:tcW w:w="495" w:type="dxa"/>
                  <w:noWrap w:val="0"/>
                  <w:vAlign w:val="center"/>
                </w:tcPr>
                <w:p w14:paraId="1FC7BC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55</w:t>
                  </w:r>
                </w:p>
              </w:tc>
              <w:tc>
                <w:tcPr>
                  <w:tcW w:w="600" w:type="dxa"/>
                  <w:noWrap w:val="0"/>
                  <w:vAlign w:val="center"/>
                </w:tcPr>
                <w:p w14:paraId="274269C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52.8</w:t>
                  </w:r>
                </w:p>
              </w:tc>
              <w:tc>
                <w:tcPr>
                  <w:tcW w:w="675" w:type="dxa"/>
                  <w:noWrap w:val="0"/>
                  <w:vAlign w:val="center"/>
                </w:tcPr>
                <w:p w14:paraId="29E7B01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44.4</w:t>
                  </w:r>
                </w:p>
              </w:tc>
              <w:tc>
                <w:tcPr>
                  <w:tcW w:w="615" w:type="dxa"/>
                  <w:noWrap w:val="0"/>
                  <w:vAlign w:val="center"/>
                </w:tcPr>
                <w:p w14:paraId="017624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49.9</w:t>
                  </w:r>
                </w:p>
              </w:tc>
              <w:tc>
                <w:tcPr>
                  <w:tcW w:w="585" w:type="dxa"/>
                  <w:noWrap w:val="0"/>
                  <w:vAlign w:val="center"/>
                </w:tcPr>
                <w:p w14:paraId="73CC4EB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45.2</w:t>
                  </w:r>
                </w:p>
              </w:tc>
              <w:tc>
                <w:tcPr>
                  <w:tcW w:w="479" w:type="dxa"/>
                  <w:vMerge w:val="continue"/>
                  <w:noWrap w:val="0"/>
                  <w:vAlign w:val="center"/>
                </w:tcPr>
                <w:p w14:paraId="1FD19B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37EDA3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162BC02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37.8</w:t>
                  </w:r>
                </w:p>
              </w:tc>
              <w:tc>
                <w:tcPr>
                  <w:tcW w:w="600" w:type="dxa"/>
                  <w:noWrap w:val="0"/>
                  <w:vAlign w:val="center"/>
                </w:tcPr>
                <w:p w14:paraId="53EE0BB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29.4</w:t>
                  </w:r>
                </w:p>
              </w:tc>
              <w:tc>
                <w:tcPr>
                  <w:tcW w:w="615" w:type="dxa"/>
                  <w:noWrap w:val="0"/>
                  <w:vAlign w:val="center"/>
                </w:tcPr>
                <w:p w14:paraId="2F211FC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34.9</w:t>
                  </w:r>
                </w:p>
              </w:tc>
              <w:tc>
                <w:tcPr>
                  <w:tcW w:w="615" w:type="dxa"/>
                  <w:noWrap w:val="0"/>
                  <w:vAlign w:val="center"/>
                </w:tcPr>
                <w:p w14:paraId="0F35A7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30.2</w:t>
                  </w:r>
                </w:p>
              </w:tc>
              <w:tc>
                <w:tcPr>
                  <w:tcW w:w="509" w:type="dxa"/>
                  <w:vMerge w:val="continue"/>
                  <w:noWrap w:val="0"/>
                  <w:vAlign w:val="center"/>
                </w:tcPr>
                <w:p w14:paraId="43E75C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15DF5D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63A3550A">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1AED245A">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en-US" w:bidi="ar-SA"/>
                    </w:rPr>
                  </w:pPr>
                  <w:r>
                    <w:rPr>
                      <w:rFonts w:hint="default" w:ascii="Times New Roman" w:hAnsi="Times New Roman" w:cs="Times New Roman"/>
                      <w:color w:val="auto"/>
                      <w:spacing w:val="3"/>
                      <w:sz w:val="18"/>
                      <w:szCs w:val="18"/>
                      <w:highlight w:val="none"/>
                    </w:rPr>
                    <w:t>叉车</w:t>
                  </w:r>
                </w:p>
              </w:tc>
              <w:tc>
                <w:tcPr>
                  <w:tcW w:w="764" w:type="dxa"/>
                  <w:noWrap w:val="0"/>
                  <w:vAlign w:val="center"/>
                </w:tcPr>
                <w:p w14:paraId="45F78A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85</w:t>
                  </w:r>
                </w:p>
              </w:tc>
              <w:tc>
                <w:tcPr>
                  <w:tcW w:w="857" w:type="dxa"/>
                  <w:vMerge w:val="continue"/>
                  <w:noWrap w:val="0"/>
                  <w:vAlign w:val="center"/>
                </w:tcPr>
                <w:p w14:paraId="295DAC7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5B1E89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46</w:t>
                  </w:r>
                </w:p>
              </w:tc>
              <w:tc>
                <w:tcPr>
                  <w:tcW w:w="600" w:type="dxa"/>
                  <w:noWrap w:val="0"/>
                  <w:vAlign w:val="center"/>
                </w:tcPr>
                <w:p w14:paraId="2773F5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-49</w:t>
                  </w:r>
                </w:p>
              </w:tc>
              <w:tc>
                <w:tcPr>
                  <w:tcW w:w="630" w:type="dxa"/>
                  <w:noWrap w:val="0"/>
                  <w:vAlign w:val="center"/>
                </w:tcPr>
                <w:p w14:paraId="666F94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71E8B2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22</w:t>
                  </w:r>
                </w:p>
              </w:tc>
              <w:tc>
                <w:tcPr>
                  <w:tcW w:w="525" w:type="dxa"/>
                  <w:noWrap w:val="0"/>
                  <w:vAlign w:val="center"/>
                </w:tcPr>
                <w:p w14:paraId="72BFC3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6</w:t>
                  </w:r>
                </w:p>
              </w:tc>
              <w:tc>
                <w:tcPr>
                  <w:tcW w:w="480" w:type="dxa"/>
                  <w:noWrap w:val="0"/>
                  <w:vAlign w:val="center"/>
                </w:tcPr>
                <w:p w14:paraId="7AC4D1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33</w:t>
                  </w:r>
                </w:p>
              </w:tc>
              <w:tc>
                <w:tcPr>
                  <w:tcW w:w="495" w:type="dxa"/>
                  <w:noWrap w:val="0"/>
                  <w:vAlign w:val="center"/>
                </w:tcPr>
                <w:p w14:paraId="567E17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109</w:t>
                  </w:r>
                </w:p>
              </w:tc>
              <w:tc>
                <w:tcPr>
                  <w:tcW w:w="600" w:type="dxa"/>
                  <w:noWrap w:val="0"/>
                  <w:vAlign w:val="center"/>
                </w:tcPr>
                <w:p w14:paraId="5508360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58.2</w:t>
                  </w:r>
                </w:p>
              </w:tc>
              <w:tc>
                <w:tcPr>
                  <w:tcW w:w="675" w:type="dxa"/>
                  <w:noWrap w:val="0"/>
                  <w:vAlign w:val="center"/>
                </w:tcPr>
                <w:p w14:paraId="4E7BA2D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69.4</w:t>
                  </w:r>
                </w:p>
              </w:tc>
              <w:tc>
                <w:tcPr>
                  <w:tcW w:w="615" w:type="dxa"/>
                  <w:noWrap w:val="0"/>
                  <w:vAlign w:val="center"/>
                </w:tcPr>
                <w:p w14:paraId="479F8D3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54.6</w:t>
                  </w:r>
                </w:p>
              </w:tc>
              <w:tc>
                <w:tcPr>
                  <w:tcW w:w="585" w:type="dxa"/>
                  <w:noWrap w:val="0"/>
                  <w:vAlign w:val="center"/>
                </w:tcPr>
                <w:p w14:paraId="564B6F2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44.3</w:t>
                  </w:r>
                </w:p>
              </w:tc>
              <w:tc>
                <w:tcPr>
                  <w:tcW w:w="479" w:type="dxa"/>
                  <w:vMerge w:val="continue"/>
                  <w:noWrap w:val="0"/>
                  <w:vAlign w:val="center"/>
                </w:tcPr>
                <w:p w14:paraId="410117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2A3D95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6ADA91D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43.2</w:t>
                  </w:r>
                </w:p>
              </w:tc>
              <w:tc>
                <w:tcPr>
                  <w:tcW w:w="600" w:type="dxa"/>
                  <w:noWrap w:val="0"/>
                  <w:vAlign w:val="center"/>
                </w:tcPr>
                <w:p w14:paraId="49F68B7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54.4</w:t>
                  </w:r>
                </w:p>
              </w:tc>
              <w:tc>
                <w:tcPr>
                  <w:tcW w:w="615" w:type="dxa"/>
                  <w:noWrap w:val="0"/>
                  <w:vAlign w:val="center"/>
                </w:tcPr>
                <w:p w14:paraId="1FE4474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39.6</w:t>
                  </w:r>
                </w:p>
              </w:tc>
              <w:tc>
                <w:tcPr>
                  <w:tcW w:w="615" w:type="dxa"/>
                  <w:noWrap w:val="0"/>
                  <w:vAlign w:val="center"/>
                </w:tcPr>
                <w:p w14:paraId="352C000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29.3</w:t>
                  </w:r>
                </w:p>
              </w:tc>
              <w:tc>
                <w:tcPr>
                  <w:tcW w:w="509" w:type="dxa"/>
                  <w:vMerge w:val="continue"/>
                  <w:noWrap w:val="0"/>
                  <w:vAlign w:val="center"/>
                </w:tcPr>
                <w:p w14:paraId="3F03C5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r w14:paraId="5CED44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441" w:type="dxa"/>
                  <w:noWrap w:val="0"/>
                  <w:vAlign w:val="center"/>
                </w:tcPr>
                <w:p w14:paraId="0C9A5638">
                  <w:pPr>
                    <w:pStyle w:val="78"/>
                    <w:keepNext w:val="0"/>
                    <w:keepLines w:val="0"/>
                    <w:pageBreakBefore w:val="0"/>
                    <w:widowControl w:val="0"/>
                    <w:numPr>
                      <w:ilvl w:val="0"/>
                      <w:numId w:val="19"/>
                    </w:numPr>
                    <w:suppressLineNumbers w:val="0"/>
                    <w:kinsoku/>
                    <w:wordWrap/>
                    <w:overflowPunct/>
                    <w:topLinePunct w:val="0"/>
                    <w:autoSpaceDE/>
                    <w:autoSpaceDN/>
                    <w:bidi w:val="0"/>
                    <w:adjustRightInd w:val="0"/>
                    <w:snapToGrid w:val="0"/>
                    <w:spacing w:before="0" w:beforeAutospacing="0" w:afterAutospacing="0"/>
                    <w:ind w:left="0" w:leftChars="0" w:right="0" w:firstLine="0" w:firstLineChars="0"/>
                    <w:textAlignment w:val="auto"/>
                    <w:rPr>
                      <w:rFonts w:hint="default"/>
                      <w:color w:val="auto"/>
                      <w:sz w:val="18"/>
                      <w:szCs w:val="18"/>
                      <w:highlight w:val="none"/>
                    </w:rPr>
                  </w:pPr>
                </w:p>
              </w:tc>
              <w:tc>
                <w:tcPr>
                  <w:tcW w:w="803" w:type="dxa"/>
                  <w:shd w:val="clear" w:color="auto" w:fill="auto"/>
                  <w:noWrap w:val="0"/>
                  <w:vAlign w:val="center"/>
                </w:tcPr>
                <w:p w14:paraId="389D327E">
                  <w:pPr>
                    <w:pStyle w:val="9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72" w:leftChars="-30" w:right="-72" w:rightChars="-30" w:firstLine="0" w:firstLineChars="0"/>
                    <w:jc w:val="center"/>
                    <w:textAlignment w:val="auto"/>
                    <w:rPr>
                      <w:rFonts w:hint="default" w:ascii="Times New Roman" w:hAnsi="Times New Roman" w:eastAsia="宋体" w:cs="Times New Roman"/>
                      <w:color w:val="auto"/>
                      <w:kern w:val="2"/>
                      <w:sz w:val="18"/>
                      <w:szCs w:val="18"/>
                      <w:highlight w:val="none"/>
                      <w:lang w:val="en-US" w:eastAsia="en-US" w:bidi="ar-SA"/>
                    </w:rPr>
                  </w:pPr>
                  <w:r>
                    <w:rPr>
                      <w:rFonts w:hint="default" w:ascii="Times New Roman" w:hAnsi="Times New Roman" w:cs="Times New Roman"/>
                      <w:color w:val="auto"/>
                      <w:spacing w:val="4"/>
                      <w:sz w:val="18"/>
                      <w:szCs w:val="18"/>
                      <w:highlight w:val="none"/>
                    </w:rPr>
                    <w:t>铲车</w:t>
                  </w:r>
                </w:p>
              </w:tc>
              <w:tc>
                <w:tcPr>
                  <w:tcW w:w="764" w:type="dxa"/>
                  <w:noWrap w:val="0"/>
                  <w:vAlign w:val="center"/>
                </w:tcPr>
                <w:p w14:paraId="1C3E1B5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85</w:t>
                  </w:r>
                </w:p>
              </w:tc>
              <w:tc>
                <w:tcPr>
                  <w:tcW w:w="857" w:type="dxa"/>
                  <w:vMerge w:val="continue"/>
                  <w:noWrap w:val="0"/>
                  <w:vAlign w:val="center"/>
                </w:tcPr>
                <w:p w14:paraId="158E59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c>
                <w:tcPr>
                  <w:tcW w:w="465" w:type="dxa"/>
                  <w:noWrap w:val="0"/>
                  <w:vAlign w:val="center"/>
                </w:tcPr>
                <w:p w14:paraId="150046E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-17</w:t>
                  </w:r>
                </w:p>
              </w:tc>
              <w:tc>
                <w:tcPr>
                  <w:tcW w:w="600" w:type="dxa"/>
                  <w:noWrap w:val="0"/>
                  <w:vAlign w:val="center"/>
                </w:tcPr>
                <w:p w14:paraId="53D0BD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sz w:val="18"/>
                      <w:szCs w:val="18"/>
                      <w:highlight w:val="none"/>
                      <w:lang w:val="en-US" w:eastAsia="zh-CN"/>
                    </w:rPr>
                  </w:pPr>
                  <w:r>
                    <w:rPr>
                      <w:rFonts w:hint="eastAsia"/>
                      <w:color w:val="auto"/>
                      <w:sz w:val="18"/>
                      <w:szCs w:val="18"/>
                      <w:highlight w:val="none"/>
                    </w:rPr>
                    <w:t>-3</w:t>
                  </w:r>
                </w:p>
              </w:tc>
              <w:tc>
                <w:tcPr>
                  <w:tcW w:w="630" w:type="dxa"/>
                  <w:noWrap w:val="0"/>
                  <w:vAlign w:val="center"/>
                </w:tcPr>
                <w:p w14:paraId="7A3394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480" w:type="dxa"/>
                  <w:noWrap w:val="0"/>
                  <w:vAlign w:val="center"/>
                </w:tcPr>
                <w:p w14:paraId="175D63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30</w:t>
                  </w:r>
                </w:p>
              </w:tc>
              <w:tc>
                <w:tcPr>
                  <w:tcW w:w="525" w:type="dxa"/>
                  <w:noWrap w:val="0"/>
                  <w:vAlign w:val="center"/>
                </w:tcPr>
                <w:p w14:paraId="6D310D5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89</w:t>
                  </w:r>
                </w:p>
              </w:tc>
              <w:tc>
                <w:tcPr>
                  <w:tcW w:w="480" w:type="dxa"/>
                  <w:noWrap w:val="0"/>
                  <w:vAlign w:val="center"/>
                </w:tcPr>
                <w:p w14:paraId="231965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25</w:t>
                  </w:r>
                </w:p>
              </w:tc>
              <w:tc>
                <w:tcPr>
                  <w:tcW w:w="495" w:type="dxa"/>
                  <w:noWrap w:val="0"/>
                  <w:vAlign w:val="center"/>
                </w:tcPr>
                <w:p w14:paraId="2E766D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26</w:t>
                  </w:r>
                </w:p>
              </w:tc>
              <w:tc>
                <w:tcPr>
                  <w:tcW w:w="600" w:type="dxa"/>
                  <w:noWrap w:val="0"/>
                  <w:vAlign w:val="center"/>
                </w:tcPr>
                <w:p w14:paraId="5703CA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55.5</w:t>
                  </w:r>
                </w:p>
              </w:tc>
              <w:tc>
                <w:tcPr>
                  <w:tcW w:w="675" w:type="dxa"/>
                  <w:noWrap w:val="0"/>
                  <w:vAlign w:val="center"/>
                </w:tcPr>
                <w:p w14:paraId="6DBC9DB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46.0</w:t>
                  </w:r>
                </w:p>
              </w:tc>
              <w:tc>
                <w:tcPr>
                  <w:tcW w:w="615" w:type="dxa"/>
                  <w:noWrap w:val="0"/>
                  <w:vAlign w:val="center"/>
                </w:tcPr>
                <w:p w14:paraId="03E9853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57.0</w:t>
                  </w:r>
                </w:p>
              </w:tc>
              <w:tc>
                <w:tcPr>
                  <w:tcW w:w="585" w:type="dxa"/>
                  <w:noWrap w:val="0"/>
                  <w:vAlign w:val="center"/>
                </w:tcPr>
                <w:p w14:paraId="70773C8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cs="Times New Roman"/>
                      <w:color w:val="auto"/>
                      <w:sz w:val="18"/>
                      <w:szCs w:val="18"/>
                      <w:highlight w:val="none"/>
                    </w:rPr>
                  </w:pPr>
                  <w:r>
                    <w:rPr>
                      <w:rFonts w:hint="default" w:ascii="Times New Roman" w:hAnsi="Times New Roman" w:eastAsia="宋体" w:cs="Times New Roman"/>
                      <w:i w:val="0"/>
                      <w:iCs w:val="0"/>
                      <w:color w:val="auto"/>
                      <w:kern w:val="0"/>
                      <w:sz w:val="18"/>
                      <w:szCs w:val="18"/>
                      <w:highlight w:val="none"/>
                      <w:u w:val="none"/>
                      <w:lang w:val="en-US" w:eastAsia="zh-CN" w:bidi="ar"/>
                    </w:rPr>
                    <w:t>56.7</w:t>
                  </w:r>
                </w:p>
              </w:tc>
              <w:tc>
                <w:tcPr>
                  <w:tcW w:w="479" w:type="dxa"/>
                  <w:vMerge w:val="continue"/>
                  <w:noWrap w:val="0"/>
                  <w:vAlign w:val="center"/>
                </w:tcPr>
                <w:p w14:paraId="3A657C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jc w:val="center"/>
                    <w:textAlignment w:val="auto"/>
                    <w:rPr>
                      <w:rFonts w:hint="default"/>
                      <w:color w:val="auto"/>
                      <w:sz w:val="18"/>
                      <w:szCs w:val="18"/>
                      <w:highlight w:val="none"/>
                    </w:rPr>
                  </w:pPr>
                </w:p>
              </w:tc>
              <w:tc>
                <w:tcPr>
                  <w:tcW w:w="661" w:type="dxa"/>
                  <w:vMerge w:val="continue"/>
                  <w:shd w:val="clear" w:color="auto" w:fill="auto"/>
                  <w:noWrap w:val="0"/>
                  <w:vAlign w:val="center"/>
                </w:tcPr>
                <w:p w14:paraId="62FED0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jc w:val="center"/>
                    <w:textAlignment w:val="auto"/>
                    <w:rPr>
                      <w:rFonts w:hint="default" w:ascii="Times New Roman" w:hAnsi="Times New Roman" w:eastAsia="宋体" w:cs="Times New Roman"/>
                      <w:color w:val="auto"/>
                      <w:kern w:val="2"/>
                      <w:sz w:val="18"/>
                      <w:szCs w:val="18"/>
                      <w:highlight w:val="none"/>
                      <w:lang w:val="en-US" w:eastAsia="zh-CN" w:bidi="ar-SA"/>
                    </w:rPr>
                  </w:pPr>
                </w:p>
              </w:tc>
              <w:tc>
                <w:tcPr>
                  <w:tcW w:w="645" w:type="dxa"/>
                  <w:noWrap w:val="0"/>
                  <w:vAlign w:val="center"/>
                </w:tcPr>
                <w:p w14:paraId="3378D55C">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40.5</w:t>
                  </w:r>
                </w:p>
              </w:tc>
              <w:tc>
                <w:tcPr>
                  <w:tcW w:w="600" w:type="dxa"/>
                  <w:noWrap w:val="0"/>
                  <w:vAlign w:val="center"/>
                </w:tcPr>
                <w:p w14:paraId="1520EA7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31.0</w:t>
                  </w:r>
                </w:p>
              </w:tc>
              <w:tc>
                <w:tcPr>
                  <w:tcW w:w="615" w:type="dxa"/>
                  <w:noWrap w:val="0"/>
                  <w:vAlign w:val="center"/>
                </w:tcPr>
                <w:p w14:paraId="736A905A">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42.0</w:t>
                  </w:r>
                </w:p>
              </w:tc>
              <w:tc>
                <w:tcPr>
                  <w:tcW w:w="615" w:type="dxa"/>
                  <w:noWrap w:val="0"/>
                  <w:vAlign w:val="center"/>
                </w:tcPr>
                <w:p w14:paraId="736FDC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i w:val="0"/>
                      <w:iCs w:val="0"/>
                      <w:color w:val="auto"/>
                      <w:kern w:val="0"/>
                      <w:sz w:val="18"/>
                      <w:szCs w:val="18"/>
                      <w:highlight w:val="none"/>
                      <w:u w:val="none"/>
                      <w:lang w:val="en-US" w:eastAsia="zh-CN" w:bidi="ar"/>
                    </w:rPr>
                  </w:pPr>
                  <w:r>
                    <w:rPr>
                      <w:rFonts w:hint="eastAsia" w:ascii="Times New Roman" w:hAnsi="Times New Roman" w:eastAsia="宋体" w:cs="Times New Roman"/>
                      <w:i w:val="0"/>
                      <w:iCs w:val="0"/>
                      <w:color w:val="auto"/>
                      <w:kern w:val="0"/>
                      <w:sz w:val="18"/>
                      <w:szCs w:val="18"/>
                      <w:highlight w:val="none"/>
                      <w:u w:val="none"/>
                      <w:lang w:val="en-US" w:eastAsia="zh-CN" w:bidi="ar"/>
                    </w:rPr>
                    <w:t>41.7</w:t>
                  </w:r>
                </w:p>
              </w:tc>
              <w:tc>
                <w:tcPr>
                  <w:tcW w:w="509" w:type="dxa"/>
                  <w:vMerge w:val="continue"/>
                  <w:noWrap w:val="0"/>
                  <w:vAlign w:val="center"/>
                </w:tcPr>
                <w:p w14:paraId="5D8FC2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18"/>
                      <w:szCs w:val="18"/>
                      <w:highlight w:val="none"/>
                    </w:rPr>
                  </w:pPr>
                </w:p>
              </w:tc>
            </w:tr>
          </w:tbl>
          <w:p w14:paraId="3F77FAD9">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工业企业噪声源强调查清单（室外声源）</w:t>
            </w:r>
            <w:bookmarkStart w:id="427" w:name="PT_5"/>
            <w:bookmarkEnd w:id="427"/>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63"/>
              <w:gridCol w:w="2206"/>
              <w:gridCol w:w="1731"/>
              <w:gridCol w:w="1400"/>
              <w:gridCol w:w="1350"/>
              <w:gridCol w:w="2246"/>
              <w:gridCol w:w="2041"/>
              <w:gridCol w:w="1710"/>
            </w:tblGrid>
            <w:tr w14:paraId="38C775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47" w:hRule="atLeast"/>
                <w:jc w:val="center"/>
              </w:trPr>
              <w:tc>
                <w:tcPr>
                  <w:tcW w:w="863" w:type="dxa"/>
                  <w:vMerge w:val="restart"/>
                  <w:noWrap w:val="0"/>
                  <w:vAlign w:val="center"/>
                </w:tcPr>
                <w:p w14:paraId="2D6D7A81">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序号</w:t>
                  </w:r>
                </w:p>
              </w:tc>
              <w:tc>
                <w:tcPr>
                  <w:tcW w:w="2206" w:type="dxa"/>
                  <w:vMerge w:val="restart"/>
                  <w:noWrap w:val="0"/>
                  <w:vAlign w:val="center"/>
                </w:tcPr>
                <w:p w14:paraId="4F1B1D60">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声源名称</w:t>
                  </w:r>
                </w:p>
              </w:tc>
              <w:tc>
                <w:tcPr>
                  <w:tcW w:w="4481" w:type="dxa"/>
                  <w:gridSpan w:val="3"/>
                  <w:noWrap w:val="0"/>
                  <w:vAlign w:val="center"/>
                </w:tcPr>
                <w:p w14:paraId="2B4B7F9D">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空间相对位置/m</w:t>
                  </w:r>
                </w:p>
              </w:tc>
              <w:tc>
                <w:tcPr>
                  <w:tcW w:w="2246" w:type="dxa"/>
                  <w:noWrap w:val="0"/>
                  <w:vAlign w:val="center"/>
                </w:tcPr>
                <w:p w14:paraId="1957D744">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声源源强</w:t>
                  </w:r>
                </w:p>
              </w:tc>
              <w:tc>
                <w:tcPr>
                  <w:tcW w:w="2041" w:type="dxa"/>
                  <w:vMerge w:val="restart"/>
                  <w:noWrap w:val="0"/>
                  <w:vAlign w:val="center"/>
                </w:tcPr>
                <w:p w14:paraId="6819618A">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声源控制措施</w:t>
                  </w:r>
                </w:p>
              </w:tc>
              <w:tc>
                <w:tcPr>
                  <w:tcW w:w="1710" w:type="dxa"/>
                  <w:vMerge w:val="restart"/>
                  <w:noWrap w:val="0"/>
                  <w:vAlign w:val="center"/>
                </w:tcPr>
                <w:p w14:paraId="4A9ADB9B">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运行时段h/a</w:t>
                  </w:r>
                </w:p>
              </w:tc>
            </w:tr>
            <w:tr w14:paraId="3A676E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3" w:type="dxa"/>
                  <w:vMerge w:val="continue"/>
                  <w:noWrap w:val="0"/>
                  <w:vAlign w:val="center"/>
                </w:tcPr>
                <w:p w14:paraId="6ED2430F">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p>
              </w:tc>
              <w:tc>
                <w:tcPr>
                  <w:tcW w:w="2206" w:type="dxa"/>
                  <w:vMerge w:val="continue"/>
                  <w:noWrap w:val="0"/>
                  <w:vAlign w:val="center"/>
                </w:tcPr>
                <w:p w14:paraId="5D81936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p>
              </w:tc>
              <w:tc>
                <w:tcPr>
                  <w:tcW w:w="1731" w:type="dxa"/>
                  <w:noWrap w:val="0"/>
                  <w:vAlign w:val="center"/>
                </w:tcPr>
                <w:p w14:paraId="0B8A94C9">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X</w:t>
                  </w:r>
                </w:p>
              </w:tc>
              <w:tc>
                <w:tcPr>
                  <w:tcW w:w="1400" w:type="dxa"/>
                  <w:noWrap w:val="0"/>
                  <w:vAlign w:val="center"/>
                </w:tcPr>
                <w:p w14:paraId="53C59387">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Y</w:t>
                  </w:r>
                </w:p>
              </w:tc>
              <w:tc>
                <w:tcPr>
                  <w:tcW w:w="1350" w:type="dxa"/>
                  <w:noWrap w:val="0"/>
                  <w:vAlign w:val="center"/>
                </w:tcPr>
                <w:p w14:paraId="26255268">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Z</w:t>
                  </w:r>
                </w:p>
              </w:tc>
              <w:tc>
                <w:tcPr>
                  <w:tcW w:w="2246" w:type="dxa"/>
                  <w:noWrap w:val="0"/>
                  <w:vAlign w:val="center"/>
                </w:tcPr>
                <w:p w14:paraId="6E4F03CA">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sz w:val="18"/>
                      <w:szCs w:val="18"/>
                      <w:highlight w:val="none"/>
                    </w:rPr>
                  </w:pPr>
                  <w:r>
                    <w:rPr>
                      <w:rFonts w:hint="default"/>
                      <w:b/>
                      <w:bCs/>
                      <w:color w:val="auto"/>
                      <w:sz w:val="18"/>
                      <w:szCs w:val="18"/>
                      <w:highlight w:val="none"/>
                    </w:rPr>
                    <w:t>声功率级/dB(A)</w:t>
                  </w:r>
                </w:p>
              </w:tc>
              <w:tc>
                <w:tcPr>
                  <w:tcW w:w="2041" w:type="dxa"/>
                  <w:vMerge w:val="continue"/>
                  <w:noWrap w:val="0"/>
                  <w:vAlign w:val="center"/>
                </w:tcPr>
                <w:p w14:paraId="260C1A78">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p>
              </w:tc>
              <w:tc>
                <w:tcPr>
                  <w:tcW w:w="1710" w:type="dxa"/>
                  <w:vMerge w:val="continue"/>
                  <w:noWrap w:val="0"/>
                  <w:vAlign w:val="center"/>
                </w:tcPr>
                <w:p w14:paraId="1F05A51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p>
              </w:tc>
            </w:tr>
            <w:tr w14:paraId="75A747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3" w:type="dxa"/>
                  <w:noWrap w:val="0"/>
                  <w:vAlign w:val="center"/>
                </w:tcPr>
                <w:p w14:paraId="0E86290A">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2206" w:type="dxa"/>
                  <w:noWrap w:val="0"/>
                  <w:vAlign w:val="center"/>
                </w:tcPr>
                <w:p w14:paraId="7C5D9008">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r>
                    <w:rPr>
                      <w:rFonts w:hint="eastAsia"/>
                      <w:color w:val="auto"/>
                      <w:sz w:val="18"/>
                      <w:szCs w:val="18"/>
                      <w:highlight w:val="none"/>
                      <w:lang w:val="en-US" w:eastAsia="zh-CN"/>
                    </w:rPr>
                    <w:t>3#</w:t>
                  </w:r>
                  <w:r>
                    <w:rPr>
                      <w:rFonts w:hint="default"/>
                      <w:color w:val="auto"/>
                      <w:sz w:val="18"/>
                      <w:szCs w:val="18"/>
                      <w:highlight w:val="none"/>
                    </w:rPr>
                    <w:t>风机</w:t>
                  </w:r>
                </w:p>
              </w:tc>
              <w:tc>
                <w:tcPr>
                  <w:tcW w:w="1731" w:type="dxa"/>
                  <w:noWrap w:val="0"/>
                  <w:vAlign w:val="center"/>
                </w:tcPr>
                <w:p w14:paraId="54BB47A6">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3</w:t>
                  </w:r>
                </w:p>
              </w:tc>
              <w:tc>
                <w:tcPr>
                  <w:tcW w:w="1400" w:type="dxa"/>
                  <w:noWrap w:val="0"/>
                  <w:vAlign w:val="center"/>
                </w:tcPr>
                <w:p w14:paraId="06DF4EB1">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8</w:t>
                  </w:r>
                </w:p>
              </w:tc>
              <w:tc>
                <w:tcPr>
                  <w:tcW w:w="1350" w:type="dxa"/>
                  <w:noWrap w:val="0"/>
                  <w:vAlign w:val="center"/>
                </w:tcPr>
                <w:p w14:paraId="5D286269">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r>
                    <w:rPr>
                      <w:rFonts w:hint="default"/>
                      <w:color w:val="auto"/>
                      <w:sz w:val="18"/>
                      <w:szCs w:val="18"/>
                      <w:highlight w:val="none"/>
                    </w:rPr>
                    <w:t>1</w:t>
                  </w:r>
                </w:p>
              </w:tc>
              <w:tc>
                <w:tcPr>
                  <w:tcW w:w="2246" w:type="dxa"/>
                  <w:noWrap w:val="0"/>
                  <w:vAlign w:val="center"/>
                </w:tcPr>
                <w:p w14:paraId="0E0BA3F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r>
                    <w:rPr>
                      <w:rFonts w:hint="eastAsia"/>
                      <w:color w:val="auto"/>
                      <w:sz w:val="18"/>
                      <w:szCs w:val="18"/>
                      <w:highlight w:val="none"/>
                      <w:lang w:val="en-US" w:eastAsia="zh-CN"/>
                    </w:rPr>
                    <w:t>8</w:t>
                  </w:r>
                  <w:r>
                    <w:rPr>
                      <w:rFonts w:hint="default"/>
                      <w:color w:val="auto"/>
                      <w:sz w:val="18"/>
                      <w:szCs w:val="18"/>
                      <w:highlight w:val="none"/>
                    </w:rPr>
                    <w:t>5</w:t>
                  </w:r>
                </w:p>
              </w:tc>
              <w:tc>
                <w:tcPr>
                  <w:tcW w:w="2041" w:type="dxa"/>
                  <w:noWrap w:val="0"/>
                  <w:vAlign w:val="center"/>
                </w:tcPr>
                <w:p w14:paraId="7D83B7F0">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rPr>
                  </w:pPr>
                  <w:r>
                    <w:rPr>
                      <w:rFonts w:hint="default"/>
                      <w:color w:val="auto"/>
                      <w:sz w:val="18"/>
                      <w:szCs w:val="18"/>
                      <w:highlight w:val="none"/>
                    </w:rPr>
                    <w:t>隔声减震</w:t>
                  </w:r>
                </w:p>
              </w:tc>
              <w:tc>
                <w:tcPr>
                  <w:tcW w:w="1710" w:type="dxa"/>
                  <w:noWrap w:val="0"/>
                  <w:vAlign w:val="center"/>
                </w:tcPr>
                <w:p w14:paraId="19748A5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sz w:val="18"/>
                      <w:szCs w:val="18"/>
                      <w:highlight w:val="none"/>
                      <w:lang w:val="en-US" w:eastAsia="zh-CN"/>
                    </w:rPr>
                  </w:pPr>
                  <w:r>
                    <w:rPr>
                      <w:rFonts w:hint="eastAsia"/>
                      <w:color w:val="auto"/>
                      <w:sz w:val="18"/>
                      <w:szCs w:val="18"/>
                      <w:highlight w:val="none"/>
                      <w:lang w:val="en-US" w:eastAsia="zh-CN"/>
                    </w:rPr>
                    <w:t>7200</w:t>
                  </w:r>
                </w:p>
              </w:tc>
            </w:tr>
            <w:tr w14:paraId="7A922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63" w:type="dxa"/>
                  <w:noWrap w:val="0"/>
                  <w:vAlign w:val="center"/>
                </w:tcPr>
                <w:p w14:paraId="7D4EFDF2">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2</w:t>
                  </w:r>
                </w:p>
              </w:tc>
              <w:tc>
                <w:tcPr>
                  <w:tcW w:w="2206" w:type="dxa"/>
                  <w:noWrap w:val="0"/>
                  <w:vAlign w:val="center"/>
                </w:tcPr>
                <w:p w14:paraId="26D5661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4#</w:t>
                  </w:r>
                  <w:r>
                    <w:rPr>
                      <w:rFonts w:hint="default"/>
                      <w:color w:val="auto"/>
                      <w:sz w:val="18"/>
                      <w:szCs w:val="18"/>
                      <w:highlight w:val="none"/>
                    </w:rPr>
                    <w:t>风机</w:t>
                  </w:r>
                </w:p>
              </w:tc>
              <w:tc>
                <w:tcPr>
                  <w:tcW w:w="1731" w:type="dxa"/>
                  <w:noWrap w:val="0"/>
                  <w:vAlign w:val="center"/>
                </w:tcPr>
                <w:p w14:paraId="26E4382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20</w:t>
                  </w:r>
                </w:p>
              </w:tc>
              <w:tc>
                <w:tcPr>
                  <w:tcW w:w="1400" w:type="dxa"/>
                  <w:noWrap w:val="0"/>
                  <w:vAlign w:val="center"/>
                </w:tcPr>
                <w:p w14:paraId="4F63E2D8">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sz w:val="18"/>
                      <w:szCs w:val="18"/>
                      <w:highlight w:val="none"/>
                      <w:lang w:val="en-US" w:eastAsia="zh-CN"/>
                    </w:rPr>
                  </w:pPr>
                  <w:r>
                    <w:rPr>
                      <w:rFonts w:hint="eastAsia"/>
                      <w:color w:val="auto"/>
                      <w:sz w:val="18"/>
                      <w:szCs w:val="18"/>
                      <w:highlight w:val="none"/>
                      <w:lang w:val="en-US" w:eastAsia="zh-CN"/>
                    </w:rPr>
                    <w:t>-1</w:t>
                  </w:r>
                </w:p>
              </w:tc>
              <w:tc>
                <w:tcPr>
                  <w:tcW w:w="1350" w:type="dxa"/>
                  <w:noWrap w:val="0"/>
                  <w:vAlign w:val="center"/>
                </w:tcPr>
                <w:p w14:paraId="5B2171D2">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sz w:val="18"/>
                      <w:szCs w:val="18"/>
                      <w:highlight w:val="none"/>
                      <w:lang w:val="en-US" w:eastAsia="zh-CN"/>
                    </w:rPr>
                  </w:pPr>
                  <w:r>
                    <w:rPr>
                      <w:rFonts w:hint="eastAsia"/>
                      <w:color w:val="auto"/>
                      <w:sz w:val="18"/>
                      <w:szCs w:val="18"/>
                      <w:highlight w:val="none"/>
                      <w:lang w:val="en-US" w:eastAsia="zh-CN"/>
                    </w:rPr>
                    <w:t>1</w:t>
                  </w:r>
                </w:p>
              </w:tc>
              <w:tc>
                <w:tcPr>
                  <w:tcW w:w="2246" w:type="dxa"/>
                  <w:shd w:val="clear" w:color="auto" w:fill="auto"/>
                  <w:noWrap w:val="0"/>
                  <w:vAlign w:val="center"/>
                </w:tcPr>
                <w:p w14:paraId="02E76FF6">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eastAsia" w:ascii="Times New Roman" w:hAnsi="Times New Roman" w:eastAsia="宋体" w:cstheme="minorBidi"/>
                      <w:snapToGrid w:val="0"/>
                      <w:color w:val="auto"/>
                      <w:kern w:val="0"/>
                      <w:sz w:val="18"/>
                      <w:szCs w:val="18"/>
                      <w:highlight w:val="none"/>
                      <w:lang w:val="en-US" w:eastAsia="zh-CN" w:bidi="ar-SA"/>
                    </w:rPr>
                  </w:pPr>
                  <w:r>
                    <w:rPr>
                      <w:rFonts w:hint="eastAsia"/>
                      <w:color w:val="auto"/>
                      <w:sz w:val="18"/>
                      <w:szCs w:val="18"/>
                      <w:highlight w:val="none"/>
                      <w:lang w:val="en-US" w:eastAsia="zh-CN"/>
                    </w:rPr>
                    <w:t>8</w:t>
                  </w:r>
                  <w:r>
                    <w:rPr>
                      <w:rFonts w:hint="default"/>
                      <w:color w:val="auto"/>
                      <w:sz w:val="18"/>
                      <w:szCs w:val="18"/>
                      <w:highlight w:val="none"/>
                    </w:rPr>
                    <w:t>5</w:t>
                  </w:r>
                </w:p>
              </w:tc>
              <w:tc>
                <w:tcPr>
                  <w:tcW w:w="2041" w:type="dxa"/>
                  <w:shd w:val="clear" w:color="auto" w:fill="auto"/>
                  <w:noWrap w:val="0"/>
                  <w:vAlign w:val="center"/>
                </w:tcPr>
                <w:p w14:paraId="2AC8A88B">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heme="minorBidi"/>
                      <w:snapToGrid w:val="0"/>
                      <w:color w:val="auto"/>
                      <w:kern w:val="0"/>
                      <w:sz w:val="18"/>
                      <w:szCs w:val="18"/>
                      <w:highlight w:val="none"/>
                      <w:lang w:val="en-US" w:eastAsia="zh-CN" w:bidi="ar-SA"/>
                    </w:rPr>
                  </w:pPr>
                  <w:r>
                    <w:rPr>
                      <w:rFonts w:hint="default"/>
                      <w:color w:val="auto"/>
                      <w:sz w:val="18"/>
                      <w:szCs w:val="18"/>
                      <w:highlight w:val="none"/>
                    </w:rPr>
                    <w:t>隔声减震</w:t>
                  </w:r>
                </w:p>
              </w:tc>
              <w:tc>
                <w:tcPr>
                  <w:tcW w:w="1710" w:type="dxa"/>
                  <w:shd w:val="clear" w:color="auto" w:fill="auto"/>
                  <w:noWrap w:val="0"/>
                  <w:vAlign w:val="center"/>
                </w:tcPr>
                <w:p w14:paraId="6FF7DF5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ascii="Times New Roman" w:hAnsi="Times New Roman" w:eastAsia="宋体" w:cstheme="minorBidi"/>
                      <w:snapToGrid w:val="0"/>
                      <w:color w:val="auto"/>
                      <w:kern w:val="0"/>
                      <w:sz w:val="18"/>
                      <w:szCs w:val="18"/>
                      <w:highlight w:val="none"/>
                      <w:lang w:val="en-US" w:eastAsia="zh-CN" w:bidi="ar-SA"/>
                    </w:rPr>
                  </w:pPr>
                  <w:r>
                    <w:rPr>
                      <w:rFonts w:hint="eastAsia"/>
                      <w:color w:val="auto"/>
                      <w:sz w:val="18"/>
                      <w:szCs w:val="18"/>
                      <w:highlight w:val="none"/>
                      <w:lang w:val="en-US" w:eastAsia="zh-CN"/>
                    </w:rPr>
                    <w:t>7200</w:t>
                  </w:r>
                </w:p>
              </w:tc>
            </w:tr>
          </w:tbl>
          <w:p w14:paraId="72283138">
            <w:pPr>
              <w:pStyle w:val="89"/>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textAlignment w:val="auto"/>
              <w:rPr>
                <w:rFonts w:hint="eastAsia" w:cs="Times New Roman"/>
                <w:color w:val="auto"/>
                <w:sz w:val="21"/>
                <w:szCs w:val="21"/>
                <w:highlight w:val="none"/>
              </w:rPr>
            </w:pPr>
            <w:r>
              <w:rPr>
                <w:rFonts w:hint="eastAsia" w:cs="Times New Roman"/>
                <w:color w:val="auto"/>
                <w:sz w:val="18"/>
                <w:szCs w:val="18"/>
                <w:highlight w:val="none"/>
              </w:rPr>
              <w:t>注：此坐标以</w:t>
            </w:r>
            <w:r>
              <w:rPr>
                <w:rFonts w:hint="eastAsia" w:cs="Times New Roman"/>
                <w:color w:val="auto"/>
                <w:sz w:val="18"/>
                <w:szCs w:val="18"/>
                <w:highlight w:val="none"/>
                <w:lang w:val="en-US" w:eastAsia="zh-CN"/>
              </w:rPr>
              <w:t>项目中心点</w:t>
            </w:r>
            <w:r>
              <w:rPr>
                <w:rFonts w:hint="eastAsia" w:cs="Times New Roman"/>
                <w:color w:val="auto"/>
                <w:sz w:val="18"/>
                <w:szCs w:val="18"/>
                <w:highlight w:val="none"/>
              </w:rPr>
              <w:t>为坐标原点，取正东方向为X轴正方向，正北方向为Y轴正方向建立直角坐标系。</w:t>
            </w:r>
          </w:p>
          <w:p w14:paraId="2656DB18">
            <w:pPr>
              <w:pStyle w:val="89"/>
              <w:keepNext w:val="0"/>
              <w:keepLines w:val="0"/>
              <w:suppressLineNumbers w:val="0"/>
              <w:spacing w:before="0" w:beforeAutospacing="0" w:after="0" w:afterAutospacing="0"/>
              <w:ind w:left="0" w:right="0" w:firstLine="420"/>
              <w:rPr>
                <w:rFonts w:hint="eastAsia" w:cs="Times New Roman"/>
                <w:color w:val="auto"/>
                <w:sz w:val="21"/>
                <w:szCs w:val="21"/>
                <w:highlight w:val="none"/>
              </w:rPr>
            </w:pPr>
          </w:p>
        </w:tc>
      </w:tr>
    </w:tbl>
    <w:p w14:paraId="7E7E3DAB">
      <w:pPr>
        <w:pStyle w:val="76"/>
        <w:bidi w:val="0"/>
        <w:ind w:left="0" w:leftChars="0" w:firstLine="0" w:firstLineChars="0"/>
        <w:rPr>
          <w:rFonts w:hint="eastAsia"/>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9"/>
        <w:gridCol w:w="8584"/>
      </w:tblGrid>
      <w:tr w14:paraId="45238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4" w:hRule="atLeast"/>
          <w:jc w:val="center"/>
        </w:trPr>
        <w:tc>
          <w:tcPr>
            <w:tcW w:w="549" w:type="dxa"/>
            <w:noWrap w:val="0"/>
            <w:vAlign w:val="center"/>
          </w:tcPr>
          <w:p w14:paraId="19C26294">
            <w:pPr>
              <w:pStyle w:val="77"/>
              <w:keepNext w:val="0"/>
              <w:keepLines w:val="0"/>
              <w:suppressLineNumbers w:val="0"/>
              <w:bidi w:val="0"/>
              <w:spacing w:before="0" w:beforeAutospacing="0" w:after="0" w:afterAutospacing="0"/>
              <w:ind w:left="0" w:right="0"/>
              <w:rPr>
                <w:rFonts w:hint="default" w:ascii="Times New Roman" w:hAnsi="Times New Roman"/>
                <w:snapToGrid w:val="0"/>
                <w:color w:val="auto"/>
                <w:szCs w:val="30"/>
                <w:highlight w:val="none"/>
              </w:rPr>
            </w:pPr>
            <w:r>
              <w:rPr>
                <w:rFonts w:hint="default"/>
                <w:color w:val="auto"/>
                <w:highlight w:val="none"/>
              </w:rPr>
              <w:t>运营期环境影响和保护措施</w:t>
            </w:r>
          </w:p>
        </w:tc>
        <w:tc>
          <w:tcPr>
            <w:tcW w:w="8584" w:type="dxa"/>
            <w:noWrap w:val="0"/>
            <w:vAlign w:val="top"/>
          </w:tcPr>
          <w:p w14:paraId="758C3046">
            <w:pPr>
              <w:pStyle w:val="76"/>
              <w:keepNext w:val="0"/>
              <w:keepLines w:val="0"/>
              <w:suppressLineNumbers w:val="0"/>
              <w:bidi w:val="0"/>
              <w:spacing w:before="0" w:beforeAutospacing="0" w:after="0" w:afterAutospacing="0"/>
              <w:ind w:left="0" w:right="0"/>
              <w:rPr>
                <w:rFonts w:hint="eastAsia"/>
                <w:b/>
                <w:bCs w:val="0"/>
                <w:color w:val="auto"/>
                <w:highlight w:val="none"/>
              </w:rPr>
            </w:pPr>
            <w:r>
              <w:rPr>
                <w:rFonts w:hint="default"/>
                <w:b/>
                <w:bCs w:val="0"/>
                <w:color w:val="auto"/>
                <w:highlight w:val="none"/>
              </w:rPr>
              <w:t>2、</w:t>
            </w:r>
            <w:r>
              <w:rPr>
                <w:rFonts w:hint="eastAsia"/>
                <w:b/>
                <w:bCs w:val="0"/>
                <w:color w:val="auto"/>
                <w:highlight w:val="none"/>
              </w:rPr>
              <w:t>物料运输、卸料噪声</w:t>
            </w:r>
          </w:p>
          <w:p w14:paraId="4B427157">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项目运营过程中尚有运输车辆等非稳态噪声源。非稳态噪声源源强在65~85dB(A)之间，运输车辆噪声为不连续、间断性噪声，噪声源声级较小。</w:t>
            </w:r>
          </w:p>
          <w:p w14:paraId="3ACBDAFD">
            <w:pPr>
              <w:pStyle w:val="76"/>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为避免车辆运输噪声影响，通过改善场区内路面结构、减缓道路坡度、加强管理，合理安排运输车次，避免道路拥挤，在敏感路段设置限速和禁鸣路牌；项目原料和产品的运输通过加强对汽车驾驶员的管理，汽车临近沿途村镇路段时要减速行驶、禁止鸣高音喇叭，将运输时间控制在6:00~22:00时范围，夜间不得运输。项目运输应严格按照既定的运输路线。通过采取上述措施后，可将车辆对运输道路沿线</w:t>
            </w:r>
            <w:r>
              <w:rPr>
                <w:rFonts w:hint="eastAsia"/>
                <w:color w:val="auto"/>
                <w:highlight w:val="none"/>
                <w:lang w:eastAsia="zh-CN"/>
              </w:rPr>
              <w:t>居民</w:t>
            </w:r>
            <w:r>
              <w:rPr>
                <w:rFonts w:hint="eastAsia"/>
                <w:color w:val="auto"/>
                <w:highlight w:val="none"/>
              </w:rPr>
              <w:t>的影响控制在最小程度，减少扰民现象。</w:t>
            </w:r>
          </w:p>
          <w:p w14:paraId="7949DC72">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物料卸料过程的噪声亦属非稳态噪声，通过降低卸料高度，加强管理后再经生产厂房隔声后，对周围声环境影响轻微。</w:t>
            </w:r>
          </w:p>
          <w:p w14:paraId="2F9EE5C6">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3.3、预测分析</w:t>
            </w:r>
          </w:p>
          <w:p w14:paraId="2F48F21C">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①</w:t>
            </w:r>
            <w:r>
              <w:rPr>
                <w:rFonts w:hint="default"/>
                <w:color w:val="auto"/>
                <w:sz w:val="24"/>
                <w:highlight w:val="none"/>
              </w:rPr>
              <w:t>噪声预测模式</w:t>
            </w:r>
          </w:p>
          <w:p w14:paraId="6E966B80">
            <w:pPr>
              <w:keepNext w:val="0"/>
              <w:keepLines w:val="0"/>
              <w:suppressLineNumbers w:val="0"/>
              <w:adjustRightInd w:val="0"/>
              <w:snapToGrid w:val="0"/>
              <w:spacing w:before="0" w:beforeAutospacing="0" w:after="0" w:afterAutospacing="0" w:line="360" w:lineRule="auto"/>
              <w:ind w:left="0" w:right="0" w:firstLine="480" w:firstLineChars="200"/>
              <w:rPr>
                <w:rFonts w:hint="default"/>
                <w:bCs/>
                <w:color w:val="auto"/>
                <w:sz w:val="24"/>
                <w:highlight w:val="none"/>
              </w:rPr>
            </w:pPr>
            <w:bookmarkStart w:id="428" w:name="_Toc476004223"/>
            <w:bookmarkStart w:id="429" w:name="_Toc476004162"/>
            <w:bookmarkStart w:id="430" w:name="_Toc476004426"/>
            <w:bookmarkStart w:id="431" w:name="_Toc399356387"/>
            <w:bookmarkStart w:id="432" w:name="_Toc399690541"/>
            <w:r>
              <w:rPr>
                <w:rFonts w:hint="default"/>
                <w:color w:val="auto"/>
                <w:sz w:val="24"/>
                <w:highlight w:val="none"/>
              </w:rPr>
              <w:t>根据本项目营运期各噪声源的特征以及</w:t>
            </w:r>
            <w:r>
              <w:rPr>
                <w:rFonts w:hint="eastAsia"/>
                <w:color w:val="auto"/>
                <w:sz w:val="24"/>
                <w:highlight w:val="none"/>
              </w:rPr>
              <w:t>《环境影响评价技术导则</w:t>
            </w:r>
            <w:r>
              <w:rPr>
                <w:rFonts w:hint="eastAsia"/>
                <w:color w:val="auto"/>
                <w:sz w:val="24"/>
                <w:highlight w:val="none"/>
                <w:lang w:val="en-US" w:eastAsia="zh-CN"/>
              </w:rPr>
              <w:t xml:space="preserve"> </w:t>
            </w:r>
            <w:r>
              <w:rPr>
                <w:rFonts w:hint="eastAsia"/>
                <w:color w:val="auto"/>
                <w:sz w:val="24"/>
                <w:highlight w:val="none"/>
              </w:rPr>
              <w:t>声环境》（</w:t>
            </w:r>
            <w:r>
              <w:rPr>
                <w:rFonts w:hint="default"/>
                <w:color w:val="auto"/>
                <w:sz w:val="24"/>
                <w:highlight w:val="none"/>
              </w:rPr>
              <w:t>HJ2.4-2021</w:t>
            </w:r>
            <w:r>
              <w:rPr>
                <w:rFonts w:hint="eastAsia"/>
                <w:color w:val="auto"/>
                <w:sz w:val="24"/>
                <w:highlight w:val="none"/>
              </w:rPr>
              <w:t>）</w:t>
            </w:r>
            <w:r>
              <w:rPr>
                <w:rFonts w:hint="default"/>
                <w:color w:val="auto"/>
                <w:sz w:val="24"/>
                <w:highlight w:val="none"/>
              </w:rPr>
              <w:t>的技术要求，本次评价采取导则上推荐模式，具体预测公式如下：</w:t>
            </w:r>
          </w:p>
          <w:p w14:paraId="771A5B14">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bookmarkStart w:id="433" w:name="_Toc15866"/>
            <w:bookmarkStart w:id="434" w:name="_Toc11887"/>
            <w:bookmarkStart w:id="435" w:name="_Toc27695"/>
            <w:r>
              <w:rPr>
                <w:rFonts w:hint="default"/>
                <w:color w:val="auto"/>
                <w:sz w:val="24"/>
                <w:highlight w:val="none"/>
              </w:rPr>
              <w:t>（1）单个室外的点声源在预测点产生的声级计算基本公式</w:t>
            </w:r>
            <w:bookmarkEnd w:id="433"/>
            <w:bookmarkEnd w:id="434"/>
            <w:bookmarkEnd w:id="435"/>
          </w:p>
          <w:p w14:paraId="14445C94">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a）</w:t>
            </w:r>
            <w:r>
              <w:rPr>
                <w:rFonts w:hint="default"/>
                <w:color w:val="auto"/>
                <w:sz w:val="24"/>
                <w:highlight w:val="none"/>
              </w:rPr>
              <w:t>如已知声源的倍频带声功率级（从63Hz到8KHz标称频带中心频率的8个倍频带），预测点位置的倍频带声压级</w:t>
            </w:r>
            <w:r>
              <w:rPr>
                <w:rFonts w:hint="eastAsia"/>
                <w:color w:val="auto"/>
                <w:sz w:val="24"/>
                <w:highlight w:val="none"/>
              </w:rPr>
              <w:t>本项目选择</w:t>
            </w:r>
            <w:r>
              <w:rPr>
                <w:rFonts w:hint="default"/>
                <w:color w:val="auto"/>
                <w:sz w:val="24"/>
                <w:highlight w:val="none"/>
              </w:rPr>
              <w:t>公式（A.1）计算：</w:t>
            </w:r>
          </w:p>
          <w:p w14:paraId="211DB738">
            <w:pPr>
              <w:keepNext w:val="0"/>
              <w:keepLines w:val="0"/>
              <w:suppressLineNumbers w:val="0"/>
              <w:adjustRightInd w:val="0"/>
              <w:snapToGrid w:val="0"/>
              <w:spacing w:before="47" w:beforeAutospacing="0" w:after="0" w:afterAutospacing="0" w:line="360" w:lineRule="auto"/>
              <w:ind w:left="0" w:right="0" w:firstLine="488" w:firstLineChars="200"/>
              <w:jc w:val="center"/>
              <w:rPr>
                <w:rFonts w:hint="default"/>
                <w:color w:val="auto"/>
                <w:sz w:val="24"/>
                <w:highlight w:val="none"/>
              </w:rPr>
            </w:pPr>
            <w:r>
              <w:rPr>
                <w:rFonts w:hint="default" w:eastAsia="Times New Roman"/>
                <w:i/>
                <w:iCs/>
                <w:color w:val="auto"/>
                <w:spacing w:val="2"/>
                <w:position w:val="1"/>
                <w:sz w:val="24"/>
                <w:highlight w:val="none"/>
              </w:rPr>
              <w:t>L</w:t>
            </w:r>
            <w:r>
              <w:rPr>
                <w:rFonts w:hint="default" w:eastAsia="Times New Roman"/>
                <w:i/>
                <w:iCs/>
                <w:color w:val="auto"/>
                <w:spacing w:val="2"/>
                <w:position w:val="-1"/>
                <w:sz w:val="24"/>
                <w:highlight w:val="none"/>
              </w:rPr>
              <w:t>p</w:t>
            </w:r>
            <w:r>
              <w:rPr>
                <w:rFonts w:hint="default" w:eastAsia="Times New Roman"/>
                <w:color w:val="auto"/>
                <w:spacing w:val="1"/>
                <w:position w:val="1"/>
                <w:sz w:val="24"/>
                <w:highlight w:val="none"/>
              </w:rPr>
              <w:t>(</w:t>
            </w:r>
            <w:r>
              <w:rPr>
                <w:rFonts w:hint="default" w:eastAsia="Times New Roman"/>
                <w:i/>
                <w:iCs/>
                <w:color w:val="auto"/>
                <w:spacing w:val="1"/>
                <w:position w:val="1"/>
                <w:sz w:val="24"/>
                <w:highlight w:val="none"/>
              </w:rPr>
              <w:t>r</w:t>
            </w:r>
            <w:r>
              <w:rPr>
                <w:rFonts w:hint="default" w:eastAsia="Times New Roman"/>
                <w:color w:val="auto"/>
                <w:spacing w:val="1"/>
                <w:position w:val="1"/>
                <w:sz w:val="24"/>
                <w:highlight w:val="none"/>
              </w:rPr>
              <w:t>)</w:t>
            </w:r>
            <w:r>
              <w:rPr>
                <w:rFonts w:hint="default"/>
                <w:color w:val="auto"/>
                <w:spacing w:val="2"/>
                <w:sz w:val="24"/>
                <w:highlight w:val="none"/>
              </w:rPr>
              <w:t>＝</w:t>
            </w:r>
            <w:r>
              <w:rPr>
                <w:rFonts w:hint="default" w:eastAsia="Times New Roman"/>
                <w:i/>
                <w:iCs/>
                <w:color w:val="auto"/>
                <w:spacing w:val="1"/>
                <w:sz w:val="24"/>
                <w:highlight w:val="none"/>
              </w:rPr>
              <w:t>L</w:t>
            </w:r>
            <w:r>
              <w:rPr>
                <w:rFonts w:hint="default" w:eastAsia="Times New Roman"/>
                <w:i/>
                <w:iCs/>
                <w:color w:val="auto"/>
                <w:spacing w:val="1"/>
                <w:position w:val="-1"/>
                <w:sz w:val="24"/>
                <w:highlight w:val="none"/>
              </w:rPr>
              <w:t>w</w:t>
            </w:r>
            <w:r>
              <w:rPr>
                <w:rFonts w:hint="default" w:eastAsia="Times New Roman"/>
                <w:color w:val="auto"/>
                <w:spacing w:val="1"/>
                <w:position w:val="1"/>
                <w:sz w:val="24"/>
                <w:highlight w:val="none"/>
              </w:rPr>
              <w:t>+</w:t>
            </w:r>
            <w:r>
              <w:rPr>
                <w:rFonts w:hint="default" w:eastAsia="Times New Roman"/>
                <w:i/>
                <w:iCs/>
                <w:color w:val="auto"/>
                <w:spacing w:val="1"/>
                <w:position w:val="1"/>
                <w:sz w:val="24"/>
                <w:highlight w:val="none"/>
              </w:rPr>
              <w:t>D</w:t>
            </w:r>
            <w:r>
              <w:rPr>
                <w:rFonts w:hint="default" w:eastAsia="Times New Roman"/>
                <w:color w:val="auto"/>
                <w:spacing w:val="1"/>
                <w:position w:val="-1"/>
                <w:sz w:val="24"/>
                <w:highlight w:val="none"/>
              </w:rPr>
              <w:t>C</w:t>
            </w:r>
            <w:r>
              <w:rPr>
                <w:rFonts w:hint="default"/>
                <w:color w:val="auto"/>
                <w:spacing w:val="4"/>
                <w:sz w:val="24"/>
                <w:highlight w:val="none"/>
              </w:rPr>
              <w:t>－</w:t>
            </w:r>
            <w:r>
              <w:rPr>
                <w:rFonts w:hint="default" w:eastAsia="Times New Roman"/>
                <w:color w:val="auto"/>
                <w:spacing w:val="1"/>
                <w:position w:val="1"/>
                <w:sz w:val="24"/>
                <w:highlight w:val="none"/>
              </w:rPr>
              <w:t>(</w:t>
            </w:r>
            <w:r>
              <w:rPr>
                <w:rFonts w:hint="default" w:eastAsia="Times New Roman"/>
                <w:i/>
                <w:iCs/>
                <w:color w:val="auto"/>
                <w:spacing w:val="1"/>
                <w:position w:val="1"/>
                <w:sz w:val="24"/>
                <w:highlight w:val="none"/>
              </w:rPr>
              <w:t>A</w:t>
            </w:r>
            <w:r>
              <w:rPr>
                <w:rFonts w:hint="default" w:eastAsia="Times New Roman"/>
                <w:color w:val="auto"/>
                <w:spacing w:val="1"/>
                <w:position w:val="-1"/>
                <w:sz w:val="24"/>
                <w:highlight w:val="none"/>
              </w:rPr>
              <w:t>div</w:t>
            </w:r>
            <w:r>
              <w:rPr>
                <w:rFonts w:hint="default"/>
                <w:color w:val="auto"/>
                <w:spacing w:val="4"/>
                <w:sz w:val="24"/>
                <w:highlight w:val="none"/>
              </w:rPr>
              <w:t>＋</w:t>
            </w:r>
            <w:r>
              <w:rPr>
                <w:rFonts w:hint="default" w:eastAsia="Times New Roman"/>
                <w:i/>
                <w:iCs/>
                <w:color w:val="auto"/>
                <w:spacing w:val="1"/>
                <w:sz w:val="24"/>
                <w:highlight w:val="none"/>
              </w:rPr>
              <w:t>A</w:t>
            </w:r>
            <w:r>
              <w:rPr>
                <w:rFonts w:hint="default" w:eastAsia="Times New Roman"/>
                <w:color w:val="auto"/>
                <w:spacing w:val="1"/>
                <w:position w:val="-1"/>
                <w:sz w:val="24"/>
                <w:highlight w:val="none"/>
              </w:rPr>
              <w:t>atm</w:t>
            </w:r>
            <w:r>
              <w:rPr>
                <w:rFonts w:hint="default"/>
                <w:color w:val="auto"/>
                <w:spacing w:val="4"/>
                <w:sz w:val="24"/>
                <w:highlight w:val="none"/>
              </w:rPr>
              <w:t>＋</w:t>
            </w:r>
            <w:r>
              <w:rPr>
                <w:rFonts w:hint="default" w:eastAsia="Times New Roman"/>
                <w:i/>
                <w:iCs/>
                <w:color w:val="auto"/>
                <w:spacing w:val="1"/>
                <w:sz w:val="24"/>
                <w:highlight w:val="none"/>
              </w:rPr>
              <w:t>A</w:t>
            </w:r>
            <w:r>
              <w:rPr>
                <w:rFonts w:hint="default" w:eastAsia="Times New Roman"/>
                <w:color w:val="auto"/>
                <w:spacing w:val="1"/>
                <w:position w:val="-1"/>
                <w:sz w:val="24"/>
                <w:highlight w:val="none"/>
              </w:rPr>
              <w:t>gr</w:t>
            </w:r>
            <w:r>
              <w:rPr>
                <w:rFonts w:hint="default"/>
                <w:color w:val="auto"/>
                <w:spacing w:val="4"/>
                <w:sz w:val="24"/>
                <w:highlight w:val="none"/>
              </w:rPr>
              <w:t>＋</w:t>
            </w:r>
            <w:r>
              <w:rPr>
                <w:rFonts w:hint="default" w:eastAsia="Times New Roman"/>
                <w:i/>
                <w:iCs/>
                <w:color w:val="auto"/>
                <w:spacing w:val="1"/>
                <w:sz w:val="24"/>
                <w:highlight w:val="none"/>
              </w:rPr>
              <w:t>A</w:t>
            </w:r>
            <w:r>
              <w:rPr>
                <w:rFonts w:hint="default" w:eastAsia="Times New Roman"/>
                <w:color w:val="auto"/>
                <w:spacing w:val="1"/>
                <w:position w:val="-1"/>
                <w:sz w:val="24"/>
                <w:highlight w:val="none"/>
              </w:rPr>
              <w:t>bar</w:t>
            </w:r>
            <w:r>
              <w:rPr>
                <w:rFonts w:hint="default"/>
                <w:color w:val="auto"/>
                <w:spacing w:val="4"/>
                <w:sz w:val="24"/>
                <w:highlight w:val="none"/>
              </w:rPr>
              <w:t>＋</w:t>
            </w:r>
            <w:r>
              <w:rPr>
                <w:rFonts w:hint="default" w:eastAsia="Times New Roman"/>
                <w:i/>
                <w:iCs/>
                <w:color w:val="auto"/>
                <w:spacing w:val="1"/>
                <w:sz w:val="24"/>
                <w:highlight w:val="none"/>
              </w:rPr>
              <w:t>A</w:t>
            </w:r>
            <w:r>
              <w:rPr>
                <w:rFonts w:hint="default" w:eastAsia="Times New Roman"/>
                <w:color w:val="auto"/>
                <w:spacing w:val="1"/>
                <w:position w:val="-1"/>
                <w:sz w:val="24"/>
                <w:highlight w:val="none"/>
              </w:rPr>
              <w:t>misc</w:t>
            </w:r>
            <w:r>
              <w:rPr>
                <w:rFonts w:hint="default" w:eastAsia="Times New Roman"/>
                <w:color w:val="auto"/>
                <w:spacing w:val="1"/>
                <w:position w:val="1"/>
                <w:sz w:val="24"/>
                <w:highlight w:val="none"/>
              </w:rPr>
              <w:t>)</w:t>
            </w:r>
            <w:r>
              <w:rPr>
                <w:rFonts w:hint="eastAsia"/>
                <w:color w:val="auto"/>
                <w:spacing w:val="1"/>
                <w:position w:val="1"/>
                <w:sz w:val="24"/>
                <w:highlight w:val="none"/>
              </w:rPr>
              <w:t>（A.1）</w:t>
            </w:r>
          </w:p>
          <w:p w14:paraId="76B227A6">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式中：Lw—由点声源产生的声功率级（A计权或倍频带）dB；</w:t>
            </w:r>
          </w:p>
          <w:p w14:paraId="3F13ECF7">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Dc—指向性校正，dB；它描述点声源的等效连续声压级与产生声功率级的全向点声源在规定方向的级的偏差程度。指向性校正等于点声源的指向性指数DI加上计到小于4π球面度（sr）立体角内的声传播指数DΩ。对辐射到自由空间的全向点声源，Dc=0dB。</w:t>
            </w:r>
          </w:p>
          <w:p w14:paraId="1FFBC518">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Lp（r）</w:t>
            </w:r>
            <w:r>
              <w:rPr>
                <w:rFonts w:hint="default"/>
                <w:color w:val="auto"/>
                <w:sz w:val="24"/>
                <w:highlight w:val="none"/>
              </w:rPr>
              <w:t>—预测点处声压级，dB；</w:t>
            </w:r>
          </w:p>
          <w:p w14:paraId="1EBC2D27">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Adiv—几何发散引起的倍频带衰减，dB；</w:t>
            </w:r>
          </w:p>
          <w:p w14:paraId="66F96B8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Aatm—大气吸收引起的倍频带衰减，dB；</w:t>
            </w:r>
          </w:p>
          <w:p w14:paraId="17C5DBB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Agr—地面效应引起的倍频带衰减，dB；</w:t>
            </w:r>
          </w:p>
          <w:p w14:paraId="3D706558">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Abar—声屏障引起的倍频带衰减，dB；</w:t>
            </w:r>
          </w:p>
          <w:p w14:paraId="41038E40">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Amisc—其他多方面效应引起的倍频带衰减，dB。</w:t>
            </w:r>
          </w:p>
          <w:p w14:paraId="6E802C77">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b）</w:t>
            </w:r>
            <w:r>
              <w:rPr>
                <w:rFonts w:hint="default"/>
                <w:color w:val="auto"/>
                <w:sz w:val="24"/>
                <w:highlight w:val="none"/>
              </w:rPr>
              <w:t>预测点的A声级L</w:t>
            </w:r>
            <w:r>
              <w:rPr>
                <w:rFonts w:hint="default"/>
                <w:color w:val="auto"/>
                <w:sz w:val="24"/>
                <w:highlight w:val="none"/>
                <w:vertAlign w:val="subscript"/>
              </w:rPr>
              <w:t>A</w:t>
            </w:r>
            <w:r>
              <w:rPr>
                <w:rFonts w:hint="default"/>
                <w:color w:val="auto"/>
                <w:sz w:val="24"/>
                <w:highlight w:val="none"/>
              </w:rPr>
              <w:t>（r），可利用8个倍频带的声压级按公式（A.3）计算：</w:t>
            </w:r>
          </w:p>
          <w:p w14:paraId="164CE18F">
            <w:pPr>
              <w:keepNext w:val="0"/>
              <w:keepLines w:val="0"/>
              <w:suppressLineNumbers w:val="0"/>
              <w:spacing w:before="0" w:beforeAutospacing="0" w:after="0" w:afterAutospacing="0" w:line="360" w:lineRule="auto"/>
              <w:ind w:left="0" w:right="0" w:firstLine="480" w:firstLineChars="200"/>
              <w:jc w:val="center"/>
              <w:rPr>
                <w:rFonts w:hint="default"/>
                <w:color w:val="auto"/>
                <w:sz w:val="24"/>
                <w:highlight w:val="none"/>
              </w:rPr>
            </w:pPr>
            <w:r>
              <w:rPr>
                <w:rFonts w:hint="default"/>
                <w:color w:val="auto"/>
                <w:sz w:val="24"/>
                <w:highlight w:val="none"/>
              </w:rPr>
              <w:drawing>
                <wp:inline distT="0" distB="0" distL="114300" distR="114300">
                  <wp:extent cx="4121785" cy="676275"/>
                  <wp:effectExtent l="0" t="0" r="12065" b="9525"/>
                  <wp:docPr id="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2"/>
                          <pic:cNvPicPr>
                            <a:picLocks noChangeAspect="1"/>
                          </pic:cNvPicPr>
                        </pic:nvPicPr>
                        <pic:blipFill>
                          <a:blip r:embed="rId23"/>
                          <a:stretch>
                            <a:fillRect/>
                          </a:stretch>
                        </pic:blipFill>
                        <pic:spPr>
                          <a:xfrm>
                            <a:off x="0" y="0"/>
                            <a:ext cx="4121785" cy="676275"/>
                          </a:xfrm>
                          <a:prstGeom prst="rect">
                            <a:avLst/>
                          </a:prstGeom>
                          <a:noFill/>
                          <a:ln>
                            <a:noFill/>
                          </a:ln>
                        </pic:spPr>
                      </pic:pic>
                    </a:graphicData>
                  </a:graphic>
                </wp:inline>
              </w:drawing>
            </w:r>
          </w:p>
          <w:p w14:paraId="22AFA973">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式中：Lpi（r）—预测点（r）处，第i倍频带声压级，dB；</w:t>
            </w:r>
          </w:p>
          <w:p w14:paraId="4473B08C">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ΔLi—第i倍频带的A计权网络修正值，dB。</w:t>
            </w:r>
          </w:p>
          <w:p w14:paraId="226B1387">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c）</w:t>
            </w:r>
            <w:r>
              <w:rPr>
                <w:rFonts w:hint="default"/>
                <w:color w:val="auto"/>
                <w:sz w:val="24"/>
                <w:highlight w:val="none"/>
              </w:rPr>
              <w:t>在只考虑几何发散衰减时，可按式（A.4）计算。</w:t>
            </w:r>
          </w:p>
          <w:p w14:paraId="3931CB8E">
            <w:pPr>
              <w:keepNext w:val="0"/>
              <w:keepLines w:val="0"/>
              <w:suppressLineNumbers w:val="0"/>
              <w:spacing w:before="0" w:beforeAutospacing="0" w:after="0" w:afterAutospacing="0" w:line="360" w:lineRule="auto"/>
              <w:ind w:left="0" w:right="0" w:firstLine="480" w:firstLineChars="200"/>
              <w:jc w:val="center"/>
              <w:rPr>
                <w:rFonts w:hint="default"/>
                <w:color w:val="auto"/>
                <w:highlight w:val="none"/>
              </w:rPr>
            </w:pPr>
            <w:r>
              <w:rPr>
                <w:rFonts w:hint="default"/>
                <w:color w:val="auto"/>
                <w:highlight w:val="none"/>
              </w:rPr>
              <w:drawing>
                <wp:inline distT="0" distB="0" distL="114300" distR="114300">
                  <wp:extent cx="4676775" cy="353060"/>
                  <wp:effectExtent l="0" t="0" r="9525" b="8890"/>
                  <wp:docPr id="3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3"/>
                          <pic:cNvPicPr>
                            <a:picLocks noChangeAspect="1"/>
                          </pic:cNvPicPr>
                        </pic:nvPicPr>
                        <pic:blipFill>
                          <a:blip r:embed="rId24"/>
                          <a:stretch>
                            <a:fillRect/>
                          </a:stretch>
                        </pic:blipFill>
                        <pic:spPr>
                          <a:xfrm>
                            <a:off x="0" y="0"/>
                            <a:ext cx="4676775" cy="353060"/>
                          </a:xfrm>
                          <a:prstGeom prst="rect">
                            <a:avLst/>
                          </a:prstGeom>
                          <a:noFill/>
                          <a:ln>
                            <a:noFill/>
                          </a:ln>
                        </pic:spPr>
                      </pic:pic>
                    </a:graphicData>
                  </a:graphic>
                </wp:inline>
              </w:drawing>
            </w:r>
          </w:p>
          <w:p w14:paraId="1C74CC9B">
            <w:pPr>
              <w:keepNext w:val="0"/>
              <w:keepLines w:val="0"/>
              <w:suppressLineNumbers w:val="0"/>
              <w:spacing w:before="0" w:beforeAutospacing="0" w:after="0" w:afterAutospacing="0" w:line="360" w:lineRule="auto"/>
              <w:ind w:left="0" w:right="0" w:firstLine="480" w:firstLineChars="200"/>
              <w:jc w:val="left"/>
              <w:rPr>
                <w:rFonts w:hint="default"/>
                <w:color w:val="auto"/>
                <w:sz w:val="24"/>
                <w:highlight w:val="none"/>
              </w:rPr>
            </w:pPr>
            <w:r>
              <w:rPr>
                <w:rFonts w:hint="default"/>
                <w:color w:val="auto"/>
                <w:sz w:val="24"/>
                <w:highlight w:val="none"/>
              </w:rPr>
              <w:t>式中：L</w:t>
            </w:r>
            <w:r>
              <w:rPr>
                <w:rFonts w:hint="default"/>
                <w:color w:val="auto"/>
                <w:sz w:val="24"/>
                <w:highlight w:val="none"/>
                <w:vertAlign w:val="subscript"/>
              </w:rPr>
              <w:t>A</w:t>
            </w:r>
            <w:r>
              <w:rPr>
                <w:rFonts w:hint="default"/>
                <w:color w:val="auto"/>
                <w:sz w:val="24"/>
                <w:highlight w:val="none"/>
              </w:rPr>
              <w:t>(r)——距声源r处的A声级，dB(A)；</w:t>
            </w:r>
          </w:p>
          <w:p w14:paraId="4C84283B">
            <w:pPr>
              <w:keepNext w:val="0"/>
              <w:keepLines w:val="0"/>
              <w:suppressLineNumbers w:val="0"/>
              <w:spacing w:before="0" w:beforeAutospacing="0" w:after="0" w:afterAutospacing="0" w:line="360" w:lineRule="auto"/>
              <w:ind w:left="0" w:right="0" w:firstLine="480" w:firstLineChars="200"/>
              <w:jc w:val="left"/>
              <w:rPr>
                <w:rFonts w:hint="default"/>
                <w:color w:val="auto"/>
                <w:sz w:val="24"/>
                <w:highlight w:val="none"/>
              </w:rPr>
            </w:pPr>
            <w:r>
              <w:rPr>
                <w:rFonts w:hint="default"/>
                <w:color w:val="auto"/>
                <w:sz w:val="24"/>
                <w:highlight w:val="none"/>
              </w:rPr>
              <w:t>L</w:t>
            </w:r>
            <w:r>
              <w:rPr>
                <w:rFonts w:hint="default"/>
                <w:color w:val="auto"/>
                <w:sz w:val="24"/>
                <w:highlight w:val="none"/>
                <w:vertAlign w:val="subscript"/>
              </w:rPr>
              <w:t>A</w:t>
            </w:r>
            <w:r>
              <w:rPr>
                <w:rFonts w:hint="default"/>
                <w:color w:val="auto"/>
                <w:sz w:val="24"/>
                <w:highlight w:val="none"/>
              </w:rPr>
              <w:t>(r</w:t>
            </w:r>
            <w:r>
              <w:rPr>
                <w:rFonts w:hint="default"/>
                <w:color w:val="auto"/>
                <w:sz w:val="24"/>
                <w:highlight w:val="none"/>
                <w:vertAlign w:val="subscript"/>
              </w:rPr>
              <w:t>0</w:t>
            </w:r>
            <w:r>
              <w:rPr>
                <w:rFonts w:hint="default"/>
                <w:color w:val="auto"/>
                <w:sz w:val="24"/>
                <w:highlight w:val="none"/>
              </w:rPr>
              <w:t>)——参考位置r</w:t>
            </w:r>
            <w:r>
              <w:rPr>
                <w:rFonts w:hint="default"/>
                <w:color w:val="auto"/>
                <w:sz w:val="24"/>
                <w:highlight w:val="none"/>
                <w:vertAlign w:val="subscript"/>
              </w:rPr>
              <w:t>0</w:t>
            </w:r>
            <w:r>
              <w:rPr>
                <w:rFonts w:hint="default"/>
                <w:color w:val="auto"/>
                <w:sz w:val="24"/>
                <w:highlight w:val="none"/>
              </w:rPr>
              <w:t>处的A声级，dB(A)；</w:t>
            </w:r>
          </w:p>
          <w:p w14:paraId="0080EE99">
            <w:pPr>
              <w:keepNext w:val="0"/>
              <w:keepLines w:val="0"/>
              <w:suppressLineNumbers w:val="0"/>
              <w:spacing w:before="0" w:beforeAutospacing="0" w:after="0" w:afterAutospacing="0" w:line="360" w:lineRule="auto"/>
              <w:ind w:left="0" w:right="0" w:firstLine="480" w:firstLineChars="200"/>
              <w:jc w:val="left"/>
              <w:rPr>
                <w:rFonts w:hint="default"/>
                <w:color w:val="auto"/>
                <w:sz w:val="24"/>
                <w:highlight w:val="none"/>
              </w:rPr>
            </w:pPr>
            <w:r>
              <w:rPr>
                <w:rFonts w:hint="default"/>
                <w:color w:val="auto"/>
                <w:sz w:val="24"/>
                <w:highlight w:val="none"/>
              </w:rPr>
              <w:t>A</w:t>
            </w:r>
            <w:r>
              <w:rPr>
                <w:rFonts w:hint="default"/>
                <w:color w:val="auto"/>
                <w:sz w:val="24"/>
                <w:highlight w:val="none"/>
                <w:vertAlign w:val="subscript"/>
              </w:rPr>
              <w:t>div</w:t>
            </w:r>
            <w:r>
              <w:rPr>
                <w:rFonts w:hint="default"/>
                <w:color w:val="auto"/>
                <w:sz w:val="24"/>
                <w:highlight w:val="none"/>
              </w:rPr>
              <w:t>——几何发散引起的衰减，dB。</w:t>
            </w:r>
          </w:p>
          <w:p w14:paraId="6AC84C2F">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bookmarkStart w:id="436" w:name="_Toc26279"/>
            <w:r>
              <w:rPr>
                <w:rFonts w:hint="eastAsia"/>
                <w:color w:val="auto"/>
                <w:sz w:val="24"/>
                <w:highlight w:val="none"/>
              </w:rPr>
              <w:t>（2）衰减项的计算</w:t>
            </w:r>
            <w:bookmarkEnd w:id="436"/>
          </w:p>
          <w:p w14:paraId="5969F09B">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bookmarkStart w:id="437" w:name="_Toc18656"/>
            <w:r>
              <w:rPr>
                <w:rFonts w:hint="eastAsia"/>
                <w:color w:val="auto"/>
                <w:sz w:val="24"/>
                <w:highlight w:val="none"/>
              </w:rPr>
              <w:t>点声源的几何发散衰减（无指向性点声源几何发散衰减）</w:t>
            </w:r>
            <w:bookmarkEnd w:id="437"/>
          </w:p>
          <w:p w14:paraId="172F6B93">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bookmarkStart w:id="438" w:name="_Toc15131"/>
            <w:r>
              <w:rPr>
                <w:rFonts w:hint="eastAsia"/>
                <w:color w:val="auto"/>
                <w:sz w:val="24"/>
                <w:highlight w:val="none"/>
              </w:rPr>
              <w:t>无指向性点声源几何发散衰减的基本公式是：</w:t>
            </w:r>
            <w:bookmarkEnd w:id="438"/>
          </w:p>
          <w:p w14:paraId="7B5FB59A">
            <w:pPr>
              <w:keepNext w:val="0"/>
              <w:keepLines w:val="0"/>
              <w:suppressLineNumbers w:val="0"/>
              <w:adjustRightInd w:val="0"/>
              <w:snapToGrid w:val="0"/>
              <w:spacing w:before="56" w:beforeAutospacing="0" w:after="0" w:afterAutospacing="0" w:line="360" w:lineRule="auto"/>
              <w:ind w:left="0" w:right="0" w:firstLine="3472" w:firstLineChars="1400"/>
              <w:rPr>
                <w:rFonts w:hint="default"/>
                <w:color w:val="auto"/>
                <w:sz w:val="24"/>
                <w:highlight w:val="none"/>
              </w:rPr>
            </w:pPr>
            <w:r>
              <w:rPr>
                <w:rFonts w:hint="default" w:eastAsia="Times New Roman"/>
                <w:i/>
                <w:iCs/>
                <w:color w:val="auto"/>
                <w:spacing w:val="4"/>
                <w:position w:val="1"/>
                <w:sz w:val="24"/>
                <w:highlight w:val="none"/>
              </w:rPr>
              <w:t>L</w:t>
            </w:r>
            <w:r>
              <w:rPr>
                <w:rFonts w:hint="default" w:eastAsia="Times New Roman"/>
                <w:i/>
                <w:iCs/>
                <w:color w:val="auto"/>
                <w:spacing w:val="3"/>
                <w:position w:val="-4"/>
                <w:sz w:val="24"/>
                <w:highlight w:val="none"/>
              </w:rPr>
              <w:t>p</w:t>
            </w:r>
            <w:r>
              <w:rPr>
                <w:rFonts w:hint="default"/>
                <w:color w:val="auto"/>
                <w:position w:val="-6"/>
                <w:sz w:val="24"/>
                <w:highlight w:val="none"/>
              </w:rPr>
              <w:drawing>
                <wp:inline distT="0" distB="0" distL="114300" distR="114300">
                  <wp:extent cx="36830" cy="175260"/>
                  <wp:effectExtent l="0" t="0" r="1270" b="15240"/>
                  <wp:docPr id="37" name="图片 14"/>
                  <wp:cNvGraphicFramePr/>
                  <a:graphic xmlns:a="http://schemas.openxmlformats.org/drawingml/2006/main">
                    <a:graphicData uri="http://schemas.openxmlformats.org/drawingml/2006/picture">
                      <pic:pic xmlns:pic="http://schemas.openxmlformats.org/drawingml/2006/picture">
                        <pic:nvPicPr>
                          <pic:cNvPr id="37" name="图片 14"/>
                          <pic:cNvPicPr/>
                        </pic:nvPicPr>
                        <pic:blipFill>
                          <a:blip r:embed="rId25"/>
                          <a:stretch>
                            <a:fillRect/>
                          </a:stretch>
                        </pic:blipFill>
                        <pic:spPr>
                          <a:xfrm>
                            <a:off x="0" y="0"/>
                            <a:ext cx="36830" cy="175260"/>
                          </a:xfrm>
                          <a:prstGeom prst="rect">
                            <a:avLst/>
                          </a:prstGeom>
                          <a:noFill/>
                          <a:ln>
                            <a:noFill/>
                          </a:ln>
                        </pic:spPr>
                      </pic:pic>
                    </a:graphicData>
                  </a:graphic>
                </wp:inline>
              </w:drawing>
            </w:r>
            <w:r>
              <w:rPr>
                <w:rFonts w:hint="default" w:eastAsia="Times New Roman"/>
                <w:i/>
                <w:iCs/>
                <w:color w:val="auto"/>
                <w:spacing w:val="3"/>
                <w:sz w:val="24"/>
                <w:highlight w:val="none"/>
              </w:rPr>
              <w:t>r</w:t>
            </w:r>
            <w:r>
              <w:rPr>
                <w:rFonts w:hint="default"/>
                <w:color w:val="auto"/>
                <w:position w:val="-6"/>
                <w:sz w:val="24"/>
                <w:highlight w:val="none"/>
              </w:rPr>
              <w:drawing>
                <wp:inline distT="0" distB="0" distL="114300" distR="114300">
                  <wp:extent cx="36830" cy="175260"/>
                  <wp:effectExtent l="0" t="0" r="1270" b="15240"/>
                  <wp:docPr id="33" name="图片 15"/>
                  <wp:cNvGraphicFramePr/>
                  <a:graphic xmlns:a="http://schemas.openxmlformats.org/drawingml/2006/main">
                    <a:graphicData uri="http://schemas.openxmlformats.org/drawingml/2006/picture">
                      <pic:pic xmlns:pic="http://schemas.openxmlformats.org/drawingml/2006/picture">
                        <pic:nvPicPr>
                          <pic:cNvPr id="33" name="图片 15"/>
                          <pic:cNvPicPr/>
                        </pic:nvPicPr>
                        <pic:blipFill>
                          <a:blip r:embed="rId26"/>
                          <a:stretch>
                            <a:fillRect/>
                          </a:stretch>
                        </pic:blipFill>
                        <pic:spPr>
                          <a:xfrm>
                            <a:off x="0" y="0"/>
                            <a:ext cx="36830" cy="175260"/>
                          </a:xfrm>
                          <a:prstGeom prst="rect">
                            <a:avLst/>
                          </a:prstGeom>
                          <a:noFill/>
                          <a:ln>
                            <a:noFill/>
                          </a:ln>
                        </pic:spPr>
                      </pic:pic>
                    </a:graphicData>
                  </a:graphic>
                </wp:inline>
              </w:drawing>
            </w:r>
            <w:r>
              <w:rPr>
                <w:rFonts w:hint="default"/>
                <w:color w:val="auto"/>
                <w:position w:val="1"/>
                <w:sz w:val="24"/>
                <w:highlight w:val="none"/>
              </w:rPr>
              <w:drawing>
                <wp:inline distT="0" distB="0" distL="114300" distR="114300">
                  <wp:extent cx="72390" cy="55245"/>
                  <wp:effectExtent l="0" t="0" r="3810" b="1905"/>
                  <wp:docPr id="38" name="图片 16"/>
                  <wp:cNvGraphicFramePr/>
                  <a:graphic xmlns:a="http://schemas.openxmlformats.org/drawingml/2006/main">
                    <a:graphicData uri="http://schemas.openxmlformats.org/drawingml/2006/picture">
                      <pic:pic xmlns:pic="http://schemas.openxmlformats.org/drawingml/2006/picture">
                        <pic:nvPicPr>
                          <pic:cNvPr id="38" name="图片 16"/>
                          <pic:cNvPicPr/>
                        </pic:nvPicPr>
                        <pic:blipFill>
                          <a:blip r:embed="rId27"/>
                          <a:stretch>
                            <a:fillRect/>
                          </a:stretch>
                        </pic:blipFill>
                        <pic:spPr>
                          <a:xfrm>
                            <a:off x="0" y="0"/>
                            <a:ext cx="72390" cy="55245"/>
                          </a:xfrm>
                          <a:prstGeom prst="rect">
                            <a:avLst/>
                          </a:prstGeom>
                          <a:noFill/>
                          <a:ln>
                            <a:noFill/>
                          </a:ln>
                        </pic:spPr>
                      </pic:pic>
                    </a:graphicData>
                  </a:graphic>
                </wp:inline>
              </w:drawing>
            </w:r>
            <w:r>
              <w:rPr>
                <w:rFonts w:hint="default" w:eastAsia="Times New Roman"/>
                <w:i/>
                <w:iCs/>
                <w:color w:val="auto"/>
                <w:spacing w:val="4"/>
                <w:position w:val="1"/>
                <w:sz w:val="24"/>
                <w:highlight w:val="none"/>
              </w:rPr>
              <w:t>L</w:t>
            </w:r>
            <w:r>
              <w:rPr>
                <w:rFonts w:hint="default" w:eastAsia="Times New Roman"/>
                <w:i/>
                <w:iCs/>
                <w:color w:val="auto"/>
                <w:spacing w:val="3"/>
                <w:position w:val="-4"/>
                <w:sz w:val="24"/>
                <w:highlight w:val="none"/>
              </w:rPr>
              <w:t>p</w:t>
            </w:r>
            <w:r>
              <w:rPr>
                <w:rFonts w:hint="default"/>
                <w:color w:val="auto"/>
                <w:position w:val="-7"/>
                <w:sz w:val="24"/>
                <w:highlight w:val="none"/>
              </w:rPr>
              <w:drawing>
                <wp:inline distT="0" distB="0" distL="114300" distR="114300">
                  <wp:extent cx="36830" cy="176530"/>
                  <wp:effectExtent l="0" t="0" r="1270" b="13970"/>
                  <wp:docPr id="39" name="图片 17"/>
                  <wp:cNvGraphicFramePr/>
                  <a:graphic xmlns:a="http://schemas.openxmlformats.org/drawingml/2006/main">
                    <a:graphicData uri="http://schemas.openxmlformats.org/drawingml/2006/picture">
                      <pic:pic xmlns:pic="http://schemas.openxmlformats.org/drawingml/2006/picture">
                        <pic:nvPicPr>
                          <pic:cNvPr id="39" name="图片 17"/>
                          <pic:cNvPicPr/>
                        </pic:nvPicPr>
                        <pic:blipFill>
                          <a:blip r:embed="rId28"/>
                          <a:stretch>
                            <a:fillRect/>
                          </a:stretch>
                        </pic:blipFill>
                        <pic:spPr>
                          <a:xfrm>
                            <a:off x="0" y="0"/>
                            <a:ext cx="36830" cy="176530"/>
                          </a:xfrm>
                          <a:prstGeom prst="rect">
                            <a:avLst/>
                          </a:prstGeom>
                          <a:noFill/>
                          <a:ln>
                            <a:noFill/>
                          </a:ln>
                        </pic:spPr>
                      </pic:pic>
                    </a:graphicData>
                  </a:graphic>
                </wp:inline>
              </w:drawing>
            </w:r>
            <w:r>
              <w:rPr>
                <w:rFonts w:hint="default" w:eastAsia="Times New Roman"/>
                <w:i/>
                <w:iCs/>
                <w:color w:val="auto"/>
                <w:spacing w:val="3"/>
                <w:sz w:val="24"/>
                <w:highlight w:val="none"/>
              </w:rPr>
              <w:t>r</w:t>
            </w:r>
            <w:r>
              <w:rPr>
                <w:rFonts w:hint="default" w:eastAsia="Times New Roman"/>
                <w:color w:val="auto"/>
                <w:spacing w:val="3"/>
                <w:position w:val="-4"/>
                <w:sz w:val="24"/>
                <w:highlight w:val="none"/>
                <w:vertAlign w:val="subscript"/>
              </w:rPr>
              <w:t>0</w:t>
            </w:r>
            <w:r>
              <w:rPr>
                <w:rFonts w:hint="default"/>
                <w:color w:val="auto"/>
                <w:position w:val="-7"/>
                <w:sz w:val="24"/>
                <w:highlight w:val="none"/>
              </w:rPr>
              <w:drawing>
                <wp:inline distT="0" distB="0" distL="114300" distR="114300">
                  <wp:extent cx="36830" cy="176530"/>
                  <wp:effectExtent l="0" t="0" r="1270" b="13970"/>
                  <wp:docPr id="28" name="图片 18"/>
                  <wp:cNvGraphicFramePr/>
                  <a:graphic xmlns:a="http://schemas.openxmlformats.org/drawingml/2006/main">
                    <a:graphicData uri="http://schemas.openxmlformats.org/drawingml/2006/picture">
                      <pic:pic xmlns:pic="http://schemas.openxmlformats.org/drawingml/2006/picture">
                        <pic:nvPicPr>
                          <pic:cNvPr id="28" name="图片 18"/>
                          <pic:cNvPicPr/>
                        </pic:nvPicPr>
                        <pic:blipFill>
                          <a:blip r:embed="rId29"/>
                          <a:stretch>
                            <a:fillRect/>
                          </a:stretch>
                        </pic:blipFill>
                        <pic:spPr>
                          <a:xfrm>
                            <a:off x="0" y="0"/>
                            <a:ext cx="36830" cy="176530"/>
                          </a:xfrm>
                          <a:prstGeom prst="rect">
                            <a:avLst/>
                          </a:prstGeom>
                          <a:noFill/>
                          <a:ln>
                            <a:noFill/>
                          </a:ln>
                        </pic:spPr>
                      </pic:pic>
                    </a:graphicData>
                  </a:graphic>
                </wp:inline>
              </w:drawing>
            </w:r>
            <w:r>
              <w:rPr>
                <w:rFonts w:hint="default"/>
                <w:color w:val="auto"/>
                <w:position w:val="1"/>
                <w:sz w:val="24"/>
                <w:highlight w:val="none"/>
              </w:rPr>
              <w:drawing>
                <wp:inline distT="0" distB="0" distL="114300" distR="114300">
                  <wp:extent cx="71120" cy="41275"/>
                  <wp:effectExtent l="0" t="0" r="0" b="0"/>
                  <wp:docPr id="35" name="图片 19"/>
                  <wp:cNvGraphicFramePr/>
                  <a:graphic xmlns:a="http://schemas.openxmlformats.org/drawingml/2006/main">
                    <a:graphicData uri="http://schemas.openxmlformats.org/drawingml/2006/picture">
                      <pic:pic xmlns:pic="http://schemas.openxmlformats.org/drawingml/2006/picture">
                        <pic:nvPicPr>
                          <pic:cNvPr id="35" name="图片 19"/>
                          <pic:cNvPicPr/>
                        </pic:nvPicPr>
                        <pic:blipFill>
                          <a:blip r:embed="rId30"/>
                          <a:stretch>
                            <a:fillRect/>
                          </a:stretch>
                        </pic:blipFill>
                        <pic:spPr>
                          <a:xfrm>
                            <a:off x="0" y="0"/>
                            <a:ext cx="71120" cy="41275"/>
                          </a:xfrm>
                          <a:prstGeom prst="rect">
                            <a:avLst/>
                          </a:prstGeom>
                          <a:noFill/>
                          <a:ln>
                            <a:noFill/>
                          </a:ln>
                        </pic:spPr>
                      </pic:pic>
                    </a:graphicData>
                  </a:graphic>
                </wp:inline>
              </w:drawing>
            </w:r>
            <w:r>
              <w:rPr>
                <w:rFonts w:hint="default" w:eastAsia="Times New Roman"/>
                <w:color w:val="auto"/>
                <w:spacing w:val="3"/>
                <w:sz w:val="24"/>
                <w:highlight w:val="none"/>
              </w:rPr>
              <w:t>20</w:t>
            </w:r>
            <w:r>
              <w:rPr>
                <w:rFonts w:hint="default" w:eastAsia="Times New Roman"/>
                <w:color w:val="auto"/>
                <w:spacing w:val="2"/>
                <w:sz w:val="24"/>
                <w:highlight w:val="none"/>
              </w:rPr>
              <w:t>l</w:t>
            </w:r>
            <w:r>
              <w:rPr>
                <w:rFonts w:hint="default" w:eastAsia="Times New Roman"/>
                <w:color w:val="auto"/>
                <w:spacing w:val="3"/>
                <w:sz w:val="24"/>
                <w:highlight w:val="none"/>
              </w:rPr>
              <w:t>g</w:t>
            </w:r>
            <w:r>
              <w:rPr>
                <w:rFonts w:hint="default"/>
                <w:color w:val="auto"/>
                <w:position w:val="-7"/>
                <w:sz w:val="24"/>
                <w:highlight w:val="none"/>
              </w:rPr>
              <w:drawing>
                <wp:inline distT="0" distB="0" distL="114300" distR="114300">
                  <wp:extent cx="36830" cy="176530"/>
                  <wp:effectExtent l="0" t="0" r="1270" b="13970"/>
                  <wp:docPr id="34" name="图片 20"/>
                  <wp:cNvGraphicFramePr/>
                  <a:graphic xmlns:a="http://schemas.openxmlformats.org/drawingml/2006/main">
                    <a:graphicData uri="http://schemas.openxmlformats.org/drawingml/2006/picture">
                      <pic:pic xmlns:pic="http://schemas.openxmlformats.org/drawingml/2006/picture">
                        <pic:nvPicPr>
                          <pic:cNvPr id="34" name="图片 20"/>
                          <pic:cNvPicPr/>
                        </pic:nvPicPr>
                        <pic:blipFill>
                          <a:blip r:embed="rId28"/>
                          <a:stretch>
                            <a:fillRect/>
                          </a:stretch>
                        </pic:blipFill>
                        <pic:spPr>
                          <a:xfrm>
                            <a:off x="0" y="0"/>
                            <a:ext cx="36830" cy="176530"/>
                          </a:xfrm>
                          <a:prstGeom prst="rect">
                            <a:avLst/>
                          </a:prstGeom>
                          <a:noFill/>
                          <a:ln>
                            <a:noFill/>
                          </a:ln>
                        </pic:spPr>
                      </pic:pic>
                    </a:graphicData>
                  </a:graphic>
                </wp:inline>
              </w:drawing>
            </w:r>
            <w:r>
              <w:rPr>
                <w:rFonts w:hint="default" w:eastAsia="Times New Roman"/>
                <w:i/>
                <w:iCs/>
                <w:color w:val="auto"/>
                <w:spacing w:val="2"/>
                <w:sz w:val="24"/>
                <w:highlight w:val="none"/>
              </w:rPr>
              <w:t>r</w:t>
            </w:r>
            <w:r>
              <w:rPr>
                <w:rFonts w:hint="default"/>
                <w:color w:val="auto"/>
                <w:position w:val="-5"/>
                <w:sz w:val="24"/>
                <w:highlight w:val="none"/>
              </w:rPr>
              <w:drawing>
                <wp:inline distT="0" distB="0" distL="114300" distR="114300">
                  <wp:extent cx="49530" cy="151765"/>
                  <wp:effectExtent l="0" t="0" r="7620" b="635"/>
                  <wp:docPr id="27" name="图片 21"/>
                  <wp:cNvGraphicFramePr/>
                  <a:graphic xmlns:a="http://schemas.openxmlformats.org/drawingml/2006/main">
                    <a:graphicData uri="http://schemas.openxmlformats.org/drawingml/2006/picture">
                      <pic:pic xmlns:pic="http://schemas.openxmlformats.org/drawingml/2006/picture">
                        <pic:nvPicPr>
                          <pic:cNvPr id="27" name="图片 21"/>
                          <pic:cNvPicPr/>
                        </pic:nvPicPr>
                        <pic:blipFill>
                          <a:blip r:embed="rId31"/>
                          <a:stretch>
                            <a:fillRect/>
                          </a:stretch>
                        </pic:blipFill>
                        <pic:spPr>
                          <a:xfrm>
                            <a:off x="0" y="0"/>
                            <a:ext cx="49530" cy="151765"/>
                          </a:xfrm>
                          <a:prstGeom prst="rect">
                            <a:avLst/>
                          </a:prstGeom>
                          <a:noFill/>
                          <a:ln>
                            <a:noFill/>
                          </a:ln>
                        </pic:spPr>
                      </pic:pic>
                    </a:graphicData>
                  </a:graphic>
                </wp:inline>
              </w:drawing>
            </w:r>
            <w:r>
              <w:rPr>
                <w:rFonts w:hint="default" w:eastAsia="Times New Roman"/>
                <w:i/>
                <w:iCs/>
                <w:color w:val="auto"/>
                <w:spacing w:val="2"/>
                <w:position w:val="1"/>
                <w:sz w:val="24"/>
                <w:highlight w:val="none"/>
              </w:rPr>
              <w:t>r</w:t>
            </w:r>
            <w:r>
              <w:rPr>
                <w:rFonts w:hint="default" w:eastAsia="Times New Roman"/>
                <w:color w:val="auto"/>
                <w:spacing w:val="2"/>
                <w:position w:val="-4"/>
                <w:sz w:val="24"/>
                <w:highlight w:val="none"/>
                <w:vertAlign w:val="subscript"/>
              </w:rPr>
              <w:t>0</w:t>
            </w:r>
            <w:r>
              <w:rPr>
                <w:rFonts w:hint="default"/>
                <w:color w:val="auto"/>
                <w:position w:val="-7"/>
                <w:sz w:val="24"/>
                <w:highlight w:val="none"/>
              </w:rPr>
              <w:drawing>
                <wp:inline distT="0" distB="0" distL="114300" distR="114300">
                  <wp:extent cx="36830" cy="176530"/>
                  <wp:effectExtent l="0" t="0" r="1270" b="13970"/>
                  <wp:docPr id="40" name="图片 22"/>
                  <wp:cNvGraphicFramePr/>
                  <a:graphic xmlns:a="http://schemas.openxmlformats.org/drawingml/2006/main">
                    <a:graphicData uri="http://schemas.openxmlformats.org/drawingml/2006/picture">
                      <pic:pic xmlns:pic="http://schemas.openxmlformats.org/drawingml/2006/picture">
                        <pic:nvPicPr>
                          <pic:cNvPr id="40" name="图片 22"/>
                          <pic:cNvPicPr/>
                        </pic:nvPicPr>
                        <pic:blipFill>
                          <a:blip r:embed="rId29"/>
                          <a:stretch>
                            <a:fillRect/>
                          </a:stretch>
                        </pic:blipFill>
                        <pic:spPr>
                          <a:xfrm>
                            <a:off x="0" y="0"/>
                            <a:ext cx="36830" cy="176530"/>
                          </a:xfrm>
                          <a:prstGeom prst="rect">
                            <a:avLst/>
                          </a:prstGeom>
                          <a:noFill/>
                          <a:ln>
                            <a:noFill/>
                          </a:ln>
                        </pic:spPr>
                      </pic:pic>
                    </a:graphicData>
                  </a:graphic>
                </wp:inline>
              </w:drawing>
            </w:r>
          </w:p>
          <w:p w14:paraId="21F2FD38">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w:t>
            </w:r>
            <w:r>
              <w:rPr>
                <w:rFonts w:hint="default"/>
                <w:color w:val="auto"/>
                <w:spacing w:val="-1"/>
                <w:sz w:val="24"/>
                <w:highlight w:val="none"/>
              </w:rPr>
              <w:t>：</w:t>
            </w:r>
            <w:r>
              <w:rPr>
                <w:rFonts w:hint="default" w:eastAsia="Times New Roman"/>
                <w:i/>
                <w:iCs/>
                <w:color w:val="auto"/>
                <w:sz w:val="24"/>
                <w:highlight w:val="none"/>
              </w:rPr>
              <w:t>L</w:t>
            </w:r>
            <w:r>
              <w:rPr>
                <w:rFonts w:hint="default" w:eastAsia="Times New Roman"/>
                <w:i/>
                <w:iCs/>
                <w:color w:val="auto"/>
                <w:position w:val="-3"/>
                <w:sz w:val="24"/>
                <w:highlight w:val="none"/>
              </w:rPr>
              <w:t>p</w:t>
            </w:r>
            <w:r>
              <w:rPr>
                <w:rFonts w:hint="default" w:eastAsia="Times New Roman"/>
                <w:color w:val="auto"/>
                <w:sz w:val="24"/>
                <w:highlight w:val="none"/>
              </w:rPr>
              <w:t>(</w:t>
            </w:r>
            <w:r>
              <w:rPr>
                <w:rFonts w:hint="default" w:eastAsia="Times New Roman"/>
                <w:i/>
                <w:iCs/>
                <w:color w:val="auto"/>
                <w:sz w:val="24"/>
                <w:highlight w:val="none"/>
              </w:rPr>
              <w:t>r</w:t>
            </w:r>
            <w:r>
              <w:rPr>
                <w:rFonts w:hint="default" w:eastAsia="Times New Roman"/>
                <w:color w:val="auto"/>
                <w:sz w:val="24"/>
                <w:highlight w:val="none"/>
              </w:rPr>
              <w:t>)——</w:t>
            </w:r>
            <w:r>
              <w:rPr>
                <w:rFonts w:hint="default"/>
                <w:color w:val="auto"/>
                <w:sz w:val="24"/>
                <w:highlight w:val="none"/>
              </w:rPr>
              <w:t>预测点处声压级</w:t>
            </w:r>
            <w:r>
              <w:rPr>
                <w:rFonts w:hint="default"/>
                <w:color w:val="auto"/>
                <w:spacing w:val="-1"/>
                <w:sz w:val="24"/>
                <w:highlight w:val="none"/>
              </w:rPr>
              <w:t>，</w:t>
            </w:r>
            <w:r>
              <w:rPr>
                <w:rFonts w:hint="default" w:eastAsia="Times New Roman"/>
                <w:color w:val="auto"/>
                <w:sz w:val="24"/>
                <w:highlight w:val="none"/>
              </w:rPr>
              <w:t>dB</w:t>
            </w:r>
            <w:r>
              <w:rPr>
                <w:rFonts w:hint="default"/>
                <w:color w:val="auto"/>
                <w:sz w:val="24"/>
                <w:highlight w:val="none"/>
              </w:rPr>
              <w:t>；</w:t>
            </w:r>
          </w:p>
          <w:p w14:paraId="52A31766">
            <w:pPr>
              <w:keepNext w:val="0"/>
              <w:keepLines w:val="0"/>
              <w:suppressLineNumbers w:val="0"/>
              <w:spacing w:before="0" w:beforeAutospacing="0" w:after="0" w:afterAutospacing="0" w:line="360" w:lineRule="auto"/>
              <w:ind w:left="0" w:right="0" w:firstLine="484" w:firstLineChars="200"/>
              <w:rPr>
                <w:rFonts w:hint="default"/>
                <w:color w:val="auto"/>
                <w:sz w:val="24"/>
                <w:highlight w:val="none"/>
              </w:rPr>
            </w:pPr>
            <w:r>
              <w:rPr>
                <w:rFonts w:hint="default" w:eastAsia="Times New Roman"/>
                <w:i/>
                <w:iCs/>
                <w:color w:val="auto"/>
                <w:spacing w:val="1"/>
                <w:sz w:val="24"/>
                <w:highlight w:val="none"/>
              </w:rPr>
              <w:t>L</w:t>
            </w:r>
            <w:r>
              <w:rPr>
                <w:rFonts w:hint="default" w:eastAsia="Times New Roman"/>
                <w:i/>
                <w:iCs/>
                <w:color w:val="auto"/>
                <w:spacing w:val="1"/>
                <w:position w:val="-2"/>
                <w:sz w:val="24"/>
                <w:highlight w:val="none"/>
              </w:rPr>
              <w:t>p</w:t>
            </w:r>
            <w:r>
              <w:rPr>
                <w:rFonts w:hint="default" w:eastAsia="Times New Roman"/>
                <w:color w:val="auto"/>
                <w:spacing w:val="1"/>
                <w:sz w:val="24"/>
                <w:highlight w:val="none"/>
              </w:rPr>
              <w:t>(</w:t>
            </w:r>
            <w:r>
              <w:rPr>
                <w:rFonts w:hint="default" w:eastAsia="Times New Roman"/>
                <w:i/>
                <w:iCs/>
                <w:color w:val="auto"/>
                <w:spacing w:val="1"/>
                <w:sz w:val="24"/>
                <w:highlight w:val="none"/>
              </w:rPr>
              <w:t>r</w:t>
            </w:r>
            <w:r>
              <w:rPr>
                <w:rFonts w:hint="default" w:eastAsia="Times New Roman"/>
                <w:color w:val="auto"/>
                <w:spacing w:val="1"/>
                <w:position w:val="-2"/>
                <w:sz w:val="24"/>
                <w:highlight w:val="none"/>
              </w:rPr>
              <w:t>0</w:t>
            </w:r>
            <w:r>
              <w:rPr>
                <w:rFonts w:hint="default" w:eastAsia="Times New Roman"/>
                <w:color w:val="auto"/>
                <w:spacing w:val="1"/>
                <w:sz w:val="24"/>
                <w:highlight w:val="none"/>
              </w:rPr>
              <w:t>)——</w:t>
            </w:r>
            <w:r>
              <w:rPr>
                <w:rFonts w:hint="default"/>
                <w:color w:val="auto"/>
                <w:spacing w:val="1"/>
                <w:sz w:val="24"/>
                <w:highlight w:val="none"/>
              </w:rPr>
              <w:t>参考位置</w:t>
            </w:r>
            <w:r>
              <w:rPr>
                <w:rFonts w:hint="default" w:eastAsia="Times New Roman"/>
                <w:i/>
                <w:iCs/>
                <w:color w:val="auto"/>
                <w:spacing w:val="1"/>
                <w:sz w:val="24"/>
                <w:highlight w:val="none"/>
              </w:rPr>
              <w:t>r</w:t>
            </w:r>
            <w:r>
              <w:rPr>
                <w:rFonts w:hint="default" w:eastAsia="Times New Roman"/>
                <w:color w:val="auto"/>
                <w:spacing w:val="1"/>
                <w:position w:val="-2"/>
                <w:sz w:val="24"/>
                <w:highlight w:val="none"/>
                <w:vertAlign w:val="subscript"/>
              </w:rPr>
              <w:t>0</w:t>
            </w:r>
            <w:r>
              <w:rPr>
                <w:rFonts w:hint="default"/>
                <w:color w:val="auto"/>
                <w:spacing w:val="1"/>
                <w:sz w:val="24"/>
                <w:highlight w:val="none"/>
              </w:rPr>
              <w:t>处的声压级，</w:t>
            </w:r>
            <w:r>
              <w:rPr>
                <w:rFonts w:hint="default" w:eastAsia="Times New Roman"/>
                <w:color w:val="auto"/>
                <w:spacing w:val="1"/>
                <w:sz w:val="24"/>
                <w:highlight w:val="none"/>
              </w:rPr>
              <w:t>dB</w:t>
            </w:r>
            <w:r>
              <w:rPr>
                <w:rFonts w:hint="default"/>
                <w:color w:val="auto"/>
                <w:spacing w:val="1"/>
                <w:sz w:val="24"/>
                <w:highlight w:val="none"/>
              </w:rPr>
              <w:t>；</w:t>
            </w:r>
          </w:p>
          <w:p w14:paraId="4C7C0B8A">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eastAsia="Times New Roman"/>
                <w:i/>
                <w:iCs/>
                <w:color w:val="auto"/>
                <w:sz w:val="24"/>
                <w:highlight w:val="none"/>
              </w:rPr>
              <w:t>r</w:t>
            </w:r>
            <w:r>
              <w:rPr>
                <w:rFonts w:hint="default" w:eastAsia="Times New Roman"/>
                <w:color w:val="auto"/>
                <w:sz w:val="24"/>
                <w:highlight w:val="none"/>
              </w:rPr>
              <w:t>——</w:t>
            </w:r>
            <w:r>
              <w:rPr>
                <w:rFonts w:hint="default"/>
                <w:color w:val="auto"/>
                <w:sz w:val="24"/>
                <w:highlight w:val="none"/>
              </w:rPr>
              <w:t>预测点距声源的距离</w:t>
            </w:r>
            <w:r>
              <w:rPr>
                <w:rFonts w:hint="default"/>
                <w:color w:val="auto"/>
                <w:spacing w:val="-1"/>
                <w:sz w:val="24"/>
                <w:highlight w:val="none"/>
              </w:rPr>
              <w:t>；</w:t>
            </w:r>
          </w:p>
          <w:p w14:paraId="140F33E8">
            <w:pPr>
              <w:keepNext w:val="0"/>
              <w:keepLines w:val="0"/>
              <w:suppressLineNumbers w:val="0"/>
              <w:spacing w:before="0" w:beforeAutospacing="0" w:after="0" w:afterAutospacing="0" w:line="360" w:lineRule="auto"/>
              <w:ind w:left="0" w:right="0" w:firstLine="480" w:firstLineChars="200"/>
              <w:rPr>
                <w:rFonts w:hint="default"/>
                <w:color w:val="auto"/>
                <w:spacing w:val="-17"/>
                <w:sz w:val="24"/>
                <w:highlight w:val="none"/>
              </w:rPr>
            </w:pPr>
            <w:bookmarkStart w:id="439" w:name="_Toc27390"/>
            <w:r>
              <w:rPr>
                <w:rFonts w:hint="default" w:eastAsia="Times New Roman"/>
                <w:i/>
                <w:iCs/>
                <w:color w:val="auto"/>
                <w:sz w:val="24"/>
                <w:highlight w:val="none"/>
              </w:rPr>
              <w:t>r</w:t>
            </w:r>
            <w:r>
              <w:rPr>
                <w:rFonts w:hint="default" w:eastAsia="Times New Roman"/>
                <w:color w:val="auto"/>
                <w:position w:val="-3"/>
                <w:sz w:val="24"/>
                <w:highlight w:val="none"/>
                <w:vertAlign w:val="subscript"/>
              </w:rPr>
              <w:t>0</w:t>
            </w:r>
            <w:r>
              <w:rPr>
                <w:rFonts w:hint="default" w:eastAsia="Times New Roman"/>
                <w:color w:val="auto"/>
                <w:sz w:val="24"/>
                <w:highlight w:val="none"/>
              </w:rPr>
              <w:t>——</w:t>
            </w:r>
            <w:r>
              <w:rPr>
                <w:rFonts w:hint="default"/>
                <w:color w:val="auto"/>
                <w:sz w:val="24"/>
                <w:highlight w:val="none"/>
              </w:rPr>
              <w:t>参考位置距声源的距离</w:t>
            </w:r>
            <w:r>
              <w:rPr>
                <w:rFonts w:hint="default"/>
                <w:color w:val="auto"/>
                <w:spacing w:val="-17"/>
                <w:sz w:val="24"/>
                <w:highlight w:val="none"/>
              </w:rPr>
              <w:t>。</w:t>
            </w:r>
            <w:bookmarkEnd w:id="439"/>
          </w:p>
          <w:p w14:paraId="06FFC370">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bookmarkStart w:id="440" w:name="_Toc28625"/>
            <w:r>
              <w:rPr>
                <w:rFonts w:hint="eastAsia"/>
                <w:color w:val="auto"/>
                <w:sz w:val="24"/>
                <w:highlight w:val="none"/>
              </w:rPr>
              <w:t>（1）室内声源等效室外声源声功率级计算方法</w:t>
            </w:r>
            <w:bookmarkEnd w:id="440"/>
          </w:p>
          <w:p w14:paraId="6BF66C2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声源位于室内，室内声源可采用等效室外声源声功率级法进行计算。设靠近开口处（或窗户）室内、室外某倍频带的声压级分别为L</w:t>
            </w:r>
            <w:r>
              <w:rPr>
                <w:rFonts w:hint="default"/>
                <w:color w:val="auto"/>
                <w:sz w:val="24"/>
                <w:highlight w:val="none"/>
                <w:vertAlign w:val="subscript"/>
              </w:rPr>
              <w:t>p1</w:t>
            </w:r>
            <w:r>
              <w:rPr>
                <w:rFonts w:hint="default"/>
                <w:color w:val="auto"/>
                <w:sz w:val="24"/>
                <w:highlight w:val="none"/>
              </w:rPr>
              <w:t>和L</w:t>
            </w:r>
            <w:r>
              <w:rPr>
                <w:rFonts w:hint="default"/>
                <w:color w:val="auto"/>
                <w:sz w:val="24"/>
                <w:highlight w:val="none"/>
                <w:vertAlign w:val="subscript"/>
              </w:rPr>
              <w:t>p2</w:t>
            </w:r>
            <w:r>
              <w:rPr>
                <w:rFonts w:hint="default"/>
                <w:color w:val="auto"/>
                <w:sz w:val="24"/>
                <w:highlight w:val="none"/>
              </w:rPr>
              <w:t>。若声源所在室内声场为近似扩散声场，则室外的倍频带声压级可按公式（</w:t>
            </w:r>
            <w:r>
              <w:rPr>
                <w:rFonts w:hint="eastAsia"/>
                <w:color w:val="auto"/>
                <w:sz w:val="24"/>
                <w:highlight w:val="none"/>
              </w:rPr>
              <w:t>B.1</w:t>
            </w:r>
            <w:r>
              <w:rPr>
                <w:rFonts w:hint="default"/>
                <w:color w:val="auto"/>
                <w:sz w:val="24"/>
                <w:highlight w:val="none"/>
              </w:rPr>
              <w:t>）近似求出：</w:t>
            </w:r>
          </w:p>
          <w:p w14:paraId="7F42C396">
            <w:pPr>
              <w:keepNext w:val="0"/>
              <w:keepLines w:val="0"/>
              <w:suppressLineNumbers w:val="0"/>
              <w:spacing w:before="0" w:beforeAutospacing="0" w:after="0" w:afterAutospacing="0" w:line="360" w:lineRule="auto"/>
              <w:ind w:left="0" w:right="0" w:firstLine="480" w:firstLineChars="200"/>
              <w:jc w:val="center"/>
              <w:rPr>
                <w:rFonts w:hint="default"/>
                <w:color w:val="auto"/>
                <w:sz w:val="24"/>
                <w:highlight w:val="none"/>
              </w:rPr>
            </w:pPr>
            <w:r>
              <w:rPr>
                <w:rFonts w:hint="default"/>
                <w:color w:val="auto"/>
                <w:sz w:val="24"/>
                <w:highlight w:val="none"/>
              </w:rPr>
              <w:t>L</w:t>
            </w:r>
            <w:r>
              <w:rPr>
                <w:rFonts w:hint="default"/>
                <w:color w:val="auto"/>
                <w:sz w:val="24"/>
                <w:highlight w:val="none"/>
                <w:vertAlign w:val="subscript"/>
              </w:rPr>
              <w:t>p2</w:t>
            </w:r>
            <w:r>
              <w:rPr>
                <w:rFonts w:hint="default"/>
                <w:color w:val="auto"/>
                <w:sz w:val="24"/>
                <w:highlight w:val="none"/>
              </w:rPr>
              <w:t>=L</w:t>
            </w:r>
            <w:r>
              <w:rPr>
                <w:rFonts w:hint="default"/>
                <w:color w:val="auto"/>
                <w:sz w:val="24"/>
                <w:highlight w:val="none"/>
                <w:vertAlign w:val="subscript"/>
              </w:rPr>
              <w:t>p1</w:t>
            </w:r>
            <w:r>
              <w:rPr>
                <w:rFonts w:hint="default"/>
                <w:color w:val="auto"/>
                <w:sz w:val="24"/>
                <w:highlight w:val="none"/>
              </w:rPr>
              <w:t>-（TL+6）（</w:t>
            </w:r>
            <w:r>
              <w:rPr>
                <w:rFonts w:hint="eastAsia"/>
                <w:color w:val="auto"/>
                <w:sz w:val="24"/>
                <w:highlight w:val="none"/>
              </w:rPr>
              <w:t>B.1</w:t>
            </w:r>
            <w:r>
              <w:rPr>
                <w:rFonts w:hint="default"/>
                <w:color w:val="auto"/>
                <w:sz w:val="24"/>
                <w:highlight w:val="none"/>
              </w:rPr>
              <w:t>）</w:t>
            </w:r>
          </w:p>
          <w:p w14:paraId="7A5625A3">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式中：TL—隔墙（或窗户）倍频带的隔声量，dB。</w:t>
            </w:r>
          </w:p>
          <w:p w14:paraId="6F6CE326">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也可按公式（</w:t>
            </w:r>
            <w:r>
              <w:rPr>
                <w:rFonts w:hint="eastAsia"/>
                <w:color w:val="auto"/>
                <w:sz w:val="24"/>
                <w:highlight w:val="none"/>
              </w:rPr>
              <w:t>B.1</w:t>
            </w:r>
            <w:r>
              <w:rPr>
                <w:rFonts w:hint="default"/>
                <w:color w:val="auto"/>
                <w:sz w:val="24"/>
                <w:highlight w:val="none"/>
              </w:rPr>
              <w:t>）计算某一室内声源靠近围护结构处产生的倍频带声压级：</w:t>
            </w:r>
          </w:p>
          <w:p w14:paraId="41B7527A">
            <w:pPr>
              <w:keepNext w:val="0"/>
              <w:keepLines w:val="0"/>
              <w:suppressLineNumbers w:val="0"/>
              <w:spacing w:before="0" w:beforeAutospacing="0" w:after="0" w:afterAutospacing="0" w:line="360" w:lineRule="auto"/>
              <w:ind w:left="0" w:right="0" w:firstLine="480" w:firstLineChars="200"/>
              <w:jc w:val="center"/>
              <w:rPr>
                <w:rFonts w:hint="default"/>
                <w:color w:val="auto"/>
                <w:sz w:val="24"/>
                <w:highlight w:val="none"/>
              </w:rPr>
            </w:pPr>
            <w:r>
              <w:rPr>
                <w:rFonts w:hint="default"/>
                <w:color w:val="auto"/>
                <w:sz w:val="24"/>
                <w:highlight w:val="none"/>
              </w:rPr>
              <w:drawing>
                <wp:inline distT="0" distB="0" distL="114300" distR="114300">
                  <wp:extent cx="5038090" cy="457835"/>
                  <wp:effectExtent l="0" t="0" r="10160" b="18415"/>
                  <wp:docPr id="3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3"/>
                          <pic:cNvPicPr>
                            <a:picLocks noChangeAspect="1"/>
                          </pic:cNvPicPr>
                        </pic:nvPicPr>
                        <pic:blipFill>
                          <a:blip r:embed="rId32"/>
                          <a:stretch>
                            <a:fillRect/>
                          </a:stretch>
                        </pic:blipFill>
                        <pic:spPr>
                          <a:xfrm>
                            <a:off x="0" y="0"/>
                            <a:ext cx="5038090" cy="457835"/>
                          </a:xfrm>
                          <a:prstGeom prst="rect">
                            <a:avLst/>
                          </a:prstGeom>
                          <a:noFill/>
                          <a:ln>
                            <a:noFill/>
                          </a:ln>
                        </pic:spPr>
                      </pic:pic>
                    </a:graphicData>
                  </a:graphic>
                </wp:inline>
              </w:drawing>
            </w:r>
          </w:p>
          <w:p w14:paraId="1B53FA1F">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式中：Q—指向性因数；通常对无指向性声源，当声源放在房间中心时，Q=1；当放在一面墙的中心时，Q=2；当放在两面墙夹角处时，Q=4；当放在三面墙夹角处时，Q=8。</w:t>
            </w:r>
          </w:p>
          <w:p w14:paraId="57CC8990">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R—房间常数；R=Sα/（1-α），S为房间内表面面积，m</w:t>
            </w:r>
            <w:r>
              <w:rPr>
                <w:rFonts w:hint="default"/>
                <w:color w:val="auto"/>
                <w:sz w:val="24"/>
                <w:highlight w:val="none"/>
                <w:vertAlign w:val="superscript"/>
              </w:rPr>
              <w:t>2</w:t>
            </w:r>
            <w:r>
              <w:rPr>
                <w:rFonts w:hint="default"/>
                <w:color w:val="auto"/>
                <w:sz w:val="24"/>
                <w:highlight w:val="none"/>
              </w:rPr>
              <w:t>；α为平均吸声系数。</w:t>
            </w:r>
          </w:p>
          <w:p w14:paraId="07D84EB6">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r—声源到靠近围护结构某点处的距离，m。</w:t>
            </w:r>
          </w:p>
          <w:p w14:paraId="4F1CA419">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然后按公式（</w:t>
            </w:r>
            <w:r>
              <w:rPr>
                <w:rFonts w:hint="eastAsia"/>
                <w:color w:val="auto"/>
                <w:sz w:val="24"/>
                <w:highlight w:val="none"/>
              </w:rPr>
              <w:t>B.3</w:t>
            </w:r>
            <w:r>
              <w:rPr>
                <w:rFonts w:hint="default"/>
                <w:color w:val="auto"/>
                <w:sz w:val="24"/>
                <w:highlight w:val="none"/>
              </w:rPr>
              <w:t>）计算出所有室内声源在围护结构处产生的i倍频带叠加声压级：</w:t>
            </w:r>
          </w:p>
          <w:p w14:paraId="2EBE30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4"/>
                <w:highlight w:val="none"/>
              </w:rPr>
            </w:pPr>
            <w:r>
              <w:rPr>
                <w:rFonts w:hint="default"/>
                <w:color w:val="auto"/>
                <w:highlight w:val="none"/>
              </w:rPr>
              <w:drawing>
                <wp:inline distT="0" distB="0" distL="114300" distR="114300">
                  <wp:extent cx="4912360" cy="594360"/>
                  <wp:effectExtent l="0" t="0" r="2540" b="15240"/>
                  <wp:docPr id="29"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4"/>
                          <pic:cNvPicPr>
                            <a:picLocks noChangeAspect="1"/>
                          </pic:cNvPicPr>
                        </pic:nvPicPr>
                        <pic:blipFill>
                          <a:blip r:embed="rId33"/>
                          <a:stretch>
                            <a:fillRect/>
                          </a:stretch>
                        </pic:blipFill>
                        <pic:spPr>
                          <a:xfrm>
                            <a:off x="0" y="0"/>
                            <a:ext cx="4912360" cy="594360"/>
                          </a:xfrm>
                          <a:prstGeom prst="rect">
                            <a:avLst/>
                          </a:prstGeom>
                          <a:noFill/>
                          <a:ln>
                            <a:noFill/>
                          </a:ln>
                        </pic:spPr>
                      </pic:pic>
                    </a:graphicData>
                  </a:graphic>
                </wp:inline>
              </w:drawing>
            </w:r>
          </w:p>
          <w:p w14:paraId="4BC6035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式中：Lpli（T）—靠近围护结构处室内N个声源i倍频带的叠加声压级，dB；</w:t>
            </w:r>
          </w:p>
          <w:p w14:paraId="0C0FF8D1">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Lplij（T）L—室内j声源i倍频带的声压级，dB；</w:t>
            </w:r>
          </w:p>
          <w:p w14:paraId="702B14EB">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N—室内声源总数。</w:t>
            </w:r>
          </w:p>
          <w:p w14:paraId="63D1D1DD">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在室内近似为扩散声场时，按公式（</w:t>
            </w:r>
            <w:r>
              <w:rPr>
                <w:rFonts w:hint="eastAsia"/>
                <w:color w:val="auto"/>
                <w:sz w:val="24"/>
                <w:highlight w:val="none"/>
              </w:rPr>
              <w:t>B.4</w:t>
            </w:r>
            <w:r>
              <w:rPr>
                <w:rFonts w:hint="default"/>
                <w:color w:val="auto"/>
                <w:sz w:val="24"/>
                <w:highlight w:val="none"/>
              </w:rPr>
              <w:t>）计算出靠近室外围护结构处的声压级：</w:t>
            </w:r>
          </w:p>
          <w:p w14:paraId="4C4BAA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color w:val="auto"/>
                <w:sz w:val="24"/>
                <w:highlight w:val="none"/>
              </w:rPr>
            </w:pPr>
            <w:r>
              <w:rPr>
                <w:rFonts w:hint="default"/>
                <w:color w:val="auto"/>
                <w:highlight w:val="none"/>
              </w:rPr>
              <w:drawing>
                <wp:inline distT="0" distB="0" distL="114300" distR="114300">
                  <wp:extent cx="5223510" cy="326390"/>
                  <wp:effectExtent l="0" t="0" r="15240" b="16510"/>
                  <wp:docPr id="2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5"/>
                          <pic:cNvPicPr>
                            <a:picLocks noChangeAspect="1"/>
                          </pic:cNvPicPr>
                        </pic:nvPicPr>
                        <pic:blipFill>
                          <a:blip r:embed="rId34"/>
                          <a:stretch>
                            <a:fillRect/>
                          </a:stretch>
                        </pic:blipFill>
                        <pic:spPr>
                          <a:xfrm>
                            <a:off x="0" y="0"/>
                            <a:ext cx="5223510" cy="326390"/>
                          </a:xfrm>
                          <a:prstGeom prst="rect">
                            <a:avLst/>
                          </a:prstGeom>
                          <a:noFill/>
                          <a:ln>
                            <a:noFill/>
                          </a:ln>
                        </pic:spPr>
                      </pic:pic>
                    </a:graphicData>
                  </a:graphic>
                </wp:inline>
              </w:drawing>
            </w:r>
          </w:p>
          <w:p w14:paraId="346C0021">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式中：Lp2i（T）—靠近围护结构处室外N个声源i倍频带的叠加声压级，dB；</w:t>
            </w:r>
          </w:p>
          <w:p w14:paraId="6929156C">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TLi—围护结构i倍频带的隔声量，dB。</w:t>
            </w:r>
          </w:p>
          <w:p w14:paraId="738FDCC0">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color w:val="auto"/>
                <w:sz w:val="24"/>
                <w:highlight w:val="none"/>
              </w:rPr>
              <w:t>然后按公式（</w:t>
            </w:r>
            <w:r>
              <w:rPr>
                <w:rFonts w:hint="eastAsia"/>
                <w:color w:val="auto"/>
                <w:sz w:val="24"/>
                <w:highlight w:val="none"/>
              </w:rPr>
              <w:t>B.5</w:t>
            </w:r>
            <w:r>
              <w:rPr>
                <w:rFonts w:hint="default"/>
                <w:color w:val="auto"/>
                <w:sz w:val="24"/>
                <w:highlight w:val="none"/>
              </w:rPr>
              <w:t>）将室外声源的声压级和透过面积换算成等效的室外声源，计算出中心位置位于透声面积（S）处的等效声源的倍频带声功率级。</w:t>
            </w:r>
          </w:p>
          <w:p w14:paraId="2D9E09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highlight w:val="none"/>
              </w:rPr>
            </w:pPr>
            <w:r>
              <w:rPr>
                <w:rFonts w:hint="default"/>
                <w:color w:val="auto"/>
                <w:highlight w:val="none"/>
              </w:rPr>
              <w:drawing>
                <wp:inline distT="0" distB="0" distL="114300" distR="114300">
                  <wp:extent cx="5271770" cy="824230"/>
                  <wp:effectExtent l="0" t="0" r="5080" b="13970"/>
                  <wp:docPr id="2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6"/>
                          <pic:cNvPicPr>
                            <a:picLocks noChangeAspect="1"/>
                          </pic:cNvPicPr>
                        </pic:nvPicPr>
                        <pic:blipFill>
                          <a:blip r:embed="rId35"/>
                          <a:srcRect t="2628"/>
                          <a:stretch>
                            <a:fillRect/>
                          </a:stretch>
                        </pic:blipFill>
                        <pic:spPr>
                          <a:xfrm>
                            <a:off x="0" y="0"/>
                            <a:ext cx="5271770" cy="824230"/>
                          </a:xfrm>
                          <a:prstGeom prst="rect">
                            <a:avLst/>
                          </a:prstGeom>
                          <a:noFill/>
                          <a:ln>
                            <a:noFill/>
                          </a:ln>
                        </pic:spPr>
                      </pic:pic>
                    </a:graphicData>
                  </a:graphic>
                </wp:inline>
              </w:drawing>
            </w:r>
          </w:p>
          <w:p w14:paraId="398EE24B">
            <w:pPr>
              <w:keepNext w:val="0"/>
              <w:keepLines w:val="0"/>
              <w:suppressLineNumbers w:val="0"/>
              <w:spacing w:before="0" w:beforeAutospacing="0" w:after="0" w:afterAutospacing="0" w:line="360" w:lineRule="auto"/>
              <w:ind w:left="0" w:right="0" w:firstLine="480" w:firstLineChars="200"/>
              <w:rPr>
                <w:rFonts w:hint="default"/>
                <w:b/>
                <w:bCs/>
                <w:color w:val="auto"/>
                <w:sz w:val="24"/>
                <w:highlight w:val="none"/>
              </w:rPr>
            </w:pPr>
            <w:r>
              <w:rPr>
                <w:rFonts w:hint="default"/>
                <w:color w:val="auto"/>
                <w:sz w:val="24"/>
                <w:highlight w:val="none"/>
              </w:rPr>
              <w:t>然后按室外声源预测方法计算预测点处的A声级。</w:t>
            </w:r>
            <w:bookmarkEnd w:id="428"/>
            <w:bookmarkEnd w:id="429"/>
            <w:bookmarkEnd w:id="430"/>
            <w:bookmarkEnd w:id="431"/>
            <w:bookmarkEnd w:id="432"/>
          </w:p>
          <w:p w14:paraId="33100388">
            <w:pPr>
              <w:keepNext w:val="0"/>
              <w:keepLines w:val="0"/>
              <w:suppressLineNumbers w:val="0"/>
              <w:adjustRightInd w:val="0"/>
              <w:snapToGrid w:val="0"/>
              <w:spacing w:before="0" w:beforeAutospacing="0" w:after="0" w:afterAutospacing="0" w:line="348" w:lineRule="auto"/>
              <w:ind w:left="0" w:right="0" w:firstLine="480" w:firstLineChars="200"/>
              <w:rPr>
                <w:rFonts w:hint="default"/>
                <w:snapToGrid w:val="0"/>
                <w:color w:val="auto"/>
                <w:kern w:val="0"/>
                <w:sz w:val="24"/>
                <w:szCs w:val="20"/>
                <w:highlight w:val="none"/>
              </w:rPr>
            </w:pPr>
            <w:r>
              <w:rPr>
                <w:rFonts w:hint="eastAsia"/>
                <w:snapToGrid w:val="0"/>
                <w:color w:val="auto"/>
                <w:kern w:val="0"/>
                <w:sz w:val="24"/>
                <w:szCs w:val="20"/>
                <w:highlight w:val="none"/>
              </w:rPr>
              <w:t>②</w:t>
            </w:r>
            <w:r>
              <w:rPr>
                <w:rFonts w:hint="default"/>
                <w:snapToGrid w:val="0"/>
                <w:color w:val="auto"/>
                <w:kern w:val="0"/>
                <w:sz w:val="24"/>
                <w:szCs w:val="20"/>
                <w:highlight w:val="none"/>
              </w:rPr>
              <w:t>噪声影响预测结果</w:t>
            </w:r>
          </w:p>
          <w:p w14:paraId="48498F59">
            <w:pPr>
              <w:keepNext w:val="0"/>
              <w:keepLines w:val="0"/>
              <w:suppressLineNumbers w:val="0"/>
              <w:adjustRightInd w:val="0"/>
              <w:snapToGrid w:val="0"/>
              <w:spacing w:before="0" w:beforeAutospacing="0" w:after="0" w:afterAutospacing="0" w:line="348" w:lineRule="auto"/>
              <w:ind w:left="0" w:right="0" w:firstLine="480" w:firstLineChars="200"/>
              <w:rPr>
                <w:rFonts w:hint="default"/>
                <w:snapToGrid w:val="0"/>
                <w:color w:val="auto"/>
                <w:kern w:val="0"/>
                <w:sz w:val="24"/>
                <w:szCs w:val="20"/>
                <w:highlight w:val="none"/>
              </w:rPr>
            </w:pPr>
            <w:r>
              <w:rPr>
                <w:rFonts w:hint="default"/>
                <w:snapToGrid w:val="0"/>
                <w:color w:val="auto"/>
                <w:kern w:val="0"/>
                <w:sz w:val="24"/>
                <w:szCs w:val="20"/>
                <w:highlight w:val="none"/>
              </w:rPr>
              <w:t>根据《环境影响评价技术导则声环境》（HJ2.4-2021）</w:t>
            </w:r>
            <w:r>
              <w:rPr>
                <w:rFonts w:hint="eastAsia"/>
                <w:snapToGrid w:val="0"/>
                <w:color w:val="auto"/>
                <w:kern w:val="0"/>
                <w:sz w:val="24"/>
                <w:szCs w:val="20"/>
                <w:highlight w:val="none"/>
              </w:rPr>
              <w:t>进行预测</w:t>
            </w:r>
            <w:r>
              <w:rPr>
                <w:rFonts w:hint="default"/>
                <w:snapToGrid w:val="0"/>
                <w:color w:val="auto"/>
                <w:kern w:val="0"/>
                <w:sz w:val="24"/>
                <w:szCs w:val="20"/>
                <w:highlight w:val="none"/>
              </w:rPr>
              <w:t>。</w:t>
            </w:r>
          </w:p>
          <w:p w14:paraId="1A1A6138">
            <w:pPr>
              <w:pStyle w:val="115"/>
              <w:keepNext w:val="0"/>
              <w:keepLines w:val="0"/>
              <w:suppressLineNumbers w:val="0"/>
              <w:spacing w:before="0" w:beforeAutospacing="0" w:after="0" w:afterAutospacing="0"/>
              <w:ind w:left="0" w:right="0" w:firstLine="482" w:firstLineChars="200"/>
              <w:rPr>
                <w:rFonts w:hint="default" w:ascii="Times New Roman" w:hAnsi="Times New Roman" w:eastAsia="宋体" w:cs="Times New Roman"/>
                <w:b/>
                <w:bCs w:val="0"/>
                <w:color w:val="auto"/>
                <w:highlight w:val="none"/>
                <w:lang w:val="en-US" w:eastAsia="zh-CN"/>
              </w:rPr>
            </w:pPr>
            <w:r>
              <w:rPr>
                <w:rFonts w:hint="eastAsia" w:ascii="Times New Roman" w:hAnsi="Times New Roman" w:eastAsia="宋体" w:cs="Times New Roman"/>
                <w:b/>
                <w:bCs w:val="0"/>
                <w:color w:val="auto"/>
                <w:highlight w:val="none"/>
                <w:lang w:val="en-US" w:eastAsia="zh-CN"/>
              </w:rPr>
              <w:t>3、预测结果及分析</w:t>
            </w:r>
          </w:p>
          <w:p w14:paraId="4C2DE3BA">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厂界噪声预测结果</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0"/>
              <w:gridCol w:w="887"/>
              <w:gridCol w:w="713"/>
              <w:gridCol w:w="762"/>
              <w:gridCol w:w="739"/>
              <w:gridCol w:w="711"/>
              <w:gridCol w:w="738"/>
              <w:gridCol w:w="725"/>
              <w:gridCol w:w="587"/>
              <w:gridCol w:w="550"/>
              <w:gridCol w:w="775"/>
              <w:gridCol w:w="701"/>
            </w:tblGrid>
            <w:tr w14:paraId="48AC4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vMerge w:val="restart"/>
                  <w:noWrap w:val="0"/>
                  <w:vAlign w:val="center"/>
                </w:tcPr>
                <w:p w14:paraId="0AFFE83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529" w:type="pct"/>
                  <w:vMerge w:val="restart"/>
                  <w:noWrap w:val="0"/>
                  <w:vAlign w:val="center"/>
                </w:tcPr>
                <w:p w14:paraId="37F661B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eastAsia="zh-CN"/>
                    </w:rPr>
                    <w:t>方位</w:t>
                  </w:r>
                </w:p>
              </w:tc>
              <w:tc>
                <w:tcPr>
                  <w:tcW w:w="881" w:type="pct"/>
                  <w:gridSpan w:val="2"/>
                  <w:noWrap w:val="0"/>
                  <w:vAlign w:val="center"/>
                </w:tcPr>
                <w:p w14:paraId="1BF9473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噪声现状值/dB（A）</w:t>
                  </w:r>
                </w:p>
              </w:tc>
              <w:tc>
                <w:tcPr>
                  <w:tcW w:w="866" w:type="pct"/>
                  <w:gridSpan w:val="2"/>
                  <w:noWrap w:val="0"/>
                  <w:vAlign w:val="center"/>
                </w:tcPr>
                <w:p w14:paraId="1B3E34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w:t>
                  </w:r>
                  <w:r>
                    <w:rPr>
                      <w:rFonts w:hint="eastAsia" w:ascii="Times New Roman" w:hAnsi="Times New Roman" w:eastAsia="宋体" w:cs="Times New Roman"/>
                      <w:b/>
                      <w:bCs/>
                      <w:color w:val="auto"/>
                      <w:sz w:val="21"/>
                      <w:szCs w:val="21"/>
                      <w:highlight w:val="none"/>
                      <w:lang w:eastAsia="zh-CN"/>
                    </w:rPr>
                    <w:t>贡献值</w:t>
                  </w:r>
                  <w:r>
                    <w:rPr>
                      <w:rFonts w:hint="default" w:ascii="Times New Roman" w:hAnsi="Times New Roman" w:eastAsia="宋体" w:cs="Times New Roman"/>
                      <w:b/>
                      <w:bCs/>
                      <w:color w:val="auto"/>
                      <w:sz w:val="21"/>
                      <w:szCs w:val="21"/>
                      <w:highlight w:val="none"/>
                    </w:rPr>
                    <w:t>/dB（A）</w:t>
                  </w:r>
                </w:p>
              </w:tc>
              <w:tc>
                <w:tcPr>
                  <w:tcW w:w="874" w:type="pct"/>
                  <w:gridSpan w:val="2"/>
                  <w:noWrap w:val="0"/>
                  <w:vAlign w:val="center"/>
                </w:tcPr>
                <w:p w14:paraId="309E11F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w:t>
                  </w:r>
                  <w:r>
                    <w:rPr>
                      <w:rFonts w:hint="eastAsia" w:ascii="Times New Roman" w:hAnsi="Times New Roman" w:eastAsia="宋体" w:cs="Times New Roman"/>
                      <w:b/>
                      <w:bCs/>
                      <w:color w:val="auto"/>
                      <w:sz w:val="21"/>
                      <w:szCs w:val="21"/>
                      <w:highlight w:val="none"/>
                      <w:lang w:eastAsia="zh-CN"/>
                    </w:rPr>
                    <w:t>预测</w:t>
                  </w:r>
                  <w:r>
                    <w:rPr>
                      <w:rFonts w:hint="default" w:ascii="Times New Roman" w:hAnsi="Times New Roman" w:eastAsia="宋体" w:cs="Times New Roman"/>
                      <w:b/>
                      <w:bCs/>
                      <w:color w:val="auto"/>
                      <w:sz w:val="21"/>
                      <w:szCs w:val="21"/>
                      <w:highlight w:val="none"/>
                    </w:rPr>
                    <w:t>值/dB（A）</w:t>
                  </w:r>
                </w:p>
              </w:tc>
              <w:tc>
                <w:tcPr>
                  <w:tcW w:w="679" w:type="pct"/>
                  <w:gridSpan w:val="2"/>
                  <w:noWrap w:val="0"/>
                  <w:vAlign w:val="center"/>
                </w:tcPr>
                <w:p w14:paraId="16882BD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噪声</w:t>
                  </w:r>
                  <w:r>
                    <w:rPr>
                      <w:rFonts w:hint="eastAsia" w:ascii="Times New Roman" w:hAnsi="Times New Roman" w:eastAsia="宋体" w:cs="Times New Roman"/>
                      <w:b/>
                      <w:bCs/>
                      <w:color w:val="auto"/>
                      <w:sz w:val="21"/>
                      <w:szCs w:val="21"/>
                      <w:highlight w:val="none"/>
                      <w:lang w:eastAsia="zh-CN"/>
                    </w:rPr>
                    <w:t>标准</w:t>
                  </w:r>
                  <w:r>
                    <w:rPr>
                      <w:rFonts w:hint="default" w:ascii="Times New Roman" w:hAnsi="Times New Roman" w:eastAsia="宋体" w:cs="Times New Roman"/>
                      <w:b/>
                      <w:bCs/>
                      <w:color w:val="auto"/>
                      <w:sz w:val="21"/>
                      <w:szCs w:val="21"/>
                      <w:highlight w:val="none"/>
                    </w:rPr>
                    <w:t>值/dB（A）</w:t>
                  </w:r>
                </w:p>
              </w:tc>
              <w:tc>
                <w:tcPr>
                  <w:tcW w:w="881" w:type="pct"/>
                  <w:gridSpan w:val="2"/>
                  <w:noWrap w:val="0"/>
                  <w:vAlign w:val="center"/>
                </w:tcPr>
                <w:p w14:paraId="2BB814D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超标和达标情况</w:t>
                  </w:r>
                </w:p>
              </w:tc>
            </w:tr>
            <w:tr w14:paraId="253DA0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286" w:type="pct"/>
                  <w:vMerge w:val="continue"/>
                  <w:noWrap w:val="0"/>
                  <w:vAlign w:val="center"/>
                </w:tcPr>
                <w:p w14:paraId="46CC464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p>
              </w:tc>
              <w:tc>
                <w:tcPr>
                  <w:tcW w:w="529" w:type="pct"/>
                  <w:vMerge w:val="continue"/>
                  <w:noWrap w:val="0"/>
                  <w:vAlign w:val="center"/>
                </w:tcPr>
                <w:p w14:paraId="5554AD9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p>
              </w:tc>
              <w:tc>
                <w:tcPr>
                  <w:tcW w:w="426" w:type="pct"/>
                  <w:noWrap w:val="0"/>
                  <w:vAlign w:val="center"/>
                </w:tcPr>
                <w:p w14:paraId="2346A70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昼</w:t>
                  </w:r>
                </w:p>
              </w:tc>
              <w:tc>
                <w:tcPr>
                  <w:tcW w:w="455" w:type="pct"/>
                  <w:noWrap w:val="0"/>
                  <w:vAlign w:val="center"/>
                </w:tcPr>
                <w:p w14:paraId="13CA5FD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w:t>
                  </w:r>
                </w:p>
              </w:tc>
              <w:tc>
                <w:tcPr>
                  <w:tcW w:w="441" w:type="pct"/>
                  <w:noWrap w:val="0"/>
                  <w:vAlign w:val="center"/>
                </w:tcPr>
                <w:p w14:paraId="500C81BF">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昼</w:t>
                  </w:r>
                </w:p>
              </w:tc>
              <w:tc>
                <w:tcPr>
                  <w:tcW w:w="424" w:type="pct"/>
                  <w:noWrap w:val="0"/>
                  <w:vAlign w:val="center"/>
                </w:tcPr>
                <w:p w14:paraId="21F50E2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w:t>
                  </w:r>
                </w:p>
              </w:tc>
              <w:tc>
                <w:tcPr>
                  <w:tcW w:w="440" w:type="pct"/>
                  <w:noWrap w:val="0"/>
                  <w:vAlign w:val="center"/>
                </w:tcPr>
                <w:p w14:paraId="6774290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昼</w:t>
                  </w:r>
                </w:p>
              </w:tc>
              <w:tc>
                <w:tcPr>
                  <w:tcW w:w="433" w:type="pct"/>
                  <w:noWrap w:val="0"/>
                  <w:vAlign w:val="center"/>
                </w:tcPr>
                <w:p w14:paraId="21E0CED4">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w:t>
                  </w:r>
                </w:p>
              </w:tc>
              <w:tc>
                <w:tcPr>
                  <w:tcW w:w="350" w:type="pct"/>
                  <w:noWrap w:val="0"/>
                  <w:vAlign w:val="center"/>
                </w:tcPr>
                <w:p w14:paraId="7189017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昼</w:t>
                  </w:r>
                </w:p>
              </w:tc>
              <w:tc>
                <w:tcPr>
                  <w:tcW w:w="328" w:type="pct"/>
                  <w:noWrap w:val="0"/>
                  <w:vAlign w:val="center"/>
                </w:tcPr>
                <w:p w14:paraId="293C5F49">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w:t>
                  </w:r>
                </w:p>
              </w:tc>
              <w:tc>
                <w:tcPr>
                  <w:tcW w:w="463" w:type="pct"/>
                  <w:noWrap w:val="0"/>
                  <w:vAlign w:val="center"/>
                </w:tcPr>
                <w:p w14:paraId="70107663">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昼</w:t>
                  </w:r>
                </w:p>
              </w:tc>
              <w:tc>
                <w:tcPr>
                  <w:tcW w:w="418" w:type="pct"/>
                  <w:noWrap w:val="0"/>
                  <w:vAlign w:val="center"/>
                </w:tcPr>
                <w:p w14:paraId="410A3FEA">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夜</w:t>
                  </w:r>
                </w:p>
              </w:tc>
            </w:tr>
            <w:tr w14:paraId="6188F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noWrap w:val="0"/>
                  <w:vAlign w:val="center"/>
                </w:tcPr>
                <w:p w14:paraId="4C2BAA04">
                  <w:pPr>
                    <w:pStyle w:val="4"/>
                    <w:keepNext/>
                    <w:keepLines/>
                    <w:pageBreakBefore w:val="0"/>
                    <w:numPr>
                      <w:ilvl w:val="2"/>
                      <w:numId w:val="0"/>
                    </w:numPr>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1</w:t>
                  </w:r>
                </w:p>
              </w:tc>
              <w:tc>
                <w:tcPr>
                  <w:tcW w:w="529" w:type="pct"/>
                  <w:noWrap w:val="0"/>
                  <w:vAlign w:val="center"/>
                </w:tcPr>
                <w:p w14:paraId="09EE2476">
                  <w:pPr>
                    <w:keepNext w:val="0"/>
                    <w:keepLines w:val="0"/>
                    <w:pageBreakBefore w:val="0"/>
                    <w:widowControl/>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bidi="ar"/>
                    </w:rPr>
                    <w:t>东</w:t>
                  </w:r>
                  <w:r>
                    <w:rPr>
                      <w:rFonts w:hint="default" w:ascii="Times New Roman" w:hAnsi="Times New Roman" w:eastAsia="宋体" w:cs="Times New Roman"/>
                      <w:color w:val="auto"/>
                      <w:sz w:val="21"/>
                      <w:szCs w:val="21"/>
                      <w:highlight w:val="none"/>
                    </w:rPr>
                    <w:t>厂界</w:t>
                  </w:r>
                </w:p>
              </w:tc>
              <w:tc>
                <w:tcPr>
                  <w:tcW w:w="426" w:type="pct"/>
                  <w:noWrap w:val="0"/>
                  <w:vAlign w:val="center"/>
                </w:tcPr>
                <w:p w14:paraId="164824E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55" w:type="pct"/>
                  <w:noWrap w:val="0"/>
                  <w:vAlign w:val="center"/>
                </w:tcPr>
                <w:p w14:paraId="51CA71CC">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41" w:type="pct"/>
                  <w:noWrap w:val="0"/>
                  <w:vAlign w:val="center"/>
                </w:tcPr>
                <w:p w14:paraId="011174E2">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48.28</w:t>
                  </w:r>
                </w:p>
              </w:tc>
              <w:tc>
                <w:tcPr>
                  <w:tcW w:w="424" w:type="pct"/>
                  <w:noWrap w:val="0"/>
                  <w:vAlign w:val="center"/>
                </w:tcPr>
                <w:p w14:paraId="4F0CBCDE">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48.28</w:t>
                  </w:r>
                </w:p>
              </w:tc>
              <w:tc>
                <w:tcPr>
                  <w:tcW w:w="738" w:type="dxa"/>
                  <w:noWrap w:val="0"/>
                  <w:vAlign w:val="center"/>
                </w:tcPr>
                <w:p w14:paraId="04D4C29C">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sz w:val="21"/>
                      <w:szCs w:val="21"/>
                      <w:highlight w:val="green"/>
                    </w:rPr>
                    <w:t>48.28</w:t>
                  </w:r>
                </w:p>
              </w:tc>
              <w:tc>
                <w:tcPr>
                  <w:tcW w:w="725" w:type="dxa"/>
                  <w:noWrap w:val="0"/>
                  <w:vAlign w:val="center"/>
                </w:tcPr>
                <w:p w14:paraId="1DCBD22C">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sz w:val="21"/>
                      <w:szCs w:val="21"/>
                      <w:highlight w:val="green"/>
                    </w:rPr>
                    <w:t>48.28</w:t>
                  </w:r>
                </w:p>
              </w:tc>
              <w:tc>
                <w:tcPr>
                  <w:tcW w:w="350" w:type="pct"/>
                  <w:shd w:val="clear" w:color="auto" w:fill="auto"/>
                  <w:noWrap w:val="0"/>
                  <w:vAlign w:val="center"/>
                </w:tcPr>
                <w:p w14:paraId="19D6E250">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6</w:t>
                  </w:r>
                  <w:r>
                    <w:rPr>
                      <w:rFonts w:hint="default" w:ascii="Times New Roman" w:hAnsi="Times New Roman" w:eastAsia="宋体" w:cs="Times New Roman"/>
                      <w:color w:val="auto"/>
                      <w:sz w:val="21"/>
                      <w:szCs w:val="21"/>
                      <w:highlight w:val="none"/>
                      <w:lang w:val="en-US" w:eastAsia="zh-CN"/>
                    </w:rPr>
                    <w:t>5</w:t>
                  </w:r>
                </w:p>
              </w:tc>
              <w:tc>
                <w:tcPr>
                  <w:tcW w:w="328" w:type="pct"/>
                  <w:shd w:val="clear" w:color="auto" w:fill="auto"/>
                  <w:noWrap w:val="0"/>
                  <w:vAlign w:val="center"/>
                </w:tcPr>
                <w:p w14:paraId="07DA3CB0">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55</w:t>
                  </w:r>
                </w:p>
              </w:tc>
              <w:tc>
                <w:tcPr>
                  <w:tcW w:w="463" w:type="pct"/>
                  <w:noWrap w:val="0"/>
                  <w:vAlign w:val="center"/>
                </w:tcPr>
                <w:p w14:paraId="787F0FE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c>
                <w:tcPr>
                  <w:tcW w:w="418" w:type="pct"/>
                  <w:noWrap w:val="0"/>
                  <w:vAlign w:val="center"/>
                </w:tcPr>
                <w:p w14:paraId="519D2ED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333B34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6" w:type="pct"/>
                  <w:noWrap w:val="0"/>
                  <w:vAlign w:val="center"/>
                </w:tcPr>
                <w:p w14:paraId="2624E5E0">
                  <w:pPr>
                    <w:pStyle w:val="4"/>
                    <w:keepNext/>
                    <w:keepLines/>
                    <w:pageBreakBefore w:val="0"/>
                    <w:numPr>
                      <w:ilvl w:val="2"/>
                      <w:numId w:val="0"/>
                    </w:numPr>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2</w:t>
                  </w:r>
                </w:p>
              </w:tc>
              <w:tc>
                <w:tcPr>
                  <w:tcW w:w="529" w:type="pct"/>
                  <w:noWrap w:val="0"/>
                  <w:vAlign w:val="center"/>
                </w:tcPr>
                <w:p w14:paraId="6D4DB25F">
                  <w:pPr>
                    <w:keepNext w:val="0"/>
                    <w:keepLines w:val="0"/>
                    <w:pageBreakBefore w:val="0"/>
                    <w:widowControl/>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bidi="ar"/>
                    </w:rPr>
                    <w:t>南</w:t>
                  </w:r>
                  <w:r>
                    <w:rPr>
                      <w:rFonts w:hint="default" w:ascii="Times New Roman" w:hAnsi="Times New Roman" w:eastAsia="宋体" w:cs="Times New Roman"/>
                      <w:color w:val="auto"/>
                      <w:sz w:val="21"/>
                      <w:szCs w:val="21"/>
                      <w:highlight w:val="none"/>
                    </w:rPr>
                    <w:t>厂界</w:t>
                  </w:r>
                </w:p>
              </w:tc>
              <w:tc>
                <w:tcPr>
                  <w:tcW w:w="426" w:type="pct"/>
                  <w:noWrap w:val="0"/>
                  <w:vAlign w:val="center"/>
                </w:tcPr>
                <w:p w14:paraId="4000909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55" w:type="pct"/>
                  <w:noWrap w:val="0"/>
                  <w:vAlign w:val="center"/>
                </w:tcPr>
                <w:p w14:paraId="5907541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41" w:type="pct"/>
                  <w:noWrap w:val="0"/>
                  <w:vAlign w:val="center"/>
                </w:tcPr>
                <w:p w14:paraId="0AD44DB8">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51.21</w:t>
                  </w:r>
                </w:p>
              </w:tc>
              <w:tc>
                <w:tcPr>
                  <w:tcW w:w="424" w:type="pct"/>
                  <w:noWrap w:val="0"/>
                  <w:vAlign w:val="center"/>
                </w:tcPr>
                <w:p w14:paraId="122F3915">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51.21</w:t>
                  </w:r>
                </w:p>
              </w:tc>
              <w:tc>
                <w:tcPr>
                  <w:tcW w:w="738" w:type="dxa"/>
                  <w:noWrap w:val="0"/>
                  <w:vAlign w:val="center"/>
                </w:tcPr>
                <w:p w14:paraId="0783759E">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sz w:val="21"/>
                      <w:szCs w:val="21"/>
                      <w:highlight w:val="green"/>
                    </w:rPr>
                    <w:t>51.21</w:t>
                  </w:r>
                </w:p>
              </w:tc>
              <w:tc>
                <w:tcPr>
                  <w:tcW w:w="725" w:type="dxa"/>
                  <w:noWrap w:val="0"/>
                  <w:vAlign w:val="center"/>
                </w:tcPr>
                <w:p w14:paraId="07638B4B">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sz w:val="21"/>
                      <w:szCs w:val="21"/>
                      <w:highlight w:val="green"/>
                    </w:rPr>
                    <w:t>51.21</w:t>
                  </w:r>
                </w:p>
              </w:tc>
              <w:tc>
                <w:tcPr>
                  <w:tcW w:w="350" w:type="pct"/>
                  <w:shd w:val="clear" w:color="auto" w:fill="auto"/>
                  <w:noWrap w:val="0"/>
                  <w:vAlign w:val="center"/>
                </w:tcPr>
                <w:p w14:paraId="11FEBEFA">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6</w:t>
                  </w:r>
                  <w:r>
                    <w:rPr>
                      <w:rFonts w:hint="default" w:ascii="Times New Roman" w:hAnsi="Times New Roman" w:eastAsia="宋体" w:cs="Times New Roman"/>
                      <w:color w:val="auto"/>
                      <w:sz w:val="21"/>
                      <w:szCs w:val="21"/>
                      <w:highlight w:val="none"/>
                      <w:lang w:val="en-US" w:eastAsia="zh-CN"/>
                    </w:rPr>
                    <w:t>5</w:t>
                  </w:r>
                </w:p>
              </w:tc>
              <w:tc>
                <w:tcPr>
                  <w:tcW w:w="328" w:type="pct"/>
                  <w:shd w:val="clear" w:color="auto" w:fill="auto"/>
                  <w:noWrap w:val="0"/>
                  <w:vAlign w:val="center"/>
                </w:tcPr>
                <w:p w14:paraId="462C5A98">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55</w:t>
                  </w:r>
                </w:p>
              </w:tc>
              <w:tc>
                <w:tcPr>
                  <w:tcW w:w="463" w:type="pct"/>
                  <w:noWrap w:val="0"/>
                  <w:vAlign w:val="center"/>
                </w:tcPr>
                <w:p w14:paraId="29D85472">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c>
                <w:tcPr>
                  <w:tcW w:w="418" w:type="pct"/>
                  <w:noWrap w:val="0"/>
                  <w:vAlign w:val="center"/>
                </w:tcPr>
                <w:p w14:paraId="1A3ED851">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1B94A7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noWrap w:val="0"/>
                  <w:vAlign w:val="center"/>
                </w:tcPr>
                <w:p w14:paraId="444226CA">
                  <w:pPr>
                    <w:pStyle w:val="4"/>
                    <w:keepNext/>
                    <w:keepLines/>
                    <w:pageBreakBefore w:val="0"/>
                    <w:numPr>
                      <w:ilvl w:val="2"/>
                      <w:numId w:val="0"/>
                    </w:numPr>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3</w:t>
                  </w:r>
                </w:p>
              </w:tc>
              <w:tc>
                <w:tcPr>
                  <w:tcW w:w="529" w:type="pct"/>
                  <w:noWrap w:val="0"/>
                  <w:vAlign w:val="center"/>
                </w:tcPr>
                <w:p w14:paraId="67048888">
                  <w:pPr>
                    <w:keepNext w:val="0"/>
                    <w:keepLines w:val="0"/>
                    <w:pageBreakBefore w:val="0"/>
                    <w:widowControl/>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bidi="ar"/>
                    </w:rPr>
                    <w:t>西</w:t>
                  </w:r>
                  <w:r>
                    <w:rPr>
                      <w:rFonts w:hint="default" w:ascii="Times New Roman" w:hAnsi="Times New Roman" w:eastAsia="宋体" w:cs="Times New Roman"/>
                      <w:color w:val="auto"/>
                      <w:sz w:val="21"/>
                      <w:szCs w:val="21"/>
                      <w:highlight w:val="none"/>
                    </w:rPr>
                    <w:t>厂界</w:t>
                  </w:r>
                </w:p>
              </w:tc>
              <w:tc>
                <w:tcPr>
                  <w:tcW w:w="426" w:type="pct"/>
                  <w:noWrap w:val="0"/>
                  <w:vAlign w:val="center"/>
                </w:tcPr>
                <w:p w14:paraId="069A4E97">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55" w:type="pct"/>
                  <w:noWrap w:val="0"/>
                  <w:vAlign w:val="center"/>
                </w:tcPr>
                <w:p w14:paraId="13DD6894">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41" w:type="pct"/>
                  <w:noWrap w:val="0"/>
                  <w:vAlign w:val="center"/>
                </w:tcPr>
                <w:p w14:paraId="13C539F2">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52.02</w:t>
                  </w:r>
                </w:p>
              </w:tc>
              <w:tc>
                <w:tcPr>
                  <w:tcW w:w="424" w:type="pct"/>
                  <w:noWrap w:val="0"/>
                  <w:vAlign w:val="center"/>
                </w:tcPr>
                <w:p w14:paraId="6A846E2E">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52.02</w:t>
                  </w:r>
                </w:p>
              </w:tc>
              <w:tc>
                <w:tcPr>
                  <w:tcW w:w="738" w:type="dxa"/>
                  <w:noWrap w:val="0"/>
                  <w:vAlign w:val="center"/>
                </w:tcPr>
                <w:p w14:paraId="112F08C4">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sz w:val="21"/>
                      <w:szCs w:val="21"/>
                      <w:highlight w:val="green"/>
                    </w:rPr>
                    <w:t>52.02</w:t>
                  </w:r>
                </w:p>
              </w:tc>
              <w:tc>
                <w:tcPr>
                  <w:tcW w:w="725" w:type="dxa"/>
                  <w:noWrap w:val="0"/>
                  <w:vAlign w:val="center"/>
                </w:tcPr>
                <w:p w14:paraId="758F8635">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sz w:val="21"/>
                      <w:szCs w:val="21"/>
                      <w:highlight w:val="green"/>
                    </w:rPr>
                    <w:t>52.02</w:t>
                  </w:r>
                </w:p>
              </w:tc>
              <w:tc>
                <w:tcPr>
                  <w:tcW w:w="350" w:type="pct"/>
                  <w:shd w:val="clear" w:color="auto" w:fill="auto"/>
                  <w:noWrap w:val="0"/>
                  <w:vAlign w:val="center"/>
                </w:tcPr>
                <w:p w14:paraId="2637205E">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6</w:t>
                  </w:r>
                  <w:r>
                    <w:rPr>
                      <w:rFonts w:hint="default" w:ascii="Times New Roman" w:hAnsi="Times New Roman" w:eastAsia="宋体" w:cs="Times New Roman"/>
                      <w:color w:val="auto"/>
                      <w:sz w:val="21"/>
                      <w:szCs w:val="21"/>
                      <w:highlight w:val="none"/>
                      <w:lang w:val="en-US" w:eastAsia="zh-CN"/>
                    </w:rPr>
                    <w:t>5</w:t>
                  </w:r>
                </w:p>
              </w:tc>
              <w:tc>
                <w:tcPr>
                  <w:tcW w:w="328" w:type="pct"/>
                  <w:shd w:val="clear" w:color="auto" w:fill="auto"/>
                  <w:noWrap w:val="0"/>
                  <w:vAlign w:val="center"/>
                </w:tcPr>
                <w:p w14:paraId="64542A8B">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55</w:t>
                  </w:r>
                </w:p>
              </w:tc>
              <w:tc>
                <w:tcPr>
                  <w:tcW w:w="463" w:type="pct"/>
                  <w:noWrap w:val="0"/>
                  <w:vAlign w:val="center"/>
                </w:tcPr>
                <w:p w14:paraId="75BDE46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c>
                <w:tcPr>
                  <w:tcW w:w="418" w:type="pct"/>
                  <w:noWrap w:val="0"/>
                  <w:vAlign w:val="center"/>
                </w:tcPr>
                <w:p w14:paraId="4B584C45">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r w14:paraId="42DD65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286" w:type="pct"/>
                  <w:noWrap w:val="0"/>
                  <w:vAlign w:val="center"/>
                </w:tcPr>
                <w:p w14:paraId="32046FCD">
                  <w:pPr>
                    <w:pStyle w:val="4"/>
                    <w:keepNext/>
                    <w:keepLines/>
                    <w:pageBreakBefore w:val="0"/>
                    <w:numPr>
                      <w:ilvl w:val="2"/>
                      <w:numId w:val="0"/>
                    </w:numPr>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b w:val="0"/>
                      <w:color w:val="auto"/>
                      <w:sz w:val="21"/>
                      <w:szCs w:val="21"/>
                      <w:highlight w:val="none"/>
                    </w:rPr>
                    <w:t>4</w:t>
                  </w:r>
                </w:p>
              </w:tc>
              <w:tc>
                <w:tcPr>
                  <w:tcW w:w="529" w:type="pct"/>
                  <w:noWrap w:val="0"/>
                  <w:vAlign w:val="center"/>
                </w:tcPr>
                <w:p w14:paraId="261D9AC9">
                  <w:pPr>
                    <w:keepNext w:val="0"/>
                    <w:keepLines w:val="0"/>
                    <w:pageBreakBefore w:val="0"/>
                    <w:widowControl/>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bidi="ar"/>
                    </w:rPr>
                    <w:t>北</w:t>
                  </w:r>
                  <w:r>
                    <w:rPr>
                      <w:rFonts w:hint="default" w:ascii="Times New Roman" w:hAnsi="Times New Roman" w:eastAsia="宋体" w:cs="Times New Roman"/>
                      <w:color w:val="auto"/>
                      <w:sz w:val="21"/>
                      <w:szCs w:val="21"/>
                      <w:highlight w:val="none"/>
                    </w:rPr>
                    <w:t>厂界</w:t>
                  </w:r>
                </w:p>
              </w:tc>
              <w:tc>
                <w:tcPr>
                  <w:tcW w:w="426" w:type="pct"/>
                  <w:noWrap w:val="0"/>
                  <w:vAlign w:val="center"/>
                </w:tcPr>
                <w:p w14:paraId="3CFF72DD">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55" w:type="pct"/>
                  <w:noWrap w:val="0"/>
                  <w:vAlign w:val="center"/>
                </w:tcPr>
                <w:p w14:paraId="5815EBE8">
                  <w:pPr>
                    <w:keepNext w:val="0"/>
                    <w:keepLines w:val="0"/>
                    <w:pageBreakBefore w:val="0"/>
                    <w:widowControl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FF0000"/>
                      <w:sz w:val="21"/>
                      <w:szCs w:val="21"/>
                      <w:highlight w:val="none"/>
                      <w:lang w:val="en-US" w:eastAsia="zh-CN"/>
                    </w:rPr>
                  </w:pPr>
                  <w:r>
                    <w:rPr>
                      <w:rFonts w:hint="eastAsia" w:cs="Times New Roman"/>
                      <w:color w:val="FF0000"/>
                      <w:sz w:val="21"/>
                      <w:szCs w:val="21"/>
                      <w:highlight w:val="none"/>
                      <w:lang w:val="en-US" w:eastAsia="zh-CN"/>
                    </w:rPr>
                    <w:t>/</w:t>
                  </w:r>
                </w:p>
              </w:tc>
              <w:tc>
                <w:tcPr>
                  <w:tcW w:w="441" w:type="pct"/>
                  <w:noWrap w:val="0"/>
                  <w:vAlign w:val="center"/>
                </w:tcPr>
                <w:p w14:paraId="14D23333">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54.12</w:t>
                  </w:r>
                </w:p>
              </w:tc>
              <w:tc>
                <w:tcPr>
                  <w:tcW w:w="424" w:type="pct"/>
                  <w:noWrap w:val="0"/>
                  <w:vAlign w:val="center"/>
                </w:tcPr>
                <w:p w14:paraId="5A0C2DB8">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54.12</w:t>
                  </w:r>
                </w:p>
              </w:tc>
              <w:tc>
                <w:tcPr>
                  <w:tcW w:w="738" w:type="dxa"/>
                  <w:noWrap w:val="0"/>
                  <w:vAlign w:val="center"/>
                </w:tcPr>
                <w:p w14:paraId="6337C557">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sz w:val="21"/>
                      <w:szCs w:val="21"/>
                      <w:highlight w:val="green"/>
                    </w:rPr>
                    <w:t>54.12</w:t>
                  </w:r>
                </w:p>
              </w:tc>
              <w:tc>
                <w:tcPr>
                  <w:tcW w:w="725" w:type="dxa"/>
                  <w:noWrap w:val="0"/>
                  <w:vAlign w:val="center"/>
                </w:tcPr>
                <w:p w14:paraId="6496ECCE">
                  <w:pPr>
                    <w:keepNext w:val="0"/>
                    <w:keepLines w:val="0"/>
                    <w:suppressLineNumbers w:val="0"/>
                    <w:autoSpaceDE w:val="0"/>
                    <w:autoSpaceDN w:val="0"/>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lang w:eastAsia="zh-CN"/>
                    </w:rPr>
                  </w:pPr>
                  <w:r>
                    <w:rPr>
                      <w:rFonts w:hint="eastAsia" w:cs="Times New Roman"/>
                      <w:sz w:val="21"/>
                      <w:szCs w:val="21"/>
                      <w:highlight w:val="green"/>
                    </w:rPr>
                    <w:t>54.12</w:t>
                  </w:r>
                </w:p>
              </w:tc>
              <w:tc>
                <w:tcPr>
                  <w:tcW w:w="350" w:type="pct"/>
                  <w:shd w:val="clear" w:color="auto" w:fill="auto"/>
                  <w:noWrap w:val="0"/>
                  <w:vAlign w:val="center"/>
                </w:tcPr>
                <w:p w14:paraId="10F2569A">
                  <w:pPr>
                    <w:keepNext w:val="0"/>
                    <w:keepLines w:val="0"/>
                    <w:pageBreakBefore w:val="0"/>
                    <w:suppressLineNumbers w:val="0"/>
                    <w:kinsoku/>
                    <w:wordWrap/>
                    <w:overflowPunct/>
                    <w:topLinePunct w:val="0"/>
                    <w:autoSpaceDE w:val="0"/>
                    <w:autoSpaceDN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6</w:t>
                  </w:r>
                  <w:r>
                    <w:rPr>
                      <w:rFonts w:hint="default" w:ascii="Times New Roman" w:hAnsi="Times New Roman" w:eastAsia="宋体" w:cs="Times New Roman"/>
                      <w:color w:val="auto"/>
                      <w:sz w:val="21"/>
                      <w:szCs w:val="21"/>
                      <w:highlight w:val="none"/>
                      <w:lang w:val="en-US" w:eastAsia="zh-CN"/>
                    </w:rPr>
                    <w:t>5</w:t>
                  </w:r>
                </w:p>
              </w:tc>
              <w:tc>
                <w:tcPr>
                  <w:tcW w:w="328" w:type="pct"/>
                  <w:shd w:val="clear" w:color="auto" w:fill="auto"/>
                  <w:noWrap w:val="0"/>
                  <w:vAlign w:val="center"/>
                </w:tcPr>
                <w:p w14:paraId="0D641AB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55</w:t>
                  </w:r>
                </w:p>
              </w:tc>
              <w:tc>
                <w:tcPr>
                  <w:tcW w:w="463" w:type="pct"/>
                  <w:noWrap w:val="0"/>
                  <w:vAlign w:val="center"/>
                </w:tcPr>
                <w:p w14:paraId="670B31FC">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c>
                <w:tcPr>
                  <w:tcW w:w="418" w:type="pct"/>
                  <w:noWrap w:val="0"/>
                  <w:vAlign w:val="center"/>
                </w:tcPr>
                <w:p w14:paraId="67D0E756">
                  <w:pPr>
                    <w:keepNext w:val="0"/>
                    <w:keepLines w:val="0"/>
                    <w:pageBreakBefore w:val="0"/>
                    <w:suppressLineNumbers w:val="0"/>
                    <w:kinsoku/>
                    <w:wordWrap/>
                    <w:overflowPunct/>
                    <w:topLinePunct w:val="0"/>
                    <w:bidi w:val="0"/>
                    <w:adjustRightInd/>
                    <w:snapToGrid/>
                    <w:spacing w:before="0" w:beforeAutospacing="0" w:after="0" w:afterAutospacing="0" w:line="240" w:lineRule="auto"/>
                    <w:ind w:left="0" w:right="0"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达标</w:t>
                  </w:r>
                </w:p>
              </w:tc>
            </w:tr>
          </w:tbl>
          <w:p w14:paraId="4F75991B">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根据以上计算可知，本项目产生噪声经距离等衰减后，昼间</w:t>
            </w:r>
            <w:r>
              <w:rPr>
                <w:rFonts w:hint="eastAsia"/>
                <w:color w:val="auto"/>
                <w:highlight w:val="none"/>
              </w:rPr>
              <w:t>、夜间</w:t>
            </w:r>
            <w:r>
              <w:rPr>
                <w:rFonts w:hint="default"/>
                <w:color w:val="auto"/>
                <w:highlight w:val="none"/>
              </w:rPr>
              <w:t>对厂界四周噪声影响贡献值在</w:t>
            </w:r>
            <w:r>
              <w:rPr>
                <w:rFonts w:hint="eastAsia" w:ascii="Times New Roman" w:hAnsi="Times New Roman" w:eastAsia="宋体" w:cs="Times New Roman"/>
                <w:bCs w:val="0"/>
                <w:color w:val="FF0000"/>
                <w:kern w:val="2"/>
                <w:sz w:val="24"/>
                <w:szCs w:val="24"/>
                <w:highlight w:val="green"/>
                <w:lang w:val="en-US" w:eastAsia="zh-CN" w:bidi="ar-SA"/>
              </w:rPr>
              <w:t>48.2</w:t>
            </w:r>
            <w:r>
              <w:rPr>
                <w:rFonts w:hint="eastAsia" w:cs="Times New Roman"/>
                <w:bCs w:val="0"/>
                <w:color w:val="FF0000"/>
                <w:kern w:val="2"/>
                <w:sz w:val="24"/>
                <w:szCs w:val="24"/>
                <w:highlight w:val="green"/>
                <w:lang w:val="en-US" w:eastAsia="zh-CN" w:bidi="ar-SA"/>
              </w:rPr>
              <w:t>8</w:t>
            </w:r>
            <w:r>
              <w:rPr>
                <w:rFonts w:hint="default" w:ascii="Times New Roman" w:hAnsi="Times New Roman" w:eastAsia="宋体" w:cs="Times New Roman"/>
                <w:bCs w:val="0"/>
                <w:color w:val="FF0000"/>
                <w:kern w:val="2"/>
                <w:sz w:val="24"/>
                <w:szCs w:val="24"/>
                <w:highlight w:val="green"/>
                <w:lang w:val="en-US" w:eastAsia="zh-CN" w:bidi="ar-SA"/>
              </w:rPr>
              <w:t>～</w:t>
            </w:r>
            <w:r>
              <w:rPr>
                <w:rFonts w:hint="eastAsia" w:ascii="Times New Roman" w:hAnsi="Times New Roman" w:eastAsia="宋体" w:cs="Times New Roman"/>
                <w:bCs w:val="0"/>
                <w:color w:val="FF0000"/>
                <w:kern w:val="2"/>
                <w:sz w:val="24"/>
                <w:szCs w:val="24"/>
                <w:highlight w:val="green"/>
                <w:lang w:val="en-US" w:eastAsia="zh-CN" w:bidi="ar-SA"/>
              </w:rPr>
              <w:t>5</w:t>
            </w:r>
            <w:r>
              <w:rPr>
                <w:rFonts w:hint="eastAsia" w:cs="Times New Roman"/>
                <w:bCs w:val="0"/>
                <w:color w:val="FF0000"/>
                <w:kern w:val="2"/>
                <w:sz w:val="24"/>
                <w:szCs w:val="24"/>
                <w:highlight w:val="green"/>
                <w:lang w:val="en-US" w:eastAsia="zh-CN" w:bidi="ar-SA"/>
              </w:rPr>
              <w:t>4.12</w:t>
            </w:r>
            <w:r>
              <w:rPr>
                <w:rFonts w:hint="default" w:ascii="Times New Roman" w:hAnsi="Times New Roman" w:eastAsia="宋体" w:cs="Times New Roman"/>
                <w:bCs w:val="0"/>
                <w:color w:val="FF0000"/>
                <w:kern w:val="2"/>
                <w:sz w:val="24"/>
                <w:szCs w:val="24"/>
                <w:highlight w:val="green"/>
                <w:lang w:val="en-US" w:eastAsia="zh-CN" w:bidi="ar-SA"/>
              </w:rPr>
              <w:t>dB(A）</w:t>
            </w:r>
            <w:r>
              <w:rPr>
                <w:rFonts w:hint="default"/>
                <w:color w:val="auto"/>
                <w:highlight w:val="none"/>
              </w:rPr>
              <w:t>之间，满足《工业企业厂界环境噪声排放标准》（GB12348-2008）中3类标准要求，</w:t>
            </w:r>
            <w:r>
              <w:rPr>
                <w:rFonts w:hint="eastAsia"/>
                <w:color w:val="auto"/>
                <w:highlight w:val="none"/>
              </w:rPr>
              <w:t>综上所述，本项目运营期产生的噪声主要来自机械设备，通过上述隔声、减振及距离衰减后能够做到厂界达标，对项目周围声环境无明显影响。</w:t>
            </w:r>
          </w:p>
          <w:p w14:paraId="24C3A865">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4、噪声污染防治措施</w:t>
            </w:r>
          </w:p>
          <w:p w14:paraId="0338B89E">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为使本项目对周边声环境影响降到最低，本环评要求建设单位对该项目的噪声源采取隔声降噪措施。具体措施如下：</w:t>
            </w:r>
          </w:p>
          <w:p w14:paraId="60170B67">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在主要噪声设备底座安装减震装置或减震垫；</w:t>
            </w:r>
          </w:p>
          <w:p w14:paraId="481CD0A4">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生产过程加强设备的日常维修与更新；</w:t>
            </w:r>
          </w:p>
          <w:p w14:paraId="47E79545">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加强管理，对产生噪声的设备加强维护和维修工作，禁止高噪声设备夜间运行噪声扰民进一步降低噪声影响。</w:t>
            </w:r>
          </w:p>
          <w:p w14:paraId="43182224">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工作人员佩戴防护用品，如耳塞、耳罩、头盔等，减少噪声的伤害。</w:t>
            </w:r>
          </w:p>
          <w:p w14:paraId="6174CDE1">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从总体上来说企业在切实落实本评价所提各项措施，可以认为本项目产生噪声对外环境影响较小。</w:t>
            </w:r>
          </w:p>
          <w:p w14:paraId="79E97553">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5、噪声监测计划</w:t>
            </w:r>
          </w:p>
          <w:p w14:paraId="3759E997">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根据本项目工程特点，并结合《排污许可证申请与核发技术规范总则》（HJ942-2018）、《排污许可证申请与核发技术规范废弃资源加工工业》（HJ1034）和《排污单位自行监测技术指南砖瓦工业》（HJ1254-2022）的相关规定，</w:t>
            </w:r>
            <w:r>
              <w:rPr>
                <w:rFonts w:hint="default"/>
                <w:color w:val="auto"/>
                <w:highlight w:val="none"/>
              </w:rPr>
              <w:t>噪声监测计划详见</w:t>
            </w:r>
            <w:r>
              <w:rPr>
                <w:rFonts w:hint="eastAsia"/>
                <w:color w:val="auto"/>
                <w:highlight w:val="none"/>
              </w:rPr>
              <w:t>下</w:t>
            </w:r>
            <w:r>
              <w:rPr>
                <w:rFonts w:hint="default"/>
                <w:color w:val="auto"/>
                <w:highlight w:val="none"/>
              </w:rPr>
              <w:t>表。</w:t>
            </w:r>
          </w:p>
          <w:p w14:paraId="046E83F7">
            <w:pPr>
              <w:pStyle w:val="12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噪声监测计划一览表</w:t>
            </w:r>
          </w:p>
          <w:tbl>
            <w:tblPr>
              <w:tblStyle w:val="25"/>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317"/>
              <w:gridCol w:w="1714"/>
              <w:gridCol w:w="4107"/>
            </w:tblGrid>
            <w:tr w14:paraId="2D21BA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noWrap w:val="0"/>
                  <w:vAlign w:val="center"/>
                </w:tcPr>
                <w:p w14:paraId="6EF17680">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监测点位</w:t>
                  </w:r>
                </w:p>
              </w:tc>
              <w:tc>
                <w:tcPr>
                  <w:tcW w:w="788" w:type="pct"/>
                  <w:noWrap w:val="0"/>
                  <w:vAlign w:val="center"/>
                </w:tcPr>
                <w:p w14:paraId="6EDBD692">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监测指标</w:t>
                  </w:r>
                </w:p>
              </w:tc>
              <w:tc>
                <w:tcPr>
                  <w:tcW w:w="1025" w:type="pct"/>
                  <w:noWrap w:val="0"/>
                  <w:vAlign w:val="center"/>
                </w:tcPr>
                <w:p w14:paraId="2144F485">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监测频次</w:t>
                  </w:r>
                </w:p>
              </w:tc>
              <w:tc>
                <w:tcPr>
                  <w:tcW w:w="2456" w:type="pct"/>
                  <w:noWrap w:val="0"/>
                  <w:vAlign w:val="center"/>
                </w:tcPr>
                <w:p w14:paraId="79421BD0">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执行排放标准</w:t>
                  </w:r>
                </w:p>
              </w:tc>
            </w:tr>
            <w:tr w14:paraId="35AD6E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1" w:type="pct"/>
                  <w:noWrap w:val="0"/>
                  <w:vAlign w:val="center"/>
                </w:tcPr>
                <w:p w14:paraId="77C63D27">
                  <w:pPr>
                    <w:pStyle w:val="78"/>
                    <w:keepNext w:val="0"/>
                    <w:keepLines w:val="0"/>
                    <w:suppressLineNumbers w:val="0"/>
                    <w:bidi w:val="0"/>
                    <w:spacing w:beforeAutospacing="0" w:afterAutospacing="0"/>
                    <w:ind w:left="0" w:right="0"/>
                    <w:rPr>
                      <w:rFonts w:hint="default"/>
                      <w:color w:val="auto"/>
                      <w:highlight w:val="none"/>
                    </w:rPr>
                  </w:pPr>
                  <w:r>
                    <w:rPr>
                      <w:rFonts w:hint="default"/>
                      <w:color w:val="FF0000"/>
                      <w:highlight w:val="none"/>
                    </w:rPr>
                    <w:t>厂界</w:t>
                  </w:r>
                  <w:r>
                    <w:rPr>
                      <w:rFonts w:hint="eastAsia"/>
                      <w:color w:val="FF0000"/>
                      <w:highlight w:val="none"/>
                      <w:lang w:eastAsia="zh-CN"/>
                    </w:rPr>
                    <w:t>东南西北</w:t>
                  </w:r>
                  <w:r>
                    <w:rPr>
                      <w:rFonts w:hint="default"/>
                      <w:color w:val="FF0000"/>
                      <w:highlight w:val="none"/>
                    </w:rPr>
                    <w:t>外</w:t>
                  </w:r>
                  <w:r>
                    <w:rPr>
                      <w:rFonts w:hint="default"/>
                      <w:color w:val="auto"/>
                      <w:highlight w:val="none"/>
                    </w:rPr>
                    <w:t>1m</w:t>
                  </w:r>
                </w:p>
              </w:tc>
              <w:tc>
                <w:tcPr>
                  <w:tcW w:w="788" w:type="pct"/>
                  <w:noWrap w:val="0"/>
                  <w:vAlign w:val="center"/>
                </w:tcPr>
                <w:p w14:paraId="33BD0D9E">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等效连续A声级（L</w:t>
                  </w:r>
                  <w:r>
                    <w:rPr>
                      <w:rFonts w:hint="default"/>
                      <w:color w:val="auto"/>
                      <w:highlight w:val="none"/>
                      <w:vertAlign w:val="subscript"/>
                    </w:rPr>
                    <w:t>eq</w:t>
                  </w:r>
                  <w:r>
                    <w:rPr>
                      <w:rFonts w:hint="default"/>
                      <w:color w:val="auto"/>
                      <w:highlight w:val="none"/>
                    </w:rPr>
                    <w:t>）</w:t>
                  </w:r>
                </w:p>
              </w:tc>
              <w:tc>
                <w:tcPr>
                  <w:tcW w:w="1025" w:type="pct"/>
                  <w:noWrap w:val="0"/>
                  <w:vAlign w:val="center"/>
                </w:tcPr>
                <w:p w14:paraId="68AF88BD">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1次/季（昼</w:t>
                  </w:r>
                  <w:r>
                    <w:rPr>
                      <w:rFonts w:hint="eastAsia"/>
                      <w:color w:val="auto"/>
                      <w:highlight w:val="none"/>
                    </w:rPr>
                    <w:t>夜</w:t>
                  </w:r>
                  <w:r>
                    <w:rPr>
                      <w:rFonts w:hint="eastAsia"/>
                      <w:color w:val="auto"/>
                      <w:highlight w:val="none"/>
                      <w:lang w:eastAsia="zh-CN"/>
                    </w:rPr>
                    <w:t>各</w:t>
                  </w:r>
                  <w:r>
                    <w:rPr>
                      <w:rFonts w:hint="default"/>
                      <w:color w:val="auto"/>
                      <w:highlight w:val="none"/>
                    </w:rPr>
                    <w:t>1次）</w:t>
                  </w:r>
                </w:p>
              </w:tc>
              <w:tc>
                <w:tcPr>
                  <w:tcW w:w="2456" w:type="pct"/>
                  <w:noWrap w:val="0"/>
                  <w:vAlign w:val="center"/>
                </w:tcPr>
                <w:p w14:paraId="75AE9B0B">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执行《工业企业厂界环境噪声排放标准》（GB12348-2008）3类标准</w:t>
                  </w:r>
                </w:p>
              </w:tc>
            </w:tr>
          </w:tbl>
          <w:p w14:paraId="7C9F4D53">
            <w:pPr>
              <w:pStyle w:val="86"/>
              <w:keepNext w:val="0"/>
              <w:keepLines w:val="0"/>
              <w:suppressLineNumbers w:val="0"/>
              <w:spacing w:before="0" w:beforeAutospacing="0" w:after="0" w:afterAutospacing="0"/>
              <w:ind w:left="0" w:right="0" w:firstLine="600"/>
              <w:rPr>
                <w:rFonts w:hint="default"/>
                <w:color w:val="auto"/>
                <w:sz w:val="30"/>
                <w:szCs w:val="30"/>
                <w:highlight w:val="none"/>
              </w:rPr>
            </w:pPr>
          </w:p>
        </w:tc>
      </w:tr>
    </w:tbl>
    <w:p w14:paraId="16D82C5D">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8"/>
        <w:gridCol w:w="13436"/>
      </w:tblGrid>
      <w:tr w14:paraId="563D6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0" w:hRule="atLeast"/>
          <w:jc w:val="center"/>
        </w:trPr>
        <w:tc>
          <w:tcPr>
            <w:tcW w:w="738" w:type="dxa"/>
            <w:noWrap w:val="0"/>
            <w:vAlign w:val="center"/>
          </w:tcPr>
          <w:p w14:paraId="304A0E65">
            <w:pPr>
              <w:pStyle w:val="77"/>
              <w:keepNext w:val="0"/>
              <w:keepLines w:val="0"/>
              <w:suppressLineNumbers w:val="0"/>
              <w:bidi w:val="0"/>
              <w:spacing w:before="0" w:beforeAutospacing="0" w:after="0" w:afterAutospacing="0"/>
              <w:ind w:left="0" w:right="0"/>
              <w:rPr>
                <w:rFonts w:hint="default"/>
                <w:color w:val="auto"/>
                <w:szCs w:val="24"/>
                <w:highlight w:val="none"/>
              </w:rPr>
            </w:pPr>
            <w:r>
              <w:rPr>
                <w:rFonts w:hint="default"/>
                <w:color w:val="auto"/>
                <w:highlight w:val="none"/>
              </w:rPr>
              <w:t>运营期环境影响和保护措施</w:t>
            </w:r>
          </w:p>
        </w:tc>
        <w:tc>
          <w:tcPr>
            <w:tcW w:w="13436" w:type="dxa"/>
            <w:noWrap w:val="0"/>
            <w:vAlign w:val="top"/>
          </w:tcPr>
          <w:p w14:paraId="56235BBE">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四</w:t>
            </w:r>
            <w:r>
              <w:rPr>
                <w:rFonts w:hint="default"/>
                <w:b/>
                <w:bCs w:val="0"/>
                <w:color w:val="auto"/>
                <w:highlight w:val="none"/>
              </w:rPr>
              <w:t>、固体废物</w:t>
            </w:r>
          </w:p>
          <w:p w14:paraId="14FFE640">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1、固体废弃物产生情况</w:t>
            </w:r>
          </w:p>
          <w:p w14:paraId="2B4E7B8D">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本项目运营期间产生的固体废物有生活垃圾、废包装材料</w:t>
            </w:r>
            <w:r>
              <w:rPr>
                <w:rFonts w:hint="eastAsia"/>
                <w:color w:val="auto"/>
                <w:highlight w:val="none"/>
                <w:lang w:eastAsia="zh-CN"/>
              </w:rPr>
              <w:t>、</w:t>
            </w:r>
            <w:r>
              <w:rPr>
                <w:rFonts w:hint="eastAsia"/>
                <w:color w:val="auto"/>
                <w:highlight w:val="none"/>
              </w:rPr>
              <w:t>废布袋、</w:t>
            </w:r>
            <w:r>
              <w:rPr>
                <w:rFonts w:hint="eastAsia"/>
                <w:color w:val="auto"/>
                <w:highlight w:val="none"/>
                <w:lang w:val="en-US" w:eastAsia="zh-CN"/>
              </w:rPr>
              <w:t>收集的粉尘、不合格品、沉淀池沉渣、</w:t>
            </w:r>
            <w:r>
              <w:rPr>
                <w:rFonts w:hint="default"/>
                <w:color w:val="auto"/>
                <w:highlight w:val="none"/>
              </w:rPr>
              <w:t>废</w:t>
            </w:r>
            <w:r>
              <w:rPr>
                <w:rFonts w:hint="eastAsia"/>
                <w:color w:val="auto"/>
                <w:highlight w:val="none"/>
                <w:lang w:eastAsia="zh-CN"/>
              </w:rPr>
              <w:t>机</w:t>
            </w:r>
            <w:r>
              <w:rPr>
                <w:rFonts w:hint="default"/>
                <w:color w:val="auto"/>
                <w:highlight w:val="none"/>
              </w:rPr>
              <w:t>油、废</w:t>
            </w:r>
            <w:r>
              <w:rPr>
                <w:rFonts w:hint="eastAsia"/>
                <w:color w:val="auto"/>
                <w:highlight w:val="none"/>
                <w:lang w:val="en-US" w:eastAsia="zh-CN"/>
              </w:rPr>
              <w:t>机</w:t>
            </w:r>
            <w:r>
              <w:rPr>
                <w:rFonts w:hint="default"/>
                <w:color w:val="auto"/>
                <w:highlight w:val="none"/>
              </w:rPr>
              <w:t>桶、</w:t>
            </w:r>
            <w:r>
              <w:rPr>
                <w:rFonts w:hint="eastAsia"/>
                <w:color w:val="auto"/>
                <w:highlight w:val="none"/>
              </w:rPr>
              <w:t>含油抹布</w:t>
            </w:r>
            <w:r>
              <w:rPr>
                <w:rFonts w:hint="eastAsia"/>
                <w:color w:val="auto"/>
                <w:highlight w:val="none"/>
                <w:lang w:eastAsia="zh-CN"/>
              </w:rPr>
              <w:t>及劳保用品</w:t>
            </w:r>
            <w:r>
              <w:rPr>
                <w:rFonts w:hint="eastAsia"/>
                <w:color w:val="auto"/>
                <w:highlight w:val="none"/>
              </w:rPr>
              <w:t>，</w:t>
            </w:r>
            <w:r>
              <w:rPr>
                <w:rFonts w:hint="default"/>
                <w:color w:val="auto"/>
                <w:highlight w:val="none"/>
              </w:rPr>
              <w:t>产生和处置情况见下表。</w:t>
            </w:r>
          </w:p>
          <w:p w14:paraId="4D16A75E">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项目固废产生与处置情况汇总表</w:t>
            </w:r>
          </w:p>
          <w:tbl>
            <w:tblPr>
              <w:tblStyle w:val="25"/>
              <w:tblW w:w="4995"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865"/>
              <w:gridCol w:w="2363"/>
              <w:gridCol w:w="1364"/>
              <w:gridCol w:w="1384"/>
              <w:gridCol w:w="1150"/>
              <w:gridCol w:w="1071"/>
              <w:gridCol w:w="1031"/>
              <w:gridCol w:w="1759"/>
              <w:gridCol w:w="1056"/>
              <w:gridCol w:w="1164"/>
            </w:tblGrid>
            <w:tr w14:paraId="49BBEA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blHeader/>
              </w:trPr>
              <w:tc>
                <w:tcPr>
                  <w:tcW w:w="331" w:type="pct"/>
                  <w:noWrap w:val="0"/>
                  <w:tcMar>
                    <w:top w:w="15" w:type="dxa"/>
                    <w:left w:w="15" w:type="dxa"/>
                    <w:right w:w="15" w:type="dxa"/>
                  </w:tcMar>
                  <w:vAlign w:val="center"/>
                </w:tcPr>
                <w:p w14:paraId="5BD455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固废产生环节</w:t>
                  </w:r>
                </w:p>
              </w:tc>
              <w:tc>
                <w:tcPr>
                  <w:tcW w:w="898" w:type="pct"/>
                  <w:noWrap w:val="0"/>
                  <w:tcMar>
                    <w:top w:w="15" w:type="dxa"/>
                    <w:left w:w="15" w:type="dxa"/>
                    <w:right w:w="15" w:type="dxa"/>
                  </w:tcMar>
                  <w:vAlign w:val="center"/>
                </w:tcPr>
                <w:p w14:paraId="2C5D11A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固废名称</w:t>
                  </w:r>
                </w:p>
              </w:tc>
              <w:tc>
                <w:tcPr>
                  <w:tcW w:w="520" w:type="pct"/>
                  <w:noWrap w:val="0"/>
                  <w:tcMar>
                    <w:top w:w="15" w:type="dxa"/>
                    <w:left w:w="15" w:type="dxa"/>
                    <w:right w:w="15" w:type="dxa"/>
                  </w:tcMar>
                  <w:vAlign w:val="center"/>
                </w:tcPr>
                <w:p w14:paraId="4A8966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固废属性</w:t>
                  </w:r>
                </w:p>
              </w:tc>
              <w:tc>
                <w:tcPr>
                  <w:tcW w:w="490" w:type="pct"/>
                  <w:noWrap w:val="0"/>
                  <w:tcMar>
                    <w:top w:w="15" w:type="dxa"/>
                    <w:left w:w="15" w:type="dxa"/>
                    <w:right w:w="15" w:type="dxa"/>
                  </w:tcMar>
                  <w:vAlign w:val="center"/>
                </w:tcPr>
                <w:p w14:paraId="553FC8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固废代码</w:t>
                  </w:r>
                </w:p>
              </w:tc>
              <w:tc>
                <w:tcPr>
                  <w:tcW w:w="439" w:type="pct"/>
                  <w:noWrap w:val="0"/>
                  <w:tcMar>
                    <w:top w:w="15" w:type="dxa"/>
                    <w:left w:w="15" w:type="dxa"/>
                    <w:right w:w="15" w:type="dxa"/>
                  </w:tcMar>
                  <w:vAlign w:val="center"/>
                </w:tcPr>
                <w:p w14:paraId="63DA704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物理性状</w:t>
                  </w:r>
                </w:p>
              </w:tc>
              <w:tc>
                <w:tcPr>
                  <w:tcW w:w="409" w:type="pct"/>
                  <w:noWrap w:val="0"/>
                  <w:tcMar>
                    <w:top w:w="15" w:type="dxa"/>
                    <w:left w:w="15" w:type="dxa"/>
                    <w:right w:w="15" w:type="dxa"/>
                  </w:tcMar>
                  <w:vAlign w:val="center"/>
                </w:tcPr>
                <w:p w14:paraId="58EDE2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项目产生量t/a</w:t>
                  </w:r>
                </w:p>
              </w:tc>
              <w:tc>
                <w:tcPr>
                  <w:tcW w:w="394" w:type="pct"/>
                  <w:noWrap w:val="0"/>
                  <w:tcMar>
                    <w:top w:w="15" w:type="dxa"/>
                    <w:left w:w="15" w:type="dxa"/>
                    <w:right w:w="15" w:type="dxa"/>
                  </w:tcMar>
                  <w:vAlign w:val="center"/>
                </w:tcPr>
                <w:p w14:paraId="051A39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贮存方式</w:t>
                  </w:r>
                </w:p>
              </w:tc>
              <w:tc>
                <w:tcPr>
                  <w:tcW w:w="669" w:type="pct"/>
                  <w:noWrap w:val="0"/>
                  <w:tcMar>
                    <w:top w:w="15" w:type="dxa"/>
                    <w:left w:w="15" w:type="dxa"/>
                    <w:right w:w="15" w:type="dxa"/>
                  </w:tcMar>
                  <w:vAlign w:val="center"/>
                </w:tcPr>
                <w:p w14:paraId="1F11F2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利用处置方式和去向</w:t>
                  </w:r>
                </w:p>
              </w:tc>
              <w:tc>
                <w:tcPr>
                  <w:tcW w:w="403" w:type="pct"/>
                  <w:noWrap w:val="0"/>
                  <w:tcMar>
                    <w:top w:w="15" w:type="dxa"/>
                    <w:left w:w="15" w:type="dxa"/>
                    <w:right w:w="15" w:type="dxa"/>
                  </w:tcMar>
                  <w:vAlign w:val="center"/>
                </w:tcPr>
                <w:p w14:paraId="1BDDE4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利用或处置量t/a</w:t>
                  </w:r>
                </w:p>
              </w:tc>
              <w:tc>
                <w:tcPr>
                  <w:tcW w:w="444" w:type="pct"/>
                  <w:noWrap w:val="0"/>
                  <w:tcMar>
                    <w:top w:w="15" w:type="dxa"/>
                    <w:left w:w="15" w:type="dxa"/>
                    <w:right w:w="15" w:type="dxa"/>
                  </w:tcMar>
                  <w:vAlign w:val="center"/>
                </w:tcPr>
                <w:p w14:paraId="2063BF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环境管理要求</w:t>
                  </w:r>
                </w:p>
              </w:tc>
            </w:tr>
            <w:tr w14:paraId="3A5F1FF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restart"/>
                  <w:noWrap w:val="0"/>
                  <w:tcMar>
                    <w:top w:w="15" w:type="dxa"/>
                    <w:left w:w="15" w:type="dxa"/>
                    <w:right w:w="15" w:type="dxa"/>
                  </w:tcMar>
                  <w:vAlign w:val="center"/>
                </w:tcPr>
                <w:p w14:paraId="68D97A1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default"/>
                      <w:color w:val="auto"/>
                      <w:highlight w:val="none"/>
                    </w:rPr>
                    <w:t>生产过程</w:t>
                  </w:r>
                </w:p>
              </w:tc>
              <w:tc>
                <w:tcPr>
                  <w:tcW w:w="898" w:type="pct"/>
                  <w:noWrap w:val="0"/>
                  <w:tcMar>
                    <w:top w:w="15" w:type="dxa"/>
                    <w:left w:w="15" w:type="dxa"/>
                    <w:right w:w="15" w:type="dxa"/>
                  </w:tcMar>
                  <w:vAlign w:val="center"/>
                </w:tcPr>
                <w:p w14:paraId="020D7D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废布袋</w:t>
                  </w:r>
                </w:p>
              </w:tc>
              <w:tc>
                <w:tcPr>
                  <w:tcW w:w="520" w:type="pct"/>
                  <w:vMerge w:val="restart"/>
                  <w:noWrap w:val="0"/>
                  <w:tcMar>
                    <w:top w:w="15" w:type="dxa"/>
                    <w:left w:w="15" w:type="dxa"/>
                    <w:right w:w="15" w:type="dxa"/>
                  </w:tcMar>
                  <w:vAlign w:val="center"/>
                </w:tcPr>
                <w:p w14:paraId="1EF0B6D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一般固废</w:t>
                  </w:r>
                </w:p>
              </w:tc>
              <w:tc>
                <w:tcPr>
                  <w:tcW w:w="490" w:type="pct"/>
                  <w:noWrap w:val="0"/>
                  <w:tcMar>
                    <w:top w:w="15" w:type="dxa"/>
                    <w:left w:w="15" w:type="dxa"/>
                    <w:right w:w="15" w:type="dxa"/>
                  </w:tcMar>
                  <w:vAlign w:val="center"/>
                </w:tcPr>
                <w:p w14:paraId="3A9A32B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900-009-S59</w:t>
                  </w:r>
                </w:p>
              </w:tc>
              <w:tc>
                <w:tcPr>
                  <w:tcW w:w="439" w:type="pct"/>
                  <w:noWrap w:val="0"/>
                  <w:tcMar>
                    <w:top w:w="15" w:type="dxa"/>
                    <w:left w:w="15" w:type="dxa"/>
                    <w:right w:w="15" w:type="dxa"/>
                  </w:tcMar>
                  <w:vAlign w:val="center"/>
                </w:tcPr>
                <w:p w14:paraId="1CDD51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固态</w:t>
                  </w:r>
                </w:p>
              </w:tc>
              <w:tc>
                <w:tcPr>
                  <w:tcW w:w="409" w:type="pct"/>
                  <w:noWrap w:val="0"/>
                  <w:tcMar>
                    <w:top w:w="15" w:type="dxa"/>
                    <w:left w:w="15" w:type="dxa"/>
                    <w:right w:w="15" w:type="dxa"/>
                  </w:tcMar>
                  <w:vAlign w:val="center"/>
                </w:tcPr>
                <w:p w14:paraId="27CE9C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0.1</w:t>
                  </w:r>
                </w:p>
              </w:tc>
              <w:tc>
                <w:tcPr>
                  <w:tcW w:w="394" w:type="pct"/>
                  <w:noWrap w:val="0"/>
                  <w:tcMar>
                    <w:top w:w="15" w:type="dxa"/>
                    <w:left w:w="15" w:type="dxa"/>
                    <w:right w:w="15" w:type="dxa"/>
                  </w:tcMar>
                  <w:vAlign w:val="center"/>
                </w:tcPr>
                <w:p w14:paraId="02481B5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袋装</w:t>
                  </w:r>
                </w:p>
              </w:tc>
              <w:tc>
                <w:tcPr>
                  <w:tcW w:w="669" w:type="pct"/>
                  <w:vMerge w:val="restart"/>
                  <w:noWrap w:val="0"/>
                  <w:tcMar>
                    <w:top w:w="15" w:type="dxa"/>
                    <w:left w:w="15" w:type="dxa"/>
                    <w:right w:w="15" w:type="dxa"/>
                  </w:tcMar>
                  <w:vAlign w:val="center"/>
                </w:tcPr>
                <w:p w14:paraId="3A0B92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外售综合利用</w:t>
                  </w:r>
                </w:p>
              </w:tc>
              <w:tc>
                <w:tcPr>
                  <w:tcW w:w="403" w:type="pct"/>
                  <w:noWrap w:val="0"/>
                  <w:tcMar>
                    <w:top w:w="15" w:type="dxa"/>
                    <w:left w:w="15" w:type="dxa"/>
                    <w:right w:w="15" w:type="dxa"/>
                  </w:tcMar>
                  <w:vAlign w:val="center"/>
                </w:tcPr>
                <w:p w14:paraId="2C1914F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rPr>
                  </w:pPr>
                  <w:r>
                    <w:rPr>
                      <w:rFonts w:hint="eastAsia"/>
                      <w:color w:val="auto"/>
                      <w:highlight w:val="none"/>
                      <w:lang w:val="en-US" w:eastAsia="zh-CN"/>
                    </w:rPr>
                    <w:t>0.1</w:t>
                  </w:r>
                </w:p>
              </w:tc>
              <w:tc>
                <w:tcPr>
                  <w:tcW w:w="444" w:type="pct"/>
                  <w:vMerge w:val="restart"/>
                  <w:noWrap w:val="0"/>
                  <w:tcMar>
                    <w:top w:w="15" w:type="dxa"/>
                    <w:left w:w="15" w:type="dxa"/>
                    <w:right w:w="15" w:type="dxa"/>
                  </w:tcMar>
                  <w:vAlign w:val="center"/>
                </w:tcPr>
                <w:p w14:paraId="6E332E1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建立环境管理台账制度</w:t>
                  </w:r>
                </w:p>
              </w:tc>
            </w:tr>
            <w:tr w14:paraId="4C29763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5A7D02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noWrap w:val="0"/>
                  <w:tcMar>
                    <w:top w:w="15" w:type="dxa"/>
                    <w:left w:w="15" w:type="dxa"/>
                    <w:right w:w="15" w:type="dxa"/>
                  </w:tcMar>
                  <w:vAlign w:val="center"/>
                </w:tcPr>
                <w:p w14:paraId="54254F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废包装材料</w:t>
                  </w:r>
                </w:p>
              </w:tc>
              <w:tc>
                <w:tcPr>
                  <w:tcW w:w="520" w:type="pct"/>
                  <w:vMerge w:val="continue"/>
                  <w:noWrap w:val="0"/>
                  <w:tcMar>
                    <w:top w:w="15" w:type="dxa"/>
                    <w:left w:w="15" w:type="dxa"/>
                    <w:right w:w="15" w:type="dxa"/>
                  </w:tcMar>
                  <w:vAlign w:val="center"/>
                </w:tcPr>
                <w:p w14:paraId="769AB4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90" w:type="pct"/>
                  <w:noWrap w:val="0"/>
                  <w:tcMar>
                    <w:top w:w="15" w:type="dxa"/>
                    <w:left w:w="15" w:type="dxa"/>
                    <w:right w:w="15" w:type="dxa"/>
                  </w:tcMar>
                  <w:vAlign w:val="center"/>
                </w:tcPr>
                <w:p w14:paraId="3EAF9C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900-003-S17</w:t>
                  </w:r>
                </w:p>
              </w:tc>
              <w:tc>
                <w:tcPr>
                  <w:tcW w:w="439" w:type="pct"/>
                  <w:noWrap w:val="0"/>
                  <w:tcMar>
                    <w:top w:w="15" w:type="dxa"/>
                    <w:left w:w="15" w:type="dxa"/>
                    <w:right w:w="15" w:type="dxa"/>
                  </w:tcMar>
                  <w:vAlign w:val="center"/>
                </w:tcPr>
                <w:p w14:paraId="117D67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固态</w:t>
                  </w:r>
                </w:p>
              </w:tc>
              <w:tc>
                <w:tcPr>
                  <w:tcW w:w="409" w:type="pct"/>
                  <w:noWrap w:val="0"/>
                  <w:tcMar>
                    <w:top w:w="15" w:type="dxa"/>
                    <w:left w:w="15" w:type="dxa"/>
                    <w:right w:w="15" w:type="dxa"/>
                  </w:tcMar>
                  <w:vAlign w:val="center"/>
                </w:tcPr>
                <w:p w14:paraId="4714209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0.5</w:t>
                  </w:r>
                </w:p>
              </w:tc>
              <w:tc>
                <w:tcPr>
                  <w:tcW w:w="394" w:type="pct"/>
                  <w:noWrap w:val="0"/>
                  <w:tcMar>
                    <w:top w:w="15" w:type="dxa"/>
                    <w:left w:w="15" w:type="dxa"/>
                    <w:right w:w="15" w:type="dxa"/>
                  </w:tcMar>
                  <w:vAlign w:val="center"/>
                </w:tcPr>
                <w:p w14:paraId="081A8B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袋装</w:t>
                  </w:r>
                </w:p>
              </w:tc>
              <w:tc>
                <w:tcPr>
                  <w:tcW w:w="669" w:type="pct"/>
                  <w:vMerge w:val="continue"/>
                  <w:noWrap w:val="0"/>
                  <w:tcMar>
                    <w:top w:w="15" w:type="dxa"/>
                    <w:left w:w="15" w:type="dxa"/>
                    <w:right w:w="15" w:type="dxa"/>
                  </w:tcMar>
                  <w:vAlign w:val="center"/>
                </w:tcPr>
                <w:p w14:paraId="58F359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03" w:type="pct"/>
                  <w:noWrap w:val="0"/>
                  <w:tcMar>
                    <w:top w:w="15" w:type="dxa"/>
                    <w:left w:w="15" w:type="dxa"/>
                    <w:right w:w="15" w:type="dxa"/>
                  </w:tcMar>
                  <w:vAlign w:val="center"/>
                </w:tcPr>
                <w:p w14:paraId="6BA34B6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0.5</w:t>
                  </w:r>
                </w:p>
              </w:tc>
              <w:tc>
                <w:tcPr>
                  <w:tcW w:w="444" w:type="pct"/>
                  <w:vMerge w:val="continue"/>
                  <w:noWrap w:val="0"/>
                  <w:tcMar>
                    <w:top w:w="15" w:type="dxa"/>
                    <w:left w:w="15" w:type="dxa"/>
                    <w:right w:w="15" w:type="dxa"/>
                  </w:tcMar>
                  <w:vAlign w:val="center"/>
                </w:tcPr>
                <w:p w14:paraId="289301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76B5393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5308006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shd w:val="clear" w:color="auto" w:fill="auto"/>
                  <w:noWrap w:val="0"/>
                  <w:tcMar>
                    <w:top w:w="15" w:type="dxa"/>
                    <w:left w:w="15" w:type="dxa"/>
                    <w:right w:w="15" w:type="dxa"/>
                  </w:tcMar>
                  <w:vAlign w:val="center"/>
                </w:tcPr>
                <w:p w14:paraId="6100AB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不合格品</w:t>
                  </w:r>
                </w:p>
              </w:tc>
              <w:tc>
                <w:tcPr>
                  <w:tcW w:w="520" w:type="pct"/>
                  <w:vMerge w:val="continue"/>
                  <w:shd w:val="clear" w:color="auto" w:fill="auto"/>
                  <w:noWrap w:val="0"/>
                  <w:tcMar>
                    <w:top w:w="15" w:type="dxa"/>
                    <w:left w:w="15" w:type="dxa"/>
                    <w:right w:w="15" w:type="dxa"/>
                  </w:tcMar>
                  <w:vAlign w:val="center"/>
                </w:tcPr>
                <w:p w14:paraId="793D99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p>
              </w:tc>
              <w:tc>
                <w:tcPr>
                  <w:tcW w:w="490" w:type="pct"/>
                  <w:shd w:val="clear" w:color="auto" w:fill="auto"/>
                  <w:noWrap w:val="0"/>
                  <w:tcMar>
                    <w:top w:w="15" w:type="dxa"/>
                    <w:left w:w="15" w:type="dxa"/>
                    <w:right w:w="15" w:type="dxa"/>
                  </w:tcMar>
                  <w:vAlign w:val="center"/>
                </w:tcPr>
                <w:p w14:paraId="408F53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rPr>
                    <w:t>900-0</w:t>
                  </w:r>
                  <w:r>
                    <w:rPr>
                      <w:rFonts w:hint="eastAsia"/>
                      <w:color w:val="auto"/>
                      <w:highlight w:val="none"/>
                      <w:lang w:val="en-US" w:eastAsia="zh-CN"/>
                    </w:rPr>
                    <w:t>10</w:t>
                  </w:r>
                  <w:r>
                    <w:rPr>
                      <w:rFonts w:hint="default"/>
                      <w:color w:val="auto"/>
                      <w:highlight w:val="none"/>
                    </w:rPr>
                    <w:t>-S17</w:t>
                  </w:r>
                </w:p>
              </w:tc>
              <w:tc>
                <w:tcPr>
                  <w:tcW w:w="439" w:type="pct"/>
                  <w:shd w:val="clear" w:color="auto" w:fill="auto"/>
                  <w:noWrap w:val="0"/>
                  <w:tcMar>
                    <w:top w:w="15" w:type="dxa"/>
                    <w:left w:w="15" w:type="dxa"/>
                    <w:right w:w="15" w:type="dxa"/>
                  </w:tcMar>
                  <w:vAlign w:val="center"/>
                </w:tcPr>
                <w:p w14:paraId="1F5F91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rPr>
                    <w:t>固态</w:t>
                  </w:r>
                </w:p>
              </w:tc>
              <w:tc>
                <w:tcPr>
                  <w:tcW w:w="409" w:type="pct"/>
                  <w:shd w:val="clear" w:color="auto" w:fill="auto"/>
                  <w:noWrap w:val="0"/>
                  <w:tcMar>
                    <w:top w:w="15" w:type="dxa"/>
                    <w:left w:w="15" w:type="dxa"/>
                    <w:right w:w="15" w:type="dxa"/>
                  </w:tcMar>
                  <w:vAlign w:val="center"/>
                </w:tcPr>
                <w:p w14:paraId="0498CC9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50</w:t>
                  </w:r>
                </w:p>
              </w:tc>
              <w:tc>
                <w:tcPr>
                  <w:tcW w:w="394" w:type="pct"/>
                  <w:shd w:val="clear" w:color="auto" w:fill="auto"/>
                  <w:noWrap w:val="0"/>
                  <w:tcMar>
                    <w:top w:w="15" w:type="dxa"/>
                    <w:left w:w="15" w:type="dxa"/>
                    <w:right w:w="15" w:type="dxa"/>
                  </w:tcMar>
                  <w:vAlign w:val="center"/>
                </w:tcPr>
                <w:p w14:paraId="0ACCD4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color w:val="auto"/>
                      <w:highlight w:val="none"/>
                    </w:rPr>
                    <w:t>袋装</w:t>
                  </w:r>
                </w:p>
              </w:tc>
              <w:tc>
                <w:tcPr>
                  <w:tcW w:w="669" w:type="pct"/>
                  <w:vMerge w:val="continue"/>
                  <w:noWrap w:val="0"/>
                  <w:tcMar>
                    <w:top w:w="15" w:type="dxa"/>
                    <w:left w:w="15" w:type="dxa"/>
                    <w:right w:w="15" w:type="dxa"/>
                  </w:tcMar>
                  <w:vAlign w:val="center"/>
                </w:tcPr>
                <w:p w14:paraId="4436B4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p>
              </w:tc>
              <w:tc>
                <w:tcPr>
                  <w:tcW w:w="403" w:type="pct"/>
                  <w:noWrap w:val="0"/>
                  <w:tcMar>
                    <w:top w:w="15" w:type="dxa"/>
                    <w:left w:w="15" w:type="dxa"/>
                    <w:right w:w="15" w:type="dxa"/>
                  </w:tcMar>
                  <w:vAlign w:val="center"/>
                </w:tcPr>
                <w:p w14:paraId="26D35DE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color w:val="auto"/>
                      <w:highlight w:val="none"/>
                      <w:lang w:val="en-US" w:eastAsia="zh-CN"/>
                    </w:rPr>
                    <w:t>50</w:t>
                  </w:r>
                </w:p>
              </w:tc>
              <w:tc>
                <w:tcPr>
                  <w:tcW w:w="444" w:type="pct"/>
                  <w:vMerge w:val="continue"/>
                  <w:noWrap w:val="0"/>
                  <w:tcMar>
                    <w:top w:w="15" w:type="dxa"/>
                    <w:left w:w="15" w:type="dxa"/>
                    <w:right w:w="15" w:type="dxa"/>
                  </w:tcMar>
                  <w:vAlign w:val="center"/>
                </w:tcPr>
                <w:p w14:paraId="5866CF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77AA40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7C7EF3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shd w:val="clear" w:color="auto" w:fill="auto"/>
                  <w:noWrap w:val="0"/>
                  <w:tcMar>
                    <w:top w:w="15" w:type="dxa"/>
                    <w:left w:w="15" w:type="dxa"/>
                    <w:right w:w="15" w:type="dxa"/>
                  </w:tcMar>
                  <w:vAlign w:val="center"/>
                </w:tcPr>
                <w:p w14:paraId="4AB0DE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b w:val="0"/>
                      <w:bCs w:val="0"/>
                      <w:color w:val="auto"/>
                      <w:kern w:val="2"/>
                      <w:sz w:val="21"/>
                      <w:szCs w:val="21"/>
                      <w:highlight w:val="none"/>
                      <w:lang w:val="en-US" w:eastAsia="zh-CN" w:bidi="ar-SA"/>
                    </w:rPr>
                  </w:pPr>
                  <w:r>
                    <w:rPr>
                      <w:rFonts w:hint="eastAsia"/>
                      <w:color w:val="auto"/>
                      <w:highlight w:val="none"/>
                      <w:lang w:val="en-US" w:eastAsia="zh-CN"/>
                    </w:rPr>
                    <w:t>收集粉尘</w:t>
                  </w:r>
                </w:p>
              </w:tc>
              <w:tc>
                <w:tcPr>
                  <w:tcW w:w="520" w:type="pct"/>
                  <w:vMerge w:val="continue"/>
                  <w:shd w:val="clear" w:color="auto" w:fill="auto"/>
                  <w:noWrap w:val="0"/>
                  <w:tcMar>
                    <w:top w:w="15" w:type="dxa"/>
                    <w:left w:w="15" w:type="dxa"/>
                    <w:right w:w="15" w:type="dxa"/>
                  </w:tcMar>
                  <w:vAlign w:val="center"/>
                </w:tcPr>
                <w:p w14:paraId="5EE160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b w:val="0"/>
                      <w:bCs w:val="0"/>
                      <w:color w:val="auto"/>
                      <w:kern w:val="2"/>
                      <w:sz w:val="21"/>
                      <w:szCs w:val="21"/>
                      <w:highlight w:val="none"/>
                      <w:lang w:val="en-US" w:eastAsia="zh-CN" w:bidi="ar-SA"/>
                    </w:rPr>
                  </w:pPr>
                </w:p>
              </w:tc>
              <w:tc>
                <w:tcPr>
                  <w:tcW w:w="490" w:type="pct"/>
                  <w:shd w:val="clear" w:color="auto" w:fill="auto"/>
                  <w:noWrap w:val="0"/>
                  <w:tcMar>
                    <w:top w:w="15" w:type="dxa"/>
                    <w:left w:w="15" w:type="dxa"/>
                    <w:right w:w="15" w:type="dxa"/>
                  </w:tcMar>
                  <w:vAlign w:val="center"/>
                </w:tcPr>
                <w:p w14:paraId="6C3593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b w:val="0"/>
                      <w:bCs w:val="0"/>
                      <w:color w:val="auto"/>
                      <w:kern w:val="2"/>
                      <w:sz w:val="21"/>
                      <w:szCs w:val="21"/>
                      <w:highlight w:val="none"/>
                      <w:lang w:val="en-US" w:eastAsia="zh-CN" w:bidi="ar-SA"/>
                    </w:rPr>
                  </w:pPr>
                  <w:r>
                    <w:rPr>
                      <w:rFonts w:hint="default"/>
                      <w:b w:val="0"/>
                      <w:bCs w:val="0"/>
                      <w:color w:val="auto"/>
                      <w:highlight w:val="none"/>
                      <w:lang w:val="en-US" w:eastAsia="zh-CN"/>
                    </w:rPr>
                    <w:t>900-099-S17</w:t>
                  </w:r>
                </w:p>
              </w:tc>
              <w:tc>
                <w:tcPr>
                  <w:tcW w:w="439" w:type="pct"/>
                  <w:shd w:val="clear" w:color="auto" w:fill="auto"/>
                  <w:noWrap w:val="0"/>
                  <w:tcMar>
                    <w:top w:w="15" w:type="dxa"/>
                    <w:left w:w="15" w:type="dxa"/>
                    <w:right w:w="15" w:type="dxa"/>
                  </w:tcMar>
                  <w:vAlign w:val="center"/>
                </w:tcPr>
                <w:p w14:paraId="50D8A7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color w:val="auto"/>
                      <w:highlight w:val="none"/>
                    </w:rPr>
                    <w:t>固态</w:t>
                  </w:r>
                </w:p>
              </w:tc>
              <w:tc>
                <w:tcPr>
                  <w:tcW w:w="409" w:type="pct"/>
                  <w:shd w:val="clear" w:color="auto" w:fill="auto"/>
                  <w:noWrap w:val="0"/>
                  <w:tcMar>
                    <w:top w:w="15" w:type="dxa"/>
                    <w:left w:w="15" w:type="dxa"/>
                    <w:right w:w="15" w:type="dxa"/>
                  </w:tcMar>
                  <w:vAlign w:val="center"/>
                </w:tcPr>
                <w:p w14:paraId="61FAC3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eastAsia"/>
                      <w:b w:val="0"/>
                      <w:bCs w:val="0"/>
                      <w:color w:val="auto"/>
                      <w:highlight w:val="none"/>
                      <w:lang w:val="en-US" w:eastAsia="zh-CN"/>
                    </w:rPr>
                    <w:t>223.4</w:t>
                  </w:r>
                </w:p>
              </w:tc>
              <w:tc>
                <w:tcPr>
                  <w:tcW w:w="394" w:type="pct"/>
                  <w:shd w:val="clear" w:color="auto" w:fill="auto"/>
                  <w:noWrap w:val="0"/>
                  <w:tcMar>
                    <w:top w:w="15" w:type="dxa"/>
                    <w:left w:w="15" w:type="dxa"/>
                    <w:right w:w="15" w:type="dxa"/>
                  </w:tcMar>
                  <w:vAlign w:val="center"/>
                </w:tcPr>
                <w:p w14:paraId="7358D0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b w:val="0"/>
                      <w:bCs w:val="0"/>
                      <w:color w:val="auto"/>
                      <w:kern w:val="2"/>
                      <w:sz w:val="21"/>
                      <w:szCs w:val="21"/>
                      <w:highlight w:val="none"/>
                      <w:lang w:val="en-US" w:eastAsia="zh-CN" w:bidi="ar-SA"/>
                    </w:rPr>
                  </w:pPr>
                  <w:r>
                    <w:rPr>
                      <w:rFonts w:hint="default"/>
                      <w:color w:val="auto"/>
                      <w:highlight w:val="none"/>
                    </w:rPr>
                    <w:t>袋装</w:t>
                  </w:r>
                </w:p>
              </w:tc>
              <w:tc>
                <w:tcPr>
                  <w:tcW w:w="669" w:type="pct"/>
                  <w:vMerge w:val="restart"/>
                  <w:shd w:val="clear" w:color="auto" w:fill="auto"/>
                  <w:noWrap w:val="0"/>
                  <w:tcMar>
                    <w:top w:w="15" w:type="dxa"/>
                    <w:left w:w="15" w:type="dxa"/>
                    <w:right w:w="15" w:type="dxa"/>
                  </w:tcMar>
                  <w:vAlign w:val="center"/>
                </w:tcPr>
                <w:p w14:paraId="7753EA2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回用于生产</w:t>
                  </w:r>
                </w:p>
              </w:tc>
              <w:tc>
                <w:tcPr>
                  <w:tcW w:w="403" w:type="pct"/>
                  <w:noWrap w:val="0"/>
                  <w:tcMar>
                    <w:top w:w="15" w:type="dxa"/>
                    <w:left w:w="15" w:type="dxa"/>
                    <w:right w:w="15" w:type="dxa"/>
                  </w:tcMar>
                  <w:vAlign w:val="center"/>
                </w:tcPr>
                <w:p w14:paraId="3EF7CB9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b w:val="0"/>
                      <w:bCs w:val="0"/>
                      <w:color w:val="auto"/>
                      <w:highlight w:val="none"/>
                      <w:lang w:val="en-US" w:eastAsia="zh-CN"/>
                    </w:rPr>
                    <w:t>223.4</w:t>
                  </w:r>
                </w:p>
              </w:tc>
              <w:tc>
                <w:tcPr>
                  <w:tcW w:w="444" w:type="pct"/>
                  <w:vMerge w:val="continue"/>
                  <w:noWrap w:val="0"/>
                  <w:tcMar>
                    <w:top w:w="15" w:type="dxa"/>
                    <w:left w:w="15" w:type="dxa"/>
                    <w:right w:w="15" w:type="dxa"/>
                  </w:tcMar>
                  <w:vAlign w:val="center"/>
                </w:tcPr>
                <w:p w14:paraId="28050D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3CC2BC9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3AFB763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shd w:val="clear" w:color="auto" w:fill="auto"/>
                  <w:noWrap w:val="0"/>
                  <w:tcMar>
                    <w:top w:w="15" w:type="dxa"/>
                    <w:left w:w="15" w:type="dxa"/>
                    <w:right w:w="15" w:type="dxa"/>
                  </w:tcMar>
                  <w:vAlign w:val="center"/>
                </w:tcPr>
                <w:p w14:paraId="1262E7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沉淀池沉渣</w:t>
                  </w:r>
                </w:p>
              </w:tc>
              <w:tc>
                <w:tcPr>
                  <w:tcW w:w="520" w:type="pct"/>
                  <w:vMerge w:val="continue"/>
                  <w:shd w:val="clear" w:color="auto" w:fill="auto"/>
                  <w:noWrap w:val="0"/>
                  <w:tcMar>
                    <w:top w:w="15" w:type="dxa"/>
                    <w:left w:w="15" w:type="dxa"/>
                    <w:right w:w="15" w:type="dxa"/>
                  </w:tcMar>
                  <w:vAlign w:val="center"/>
                </w:tcPr>
                <w:p w14:paraId="67CA2D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p>
              </w:tc>
              <w:tc>
                <w:tcPr>
                  <w:tcW w:w="490" w:type="pct"/>
                  <w:shd w:val="clear" w:color="auto" w:fill="auto"/>
                  <w:noWrap w:val="0"/>
                  <w:tcMar>
                    <w:top w:w="15" w:type="dxa"/>
                    <w:left w:w="15" w:type="dxa"/>
                    <w:right w:w="15" w:type="dxa"/>
                  </w:tcMar>
                  <w:vAlign w:val="center"/>
                </w:tcPr>
                <w:p w14:paraId="23860B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rPr>
                    <w:t>900-009-S59</w:t>
                  </w:r>
                </w:p>
              </w:tc>
              <w:tc>
                <w:tcPr>
                  <w:tcW w:w="439" w:type="pct"/>
                  <w:shd w:val="clear" w:color="auto" w:fill="auto"/>
                  <w:noWrap w:val="0"/>
                  <w:tcMar>
                    <w:top w:w="15" w:type="dxa"/>
                    <w:left w:w="15" w:type="dxa"/>
                    <w:right w:w="15" w:type="dxa"/>
                  </w:tcMar>
                  <w:vAlign w:val="center"/>
                </w:tcPr>
                <w:p w14:paraId="162A42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rPr>
                    <w:t>固态</w:t>
                  </w:r>
                </w:p>
              </w:tc>
              <w:tc>
                <w:tcPr>
                  <w:tcW w:w="409" w:type="pct"/>
                  <w:shd w:val="clear" w:color="auto" w:fill="auto"/>
                  <w:noWrap w:val="0"/>
                  <w:tcMar>
                    <w:top w:w="15" w:type="dxa"/>
                    <w:left w:w="15" w:type="dxa"/>
                    <w:right w:w="15" w:type="dxa"/>
                  </w:tcMar>
                  <w:vAlign w:val="center"/>
                </w:tcPr>
                <w:p w14:paraId="3ED8D11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10.9</w:t>
                  </w:r>
                </w:p>
              </w:tc>
              <w:tc>
                <w:tcPr>
                  <w:tcW w:w="394" w:type="pct"/>
                  <w:shd w:val="clear" w:color="auto" w:fill="auto"/>
                  <w:noWrap w:val="0"/>
                  <w:tcMar>
                    <w:top w:w="15" w:type="dxa"/>
                    <w:left w:w="15" w:type="dxa"/>
                    <w:right w:w="15" w:type="dxa"/>
                  </w:tcMar>
                  <w:vAlign w:val="center"/>
                </w:tcPr>
                <w:p w14:paraId="7E02AD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default"/>
                      <w:color w:val="auto"/>
                      <w:highlight w:val="none"/>
                    </w:rPr>
                    <w:t>袋装</w:t>
                  </w:r>
                </w:p>
              </w:tc>
              <w:tc>
                <w:tcPr>
                  <w:tcW w:w="669" w:type="pct"/>
                  <w:vMerge w:val="continue"/>
                  <w:shd w:val="clear" w:color="auto" w:fill="auto"/>
                  <w:noWrap w:val="0"/>
                  <w:tcMar>
                    <w:top w:w="15" w:type="dxa"/>
                    <w:left w:w="15" w:type="dxa"/>
                    <w:right w:w="15" w:type="dxa"/>
                  </w:tcMar>
                  <w:vAlign w:val="center"/>
                </w:tcPr>
                <w:p w14:paraId="6FC5F4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p>
              </w:tc>
              <w:tc>
                <w:tcPr>
                  <w:tcW w:w="403" w:type="pct"/>
                  <w:noWrap w:val="0"/>
                  <w:tcMar>
                    <w:top w:w="15" w:type="dxa"/>
                    <w:left w:w="15" w:type="dxa"/>
                    <w:right w:w="15" w:type="dxa"/>
                  </w:tcMar>
                  <w:vAlign w:val="center"/>
                </w:tcPr>
                <w:p w14:paraId="742AE9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rPr>
                  </w:pPr>
                  <w:r>
                    <w:rPr>
                      <w:rFonts w:hint="eastAsia"/>
                      <w:color w:val="auto"/>
                      <w:highlight w:val="none"/>
                      <w:lang w:val="en-US" w:eastAsia="zh-CN"/>
                    </w:rPr>
                    <w:t>10.9</w:t>
                  </w:r>
                </w:p>
              </w:tc>
              <w:tc>
                <w:tcPr>
                  <w:tcW w:w="444" w:type="pct"/>
                  <w:vMerge w:val="continue"/>
                  <w:noWrap w:val="0"/>
                  <w:tcMar>
                    <w:top w:w="15" w:type="dxa"/>
                    <w:left w:w="15" w:type="dxa"/>
                    <w:right w:w="15" w:type="dxa"/>
                  </w:tcMar>
                  <w:vAlign w:val="center"/>
                </w:tcPr>
                <w:p w14:paraId="441A0E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20464E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2D0BD1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noWrap w:val="0"/>
                  <w:tcMar>
                    <w:top w:w="15" w:type="dxa"/>
                    <w:left w:w="15" w:type="dxa"/>
                    <w:right w:w="15" w:type="dxa"/>
                  </w:tcMar>
                  <w:vAlign w:val="center"/>
                </w:tcPr>
                <w:p w14:paraId="68AB4F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w:t>
                  </w:r>
                  <w:r>
                    <w:rPr>
                      <w:rFonts w:hint="eastAsia"/>
                      <w:color w:val="auto"/>
                      <w:highlight w:val="none"/>
                      <w:lang w:eastAsia="zh-CN"/>
                    </w:rPr>
                    <w:t>机</w:t>
                  </w:r>
                  <w:r>
                    <w:rPr>
                      <w:rFonts w:hint="default"/>
                      <w:color w:val="auto"/>
                      <w:highlight w:val="none"/>
                    </w:rPr>
                    <w:t>油</w:t>
                  </w:r>
                </w:p>
              </w:tc>
              <w:tc>
                <w:tcPr>
                  <w:tcW w:w="520" w:type="pct"/>
                  <w:vMerge w:val="restart"/>
                  <w:noWrap w:val="0"/>
                  <w:tcMar>
                    <w:top w:w="15" w:type="dxa"/>
                    <w:left w:w="15" w:type="dxa"/>
                    <w:right w:w="15" w:type="dxa"/>
                  </w:tcMar>
                  <w:vAlign w:val="center"/>
                </w:tcPr>
                <w:p w14:paraId="79E5CA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危险废物</w:t>
                  </w:r>
                </w:p>
              </w:tc>
              <w:tc>
                <w:tcPr>
                  <w:tcW w:w="490" w:type="pct"/>
                  <w:noWrap w:val="0"/>
                  <w:tcMar>
                    <w:top w:w="15" w:type="dxa"/>
                    <w:left w:w="15" w:type="dxa"/>
                    <w:right w:w="15" w:type="dxa"/>
                  </w:tcMar>
                  <w:vAlign w:val="center"/>
                </w:tcPr>
                <w:p w14:paraId="58CB37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900-21</w:t>
                  </w:r>
                  <w:r>
                    <w:rPr>
                      <w:rFonts w:hint="eastAsia"/>
                      <w:color w:val="auto"/>
                      <w:highlight w:val="none"/>
                      <w:lang w:val="en-US" w:eastAsia="zh-CN"/>
                    </w:rPr>
                    <w:t>7</w:t>
                  </w:r>
                  <w:r>
                    <w:rPr>
                      <w:rFonts w:hint="default"/>
                      <w:color w:val="auto"/>
                      <w:highlight w:val="none"/>
                    </w:rPr>
                    <w:t>-08</w:t>
                  </w:r>
                </w:p>
              </w:tc>
              <w:tc>
                <w:tcPr>
                  <w:tcW w:w="439" w:type="pct"/>
                  <w:noWrap w:val="0"/>
                  <w:tcMar>
                    <w:top w:w="15" w:type="dxa"/>
                    <w:left w:w="15" w:type="dxa"/>
                    <w:right w:w="15" w:type="dxa"/>
                  </w:tcMar>
                  <w:vAlign w:val="center"/>
                </w:tcPr>
                <w:p w14:paraId="2D09FF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液态</w:t>
                  </w:r>
                </w:p>
              </w:tc>
              <w:tc>
                <w:tcPr>
                  <w:tcW w:w="409" w:type="pct"/>
                  <w:noWrap w:val="0"/>
                  <w:tcMar>
                    <w:top w:w="15" w:type="dxa"/>
                    <w:left w:w="15" w:type="dxa"/>
                    <w:right w:w="15" w:type="dxa"/>
                  </w:tcMar>
                  <w:vAlign w:val="center"/>
                </w:tcPr>
                <w:p w14:paraId="05BA5C9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0.4</w:t>
                  </w:r>
                </w:p>
              </w:tc>
              <w:tc>
                <w:tcPr>
                  <w:tcW w:w="394" w:type="pct"/>
                  <w:noWrap w:val="0"/>
                  <w:tcMar>
                    <w:top w:w="15" w:type="dxa"/>
                    <w:left w:w="15" w:type="dxa"/>
                    <w:right w:w="15" w:type="dxa"/>
                  </w:tcMar>
                  <w:vAlign w:val="center"/>
                </w:tcPr>
                <w:p w14:paraId="46F7E5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桶装</w:t>
                  </w:r>
                </w:p>
              </w:tc>
              <w:tc>
                <w:tcPr>
                  <w:tcW w:w="669" w:type="pct"/>
                  <w:vMerge w:val="restart"/>
                  <w:noWrap w:val="0"/>
                  <w:tcMar>
                    <w:top w:w="15" w:type="dxa"/>
                    <w:left w:w="15" w:type="dxa"/>
                    <w:right w:w="15" w:type="dxa"/>
                  </w:tcMar>
                  <w:vAlign w:val="center"/>
                </w:tcPr>
                <w:p w14:paraId="6B89EA9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委托有资质的单位处理</w:t>
                  </w:r>
                </w:p>
              </w:tc>
              <w:tc>
                <w:tcPr>
                  <w:tcW w:w="403" w:type="pct"/>
                  <w:noWrap w:val="0"/>
                  <w:tcMar>
                    <w:top w:w="15" w:type="dxa"/>
                    <w:left w:w="15" w:type="dxa"/>
                    <w:right w:w="15" w:type="dxa"/>
                  </w:tcMar>
                  <w:vAlign w:val="center"/>
                </w:tcPr>
                <w:p w14:paraId="10C6A17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0.4</w:t>
                  </w:r>
                </w:p>
              </w:tc>
              <w:tc>
                <w:tcPr>
                  <w:tcW w:w="444" w:type="pct"/>
                  <w:vMerge w:val="continue"/>
                  <w:noWrap w:val="0"/>
                  <w:tcMar>
                    <w:top w:w="15" w:type="dxa"/>
                    <w:left w:w="15" w:type="dxa"/>
                    <w:right w:w="15" w:type="dxa"/>
                  </w:tcMar>
                  <w:vAlign w:val="center"/>
                </w:tcPr>
                <w:p w14:paraId="30D2FF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3DA9272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4BF5652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noWrap w:val="0"/>
                  <w:tcMar>
                    <w:top w:w="15" w:type="dxa"/>
                    <w:left w:w="15" w:type="dxa"/>
                    <w:right w:w="15" w:type="dxa"/>
                  </w:tcMar>
                  <w:vAlign w:val="center"/>
                </w:tcPr>
                <w:p w14:paraId="6C74019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w:t>
                  </w:r>
                  <w:r>
                    <w:rPr>
                      <w:rFonts w:hint="eastAsia"/>
                      <w:color w:val="auto"/>
                      <w:highlight w:val="none"/>
                      <w:lang w:eastAsia="zh-CN"/>
                    </w:rPr>
                    <w:t>机</w:t>
                  </w:r>
                  <w:r>
                    <w:rPr>
                      <w:rFonts w:hint="default"/>
                      <w:color w:val="auto"/>
                      <w:highlight w:val="none"/>
                    </w:rPr>
                    <w:t>油桶</w:t>
                  </w:r>
                </w:p>
              </w:tc>
              <w:tc>
                <w:tcPr>
                  <w:tcW w:w="520" w:type="pct"/>
                  <w:vMerge w:val="continue"/>
                  <w:noWrap w:val="0"/>
                  <w:tcMar>
                    <w:top w:w="15" w:type="dxa"/>
                    <w:left w:w="15" w:type="dxa"/>
                    <w:right w:w="15" w:type="dxa"/>
                  </w:tcMar>
                  <w:vAlign w:val="center"/>
                </w:tcPr>
                <w:p w14:paraId="507235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90" w:type="pct"/>
                  <w:noWrap w:val="0"/>
                  <w:tcMar>
                    <w:top w:w="15" w:type="dxa"/>
                    <w:left w:w="15" w:type="dxa"/>
                    <w:right w:w="15" w:type="dxa"/>
                  </w:tcMar>
                  <w:vAlign w:val="center"/>
                </w:tcPr>
                <w:p w14:paraId="3447D3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900-249-08</w:t>
                  </w:r>
                </w:p>
              </w:tc>
              <w:tc>
                <w:tcPr>
                  <w:tcW w:w="439" w:type="pct"/>
                  <w:noWrap w:val="0"/>
                  <w:tcMar>
                    <w:top w:w="15" w:type="dxa"/>
                    <w:left w:w="15" w:type="dxa"/>
                    <w:right w:w="15" w:type="dxa"/>
                  </w:tcMar>
                  <w:vAlign w:val="center"/>
                </w:tcPr>
                <w:p w14:paraId="10928D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固态</w:t>
                  </w:r>
                </w:p>
              </w:tc>
              <w:tc>
                <w:tcPr>
                  <w:tcW w:w="409" w:type="pct"/>
                  <w:noWrap w:val="0"/>
                  <w:tcMar>
                    <w:top w:w="15" w:type="dxa"/>
                    <w:left w:w="15" w:type="dxa"/>
                    <w:right w:w="15" w:type="dxa"/>
                  </w:tcMar>
                  <w:vAlign w:val="center"/>
                </w:tcPr>
                <w:p w14:paraId="42CC28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0.02</w:t>
                  </w:r>
                </w:p>
              </w:tc>
              <w:tc>
                <w:tcPr>
                  <w:tcW w:w="394" w:type="pct"/>
                  <w:noWrap w:val="0"/>
                  <w:tcMar>
                    <w:top w:w="15" w:type="dxa"/>
                    <w:left w:w="15" w:type="dxa"/>
                    <w:right w:w="15" w:type="dxa"/>
                  </w:tcMar>
                  <w:vAlign w:val="center"/>
                </w:tcPr>
                <w:p w14:paraId="136F20A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桶装</w:t>
                  </w:r>
                </w:p>
              </w:tc>
              <w:tc>
                <w:tcPr>
                  <w:tcW w:w="669" w:type="pct"/>
                  <w:vMerge w:val="continue"/>
                  <w:noWrap w:val="0"/>
                  <w:tcMar>
                    <w:top w:w="15" w:type="dxa"/>
                    <w:left w:w="15" w:type="dxa"/>
                    <w:right w:w="15" w:type="dxa"/>
                  </w:tcMar>
                  <w:vAlign w:val="center"/>
                </w:tcPr>
                <w:p w14:paraId="50F6811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03" w:type="pct"/>
                  <w:noWrap w:val="0"/>
                  <w:tcMar>
                    <w:top w:w="15" w:type="dxa"/>
                    <w:left w:w="15" w:type="dxa"/>
                    <w:right w:w="15" w:type="dxa"/>
                  </w:tcMar>
                  <w:vAlign w:val="center"/>
                </w:tcPr>
                <w:p w14:paraId="619EB7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0.02</w:t>
                  </w:r>
                </w:p>
              </w:tc>
              <w:tc>
                <w:tcPr>
                  <w:tcW w:w="444" w:type="pct"/>
                  <w:vMerge w:val="continue"/>
                  <w:noWrap w:val="0"/>
                  <w:tcMar>
                    <w:top w:w="15" w:type="dxa"/>
                    <w:left w:w="15" w:type="dxa"/>
                    <w:right w:w="15" w:type="dxa"/>
                  </w:tcMar>
                  <w:vAlign w:val="center"/>
                </w:tcPr>
                <w:p w14:paraId="0BD8F47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53FED1C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vMerge w:val="continue"/>
                  <w:noWrap w:val="0"/>
                  <w:tcMar>
                    <w:top w:w="15" w:type="dxa"/>
                    <w:left w:w="15" w:type="dxa"/>
                    <w:right w:w="15" w:type="dxa"/>
                  </w:tcMar>
                  <w:vAlign w:val="center"/>
                </w:tcPr>
                <w:p w14:paraId="34B78B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898" w:type="pct"/>
                  <w:noWrap w:val="0"/>
                  <w:tcMar>
                    <w:top w:w="15" w:type="dxa"/>
                    <w:left w:w="15" w:type="dxa"/>
                    <w:right w:w="15" w:type="dxa"/>
                  </w:tcMar>
                  <w:vAlign w:val="center"/>
                </w:tcPr>
                <w:p w14:paraId="645336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废含油抹布及</w:t>
                  </w:r>
                  <w:r>
                    <w:rPr>
                      <w:rFonts w:hint="eastAsia"/>
                      <w:color w:val="auto"/>
                      <w:highlight w:val="none"/>
                      <w:lang w:eastAsia="zh-CN"/>
                    </w:rPr>
                    <w:t>劳保用品</w:t>
                  </w:r>
                </w:p>
              </w:tc>
              <w:tc>
                <w:tcPr>
                  <w:tcW w:w="520" w:type="pct"/>
                  <w:vMerge w:val="continue"/>
                  <w:noWrap w:val="0"/>
                  <w:tcMar>
                    <w:top w:w="15" w:type="dxa"/>
                    <w:left w:w="15" w:type="dxa"/>
                    <w:right w:w="15" w:type="dxa"/>
                  </w:tcMar>
                  <w:vAlign w:val="center"/>
                </w:tcPr>
                <w:p w14:paraId="430A2B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90" w:type="pct"/>
                  <w:noWrap w:val="0"/>
                  <w:tcMar>
                    <w:top w:w="15" w:type="dxa"/>
                    <w:left w:w="15" w:type="dxa"/>
                    <w:right w:w="15" w:type="dxa"/>
                  </w:tcMar>
                  <w:vAlign w:val="center"/>
                </w:tcPr>
                <w:p w14:paraId="1BC10C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900-041-49</w:t>
                  </w:r>
                </w:p>
              </w:tc>
              <w:tc>
                <w:tcPr>
                  <w:tcW w:w="439" w:type="pct"/>
                  <w:noWrap w:val="0"/>
                  <w:tcMar>
                    <w:top w:w="15" w:type="dxa"/>
                    <w:left w:w="15" w:type="dxa"/>
                    <w:right w:w="15" w:type="dxa"/>
                  </w:tcMar>
                  <w:vAlign w:val="center"/>
                </w:tcPr>
                <w:p w14:paraId="4D5411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固态</w:t>
                  </w:r>
                </w:p>
              </w:tc>
              <w:tc>
                <w:tcPr>
                  <w:tcW w:w="409" w:type="pct"/>
                  <w:noWrap w:val="0"/>
                  <w:tcMar>
                    <w:top w:w="15" w:type="dxa"/>
                    <w:left w:w="15" w:type="dxa"/>
                    <w:right w:w="15" w:type="dxa"/>
                  </w:tcMar>
                  <w:vAlign w:val="center"/>
                </w:tcPr>
                <w:p w14:paraId="0608D62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0.01</w:t>
                  </w:r>
                </w:p>
              </w:tc>
              <w:tc>
                <w:tcPr>
                  <w:tcW w:w="394" w:type="pct"/>
                  <w:noWrap w:val="0"/>
                  <w:tcMar>
                    <w:top w:w="15" w:type="dxa"/>
                    <w:left w:w="15" w:type="dxa"/>
                    <w:right w:w="15" w:type="dxa"/>
                  </w:tcMar>
                  <w:vAlign w:val="center"/>
                </w:tcPr>
                <w:p w14:paraId="41FB1A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桶装</w:t>
                  </w:r>
                </w:p>
              </w:tc>
              <w:tc>
                <w:tcPr>
                  <w:tcW w:w="669" w:type="pct"/>
                  <w:vMerge w:val="continue"/>
                  <w:noWrap w:val="0"/>
                  <w:tcMar>
                    <w:top w:w="15" w:type="dxa"/>
                    <w:left w:w="15" w:type="dxa"/>
                    <w:right w:w="15" w:type="dxa"/>
                  </w:tcMar>
                  <w:vAlign w:val="center"/>
                </w:tcPr>
                <w:p w14:paraId="06A3A8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403" w:type="pct"/>
                  <w:noWrap w:val="0"/>
                  <w:tcMar>
                    <w:top w:w="15" w:type="dxa"/>
                    <w:left w:w="15" w:type="dxa"/>
                    <w:right w:w="15" w:type="dxa"/>
                  </w:tcMar>
                  <w:vAlign w:val="center"/>
                </w:tcPr>
                <w:p w14:paraId="148574A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rPr>
                  </w:pPr>
                  <w:r>
                    <w:rPr>
                      <w:rFonts w:hint="default"/>
                      <w:color w:val="auto"/>
                      <w:highlight w:val="none"/>
                    </w:rPr>
                    <w:t>0.01</w:t>
                  </w:r>
                </w:p>
              </w:tc>
              <w:tc>
                <w:tcPr>
                  <w:tcW w:w="444" w:type="pct"/>
                  <w:vMerge w:val="continue"/>
                  <w:noWrap w:val="0"/>
                  <w:tcMar>
                    <w:top w:w="15" w:type="dxa"/>
                    <w:left w:w="15" w:type="dxa"/>
                    <w:right w:w="15" w:type="dxa"/>
                  </w:tcMar>
                  <w:vAlign w:val="center"/>
                </w:tcPr>
                <w:p w14:paraId="347C99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653E40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31" w:type="pct"/>
                  <w:noWrap w:val="0"/>
                  <w:tcMar>
                    <w:top w:w="15" w:type="dxa"/>
                    <w:left w:w="15" w:type="dxa"/>
                    <w:right w:w="15" w:type="dxa"/>
                  </w:tcMar>
                  <w:vAlign w:val="center"/>
                </w:tcPr>
                <w:p w14:paraId="7367BB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员工生活</w:t>
                  </w:r>
                </w:p>
              </w:tc>
              <w:tc>
                <w:tcPr>
                  <w:tcW w:w="898" w:type="pct"/>
                  <w:noWrap w:val="0"/>
                  <w:tcMar>
                    <w:top w:w="15" w:type="dxa"/>
                    <w:left w:w="15" w:type="dxa"/>
                    <w:right w:w="15" w:type="dxa"/>
                  </w:tcMar>
                  <w:vAlign w:val="center"/>
                </w:tcPr>
                <w:p w14:paraId="4DD6F4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生活垃圾</w:t>
                  </w:r>
                </w:p>
              </w:tc>
              <w:tc>
                <w:tcPr>
                  <w:tcW w:w="520" w:type="pct"/>
                  <w:noWrap w:val="0"/>
                  <w:tcMar>
                    <w:top w:w="15" w:type="dxa"/>
                    <w:left w:w="15" w:type="dxa"/>
                    <w:right w:w="15" w:type="dxa"/>
                  </w:tcMar>
                  <w:vAlign w:val="center"/>
                </w:tcPr>
                <w:p w14:paraId="7F2B865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一般固废</w:t>
                  </w:r>
                </w:p>
              </w:tc>
              <w:tc>
                <w:tcPr>
                  <w:tcW w:w="490" w:type="pct"/>
                  <w:noWrap w:val="0"/>
                  <w:tcMar>
                    <w:top w:w="15" w:type="dxa"/>
                    <w:left w:w="15" w:type="dxa"/>
                    <w:right w:w="15" w:type="dxa"/>
                  </w:tcMar>
                  <w:vAlign w:val="center"/>
                </w:tcPr>
                <w:p w14:paraId="37BC3D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900-099-S64</w:t>
                  </w:r>
                </w:p>
              </w:tc>
              <w:tc>
                <w:tcPr>
                  <w:tcW w:w="439" w:type="pct"/>
                  <w:noWrap w:val="0"/>
                  <w:tcMar>
                    <w:top w:w="15" w:type="dxa"/>
                    <w:left w:w="15" w:type="dxa"/>
                    <w:right w:w="15" w:type="dxa"/>
                  </w:tcMar>
                  <w:vAlign w:val="center"/>
                </w:tcPr>
                <w:p w14:paraId="138AA7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固态</w:t>
                  </w:r>
                </w:p>
              </w:tc>
              <w:tc>
                <w:tcPr>
                  <w:tcW w:w="409" w:type="pct"/>
                  <w:noWrap w:val="0"/>
                  <w:tcMar>
                    <w:top w:w="15" w:type="dxa"/>
                    <w:left w:w="15" w:type="dxa"/>
                    <w:right w:w="15" w:type="dxa"/>
                  </w:tcMar>
                  <w:vAlign w:val="center"/>
                </w:tcPr>
                <w:p w14:paraId="4987846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1.5</w:t>
                  </w:r>
                </w:p>
              </w:tc>
              <w:tc>
                <w:tcPr>
                  <w:tcW w:w="394" w:type="pct"/>
                  <w:noWrap w:val="0"/>
                  <w:tcMar>
                    <w:top w:w="15" w:type="dxa"/>
                    <w:left w:w="15" w:type="dxa"/>
                    <w:right w:w="15" w:type="dxa"/>
                  </w:tcMar>
                  <w:vAlign w:val="center"/>
                </w:tcPr>
                <w:p w14:paraId="08E36B4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垃圾桶</w:t>
                  </w:r>
                </w:p>
              </w:tc>
              <w:tc>
                <w:tcPr>
                  <w:tcW w:w="669" w:type="pct"/>
                  <w:noWrap w:val="0"/>
                  <w:tcMar>
                    <w:top w:w="15" w:type="dxa"/>
                    <w:left w:w="15" w:type="dxa"/>
                    <w:right w:w="15" w:type="dxa"/>
                  </w:tcMar>
                  <w:vAlign w:val="center"/>
                </w:tcPr>
                <w:p w14:paraId="136B7A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环卫部门定期清运</w:t>
                  </w:r>
                </w:p>
              </w:tc>
              <w:tc>
                <w:tcPr>
                  <w:tcW w:w="403" w:type="pct"/>
                  <w:noWrap w:val="0"/>
                  <w:tcMar>
                    <w:top w:w="15" w:type="dxa"/>
                    <w:left w:w="15" w:type="dxa"/>
                    <w:right w:w="15" w:type="dxa"/>
                  </w:tcMar>
                  <w:vAlign w:val="center"/>
                </w:tcPr>
                <w:p w14:paraId="34C0BA0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rPr>
                  </w:pPr>
                  <w:r>
                    <w:rPr>
                      <w:rFonts w:hint="eastAsia"/>
                      <w:color w:val="auto"/>
                      <w:highlight w:val="none"/>
                      <w:lang w:val="en-US" w:eastAsia="zh-CN"/>
                    </w:rPr>
                    <w:t>1.5</w:t>
                  </w:r>
                </w:p>
              </w:tc>
              <w:tc>
                <w:tcPr>
                  <w:tcW w:w="444" w:type="pct"/>
                  <w:vMerge w:val="continue"/>
                  <w:noWrap w:val="0"/>
                  <w:tcMar>
                    <w:top w:w="15" w:type="dxa"/>
                    <w:left w:w="15" w:type="dxa"/>
                    <w:right w:w="15" w:type="dxa"/>
                  </w:tcMar>
                  <w:vAlign w:val="center"/>
                </w:tcPr>
                <w:p w14:paraId="1562AE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bl>
          <w:p w14:paraId="3D83A43E">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项目危险废物贮存场所（设施）基本情况一览表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95"/>
              <w:gridCol w:w="1909"/>
              <w:gridCol w:w="1535"/>
              <w:gridCol w:w="1488"/>
              <w:gridCol w:w="1299"/>
              <w:gridCol w:w="861"/>
              <w:gridCol w:w="781"/>
              <w:gridCol w:w="1459"/>
              <w:gridCol w:w="1610"/>
              <w:gridCol w:w="1083"/>
            </w:tblGrid>
            <w:tr w14:paraId="54E9F6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7" w:type="dxa"/>
                  <w:noWrap w:val="0"/>
                  <w:vAlign w:val="center"/>
                </w:tcPr>
                <w:p w14:paraId="50AF5D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贮存场所</w:t>
                  </w:r>
                </w:p>
              </w:tc>
              <w:tc>
                <w:tcPr>
                  <w:tcW w:w="1913" w:type="dxa"/>
                  <w:noWrap w:val="0"/>
                  <w:vAlign w:val="center"/>
                </w:tcPr>
                <w:p w14:paraId="228044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危废名称</w:t>
                  </w:r>
                </w:p>
              </w:tc>
              <w:tc>
                <w:tcPr>
                  <w:tcW w:w="1537" w:type="dxa"/>
                  <w:noWrap w:val="0"/>
                  <w:vAlign w:val="center"/>
                </w:tcPr>
                <w:p w14:paraId="2C5A8C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危险废物类别</w:t>
                  </w:r>
                </w:p>
              </w:tc>
              <w:tc>
                <w:tcPr>
                  <w:tcW w:w="1488" w:type="dxa"/>
                  <w:noWrap w:val="0"/>
                  <w:vAlign w:val="center"/>
                </w:tcPr>
                <w:p w14:paraId="12E3C3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废物代码</w:t>
                  </w:r>
                </w:p>
              </w:tc>
              <w:tc>
                <w:tcPr>
                  <w:tcW w:w="1300" w:type="dxa"/>
                  <w:noWrap w:val="0"/>
                  <w:vAlign w:val="center"/>
                </w:tcPr>
                <w:p w14:paraId="0F1307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最大储存量</w:t>
                  </w:r>
                </w:p>
              </w:tc>
              <w:tc>
                <w:tcPr>
                  <w:tcW w:w="862" w:type="dxa"/>
                  <w:noWrap w:val="0"/>
                  <w:vAlign w:val="center"/>
                </w:tcPr>
                <w:p w14:paraId="3CE82F4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位置</w:t>
                  </w:r>
                </w:p>
              </w:tc>
              <w:tc>
                <w:tcPr>
                  <w:tcW w:w="763" w:type="dxa"/>
                  <w:noWrap w:val="0"/>
                  <w:vAlign w:val="center"/>
                </w:tcPr>
                <w:p w14:paraId="504FAA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占地</w:t>
                  </w:r>
                </w:p>
              </w:tc>
              <w:tc>
                <w:tcPr>
                  <w:tcW w:w="1462" w:type="dxa"/>
                  <w:noWrap w:val="0"/>
                  <w:vAlign w:val="center"/>
                </w:tcPr>
                <w:p w14:paraId="1C1C68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贮存方式</w:t>
                  </w:r>
                </w:p>
              </w:tc>
              <w:tc>
                <w:tcPr>
                  <w:tcW w:w="1613" w:type="dxa"/>
                  <w:noWrap w:val="0"/>
                  <w:vAlign w:val="center"/>
                </w:tcPr>
                <w:p w14:paraId="4640D54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最大贮存能力</w:t>
                  </w:r>
                </w:p>
              </w:tc>
              <w:tc>
                <w:tcPr>
                  <w:tcW w:w="1085" w:type="dxa"/>
                  <w:noWrap w:val="0"/>
                  <w:vAlign w:val="center"/>
                </w:tcPr>
                <w:p w14:paraId="29842E1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贮存周期</w:t>
                  </w:r>
                </w:p>
              </w:tc>
            </w:tr>
            <w:tr w14:paraId="080005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7" w:type="dxa"/>
                  <w:vMerge w:val="restart"/>
                  <w:noWrap w:val="0"/>
                  <w:vAlign w:val="center"/>
                </w:tcPr>
                <w:p w14:paraId="414C4B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危废暂存间</w:t>
                  </w:r>
                </w:p>
              </w:tc>
              <w:tc>
                <w:tcPr>
                  <w:tcW w:w="1913" w:type="dxa"/>
                  <w:noWrap w:val="0"/>
                  <w:vAlign w:val="center"/>
                </w:tcPr>
                <w:p w14:paraId="117EAF3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w:t>
                  </w:r>
                  <w:r>
                    <w:rPr>
                      <w:rFonts w:hint="eastAsia"/>
                      <w:color w:val="auto"/>
                      <w:highlight w:val="none"/>
                      <w:lang w:eastAsia="zh-CN"/>
                    </w:rPr>
                    <w:t>机</w:t>
                  </w:r>
                  <w:r>
                    <w:rPr>
                      <w:rFonts w:hint="default"/>
                      <w:color w:val="auto"/>
                      <w:highlight w:val="none"/>
                    </w:rPr>
                    <w:t>油</w:t>
                  </w:r>
                </w:p>
              </w:tc>
              <w:tc>
                <w:tcPr>
                  <w:tcW w:w="1537" w:type="dxa"/>
                  <w:noWrap w:val="0"/>
                  <w:vAlign w:val="center"/>
                </w:tcPr>
                <w:p w14:paraId="4FC5B9B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HW08</w:t>
                  </w:r>
                </w:p>
              </w:tc>
              <w:tc>
                <w:tcPr>
                  <w:tcW w:w="1488" w:type="dxa"/>
                  <w:noWrap w:val="0"/>
                  <w:vAlign w:val="center"/>
                </w:tcPr>
                <w:p w14:paraId="2E8293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900-21</w:t>
                  </w:r>
                  <w:r>
                    <w:rPr>
                      <w:rFonts w:hint="eastAsia"/>
                      <w:color w:val="auto"/>
                      <w:highlight w:val="none"/>
                      <w:lang w:val="en-US" w:eastAsia="zh-CN"/>
                    </w:rPr>
                    <w:t>7</w:t>
                  </w:r>
                  <w:r>
                    <w:rPr>
                      <w:rFonts w:hint="default"/>
                      <w:color w:val="auto"/>
                      <w:highlight w:val="none"/>
                    </w:rPr>
                    <w:t>-08</w:t>
                  </w:r>
                </w:p>
              </w:tc>
              <w:tc>
                <w:tcPr>
                  <w:tcW w:w="1300" w:type="dxa"/>
                  <w:noWrap w:val="0"/>
                  <w:vAlign w:val="center"/>
                </w:tcPr>
                <w:p w14:paraId="160AB2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0.4t</w:t>
                  </w:r>
                </w:p>
              </w:tc>
              <w:tc>
                <w:tcPr>
                  <w:tcW w:w="862" w:type="dxa"/>
                  <w:vMerge w:val="restart"/>
                  <w:noWrap w:val="0"/>
                  <w:vAlign w:val="center"/>
                </w:tcPr>
                <w:p w14:paraId="710B4B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2#厂房东南侧</w:t>
                  </w:r>
                </w:p>
              </w:tc>
              <w:tc>
                <w:tcPr>
                  <w:tcW w:w="763" w:type="dxa"/>
                  <w:vMerge w:val="restart"/>
                  <w:noWrap w:val="0"/>
                  <w:vAlign w:val="center"/>
                </w:tcPr>
                <w:p w14:paraId="61FADE0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30</w:t>
                  </w:r>
                  <w:r>
                    <w:rPr>
                      <w:rFonts w:hint="default"/>
                      <w:color w:val="auto"/>
                      <w:highlight w:val="none"/>
                    </w:rPr>
                    <w:t>m</w:t>
                  </w:r>
                  <w:r>
                    <w:rPr>
                      <w:rFonts w:hint="default"/>
                      <w:color w:val="auto"/>
                      <w:highlight w:val="none"/>
                      <w:vertAlign w:val="superscript"/>
                    </w:rPr>
                    <w:t>2</w:t>
                  </w:r>
                </w:p>
              </w:tc>
              <w:tc>
                <w:tcPr>
                  <w:tcW w:w="1462" w:type="dxa"/>
                  <w:noWrap w:val="0"/>
                  <w:vAlign w:val="center"/>
                </w:tcPr>
                <w:p w14:paraId="5A4EE3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密封桶装</w:t>
                  </w:r>
                </w:p>
              </w:tc>
              <w:tc>
                <w:tcPr>
                  <w:tcW w:w="1613" w:type="dxa"/>
                  <w:noWrap w:val="0"/>
                  <w:vAlign w:val="center"/>
                </w:tcPr>
                <w:p w14:paraId="17FF2D4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5</w:t>
                  </w:r>
                  <w:r>
                    <w:rPr>
                      <w:rFonts w:hint="default"/>
                      <w:color w:val="auto"/>
                      <w:highlight w:val="none"/>
                    </w:rPr>
                    <w:t>t</w:t>
                  </w:r>
                </w:p>
              </w:tc>
              <w:tc>
                <w:tcPr>
                  <w:tcW w:w="1085" w:type="dxa"/>
                  <w:vMerge w:val="restart"/>
                  <w:noWrap w:val="0"/>
                  <w:vAlign w:val="center"/>
                </w:tcPr>
                <w:p w14:paraId="57717E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半年</w:t>
                  </w:r>
                </w:p>
              </w:tc>
            </w:tr>
            <w:tr w14:paraId="1EB283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97" w:type="dxa"/>
                  <w:vMerge w:val="continue"/>
                  <w:noWrap w:val="0"/>
                  <w:vAlign w:val="center"/>
                </w:tcPr>
                <w:p w14:paraId="3F4B70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913" w:type="dxa"/>
                  <w:noWrap w:val="0"/>
                  <w:vAlign w:val="center"/>
                </w:tcPr>
                <w:p w14:paraId="6A47EC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w:t>
                  </w:r>
                  <w:r>
                    <w:rPr>
                      <w:rFonts w:hint="eastAsia"/>
                      <w:color w:val="auto"/>
                      <w:highlight w:val="none"/>
                      <w:lang w:eastAsia="zh-CN"/>
                    </w:rPr>
                    <w:t>机</w:t>
                  </w:r>
                  <w:r>
                    <w:rPr>
                      <w:rFonts w:hint="default"/>
                      <w:color w:val="auto"/>
                      <w:highlight w:val="none"/>
                    </w:rPr>
                    <w:t>油桶</w:t>
                  </w:r>
                </w:p>
              </w:tc>
              <w:tc>
                <w:tcPr>
                  <w:tcW w:w="1537" w:type="dxa"/>
                  <w:noWrap w:val="0"/>
                  <w:vAlign w:val="center"/>
                </w:tcPr>
                <w:p w14:paraId="1613913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HW08</w:t>
                  </w:r>
                </w:p>
              </w:tc>
              <w:tc>
                <w:tcPr>
                  <w:tcW w:w="1488" w:type="dxa"/>
                  <w:noWrap w:val="0"/>
                  <w:vAlign w:val="center"/>
                </w:tcPr>
                <w:p w14:paraId="65AA744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900-249-08</w:t>
                  </w:r>
                </w:p>
              </w:tc>
              <w:tc>
                <w:tcPr>
                  <w:tcW w:w="1300" w:type="dxa"/>
                  <w:noWrap w:val="0"/>
                  <w:vAlign w:val="center"/>
                </w:tcPr>
                <w:p w14:paraId="1F0B18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0.02t</w:t>
                  </w:r>
                </w:p>
              </w:tc>
              <w:tc>
                <w:tcPr>
                  <w:tcW w:w="862" w:type="dxa"/>
                  <w:vMerge w:val="continue"/>
                  <w:noWrap w:val="0"/>
                  <w:vAlign w:val="center"/>
                </w:tcPr>
                <w:p w14:paraId="1E9B2D5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763" w:type="dxa"/>
                  <w:vMerge w:val="continue"/>
                  <w:noWrap w:val="0"/>
                  <w:vAlign w:val="center"/>
                </w:tcPr>
                <w:p w14:paraId="721B92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462" w:type="dxa"/>
                  <w:noWrap w:val="0"/>
                  <w:vAlign w:val="center"/>
                </w:tcPr>
                <w:p w14:paraId="2FA2D1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密封桶装</w:t>
                  </w:r>
                </w:p>
              </w:tc>
              <w:tc>
                <w:tcPr>
                  <w:tcW w:w="1613" w:type="dxa"/>
                  <w:noWrap w:val="0"/>
                  <w:vAlign w:val="center"/>
                </w:tcPr>
                <w:p w14:paraId="4D8341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5</w:t>
                  </w:r>
                  <w:r>
                    <w:rPr>
                      <w:rFonts w:hint="default"/>
                      <w:color w:val="auto"/>
                      <w:highlight w:val="none"/>
                    </w:rPr>
                    <w:t>t</w:t>
                  </w:r>
                </w:p>
              </w:tc>
              <w:tc>
                <w:tcPr>
                  <w:tcW w:w="1085" w:type="dxa"/>
                  <w:vMerge w:val="continue"/>
                  <w:noWrap w:val="0"/>
                  <w:vAlign w:val="center"/>
                </w:tcPr>
                <w:p w14:paraId="38D39B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34661C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197" w:type="dxa"/>
                  <w:vMerge w:val="continue"/>
                  <w:noWrap w:val="0"/>
                  <w:vAlign w:val="center"/>
                </w:tcPr>
                <w:p w14:paraId="7B2DA2B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913" w:type="dxa"/>
                  <w:noWrap w:val="0"/>
                  <w:vAlign w:val="center"/>
                </w:tcPr>
                <w:p w14:paraId="782ECD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废含油抹布及手套</w:t>
                  </w:r>
                </w:p>
              </w:tc>
              <w:tc>
                <w:tcPr>
                  <w:tcW w:w="1537" w:type="dxa"/>
                  <w:noWrap w:val="0"/>
                  <w:vAlign w:val="center"/>
                </w:tcPr>
                <w:p w14:paraId="145BD7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HW49</w:t>
                  </w:r>
                </w:p>
              </w:tc>
              <w:tc>
                <w:tcPr>
                  <w:tcW w:w="1488" w:type="dxa"/>
                  <w:noWrap w:val="0"/>
                  <w:vAlign w:val="center"/>
                </w:tcPr>
                <w:p w14:paraId="07CDD9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900-041-49</w:t>
                  </w:r>
                </w:p>
              </w:tc>
              <w:tc>
                <w:tcPr>
                  <w:tcW w:w="1300" w:type="dxa"/>
                  <w:noWrap w:val="0"/>
                  <w:vAlign w:val="center"/>
                </w:tcPr>
                <w:p w14:paraId="1B9C6C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0.01t</w:t>
                  </w:r>
                </w:p>
              </w:tc>
              <w:tc>
                <w:tcPr>
                  <w:tcW w:w="862" w:type="dxa"/>
                  <w:vMerge w:val="continue"/>
                  <w:noWrap w:val="0"/>
                  <w:vAlign w:val="center"/>
                </w:tcPr>
                <w:p w14:paraId="40BD47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763" w:type="dxa"/>
                  <w:vMerge w:val="continue"/>
                  <w:noWrap w:val="0"/>
                  <w:vAlign w:val="center"/>
                </w:tcPr>
                <w:p w14:paraId="3E3EC3B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462" w:type="dxa"/>
                  <w:noWrap w:val="0"/>
                  <w:vAlign w:val="center"/>
                </w:tcPr>
                <w:p w14:paraId="05EC7B5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袋装</w:t>
                  </w:r>
                </w:p>
              </w:tc>
              <w:tc>
                <w:tcPr>
                  <w:tcW w:w="1613" w:type="dxa"/>
                  <w:noWrap w:val="0"/>
                  <w:vAlign w:val="center"/>
                </w:tcPr>
                <w:p w14:paraId="77D3B8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5</w:t>
                  </w:r>
                  <w:r>
                    <w:rPr>
                      <w:rFonts w:hint="default"/>
                      <w:color w:val="auto"/>
                      <w:highlight w:val="none"/>
                    </w:rPr>
                    <w:t>t</w:t>
                  </w:r>
                </w:p>
              </w:tc>
              <w:tc>
                <w:tcPr>
                  <w:tcW w:w="1085" w:type="dxa"/>
                  <w:vMerge w:val="continue"/>
                  <w:noWrap w:val="0"/>
                  <w:vAlign w:val="center"/>
                </w:tcPr>
                <w:p w14:paraId="7DA30AE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bl>
          <w:p w14:paraId="6B806B0F">
            <w:pPr>
              <w:pStyle w:val="22"/>
              <w:keepNext w:val="0"/>
              <w:keepLines w:val="0"/>
              <w:widowControl w:val="0"/>
              <w:suppressLineNumbers w:val="0"/>
              <w:spacing w:before="0" w:beforeAutospacing="0" w:after="0" w:afterAutospacing="0"/>
              <w:ind w:left="0" w:right="0" w:firstLine="600"/>
              <w:jc w:val="center"/>
              <w:outlineLvl w:val="0"/>
              <w:rPr>
                <w:rFonts w:hint="default" w:ascii="Times New Roman" w:hAnsi="Times New Roman"/>
                <w:snapToGrid w:val="0"/>
                <w:color w:val="auto"/>
                <w:sz w:val="30"/>
                <w:szCs w:val="30"/>
                <w:highlight w:val="none"/>
              </w:rPr>
            </w:pPr>
          </w:p>
        </w:tc>
      </w:tr>
    </w:tbl>
    <w:p w14:paraId="55EEC847">
      <w:pPr>
        <w:pStyle w:val="76"/>
        <w:bidi w:val="0"/>
        <w:ind w:left="0" w:leftChars="0" w:firstLine="0" w:firstLineChars="0"/>
        <w:rPr>
          <w:rFonts w:hint="eastAsia"/>
          <w:color w:val="auto"/>
          <w:highlight w:val="none"/>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tbl>
      <w:tblPr>
        <w:tblStyle w:val="25"/>
        <w:tblW w:w="9133" w:type="dxa"/>
        <w:tblInd w:w="-3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2"/>
        <w:gridCol w:w="8581"/>
      </w:tblGrid>
      <w:tr w14:paraId="5E63F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4" w:hRule="atLeast"/>
        </w:trPr>
        <w:tc>
          <w:tcPr>
            <w:tcW w:w="552" w:type="dxa"/>
            <w:noWrap w:val="0"/>
            <w:vAlign w:val="center"/>
          </w:tcPr>
          <w:p w14:paraId="23CD96C5">
            <w:pPr>
              <w:pStyle w:val="77"/>
              <w:keepNext w:val="0"/>
              <w:keepLines w:val="0"/>
              <w:suppressLineNumbers w:val="0"/>
              <w:bidi w:val="0"/>
              <w:spacing w:before="0" w:beforeAutospacing="0" w:after="0" w:afterAutospacing="0"/>
              <w:ind w:left="0" w:right="0"/>
              <w:rPr>
                <w:rFonts w:hint="default" w:ascii="Times New Roman" w:hAnsi="Times New Roman"/>
                <w:snapToGrid w:val="0"/>
                <w:color w:val="auto"/>
                <w:szCs w:val="30"/>
                <w:highlight w:val="none"/>
              </w:rPr>
            </w:pPr>
            <w:r>
              <w:rPr>
                <w:rFonts w:hint="default"/>
                <w:color w:val="auto"/>
                <w:highlight w:val="none"/>
              </w:rPr>
              <w:t>运营期环境影响和保护措施</w:t>
            </w:r>
          </w:p>
        </w:tc>
        <w:tc>
          <w:tcPr>
            <w:tcW w:w="8581" w:type="dxa"/>
            <w:noWrap w:val="0"/>
            <w:vAlign w:val="top"/>
          </w:tcPr>
          <w:p w14:paraId="5AEBFF20">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2、固体废物源强核算过程</w:t>
            </w:r>
          </w:p>
          <w:p w14:paraId="1310C4AD">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default"/>
                <w:b/>
                <w:bCs/>
                <w:color w:val="auto"/>
                <w:highlight w:val="none"/>
              </w:rPr>
              <w:t>一般固废</w:t>
            </w:r>
          </w:p>
          <w:p w14:paraId="736FAF5D">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①</w:t>
            </w:r>
            <w:r>
              <w:rPr>
                <w:rFonts w:hint="eastAsia"/>
                <w:color w:val="auto"/>
                <w:highlight w:val="none"/>
              </w:rPr>
              <w:t>废布袋</w:t>
            </w:r>
          </w:p>
          <w:p w14:paraId="211F9A5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项目除尘设施</w:t>
            </w:r>
            <w:r>
              <w:rPr>
                <w:rFonts w:hint="eastAsia"/>
                <w:color w:val="auto"/>
                <w:highlight w:val="none"/>
                <w:lang w:eastAsia="zh-CN"/>
              </w:rPr>
              <w:t>为</w:t>
            </w:r>
            <w:r>
              <w:rPr>
                <w:rFonts w:hint="eastAsia"/>
                <w:color w:val="auto"/>
                <w:highlight w:val="none"/>
              </w:rPr>
              <w:t>袋式除尘器，内含除尘布袋，</w:t>
            </w:r>
            <w:r>
              <w:rPr>
                <w:rFonts w:hint="eastAsia"/>
                <w:color w:val="auto"/>
                <w:highlight w:val="none"/>
                <w:lang w:eastAsia="zh-CN"/>
              </w:rPr>
              <w:t>需定期更换布袋会产生废布袋</w:t>
            </w:r>
            <w:r>
              <w:rPr>
                <w:rFonts w:hint="eastAsia"/>
                <w:color w:val="auto"/>
                <w:highlight w:val="none"/>
              </w:rPr>
              <w:t>，</w:t>
            </w:r>
            <w:r>
              <w:rPr>
                <w:rFonts w:hint="eastAsia"/>
                <w:color w:val="auto"/>
                <w:highlight w:val="none"/>
                <w:lang w:eastAsia="zh-CN"/>
              </w:rPr>
              <w:t>本项目</w:t>
            </w:r>
            <w:r>
              <w:rPr>
                <w:rFonts w:hint="eastAsia"/>
                <w:color w:val="auto"/>
                <w:highlight w:val="none"/>
              </w:rPr>
              <w:t>废布袋产生量约0.</w:t>
            </w:r>
            <w:r>
              <w:rPr>
                <w:rFonts w:hint="eastAsia"/>
                <w:color w:val="auto"/>
                <w:highlight w:val="none"/>
                <w:lang w:val="en-US" w:eastAsia="zh-CN"/>
              </w:rPr>
              <w:t>1</w:t>
            </w:r>
            <w:r>
              <w:rPr>
                <w:rFonts w:hint="eastAsia"/>
                <w:color w:val="auto"/>
                <w:highlight w:val="none"/>
              </w:rPr>
              <w:t>t/a，其主要为涤纶编织布袋，属于一般工业固废，根据《固体废物分类与代码目录》（2024年），其代码为900-009-S59，收集后外售给物资回收公司。</w:t>
            </w:r>
          </w:p>
          <w:p w14:paraId="38BF58F4">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②</w:t>
            </w:r>
            <w:r>
              <w:rPr>
                <w:rFonts w:hint="eastAsia"/>
                <w:color w:val="auto"/>
                <w:highlight w:val="none"/>
              </w:rPr>
              <w:t>废包装材料</w:t>
            </w:r>
          </w:p>
          <w:p w14:paraId="5AA8CDCE">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在</w:t>
            </w:r>
            <w:r>
              <w:rPr>
                <w:rFonts w:hint="eastAsia"/>
                <w:color w:val="auto"/>
                <w:highlight w:val="none"/>
                <w:lang w:val="en-US" w:eastAsia="zh-CN"/>
              </w:rPr>
              <w:t>生产过程中会产生原辅材料废包装，在产品</w:t>
            </w:r>
            <w:r>
              <w:rPr>
                <w:rFonts w:hint="eastAsia"/>
                <w:color w:val="auto"/>
                <w:highlight w:val="none"/>
              </w:rPr>
              <w:t>包装过程中会产生废包装材料，根据原项目情况类比，本项目废包装材料</w:t>
            </w:r>
            <w:r>
              <w:rPr>
                <w:rFonts w:hint="eastAsia"/>
                <w:color w:val="auto"/>
                <w:highlight w:val="none"/>
                <w:lang w:val="en-US" w:eastAsia="zh-CN"/>
              </w:rPr>
              <w:t>总</w:t>
            </w:r>
            <w:r>
              <w:rPr>
                <w:rFonts w:hint="eastAsia"/>
                <w:color w:val="auto"/>
                <w:highlight w:val="none"/>
              </w:rPr>
              <w:t>产生量约为0.</w:t>
            </w:r>
            <w:r>
              <w:rPr>
                <w:rFonts w:hint="default"/>
                <w:color w:val="auto"/>
                <w:highlight w:val="none"/>
              </w:rPr>
              <w:t>5</w:t>
            </w:r>
            <w:r>
              <w:rPr>
                <w:rFonts w:hint="eastAsia"/>
                <w:color w:val="auto"/>
                <w:highlight w:val="none"/>
              </w:rPr>
              <w:t>t/a。根据</w:t>
            </w:r>
            <w:r>
              <w:rPr>
                <w:rFonts w:hint="default"/>
                <w:color w:val="auto"/>
                <w:highlight w:val="none"/>
              </w:rPr>
              <w:t>《固体废物分类与代码目录》（2024年版）</w:t>
            </w:r>
            <w:r>
              <w:rPr>
                <w:rFonts w:hint="eastAsia"/>
                <w:color w:val="auto"/>
                <w:highlight w:val="none"/>
              </w:rPr>
              <w:t>，</w:t>
            </w:r>
            <w:r>
              <w:rPr>
                <w:rFonts w:hint="default"/>
                <w:color w:val="auto"/>
                <w:highlight w:val="none"/>
              </w:rPr>
              <w:t>属于一般固体废物（SW17其他工业固体废物，900-003-S17），收集后外售给物资回收公司。</w:t>
            </w:r>
          </w:p>
          <w:p w14:paraId="2085303E">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eastAsia="zh-CN"/>
              </w:rPr>
              <w:t>③</w:t>
            </w:r>
            <w:r>
              <w:rPr>
                <w:rFonts w:hint="eastAsia"/>
                <w:color w:val="auto"/>
                <w:highlight w:val="none"/>
                <w:lang w:val="en-US" w:eastAsia="zh-CN"/>
              </w:rPr>
              <w:t>不合格品</w:t>
            </w:r>
          </w:p>
          <w:p w14:paraId="7928EB5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项目环保砖生产时产生不合格品，根据业主提供资料，本项目不合格品的产生量约为50t/a，</w:t>
            </w:r>
            <w:r>
              <w:rPr>
                <w:rFonts w:hint="eastAsia"/>
                <w:color w:val="auto"/>
                <w:highlight w:val="none"/>
              </w:rPr>
              <w:t>根据</w:t>
            </w:r>
            <w:r>
              <w:rPr>
                <w:rFonts w:hint="default"/>
                <w:color w:val="auto"/>
                <w:highlight w:val="none"/>
              </w:rPr>
              <w:t>《固体废物分类与代码目录》（2024年版）</w:t>
            </w:r>
            <w:r>
              <w:rPr>
                <w:rFonts w:hint="eastAsia"/>
                <w:color w:val="auto"/>
                <w:highlight w:val="none"/>
              </w:rPr>
              <w:t>，</w:t>
            </w:r>
            <w:r>
              <w:rPr>
                <w:rFonts w:hint="default"/>
                <w:color w:val="auto"/>
                <w:highlight w:val="none"/>
              </w:rPr>
              <w:t>属于一般固体废物（SW17其他工业固体废物，900-0</w:t>
            </w:r>
            <w:r>
              <w:rPr>
                <w:rFonts w:hint="eastAsia"/>
                <w:color w:val="auto"/>
                <w:highlight w:val="none"/>
                <w:lang w:val="en-US" w:eastAsia="zh-CN"/>
              </w:rPr>
              <w:t>10</w:t>
            </w:r>
            <w:r>
              <w:rPr>
                <w:rFonts w:hint="default"/>
                <w:color w:val="auto"/>
                <w:highlight w:val="none"/>
              </w:rPr>
              <w:t>-S17），收集后外售给物资回收公司。</w:t>
            </w:r>
          </w:p>
          <w:p w14:paraId="7A79FD80">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eastAsia="zh-CN"/>
              </w:rPr>
              <w:t>④</w:t>
            </w:r>
            <w:r>
              <w:rPr>
                <w:rFonts w:hint="eastAsia"/>
                <w:color w:val="auto"/>
                <w:highlight w:val="none"/>
                <w:lang w:val="en-US" w:eastAsia="zh-CN"/>
              </w:rPr>
              <w:t>收集粉尘</w:t>
            </w:r>
          </w:p>
          <w:p w14:paraId="58566DD1">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1</w:t>
            </w:r>
            <w:r>
              <w:rPr>
                <w:rFonts w:hint="eastAsia"/>
                <w:color w:val="auto"/>
                <w:highlight w:val="none"/>
                <w:lang w:eastAsia="zh-CN"/>
              </w:rPr>
              <w:t>）</w:t>
            </w:r>
            <w:r>
              <w:rPr>
                <w:rFonts w:hint="eastAsia"/>
                <w:color w:val="auto"/>
                <w:highlight w:val="none"/>
              </w:rPr>
              <w:t>布袋</w:t>
            </w:r>
            <w:r>
              <w:rPr>
                <w:rFonts w:hint="default"/>
                <w:color w:val="auto"/>
                <w:highlight w:val="none"/>
              </w:rPr>
              <w:t>除尘器收集的粉尘</w:t>
            </w:r>
          </w:p>
          <w:p w14:paraId="3BCA640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根据前述工程分析，</w:t>
            </w:r>
            <w:r>
              <w:rPr>
                <w:rFonts w:hint="eastAsia"/>
                <w:color w:val="auto"/>
                <w:highlight w:val="none"/>
              </w:rPr>
              <w:t>布袋</w:t>
            </w:r>
            <w:r>
              <w:rPr>
                <w:rFonts w:hint="default"/>
                <w:color w:val="auto"/>
                <w:highlight w:val="none"/>
              </w:rPr>
              <w:t>除尘器收集到的</w:t>
            </w:r>
            <w:r>
              <w:rPr>
                <w:rFonts w:hint="eastAsia"/>
                <w:color w:val="auto"/>
                <w:highlight w:val="none"/>
                <w:lang w:eastAsia="zh-CN"/>
              </w:rPr>
              <w:t>粉尘</w:t>
            </w:r>
            <w:r>
              <w:rPr>
                <w:rFonts w:hint="default"/>
                <w:color w:val="auto"/>
                <w:highlight w:val="none"/>
              </w:rPr>
              <w:t>量为</w:t>
            </w:r>
            <w:r>
              <w:rPr>
                <w:rFonts w:hint="eastAsia"/>
                <w:color w:val="auto"/>
                <w:highlight w:val="none"/>
                <w:lang w:val="en-US" w:eastAsia="zh-CN"/>
              </w:rPr>
              <w:t>173.583</w:t>
            </w:r>
            <w:r>
              <w:rPr>
                <w:rFonts w:hint="default"/>
                <w:color w:val="auto"/>
                <w:highlight w:val="none"/>
              </w:rPr>
              <w:t>t/a</w:t>
            </w:r>
            <w:r>
              <w:rPr>
                <w:rFonts w:hint="eastAsia"/>
                <w:color w:val="auto"/>
                <w:highlight w:val="none"/>
                <w:lang w:val="en-US" w:eastAsia="zh-CN"/>
              </w:rPr>
              <w:t>，</w:t>
            </w:r>
            <w:r>
              <w:rPr>
                <w:rFonts w:hint="default"/>
                <w:color w:val="auto"/>
                <w:highlight w:val="none"/>
              </w:rPr>
              <w:t>。</w:t>
            </w:r>
            <w:r>
              <w:rPr>
                <w:rFonts w:hint="eastAsia"/>
                <w:color w:val="auto"/>
                <w:highlight w:val="none"/>
              </w:rPr>
              <w:t>根据《固体废物分类与代码目录》（2024年版），属于一般固体废物（S</w:t>
            </w:r>
            <w:r>
              <w:rPr>
                <w:rFonts w:hint="default"/>
                <w:color w:val="auto"/>
                <w:highlight w:val="none"/>
              </w:rPr>
              <w:t>W</w:t>
            </w:r>
            <w:r>
              <w:rPr>
                <w:rFonts w:hint="eastAsia"/>
                <w:color w:val="auto"/>
                <w:highlight w:val="none"/>
                <w:lang w:val="en-US" w:eastAsia="zh-CN"/>
              </w:rPr>
              <w:t>59其他工业</w:t>
            </w:r>
            <w:r>
              <w:rPr>
                <w:rFonts w:hint="eastAsia"/>
                <w:color w:val="auto"/>
                <w:highlight w:val="none"/>
              </w:rPr>
              <w:t>固体废物，固废代码：900-099-S59），</w:t>
            </w:r>
            <w:r>
              <w:rPr>
                <w:rFonts w:hint="eastAsia"/>
                <w:color w:val="auto"/>
                <w:highlight w:val="none"/>
                <w:lang w:val="en-US" w:eastAsia="zh-CN"/>
              </w:rPr>
              <w:t>回用于生产</w:t>
            </w:r>
            <w:r>
              <w:rPr>
                <w:rFonts w:hint="default"/>
                <w:color w:val="auto"/>
                <w:highlight w:val="none"/>
              </w:rPr>
              <w:t>。</w:t>
            </w:r>
          </w:p>
          <w:p w14:paraId="61AEE45E">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2）</w:t>
            </w:r>
            <w:r>
              <w:rPr>
                <w:rFonts w:hint="eastAsia"/>
                <w:color w:val="auto"/>
                <w:highlight w:val="none"/>
                <w:lang w:eastAsia="zh-CN"/>
              </w:rPr>
              <w:t>沉降</w:t>
            </w:r>
            <w:r>
              <w:rPr>
                <w:rFonts w:hint="eastAsia"/>
                <w:color w:val="auto"/>
                <w:highlight w:val="none"/>
              </w:rPr>
              <w:t>产生</w:t>
            </w:r>
            <w:r>
              <w:rPr>
                <w:rFonts w:hint="default"/>
                <w:color w:val="auto"/>
                <w:highlight w:val="none"/>
              </w:rPr>
              <w:t>的粉尘</w:t>
            </w:r>
          </w:p>
          <w:p w14:paraId="10EBFD60">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根据前述工程分析，</w:t>
            </w:r>
            <w:r>
              <w:rPr>
                <w:rFonts w:hint="eastAsia"/>
                <w:color w:val="auto"/>
                <w:highlight w:val="none"/>
              </w:rPr>
              <w:t>无组织重力沉降产生</w:t>
            </w:r>
            <w:r>
              <w:rPr>
                <w:rFonts w:hint="default"/>
                <w:color w:val="auto"/>
                <w:highlight w:val="none"/>
              </w:rPr>
              <w:t>的粉尘量为</w:t>
            </w:r>
            <w:r>
              <w:rPr>
                <w:rFonts w:hint="eastAsia"/>
                <w:color w:val="auto"/>
                <w:highlight w:val="none"/>
                <w:lang w:val="en-US" w:eastAsia="zh-CN"/>
              </w:rPr>
              <w:t>49.817</w:t>
            </w:r>
            <w:r>
              <w:rPr>
                <w:rFonts w:hint="default"/>
                <w:color w:val="auto"/>
                <w:highlight w:val="none"/>
              </w:rPr>
              <w:t>t/a。</w:t>
            </w:r>
            <w:r>
              <w:rPr>
                <w:rFonts w:hint="eastAsia"/>
                <w:color w:val="auto"/>
                <w:highlight w:val="none"/>
              </w:rPr>
              <w:t>根据《固体废物分类与代码目录》（2024年版），属于一般固体废物（S</w:t>
            </w:r>
            <w:r>
              <w:rPr>
                <w:rFonts w:hint="default"/>
                <w:color w:val="auto"/>
                <w:highlight w:val="none"/>
              </w:rPr>
              <w:t>W</w:t>
            </w:r>
            <w:r>
              <w:rPr>
                <w:rFonts w:hint="eastAsia"/>
                <w:color w:val="auto"/>
                <w:highlight w:val="none"/>
                <w:lang w:val="en-US" w:eastAsia="zh-CN"/>
              </w:rPr>
              <w:t>59其他工业</w:t>
            </w:r>
            <w:r>
              <w:rPr>
                <w:rFonts w:hint="eastAsia"/>
                <w:color w:val="auto"/>
                <w:highlight w:val="none"/>
              </w:rPr>
              <w:t>固体废物，固废代码：900-099-S59），</w:t>
            </w:r>
            <w:r>
              <w:rPr>
                <w:rFonts w:hint="eastAsia"/>
                <w:color w:val="auto"/>
                <w:highlight w:val="none"/>
                <w:lang w:val="en-US" w:eastAsia="zh-CN"/>
              </w:rPr>
              <w:t>清扫收集回用于生产</w:t>
            </w:r>
            <w:r>
              <w:rPr>
                <w:rFonts w:hint="default"/>
                <w:color w:val="auto"/>
                <w:highlight w:val="none"/>
              </w:rPr>
              <w:t>。</w:t>
            </w:r>
          </w:p>
          <w:p w14:paraId="6B36B533">
            <w:pPr>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eastAsia="zh-CN"/>
              </w:rPr>
              <w:t>⑤</w:t>
            </w:r>
            <w:r>
              <w:rPr>
                <w:rFonts w:hint="eastAsia"/>
                <w:color w:val="auto"/>
                <w:highlight w:val="none"/>
              </w:rPr>
              <w:t>沉淀沉渣</w:t>
            </w:r>
          </w:p>
          <w:p w14:paraId="780EC75B">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lang w:eastAsia="zh-CN"/>
              </w:rPr>
              <w:t>根据废水源强可知</w:t>
            </w:r>
            <w:r>
              <w:rPr>
                <w:rFonts w:hint="default"/>
                <w:color w:val="auto"/>
                <w:highlight w:val="none"/>
              </w:rPr>
              <w:t>车辆冲洗废水沉淀池、养护废水沉淀池、初期雨水池</w:t>
            </w:r>
            <w:r>
              <w:rPr>
                <w:rFonts w:hint="eastAsia"/>
                <w:color w:val="auto"/>
                <w:highlight w:val="none"/>
                <w:lang w:eastAsia="zh-CN"/>
              </w:rPr>
              <w:t>中</w:t>
            </w:r>
            <w:r>
              <w:rPr>
                <w:rFonts w:hint="eastAsia"/>
                <w:color w:val="auto"/>
                <w:highlight w:val="none"/>
                <w:lang w:val="en-US" w:eastAsia="zh-CN"/>
              </w:rPr>
              <w:t>SS去除量约为</w:t>
            </w:r>
            <w:r>
              <w:rPr>
                <w:rFonts w:hint="eastAsia"/>
                <w:color w:val="FF0000"/>
                <w:highlight w:val="none"/>
                <w:lang w:val="en-US" w:eastAsia="zh-CN"/>
              </w:rPr>
              <w:t>2.18t/a（干重）</w:t>
            </w:r>
            <w:r>
              <w:rPr>
                <w:rFonts w:hint="eastAsia"/>
                <w:color w:val="auto"/>
                <w:highlight w:val="none"/>
                <w:lang w:val="en-US" w:eastAsia="zh-CN"/>
              </w:rPr>
              <w:t>，按含水率80%核算，则</w:t>
            </w:r>
            <w:r>
              <w:rPr>
                <w:rFonts w:hint="eastAsia"/>
                <w:color w:val="auto"/>
                <w:highlight w:val="none"/>
              </w:rPr>
              <w:t>沉渣产生量</w:t>
            </w:r>
            <w:r>
              <w:rPr>
                <w:rFonts w:hint="eastAsia"/>
                <w:color w:val="FF0000"/>
                <w:highlight w:val="none"/>
                <w:lang w:val="en-US" w:eastAsia="zh-CN"/>
              </w:rPr>
              <w:t>10.9</w:t>
            </w:r>
            <w:r>
              <w:rPr>
                <w:rFonts w:hint="eastAsia"/>
                <w:color w:val="FF0000"/>
                <w:highlight w:val="none"/>
              </w:rPr>
              <w:t>t/a</w:t>
            </w:r>
            <w:r>
              <w:rPr>
                <w:rFonts w:hint="eastAsia"/>
                <w:color w:val="auto"/>
                <w:highlight w:val="none"/>
                <w:lang w:eastAsia="zh-CN"/>
              </w:rPr>
              <w:t>，</w:t>
            </w:r>
            <w:r>
              <w:rPr>
                <w:rFonts w:hint="default"/>
                <w:color w:val="auto"/>
                <w:highlight w:val="none"/>
              </w:rPr>
              <w:t>主要来源于车辆冲洗废水沉淀池、养护废水沉淀池、初期雨水池等</w:t>
            </w:r>
            <w:r>
              <w:rPr>
                <w:rFonts w:hint="default"/>
                <w:color w:val="FF0000"/>
                <w:highlight w:val="none"/>
              </w:rPr>
              <w:t>，</w:t>
            </w:r>
            <w:r>
              <w:rPr>
                <w:rFonts w:hint="eastAsia"/>
                <w:color w:val="FF0000"/>
                <w:highlight w:val="none"/>
              </w:rPr>
              <w:t>沉渣</w:t>
            </w:r>
            <w:r>
              <w:rPr>
                <w:rFonts w:hint="default"/>
                <w:color w:val="FF0000"/>
                <w:highlight w:val="none"/>
              </w:rPr>
              <w:t>成分与原料（</w:t>
            </w:r>
            <w:r>
              <w:rPr>
                <w:rFonts w:hint="eastAsia"/>
                <w:color w:val="FF0000"/>
                <w:highlight w:val="none"/>
                <w:lang w:eastAsia="zh-CN"/>
              </w:rPr>
              <w:t>锂渣</w:t>
            </w:r>
            <w:r>
              <w:rPr>
                <w:rFonts w:hint="default"/>
                <w:color w:val="FF0000"/>
                <w:highlight w:val="none"/>
              </w:rPr>
              <w:t>等）一致，为一般工业固废，</w:t>
            </w:r>
            <w:r>
              <w:rPr>
                <w:rFonts w:hint="eastAsia"/>
                <w:color w:val="FF0000"/>
                <w:highlight w:val="none"/>
              </w:rPr>
              <w:t>根据《固体废物分类与代码目录》（2024年版），</w:t>
            </w:r>
            <w:r>
              <w:rPr>
                <w:rFonts w:hint="default"/>
                <w:color w:val="FF0000"/>
                <w:highlight w:val="none"/>
              </w:rPr>
              <w:t>代码900-099-S07</w:t>
            </w:r>
            <w:r>
              <w:rPr>
                <w:rFonts w:hint="eastAsia"/>
                <w:color w:val="FF0000"/>
                <w:highlight w:val="none"/>
                <w:lang w:eastAsia="zh-CN"/>
              </w:rPr>
              <w:t>，</w:t>
            </w:r>
            <w:r>
              <w:rPr>
                <w:rFonts w:hint="eastAsia"/>
                <w:color w:val="FF0000"/>
                <w:highlight w:val="none"/>
              </w:rPr>
              <w:t>该部分沉渣</w:t>
            </w:r>
            <w:r>
              <w:rPr>
                <w:rFonts w:hint="eastAsia"/>
                <w:color w:val="FF0000"/>
                <w:highlight w:val="none"/>
                <w:lang w:val="en-US" w:eastAsia="zh-CN"/>
              </w:rPr>
              <w:t>清掏后回用于生产</w:t>
            </w:r>
            <w:r>
              <w:rPr>
                <w:rFonts w:hint="eastAsia"/>
                <w:color w:val="FF0000"/>
                <w:highlight w:val="none"/>
              </w:rPr>
              <w:t>。</w:t>
            </w:r>
          </w:p>
          <w:p w14:paraId="3006D39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⑥</w:t>
            </w:r>
            <w:r>
              <w:rPr>
                <w:rFonts w:hint="default"/>
                <w:color w:val="auto"/>
                <w:highlight w:val="none"/>
              </w:rPr>
              <w:t>生活垃圾</w:t>
            </w:r>
          </w:p>
          <w:p w14:paraId="431A09D0">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本项目劳动定员</w:t>
            </w:r>
            <w:r>
              <w:rPr>
                <w:rFonts w:hint="eastAsia"/>
                <w:color w:val="auto"/>
                <w:highlight w:val="none"/>
                <w:lang w:val="en-US" w:eastAsia="zh-CN"/>
              </w:rPr>
              <w:t>10</w:t>
            </w:r>
            <w:r>
              <w:rPr>
                <w:rFonts w:hint="default"/>
                <w:color w:val="auto"/>
                <w:highlight w:val="none"/>
              </w:rPr>
              <w:t>人，生活垃圾按0.5kg/人·d，则生活垃圾产生量为</w:t>
            </w:r>
            <w:r>
              <w:rPr>
                <w:rFonts w:hint="eastAsia"/>
                <w:color w:val="auto"/>
                <w:highlight w:val="none"/>
                <w:lang w:val="en-US" w:eastAsia="zh-CN"/>
              </w:rPr>
              <w:t>1.5</w:t>
            </w:r>
            <w:r>
              <w:rPr>
                <w:rFonts w:hint="default"/>
                <w:color w:val="auto"/>
                <w:highlight w:val="none"/>
              </w:rPr>
              <w:t>t/a。</w:t>
            </w:r>
            <w:r>
              <w:rPr>
                <w:rFonts w:hint="eastAsia"/>
                <w:color w:val="auto"/>
                <w:highlight w:val="none"/>
              </w:rPr>
              <w:t>根据</w:t>
            </w:r>
            <w:r>
              <w:rPr>
                <w:rFonts w:hint="default"/>
                <w:color w:val="auto"/>
                <w:highlight w:val="none"/>
              </w:rPr>
              <w:t>《固体废物分类与代码目录》（2024年版）</w:t>
            </w:r>
            <w:r>
              <w:rPr>
                <w:rFonts w:hint="eastAsia"/>
                <w:color w:val="auto"/>
                <w:highlight w:val="none"/>
              </w:rPr>
              <w:t>，</w:t>
            </w:r>
            <w:r>
              <w:rPr>
                <w:rFonts w:hint="default"/>
                <w:color w:val="auto"/>
                <w:highlight w:val="none"/>
              </w:rPr>
              <w:t>属于一般固体废物（SW64，900-099-S64），定点收集后交由环卫部门处理。</w:t>
            </w:r>
          </w:p>
          <w:p w14:paraId="285A81A6">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eastAsia="zh-CN"/>
              </w:rPr>
              <w:t>（</w:t>
            </w:r>
            <w:r>
              <w:rPr>
                <w:rFonts w:hint="eastAsia"/>
                <w:b/>
                <w:bCs/>
                <w:color w:val="auto"/>
                <w:highlight w:val="none"/>
                <w:lang w:val="en-US" w:eastAsia="zh-CN"/>
              </w:rPr>
              <w:t>2</w:t>
            </w:r>
            <w:r>
              <w:rPr>
                <w:rFonts w:hint="eastAsia"/>
                <w:b/>
                <w:bCs/>
                <w:color w:val="auto"/>
                <w:highlight w:val="none"/>
                <w:lang w:eastAsia="zh-CN"/>
              </w:rPr>
              <w:t>）</w:t>
            </w:r>
            <w:r>
              <w:rPr>
                <w:rFonts w:hint="default"/>
                <w:b/>
                <w:bCs/>
                <w:color w:val="auto"/>
                <w:highlight w:val="none"/>
              </w:rPr>
              <w:t>危险废物</w:t>
            </w:r>
          </w:p>
          <w:p w14:paraId="11745D51">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①</w:t>
            </w:r>
            <w:r>
              <w:rPr>
                <w:rFonts w:hint="default"/>
                <w:color w:val="auto"/>
                <w:highlight w:val="none"/>
              </w:rPr>
              <w:t>废</w:t>
            </w:r>
            <w:r>
              <w:rPr>
                <w:rFonts w:hint="eastAsia"/>
                <w:color w:val="auto"/>
                <w:highlight w:val="none"/>
                <w:lang w:eastAsia="zh-CN"/>
              </w:rPr>
              <w:t>机</w:t>
            </w:r>
            <w:r>
              <w:rPr>
                <w:rFonts w:hint="default"/>
                <w:color w:val="auto"/>
                <w:highlight w:val="none"/>
              </w:rPr>
              <w:t>油</w:t>
            </w:r>
          </w:p>
          <w:p w14:paraId="23083CD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本项目运行维护过程将产生少量废</w:t>
            </w:r>
            <w:r>
              <w:rPr>
                <w:rFonts w:hint="eastAsia"/>
                <w:color w:val="auto"/>
                <w:highlight w:val="none"/>
                <w:lang w:eastAsia="zh-CN"/>
              </w:rPr>
              <w:t>机</w:t>
            </w:r>
            <w:r>
              <w:rPr>
                <w:rFonts w:hint="default"/>
                <w:color w:val="auto"/>
                <w:highlight w:val="none"/>
              </w:rPr>
              <w:t>油，</w:t>
            </w:r>
            <w:r>
              <w:rPr>
                <w:rFonts w:hint="eastAsia"/>
                <w:color w:val="auto"/>
                <w:highlight w:val="none"/>
                <w:lang w:eastAsia="zh-CN"/>
              </w:rPr>
              <w:t>机</w:t>
            </w:r>
            <w:r>
              <w:rPr>
                <w:rFonts w:hint="default"/>
                <w:color w:val="auto"/>
                <w:highlight w:val="none"/>
              </w:rPr>
              <w:t>油年用量约</w:t>
            </w:r>
            <w:r>
              <w:rPr>
                <w:rFonts w:hint="eastAsia"/>
                <w:color w:val="auto"/>
                <w:highlight w:val="none"/>
                <w:lang w:val="en-US" w:eastAsia="zh-CN"/>
              </w:rPr>
              <w:t>0.5</w:t>
            </w:r>
            <w:r>
              <w:rPr>
                <w:rFonts w:hint="default"/>
                <w:color w:val="auto"/>
                <w:highlight w:val="none"/>
              </w:rPr>
              <w:t>t，废</w:t>
            </w:r>
            <w:r>
              <w:rPr>
                <w:rFonts w:hint="eastAsia"/>
                <w:color w:val="auto"/>
                <w:highlight w:val="none"/>
                <w:lang w:eastAsia="zh-CN"/>
              </w:rPr>
              <w:t>机</w:t>
            </w:r>
            <w:r>
              <w:rPr>
                <w:rFonts w:hint="default"/>
                <w:color w:val="auto"/>
                <w:highlight w:val="none"/>
              </w:rPr>
              <w:t>油产生量约为用量的</w:t>
            </w:r>
            <w:r>
              <w:rPr>
                <w:rFonts w:hint="eastAsia"/>
                <w:color w:val="auto"/>
                <w:highlight w:val="none"/>
                <w:lang w:val="en-US" w:eastAsia="zh-CN"/>
              </w:rPr>
              <w:t>80</w:t>
            </w:r>
            <w:r>
              <w:rPr>
                <w:rFonts w:hint="default"/>
                <w:color w:val="auto"/>
                <w:highlight w:val="none"/>
              </w:rPr>
              <w:t>%，废</w:t>
            </w:r>
            <w:r>
              <w:rPr>
                <w:rFonts w:hint="eastAsia"/>
                <w:color w:val="auto"/>
                <w:highlight w:val="none"/>
                <w:lang w:eastAsia="zh-CN"/>
              </w:rPr>
              <w:t>机</w:t>
            </w:r>
            <w:r>
              <w:rPr>
                <w:rFonts w:hint="default"/>
                <w:color w:val="auto"/>
                <w:highlight w:val="none"/>
              </w:rPr>
              <w:t>油产生量共计约0.4t/a，</w:t>
            </w:r>
            <w:r>
              <w:rPr>
                <w:rFonts w:hint="eastAsia"/>
                <w:color w:val="auto"/>
                <w:highlight w:val="none"/>
              </w:rPr>
              <w:t>根据</w:t>
            </w:r>
            <w:r>
              <w:rPr>
                <w:rFonts w:hint="default"/>
                <w:color w:val="auto"/>
                <w:highlight w:val="none"/>
              </w:rPr>
              <w:t>《国家危险废物名录》（2025年版），属于HW08（900-2</w:t>
            </w:r>
            <w:r>
              <w:rPr>
                <w:rFonts w:hint="eastAsia"/>
                <w:color w:val="auto"/>
                <w:highlight w:val="none"/>
                <w:lang w:val="en-US" w:eastAsia="zh-CN"/>
              </w:rPr>
              <w:t>17-</w:t>
            </w:r>
            <w:r>
              <w:rPr>
                <w:rFonts w:hint="default"/>
                <w:color w:val="auto"/>
                <w:highlight w:val="none"/>
              </w:rPr>
              <w:t>08</w:t>
            </w:r>
            <w:r>
              <w:rPr>
                <w:rFonts w:hint="eastAsia"/>
                <w:color w:val="auto"/>
                <w:highlight w:val="none"/>
                <w:lang w:val="en-US" w:eastAsia="zh-CN"/>
              </w:rPr>
              <w:t>使用工业齿轮油进行机械设备润滑过程中产生的废润滑油</w:t>
            </w:r>
            <w:r>
              <w:rPr>
                <w:rFonts w:hint="default"/>
                <w:color w:val="auto"/>
                <w:highlight w:val="none"/>
              </w:rPr>
              <w:t>），收集后暂存</w:t>
            </w:r>
            <w:r>
              <w:rPr>
                <w:rFonts w:hint="eastAsia"/>
                <w:color w:val="auto"/>
                <w:highlight w:val="none"/>
                <w:lang w:eastAsia="zh-CN"/>
              </w:rPr>
              <w:t>于</w:t>
            </w:r>
            <w:r>
              <w:rPr>
                <w:rFonts w:hint="default"/>
                <w:color w:val="auto"/>
                <w:highlight w:val="none"/>
              </w:rPr>
              <w:t>危废间，定期交由有资质单位处置。</w:t>
            </w:r>
          </w:p>
          <w:p w14:paraId="5FF31E0F">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②</w:t>
            </w:r>
            <w:r>
              <w:rPr>
                <w:rFonts w:hint="eastAsia"/>
                <w:color w:val="auto"/>
                <w:highlight w:val="none"/>
              </w:rPr>
              <w:t>废</w:t>
            </w:r>
            <w:r>
              <w:rPr>
                <w:rFonts w:hint="eastAsia"/>
                <w:color w:val="auto"/>
                <w:highlight w:val="none"/>
                <w:lang w:eastAsia="zh-CN"/>
              </w:rPr>
              <w:t>机</w:t>
            </w:r>
            <w:r>
              <w:rPr>
                <w:rFonts w:hint="default"/>
                <w:color w:val="auto"/>
                <w:highlight w:val="none"/>
              </w:rPr>
              <w:t>油</w:t>
            </w:r>
            <w:r>
              <w:rPr>
                <w:rFonts w:hint="eastAsia"/>
                <w:color w:val="auto"/>
                <w:highlight w:val="none"/>
              </w:rPr>
              <w:t>桶</w:t>
            </w:r>
          </w:p>
          <w:p w14:paraId="53C0BAFB">
            <w:pPr>
              <w:keepNext w:val="0"/>
              <w:keepLines w:val="0"/>
              <w:suppressLineNumbers w:val="0"/>
              <w:bidi w:val="0"/>
              <w:spacing w:before="0" w:beforeAutospacing="0" w:after="0" w:afterAutospacing="0"/>
              <w:ind w:left="0" w:right="0"/>
              <w:rPr>
                <w:rFonts w:hint="eastAsia"/>
                <w:color w:val="auto"/>
                <w:highlight w:val="none"/>
                <w:lang w:val="en-US" w:eastAsia="zh-CN"/>
              </w:rPr>
            </w:pPr>
            <w:r>
              <w:rPr>
                <w:rFonts w:hint="eastAsia"/>
                <w:color w:val="auto"/>
                <w:highlight w:val="none"/>
                <w:lang w:eastAsia="zh-CN"/>
              </w:rPr>
              <w:t>项目</w:t>
            </w:r>
            <w:r>
              <w:rPr>
                <w:rFonts w:hint="default"/>
                <w:color w:val="auto"/>
                <w:highlight w:val="none"/>
              </w:rPr>
              <w:t>设备维护保养会产生</w:t>
            </w:r>
            <w:r>
              <w:rPr>
                <w:rFonts w:hint="eastAsia"/>
                <w:color w:val="auto"/>
                <w:highlight w:val="none"/>
              </w:rPr>
              <w:t>废</w:t>
            </w:r>
            <w:r>
              <w:rPr>
                <w:rFonts w:hint="eastAsia"/>
                <w:color w:val="auto"/>
                <w:highlight w:val="none"/>
                <w:lang w:eastAsia="zh-CN"/>
              </w:rPr>
              <w:t>机</w:t>
            </w:r>
            <w:r>
              <w:rPr>
                <w:rFonts w:hint="eastAsia"/>
                <w:color w:val="auto"/>
                <w:highlight w:val="none"/>
              </w:rPr>
              <w:t>油桶</w:t>
            </w:r>
            <w:r>
              <w:rPr>
                <w:rFonts w:hint="default"/>
                <w:color w:val="auto"/>
                <w:highlight w:val="none"/>
              </w:rPr>
              <w:t>，根据企业提供资料，</w:t>
            </w:r>
            <w:r>
              <w:rPr>
                <w:rFonts w:hint="eastAsia"/>
                <w:color w:val="auto"/>
                <w:highlight w:val="none"/>
                <w:lang w:eastAsia="zh-CN"/>
              </w:rPr>
              <w:t>本项目一年约产生</w:t>
            </w:r>
            <w:r>
              <w:rPr>
                <w:rFonts w:hint="eastAsia"/>
                <w:color w:val="auto"/>
                <w:highlight w:val="none"/>
                <w:lang w:val="en-US" w:eastAsia="zh-CN"/>
              </w:rPr>
              <w:t>4个</w:t>
            </w:r>
            <w:r>
              <w:rPr>
                <w:rFonts w:hint="eastAsia"/>
                <w:color w:val="auto"/>
                <w:highlight w:val="none"/>
              </w:rPr>
              <w:t>废</w:t>
            </w:r>
            <w:r>
              <w:rPr>
                <w:rFonts w:hint="eastAsia"/>
                <w:color w:val="auto"/>
                <w:highlight w:val="none"/>
                <w:lang w:eastAsia="zh-CN"/>
              </w:rPr>
              <w:t>机</w:t>
            </w:r>
            <w:r>
              <w:rPr>
                <w:rFonts w:hint="eastAsia"/>
                <w:color w:val="auto"/>
                <w:highlight w:val="none"/>
              </w:rPr>
              <w:t>油桶</w:t>
            </w:r>
            <w:r>
              <w:rPr>
                <w:rFonts w:hint="eastAsia"/>
                <w:color w:val="auto"/>
                <w:highlight w:val="none"/>
                <w:lang w:eastAsia="zh-CN"/>
              </w:rPr>
              <w:t>，</w:t>
            </w:r>
            <w:r>
              <w:rPr>
                <w:rFonts w:hint="default"/>
                <w:color w:val="auto"/>
                <w:highlight w:val="none"/>
              </w:rPr>
              <w:t>一个废</w:t>
            </w:r>
            <w:r>
              <w:rPr>
                <w:rFonts w:hint="eastAsia"/>
                <w:color w:val="auto"/>
                <w:highlight w:val="none"/>
                <w:lang w:val="en-US" w:eastAsia="zh-CN"/>
              </w:rPr>
              <w:t>机油</w:t>
            </w:r>
            <w:r>
              <w:rPr>
                <w:rFonts w:hint="default"/>
                <w:color w:val="auto"/>
                <w:highlight w:val="none"/>
              </w:rPr>
              <w:t>桶约重</w:t>
            </w:r>
            <w:r>
              <w:rPr>
                <w:rFonts w:hint="eastAsia"/>
                <w:color w:val="auto"/>
                <w:highlight w:val="none"/>
                <w:lang w:val="en-US" w:eastAsia="zh-CN"/>
              </w:rPr>
              <w:t>5</w:t>
            </w:r>
            <w:r>
              <w:rPr>
                <w:rFonts w:hint="default"/>
                <w:color w:val="auto"/>
                <w:highlight w:val="none"/>
              </w:rPr>
              <w:t>kg，故项目运营期产生</w:t>
            </w:r>
            <w:r>
              <w:rPr>
                <w:rFonts w:hint="eastAsia"/>
                <w:color w:val="auto"/>
                <w:highlight w:val="none"/>
              </w:rPr>
              <w:t>废</w:t>
            </w:r>
            <w:r>
              <w:rPr>
                <w:rFonts w:hint="eastAsia"/>
                <w:color w:val="auto"/>
                <w:highlight w:val="none"/>
                <w:lang w:eastAsia="zh-CN"/>
              </w:rPr>
              <w:t>机</w:t>
            </w:r>
            <w:r>
              <w:rPr>
                <w:rFonts w:hint="eastAsia"/>
                <w:color w:val="auto"/>
                <w:highlight w:val="none"/>
              </w:rPr>
              <w:t>油桶</w:t>
            </w:r>
            <w:r>
              <w:rPr>
                <w:rFonts w:hint="default"/>
                <w:color w:val="auto"/>
                <w:highlight w:val="none"/>
              </w:rPr>
              <w:t>约0.0</w:t>
            </w:r>
            <w:r>
              <w:rPr>
                <w:rFonts w:hint="eastAsia"/>
                <w:color w:val="auto"/>
                <w:highlight w:val="none"/>
                <w:lang w:val="en-US" w:eastAsia="zh-CN"/>
              </w:rPr>
              <w:t>2</w:t>
            </w:r>
            <w:r>
              <w:rPr>
                <w:rFonts w:hint="default"/>
                <w:color w:val="auto"/>
                <w:highlight w:val="none"/>
              </w:rPr>
              <w:t>t/a。对照《国家危险废物名录》（202</w:t>
            </w:r>
            <w:r>
              <w:rPr>
                <w:rFonts w:hint="eastAsia"/>
                <w:color w:val="auto"/>
                <w:highlight w:val="none"/>
                <w:lang w:val="en-US" w:eastAsia="zh-CN"/>
              </w:rPr>
              <w:t>5</w:t>
            </w:r>
            <w:r>
              <w:rPr>
                <w:rFonts w:hint="default"/>
                <w:color w:val="auto"/>
                <w:highlight w:val="none"/>
              </w:rPr>
              <w:t>版）</w:t>
            </w:r>
            <w:r>
              <w:rPr>
                <w:rFonts w:hint="eastAsia"/>
                <w:color w:val="auto"/>
                <w:highlight w:val="none"/>
              </w:rPr>
              <w:t>废</w:t>
            </w:r>
            <w:r>
              <w:rPr>
                <w:rFonts w:hint="eastAsia"/>
                <w:color w:val="auto"/>
                <w:highlight w:val="none"/>
                <w:lang w:eastAsia="zh-CN"/>
              </w:rPr>
              <w:t>机</w:t>
            </w:r>
            <w:r>
              <w:rPr>
                <w:rFonts w:hint="eastAsia"/>
                <w:color w:val="auto"/>
                <w:highlight w:val="none"/>
              </w:rPr>
              <w:t>油桶属于危险废物HW08</w:t>
            </w:r>
            <w:r>
              <w:rPr>
                <w:rFonts w:hint="eastAsia"/>
                <w:color w:val="auto"/>
                <w:highlight w:val="none"/>
                <w:lang w:eastAsia="zh-CN"/>
              </w:rPr>
              <w:t>（</w:t>
            </w:r>
            <w:r>
              <w:rPr>
                <w:rFonts w:hint="default"/>
                <w:color w:val="auto"/>
                <w:highlight w:val="none"/>
              </w:rPr>
              <w:t>900-</w:t>
            </w:r>
            <w:r>
              <w:rPr>
                <w:rFonts w:hint="eastAsia"/>
                <w:color w:val="auto"/>
                <w:highlight w:val="none"/>
              </w:rPr>
              <w:t>249</w:t>
            </w:r>
            <w:r>
              <w:rPr>
                <w:rFonts w:hint="default"/>
                <w:color w:val="auto"/>
                <w:highlight w:val="none"/>
              </w:rPr>
              <w:t>-</w:t>
            </w:r>
            <w:r>
              <w:rPr>
                <w:rFonts w:hint="eastAsia"/>
                <w:color w:val="auto"/>
                <w:highlight w:val="none"/>
              </w:rPr>
              <w:t>08</w:t>
            </w:r>
            <w:r>
              <w:rPr>
                <w:rFonts w:hint="eastAsia"/>
                <w:color w:val="auto"/>
                <w:highlight w:val="none"/>
                <w:lang w:val="en-US" w:eastAsia="zh-CN"/>
              </w:rPr>
              <w:t>其他生产、销售、使用过程中产生的废矿物油及沾染矿物油的废弃包装物</w:t>
            </w:r>
            <w:r>
              <w:rPr>
                <w:rFonts w:hint="eastAsia"/>
                <w:color w:val="auto"/>
                <w:highlight w:val="none"/>
                <w:lang w:eastAsia="zh-CN"/>
              </w:rPr>
              <w:t>）</w:t>
            </w:r>
            <w:r>
              <w:rPr>
                <w:rFonts w:hint="eastAsia"/>
                <w:color w:val="auto"/>
                <w:highlight w:val="none"/>
              </w:rPr>
              <w:t>，</w:t>
            </w:r>
            <w:r>
              <w:rPr>
                <w:rFonts w:hint="eastAsia"/>
                <w:color w:val="auto"/>
                <w:highlight w:val="none"/>
                <w:lang w:val="en-US" w:eastAsia="zh-CN"/>
              </w:rPr>
              <w:t>统一收集于危废暂存间，定期</w:t>
            </w:r>
            <w:r>
              <w:rPr>
                <w:rFonts w:hint="eastAsia"/>
                <w:color w:val="auto"/>
                <w:highlight w:val="none"/>
              </w:rPr>
              <w:t>交由资质单位处置</w:t>
            </w:r>
            <w:r>
              <w:rPr>
                <w:rFonts w:hint="eastAsia"/>
                <w:color w:val="auto"/>
                <w:highlight w:val="none"/>
                <w:lang w:val="en-US" w:eastAsia="zh-CN"/>
              </w:rPr>
              <w:t>。</w:t>
            </w:r>
          </w:p>
          <w:p w14:paraId="1F7E9D34">
            <w:pPr>
              <w:keepNext w:val="0"/>
              <w:keepLines w:val="0"/>
              <w:suppressLineNumbers w:val="0"/>
              <w:bidi w:val="0"/>
              <w:spacing w:before="0" w:beforeAutospacing="0" w:after="0" w:afterAutospacing="0"/>
              <w:ind w:left="0" w:right="0"/>
              <w:rPr>
                <w:rFonts w:hint="eastAsia"/>
                <w:color w:val="auto"/>
                <w:highlight w:val="none"/>
                <w:lang w:eastAsia="zh-CN"/>
              </w:rPr>
            </w:pPr>
            <w:r>
              <w:rPr>
                <w:rFonts w:hint="eastAsia"/>
                <w:color w:val="auto"/>
                <w:highlight w:val="none"/>
                <w:lang w:eastAsia="zh-CN"/>
              </w:rPr>
              <w:t>③</w:t>
            </w:r>
            <w:r>
              <w:rPr>
                <w:rFonts w:hint="eastAsia"/>
                <w:color w:val="auto"/>
                <w:highlight w:val="none"/>
              </w:rPr>
              <w:t>废含油抹布</w:t>
            </w:r>
            <w:r>
              <w:rPr>
                <w:rFonts w:hint="eastAsia"/>
                <w:color w:val="auto"/>
                <w:highlight w:val="none"/>
                <w:lang w:eastAsia="zh-CN"/>
              </w:rPr>
              <w:t>及劳保用品</w:t>
            </w:r>
          </w:p>
          <w:p w14:paraId="58621F5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设备维护保养产生含油抹布</w:t>
            </w:r>
            <w:r>
              <w:rPr>
                <w:rFonts w:hint="eastAsia"/>
                <w:color w:val="auto"/>
                <w:highlight w:val="none"/>
                <w:lang w:eastAsia="zh-CN"/>
              </w:rPr>
              <w:t>及劳保用品</w:t>
            </w:r>
            <w:r>
              <w:rPr>
                <w:rFonts w:hint="default"/>
                <w:color w:val="auto"/>
                <w:highlight w:val="none"/>
              </w:rPr>
              <w:t>，根据建设单位提供的资料，项目运营期产生含油抹布</w:t>
            </w:r>
            <w:r>
              <w:rPr>
                <w:rFonts w:hint="eastAsia"/>
                <w:color w:val="auto"/>
                <w:highlight w:val="none"/>
                <w:lang w:eastAsia="zh-CN"/>
              </w:rPr>
              <w:t>及劳保用品</w:t>
            </w:r>
            <w:r>
              <w:rPr>
                <w:rFonts w:hint="default"/>
                <w:color w:val="auto"/>
                <w:highlight w:val="none"/>
              </w:rPr>
              <w:t>预计为0.01t/a，</w:t>
            </w:r>
            <w:r>
              <w:rPr>
                <w:rFonts w:hint="eastAsia"/>
                <w:color w:val="auto"/>
                <w:highlight w:val="none"/>
              </w:rPr>
              <w:t>根据</w:t>
            </w:r>
            <w:r>
              <w:rPr>
                <w:rFonts w:hint="default"/>
                <w:color w:val="auto"/>
                <w:highlight w:val="none"/>
              </w:rPr>
              <w:t>《国家危险废物名录》（2025年版），属于危险废物HW49（900-041-49</w:t>
            </w:r>
            <w:r>
              <w:rPr>
                <w:rFonts w:hint="eastAsia"/>
                <w:color w:val="auto"/>
                <w:highlight w:val="none"/>
                <w:lang w:eastAsia="zh-CN"/>
              </w:rPr>
              <w:t>，</w:t>
            </w:r>
            <w:r>
              <w:rPr>
                <w:rFonts w:hint="eastAsia"/>
                <w:color w:val="auto"/>
                <w:highlight w:val="none"/>
                <w:lang w:val="en-US" w:eastAsia="zh-CN"/>
              </w:rPr>
              <w:t>含有或者沾染毒性、感染性危险废物的废弃的包装物、容器、过滤吸附介质</w:t>
            </w:r>
            <w:r>
              <w:rPr>
                <w:rFonts w:hint="default"/>
                <w:color w:val="auto"/>
                <w:highlight w:val="none"/>
              </w:rPr>
              <w:t>），收集后贮存于危险废物暂存间，定期委托资质单位处理。</w:t>
            </w:r>
          </w:p>
          <w:p w14:paraId="33652B4E">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val="en-US" w:eastAsia="zh-CN"/>
              </w:rPr>
              <w:t>3</w:t>
            </w:r>
            <w:r>
              <w:rPr>
                <w:rFonts w:hint="default"/>
                <w:b/>
                <w:bCs w:val="0"/>
                <w:color w:val="auto"/>
                <w:highlight w:val="none"/>
              </w:rPr>
              <w:t>、固体废物防治措施及环境管理要求</w:t>
            </w:r>
          </w:p>
          <w:p w14:paraId="4052451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（1）一般固体废物</w:t>
            </w:r>
          </w:p>
          <w:p w14:paraId="1976613D">
            <w:pPr>
              <w:keepNext w:val="0"/>
              <w:keepLines w:val="0"/>
              <w:suppressLineNumbers w:val="0"/>
              <w:bidi w:val="0"/>
              <w:spacing w:before="0" w:beforeAutospacing="0" w:after="0" w:afterAutospacing="0"/>
              <w:ind w:left="0" w:right="0"/>
              <w:rPr>
                <w:rFonts w:hint="default"/>
                <w:color w:val="auto"/>
                <w:highlight w:val="none"/>
              </w:rPr>
            </w:pPr>
            <w:r>
              <w:rPr>
                <w:rFonts w:hint="default"/>
                <w:color w:val="000000" w:themeColor="text1"/>
                <w:highlight w:val="none"/>
                <w14:textFill>
                  <w14:solidFill>
                    <w14:schemeClr w14:val="tx1"/>
                  </w14:solidFill>
                </w14:textFill>
              </w:rPr>
              <w:t>项目</w:t>
            </w:r>
            <w:r>
              <w:rPr>
                <w:rFonts w:hint="eastAsia"/>
                <w:color w:val="000000" w:themeColor="text1"/>
                <w:highlight w:val="none"/>
                <w:lang w:eastAsia="zh-CN"/>
                <w14:textFill>
                  <w14:solidFill>
                    <w14:schemeClr w14:val="tx1"/>
                  </w14:solidFill>
                </w14:textFill>
              </w:rPr>
              <w:t>新增一间</w:t>
            </w:r>
            <w:r>
              <w:rPr>
                <w:rFonts w:hint="default"/>
                <w:color w:val="000000" w:themeColor="text1"/>
                <w:highlight w:val="none"/>
                <w14:textFill>
                  <w14:solidFill>
                    <w14:schemeClr w14:val="tx1"/>
                  </w14:solidFill>
                </w14:textFill>
              </w:rPr>
              <w:t>一般固废暂存间</w:t>
            </w:r>
            <w:r>
              <w:rPr>
                <w:rFonts w:hint="eastAsia"/>
                <w:color w:val="000000" w:themeColor="text1"/>
                <w:highlight w:val="none"/>
                <w:lang w:eastAsia="zh-CN"/>
                <w14:textFill>
                  <w14:solidFill>
                    <w14:schemeClr w14:val="tx1"/>
                  </w14:solidFill>
                </w14:textFill>
              </w:rPr>
              <w:t>，</w:t>
            </w:r>
            <w:r>
              <w:rPr>
                <w:rFonts w:hint="eastAsia"/>
                <w:color w:val="000000" w:themeColor="text1"/>
                <w:highlight w:val="none"/>
                <w:lang w:val="en-US" w:eastAsia="zh-CN"/>
                <w14:textFill>
                  <w14:solidFill>
                    <w14:schemeClr w14:val="tx1"/>
                  </w14:solidFill>
                </w14:textFill>
              </w:rPr>
              <w:t>位于租赁2#</w:t>
            </w:r>
            <w:r>
              <w:rPr>
                <w:rFonts w:hint="eastAsia"/>
                <w:color w:val="000000" w:themeColor="text1"/>
                <w:highlight w:val="none"/>
                <w14:textFill>
                  <w14:solidFill>
                    <w14:schemeClr w14:val="tx1"/>
                  </w14:solidFill>
                </w14:textFill>
              </w:rPr>
              <w:t>厂房</w:t>
            </w:r>
            <w:r>
              <w:rPr>
                <w:rFonts w:hint="eastAsia"/>
                <w:color w:val="000000" w:themeColor="text1"/>
                <w:highlight w:val="none"/>
                <w:lang w:val="en-US" w:eastAsia="zh-CN"/>
                <w14:textFill>
                  <w14:solidFill>
                    <w14:schemeClr w14:val="tx1"/>
                  </w14:solidFill>
                </w14:textFill>
              </w:rPr>
              <w:t>西</w:t>
            </w:r>
            <w:r>
              <w:rPr>
                <w:rFonts w:hint="eastAsia"/>
                <w:color w:val="000000" w:themeColor="text1"/>
                <w:highlight w:val="none"/>
                <w:lang w:eastAsia="zh-CN"/>
                <w14:textFill>
                  <w14:solidFill>
                    <w14:schemeClr w14:val="tx1"/>
                  </w14:solidFill>
                </w14:textFill>
              </w:rPr>
              <w:t>北</w:t>
            </w:r>
            <w:r>
              <w:rPr>
                <w:rFonts w:hint="eastAsia"/>
                <w:color w:val="000000" w:themeColor="text1"/>
                <w:highlight w:val="none"/>
                <w14:textFill>
                  <w14:solidFill>
                    <w14:schemeClr w14:val="tx1"/>
                  </w14:solidFill>
                </w14:textFill>
              </w:rPr>
              <w:t>侧，</w:t>
            </w:r>
            <w:r>
              <w:rPr>
                <w:rFonts w:hint="default"/>
                <w:color w:val="000000" w:themeColor="text1"/>
                <w:highlight w:val="none"/>
                <w14:textFill>
                  <w14:solidFill>
                    <w14:schemeClr w14:val="tx1"/>
                  </w14:solidFill>
                </w14:textFill>
              </w:rPr>
              <w:t>占地面积</w:t>
            </w:r>
            <w:r>
              <w:rPr>
                <w:rFonts w:hint="eastAsia"/>
                <w:color w:val="000000" w:themeColor="text1"/>
                <w:highlight w:val="none"/>
                <w:lang w:val="en-US" w:eastAsia="zh-CN"/>
                <w14:textFill>
                  <w14:solidFill>
                    <w14:schemeClr w14:val="tx1"/>
                  </w14:solidFill>
                </w14:textFill>
              </w:rPr>
              <w:t>30</w:t>
            </w:r>
            <w:r>
              <w:rPr>
                <w:rFonts w:hint="default"/>
                <w:color w:val="000000" w:themeColor="text1"/>
                <w:highlight w:val="none"/>
                <w14:textFill>
                  <w14:solidFill>
                    <w14:schemeClr w14:val="tx1"/>
                  </w14:solidFill>
                </w14:textFill>
              </w:rPr>
              <w:t>m</w:t>
            </w:r>
            <w:r>
              <w:rPr>
                <w:rFonts w:hint="default"/>
                <w:color w:val="000000" w:themeColor="text1"/>
                <w:highlight w:val="none"/>
                <w:vertAlign w:val="superscript"/>
                <w14:textFill>
                  <w14:solidFill>
                    <w14:schemeClr w14:val="tx1"/>
                  </w14:solidFill>
                </w14:textFill>
              </w:rPr>
              <w:t>2</w:t>
            </w:r>
            <w:r>
              <w:rPr>
                <w:rFonts w:hint="default"/>
                <w:color w:val="000000" w:themeColor="text1"/>
                <w:highlight w:val="none"/>
                <w14:textFill>
                  <w14:solidFill>
                    <w14:schemeClr w14:val="tx1"/>
                  </w14:solidFill>
                </w14:textFill>
              </w:rPr>
              <w:t>，贮存能力约</w:t>
            </w:r>
            <w:r>
              <w:rPr>
                <w:rFonts w:hint="eastAsia"/>
                <w:color w:val="000000" w:themeColor="text1"/>
                <w:highlight w:val="none"/>
                <w:lang w:val="en-US" w:eastAsia="zh-CN"/>
                <w14:textFill>
                  <w14:solidFill>
                    <w14:schemeClr w14:val="tx1"/>
                  </w14:solidFill>
                </w14:textFill>
              </w:rPr>
              <w:t>50</w:t>
            </w:r>
            <w:r>
              <w:rPr>
                <w:rFonts w:hint="default"/>
                <w:color w:val="000000" w:themeColor="text1"/>
                <w:highlight w:val="none"/>
                <w14:textFill>
                  <w14:solidFill>
                    <w14:schemeClr w14:val="tx1"/>
                  </w14:solidFill>
                </w14:textFill>
              </w:rPr>
              <w:t>t</w:t>
            </w:r>
            <w:r>
              <w:rPr>
                <w:rFonts w:hint="eastAsia"/>
                <w:color w:val="000000" w:themeColor="text1"/>
                <w:highlight w:val="none"/>
                <w:lang w:eastAsia="zh-CN"/>
                <w14:textFill>
                  <w14:solidFill>
                    <w14:schemeClr w14:val="tx1"/>
                  </w14:solidFill>
                </w14:textFill>
              </w:rPr>
              <w:t>，</w:t>
            </w:r>
            <w:r>
              <w:rPr>
                <w:rFonts w:hint="default"/>
                <w:color w:val="000000" w:themeColor="text1"/>
                <w:highlight w:val="none"/>
                <w14:textFill>
                  <w14:solidFill>
                    <w14:schemeClr w14:val="tx1"/>
                  </w14:solidFill>
                </w14:textFill>
              </w:rPr>
              <w:t>项目分区暂存各类固废，其设计及建设参照相关要求。</w:t>
            </w:r>
            <w:r>
              <w:rPr>
                <w:rFonts w:hint="eastAsia"/>
                <w:color w:val="FF0000"/>
                <w:highlight w:val="none"/>
                <w:lang w:val="en-US" w:eastAsia="zh-CN"/>
              </w:rPr>
              <w:t>本项目一般固废产生量为283.81t/a，其中收集粉尘和沉淀池沉渣产生量为233.21t/a，直接回用于生产不做贮存管理，其他一般固废为50.6t/a，</w:t>
            </w:r>
            <w:r>
              <w:rPr>
                <w:rFonts w:hint="default"/>
                <w:color w:val="FF0000"/>
                <w:highlight w:val="none"/>
              </w:rPr>
              <w:t>平均</w:t>
            </w:r>
            <w:r>
              <w:rPr>
                <w:rFonts w:hint="eastAsia"/>
                <w:color w:val="FF0000"/>
                <w:highlight w:val="none"/>
                <w:lang w:val="en-US" w:eastAsia="zh-CN"/>
              </w:rPr>
              <w:t>半年</w:t>
            </w:r>
            <w:r>
              <w:rPr>
                <w:rFonts w:hint="default"/>
                <w:color w:val="FF0000"/>
                <w:highlight w:val="none"/>
              </w:rPr>
              <w:t>转运一次，</w:t>
            </w:r>
            <w:r>
              <w:rPr>
                <w:rFonts w:hint="eastAsia"/>
                <w:color w:val="FF0000"/>
                <w:highlight w:val="none"/>
                <w:lang w:val="en-US" w:eastAsia="zh-CN"/>
              </w:rPr>
              <w:t>一般固废最大储存量为25.3t，因此本项目</w:t>
            </w:r>
            <w:r>
              <w:rPr>
                <w:rFonts w:hint="default"/>
                <w:color w:val="FF0000"/>
                <w:highlight w:val="none"/>
              </w:rPr>
              <w:t>一般固废暂存间贮存能力能够满足要求。</w:t>
            </w:r>
          </w:p>
          <w:p w14:paraId="26C94E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对于一般工业废物，根据《一般工业固体废物贮存和填埋污染控制标准》(GB18599-2020)及相关国家及地方法律法规，提出如下环保措施：</w:t>
            </w:r>
          </w:p>
          <w:p w14:paraId="1E50F8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1）为防止雨水径流进入贮存、处置场内，贮存、处置场周边应设置导流渠。</w:t>
            </w:r>
          </w:p>
          <w:p w14:paraId="4D9E5D0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 xml:space="preserve">2）为加强监督管理，贮存、处置场应按GB15562.2设置环境保护图形标志。 </w:t>
            </w:r>
          </w:p>
          <w:p w14:paraId="5AB48A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3）贮存、处置场使用单位，应建立检查维护制度。定期检查维护堤、坝、挡土墙、导流渠等设施，发现有损坏可能或异常，应及时采取必要措施，以保障正常运行。</w:t>
            </w:r>
          </w:p>
          <w:p w14:paraId="1E925F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textAlignment w:val="auto"/>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FF0000"/>
                <w:sz w:val="24"/>
                <w:szCs w:val="24"/>
                <w:lang w:val="en-US" w:eastAsia="zh-CN"/>
              </w:rPr>
              <w:t>4）贮存、处置场的使用单位，应建立档案制度。应将入场的一般工业固体废物的种类和数量以及下列资料。详细记录在案，长期保存，供随时查阅。</w:t>
            </w:r>
          </w:p>
          <w:p w14:paraId="68E793BD">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（2）危险废物</w:t>
            </w:r>
          </w:p>
          <w:p w14:paraId="6F4662E4">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根据《国家危险废物名录》</w:t>
            </w:r>
            <w:r>
              <w:rPr>
                <w:rFonts w:hint="eastAsia"/>
                <w:color w:val="auto"/>
                <w:highlight w:val="none"/>
              </w:rPr>
              <w:t>（2</w:t>
            </w:r>
            <w:r>
              <w:rPr>
                <w:rFonts w:hint="default"/>
                <w:color w:val="auto"/>
                <w:highlight w:val="none"/>
              </w:rPr>
              <w:t>025</w:t>
            </w:r>
            <w:r>
              <w:rPr>
                <w:rFonts w:hint="eastAsia"/>
                <w:color w:val="auto"/>
                <w:highlight w:val="none"/>
              </w:rPr>
              <w:t>年版）</w:t>
            </w:r>
            <w:r>
              <w:rPr>
                <w:rFonts w:hint="default"/>
                <w:color w:val="auto"/>
                <w:highlight w:val="none"/>
              </w:rPr>
              <w:t>规定，本项目产生的危险废物，应按要求交由有资质单位处理。交由有资质单位处理前，危险废物的存储应单独设置一间存放室</w:t>
            </w:r>
            <w:r>
              <w:rPr>
                <w:rFonts w:hint="default" w:ascii="Times New Roman" w:hAnsi="Times New Roman" w:eastAsia="宋体" w:cs="Times New Roman"/>
                <w:snapToGrid w:val="0"/>
                <w:color w:val="FF0000"/>
                <w:kern w:val="0"/>
                <w:sz w:val="24"/>
                <w:szCs w:val="20"/>
                <w:highlight w:val="none"/>
                <w:lang w:val="en-US" w:eastAsia="zh-CN" w:bidi="ar-SA"/>
              </w:rPr>
              <w:t>，采取必要的防风、防晒、防雨、防漏、防渗、防腐以及其他环境污染防治措施</w:t>
            </w:r>
            <w:r>
              <w:rPr>
                <w:rFonts w:hint="default"/>
                <w:color w:val="auto"/>
                <w:highlight w:val="none"/>
              </w:rPr>
              <w:t>。各类原材料和危废分区存放，禁止将不相容的原料和危废在同一容器内混装，装载液体、半固体危废容器内必须留有足够空间，容器顶部与液体表面保留100mm以上的空间，装载危险废物的容器上必须粘贴符合</w:t>
            </w:r>
            <w:r>
              <w:rPr>
                <w:rFonts w:hint="default"/>
                <w:color w:val="FF0000"/>
                <w:highlight w:val="none"/>
              </w:rPr>
              <w:t>《</w:t>
            </w:r>
            <w:r>
              <w:rPr>
                <w:rFonts w:hint="eastAsia"/>
                <w:color w:val="FF0000"/>
                <w:highlight w:val="none"/>
              </w:rPr>
              <w:t>危险废物贮存污染控制标准</w:t>
            </w:r>
            <w:r>
              <w:rPr>
                <w:rFonts w:hint="default"/>
                <w:color w:val="FF0000"/>
                <w:highlight w:val="none"/>
              </w:rPr>
              <w:t>》（GB18597-2023）</w:t>
            </w:r>
            <w:r>
              <w:rPr>
                <w:rFonts w:hint="default"/>
                <w:color w:val="auto"/>
                <w:highlight w:val="none"/>
              </w:rPr>
              <w:t>标准附录A所示的标签；危废暂存间要做好防风、防雨、防晒工作。并制定好固体废物特别是危险废物转移运输途中的污染防范及事故应急措施。</w:t>
            </w:r>
          </w:p>
          <w:p w14:paraId="4C546CA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项目危险废物主要为废</w:t>
            </w:r>
            <w:r>
              <w:rPr>
                <w:rFonts w:hint="eastAsia"/>
                <w:color w:val="auto"/>
                <w:highlight w:val="none"/>
                <w:lang w:eastAsia="zh-CN"/>
              </w:rPr>
              <w:t>机</w:t>
            </w:r>
            <w:r>
              <w:rPr>
                <w:rFonts w:hint="default"/>
                <w:color w:val="auto"/>
                <w:highlight w:val="none"/>
              </w:rPr>
              <w:t>油、废</w:t>
            </w:r>
            <w:r>
              <w:rPr>
                <w:rFonts w:hint="eastAsia"/>
                <w:color w:val="auto"/>
                <w:highlight w:val="none"/>
                <w:lang w:eastAsia="zh-CN"/>
              </w:rPr>
              <w:t>机</w:t>
            </w:r>
            <w:r>
              <w:rPr>
                <w:rFonts w:hint="default"/>
                <w:color w:val="auto"/>
                <w:highlight w:val="none"/>
              </w:rPr>
              <w:t>油桶、废含油抹布及</w:t>
            </w:r>
            <w:r>
              <w:rPr>
                <w:rFonts w:hint="eastAsia"/>
                <w:color w:val="auto"/>
                <w:highlight w:val="none"/>
                <w:lang w:eastAsia="zh-CN"/>
              </w:rPr>
              <w:t>劳保用品</w:t>
            </w:r>
            <w:r>
              <w:rPr>
                <w:rFonts w:hint="default"/>
                <w:color w:val="auto"/>
                <w:highlight w:val="none"/>
              </w:rPr>
              <w:t>等总计为0.43t/a，平均6个月转运一次，危废储存的最大量约0.215t。项目危废暂存间</w:t>
            </w:r>
            <w:r>
              <w:rPr>
                <w:rFonts w:hint="eastAsia"/>
                <w:color w:val="auto"/>
                <w:highlight w:val="none"/>
                <w:lang w:eastAsia="zh-CN"/>
              </w:rPr>
              <w:t>依托租赁厂房现有的闲置危废暂存间，</w:t>
            </w:r>
            <w:r>
              <w:rPr>
                <w:rFonts w:hint="eastAsia"/>
                <w:color w:val="auto"/>
                <w:highlight w:val="none"/>
                <w:lang w:val="en-US" w:eastAsia="zh-CN"/>
              </w:rPr>
              <w:t>位于租赁2#</w:t>
            </w:r>
            <w:r>
              <w:rPr>
                <w:rFonts w:hint="eastAsia"/>
                <w:color w:val="auto"/>
                <w:highlight w:val="none"/>
              </w:rPr>
              <w:t>厂房</w:t>
            </w:r>
            <w:r>
              <w:rPr>
                <w:rFonts w:hint="eastAsia"/>
                <w:color w:val="auto"/>
                <w:highlight w:val="none"/>
                <w:lang w:val="en-US" w:eastAsia="zh-CN"/>
              </w:rPr>
              <w:t>西</w:t>
            </w:r>
            <w:r>
              <w:rPr>
                <w:rFonts w:hint="eastAsia"/>
                <w:color w:val="auto"/>
                <w:highlight w:val="none"/>
              </w:rPr>
              <w:t>南侧，</w:t>
            </w:r>
            <w:r>
              <w:rPr>
                <w:rFonts w:hint="default"/>
                <w:color w:val="auto"/>
                <w:highlight w:val="none"/>
              </w:rPr>
              <w:t>占地面积</w:t>
            </w:r>
            <w:r>
              <w:rPr>
                <w:rFonts w:hint="eastAsia"/>
                <w:color w:val="auto"/>
                <w:highlight w:val="none"/>
                <w:lang w:eastAsia="zh-CN"/>
              </w:rPr>
              <w:t>约</w:t>
            </w:r>
            <w:r>
              <w:rPr>
                <w:rFonts w:hint="eastAsia"/>
                <w:color w:val="auto"/>
                <w:highlight w:val="none"/>
                <w:lang w:val="en-US" w:eastAsia="zh-CN"/>
              </w:rPr>
              <w:t>30</w:t>
            </w:r>
            <w:r>
              <w:rPr>
                <w:rFonts w:hint="default"/>
                <w:color w:val="auto"/>
                <w:highlight w:val="none"/>
              </w:rPr>
              <w:t>m</w:t>
            </w:r>
            <w:r>
              <w:rPr>
                <w:rFonts w:hint="default"/>
                <w:color w:val="auto"/>
                <w:highlight w:val="none"/>
                <w:vertAlign w:val="superscript"/>
              </w:rPr>
              <w:t>2</w:t>
            </w:r>
            <w:r>
              <w:rPr>
                <w:rFonts w:hint="default"/>
                <w:color w:val="auto"/>
                <w:highlight w:val="none"/>
              </w:rPr>
              <w:t>，可储存危废量约为</w:t>
            </w:r>
            <w:r>
              <w:rPr>
                <w:rFonts w:hint="eastAsia"/>
                <w:color w:val="auto"/>
                <w:highlight w:val="none"/>
                <w:lang w:val="en-US" w:eastAsia="zh-CN"/>
              </w:rPr>
              <w:t>50</w:t>
            </w:r>
            <w:r>
              <w:rPr>
                <w:rFonts w:hint="default"/>
                <w:color w:val="auto"/>
                <w:highlight w:val="none"/>
              </w:rPr>
              <w:t>t，</w:t>
            </w:r>
            <w:r>
              <w:rPr>
                <w:rFonts w:hint="eastAsia"/>
                <w:color w:val="auto"/>
                <w:highlight w:val="none"/>
                <w:lang w:val="en-US" w:eastAsia="zh-CN"/>
              </w:rPr>
              <w:t>因此本项目</w:t>
            </w:r>
            <w:r>
              <w:rPr>
                <w:rFonts w:hint="default"/>
                <w:color w:val="auto"/>
                <w:highlight w:val="none"/>
              </w:rPr>
              <w:t>危险废物暂存间贮存能力能够满足要求。</w:t>
            </w:r>
          </w:p>
          <w:p w14:paraId="32B7033D">
            <w:pPr>
              <w:keepNext w:val="0"/>
              <w:keepLines w:val="0"/>
              <w:widowControl w:val="0"/>
              <w:numPr>
                <w:ilvl w:val="0"/>
                <w:numId w:val="20"/>
              </w:numPr>
              <w:suppressLineNumbers w:val="0"/>
              <w:adjustRightInd w:val="0"/>
              <w:snapToGrid w:val="0"/>
              <w:spacing w:before="0" w:beforeAutospacing="0" w:after="0" w:afterAutospacing="0" w:line="360" w:lineRule="auto"/>
              <w:ind w:left="0" w:right="0" w:firstLine="480" w:firstLineChars="200"/>
              <w:jc w:val="both"/>
              <w:rPr>
                <w:rFonts w:hint="eastAsia"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根据国家对固废处置减量化、资源化和无害化的技术政策，厂内危险废物暂存场所应按照</w:t>
            </w:r>
            <w:r>
              <w:rPr>
                <w:rFonts w:hint="default" w:ascii="Times New Roman" w:hAnsi="Times New Roman" w:eastAsia="宋体" w:cs="Times New Roman"/>
                <w:snapToGrid w:val="0"/>
                <w:color w:val="FF0000"/>
                <w:kern w:val="0"/>
                <w:sz w:val="24"/>
                <w:szCs w:val="20"/>
                <w:highlight w:val="none"/>
                <w:lang w:val="en-US" w:eastAsia="zh-CN" w:bidi="ar-SA"/>
              </w:rPr>
              <w:t>《危险废物贮存污染控制标准》（GB18597-2023）</w:t>
            </w:r>
            <w:r>
              <w:rPr>
                <w:rFonts w:hint="default" w:ascii="Times New Roman" w:hAnsi="Times New Roman" w:eastAsia="宋体" w:cs="Times New Roman"/>
                <w:snapToGrid w:val="0"/>
                <w:color w:val="auto"/>
                <w:kern w:val="0"/>
                <w:sz w:val="24"/>
                <w:szCs w:val="20"/>
                <w:highlight w:val="none"/>
                <w:lang w:val="en-US" w:eastAsia="zh-CN" w:bidi="ar-SA"/>
              </w:rPr>
              <w:t>要求的规定设置，</w:t>
            </w:r>
            <w:r>
              <w:rPr>
                <w:rFonts w:hint="eastAsia" w:ascii="Times New Roman" w:hAnsi="Times New Roman" w:eastAsia="宋体" w:cs="Times New Roman"/>
                <w:snapToGrid w:val="0"/>
                <w:color w:val="auto"/>
                <w:kern w:val="0"/>
                <w:sz w:val="24"/>
                <w:szCs w:val="20"/>
                <w:highlight w:val="none"/>
                <w:lang w:val="en-US" w:eastAsia="zh-CN" w:bidi="ar-SA"/>
              </w:rPr>
              <w:t>具体危险废物贮存要求如下：</w:t>
            </w:r>
          </w:p>
          <w:p w14:paraId="4272BA02">
            <w:pPr>
              <w:pStyle w:val="76"/>
              <w:keepNext w:val="0"/>
              <w:keepLines w:val="0"/>
              <w:suppressLineNumbers w:val="0"/>
              <w:bidi w:val="0"/>
              <w:spacing w:before="0" w:beforeAutospacing="0" w:after="0" w:afterAutospacing="0"/>
              <w:ind w:left="0" w:right="0"/>
              <w:rPr>
                <w:rFonts w:hint="default"/>
                <w:color w:val="auto"/>
                <w:highlight w:val="none"/>
                <w:lang w:val="en-US" w:eastAsia="zh-CN"/>
              </w:rPr>
            </w:pPr>
            <w:r>
              <w:rPr>
                <w:rFonts w:hint="eastAsia"/>
                <w:color w:val="auto"/>
                <w:highlight w:val="none"/>
                <w:lang w:val="en-US" w:eastAsia="zh-CN"/>
              </w:rPr>
              <w:t>1）总体要求</w:t>
            </w:r>
          </w:p>
          <w:p w14:paraId="762E0B9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A、产生、收集、贮存、利用、处置危险废物的单位应建造危险废物贮存设施或设置贮存场所，并根据需要选择贮存设施类型；</w:t>
            </w:r>
          </w:p>
          <w:p w14:paraId="6795A4C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B、贮存危险废物应根据危险废物的类别、数量、形态、物理化学性质和环境风险等因素，确定贮存设施或场所类型和规模；</w:t>
            </w:r>
          </w:p>
          <w:p w14:paraId="01C34E9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C、贮存危险废物应根据危险废物的类别、形态、物理化学性质和污染防治要求进行分类贮存，且应避免危险废物与不相容的物质或材料接触；</w:t>
            </w:r>
          </w:p>
          <w:p w14:paraId="01108A4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D、贮存危险废物应根据危险废物的形态、物理化学性质、包装形式和污染物迁移途径，采取措施减少粉尘、VOCs等污染物的产生，防止其污染环境；</w:t>
            </w:r>
          </w:p>
          <w:p w14:paraId="07088965">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E、危险废物贮存过程产生的液态废物和固态废物应分类收集，按环境管理要求妥善处理；</w:t>
            </w:r>
          </w:p>
          <w:p w14:paraId="47A8151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F、贮存设施或场所、容器和包装物应按HJ1276要求设置危险废物贮存设施或场所标志、危险废物贮存分区标志和危险废物标签等危险废物识别标志。</w:t>
            </w:r>
          </w:p>
          <w:p w14:paraId="348FFA7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G、HJ1259规定的危险废物环境重点监管单位，应采用电子地磅、电子标签、电子管理台账等技术手段对危险废物贮存过程进行信息化管理，确保数据完整、真实、准确；采用视频监控的应确保监控画面清晰，视频记录保存时间至少为3个月；</w:t>
            </w:r>
          </w:p>
          <w:p w14:paraId="4060369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H、在常温常压下易爆、易燃及排出有毒气体的危险废物应进行预处理，使之稳定后贮存，否则应按易爆、易燃危险品贮存；</w:t>
            </w:r>
          </w:p>
          <w:p w14:paraId="384C45D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I、危险废物贮存除应满足环境保护相关要求外，还应执行国家安全生产、职业健康、交通运输、消防等法律法规和标准的相关要求。</w:t>
            </w:r>
          </w:p>
          <w:p w14:paraId="79D4910F">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2）贮存设施污染控制要求</w:t>
            </w:r>
          </w:p>
          <w:p w14:paraId="5122485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①一般要求</w:t>
            </w:r>
          </w:p>
          <w:p w14:paraId="003A0FDF">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000000" w:themeColor="text1"/>
                <w:kern w:val="0"/>
                <w:sz w:val="24"/>
                <w:szCs w:val="20"/>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auto"/>
                <w:kern w:val="0"/>
                <w:sz w:val="24"/>
                <w:szCs w:val="20"/>
                <w:highlight w:val="none"/>
                <w:lang w:val="en-US" w:eastAsia="zh-CN" w:bidi="ar-SA"/>
              </w:rPr>
              <w:t>A.贮存设施应根据危险废物的形态、物理化学性质、包装形式和污染物迁移途径</w:t>
            </w:r>
            <w:r>
              <w:rPr>
                <w:rFonts w:hint="default" w:ascii="Times New Roman" w:hAnsi="Times New Roman" w:eastAsia="宋体" w:cs="Times New Roman"/>
                <w:snapToGrid w:val="0"/>
                <w:color w:val="000000" w:themeColor="text1"/>
                <w:kern w:val="0"/>
                <w:sz w:val="24"/>
                <w:szCs w:val="20"/>
                <w:highlight w:val="none"/>
                <w:lang w:val="en-US" w:eastAsia="zh-CN" w:bidi="ar-SA"/>
                <w14:textFill>
                  <w14:solidFill>
                    <w14:schemeClr w14:val="tx1"/>
                  </w14:solidFill>
                </w14:textFill>
              </w:rPr>
              <w:t>，采取必要的防风、防晒、防雨、防漏、防渗、防腐以及其他环境污染防治措施，不应露天堆放危险废物。</w:t>
            </w:r>
          </w:p>
          <w:p w14:paraId="04838CE0">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B.贮存设施应根据危险废物的类别、数量、形态、物理化学性质和污染防治等要求设置必要的贮存分区，避免不相容的危险废物接触、混合。</w:t>
            </w:r>
          </w:p>
          <w:p w14:paraId="729E89E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C.贮存设施或贮存分区内地面、墙面裙脚、堵截泄漏的围堰、接触危险废物的隔板和墙体等应采用坚固的材料建造，表面无裂缝。</w:t>
            </w:r>
          </w:p>
          <w:p w14:paraId="690D677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贮存设施地面与裙脚应采取表面防渗措施；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w:t>
            </w:r>
            <w:r>
              <w:rPr>
                <w:rFonts w:hint="default" w:ascii="Times New Roman" w:hAnsi="Times New Roman" w:eastAsia="宋体" w:cs="Times New Roman"/>
                <w:snapToGrid w:val="0"/>
                <w:color w:val="auto"/>
                <w:kern w:val="0"/>
                <w:sz w:val="24"/>
                <w:szCs w:val="20"/>
                <w:highlight w:val="none"/>
                <w:vertAlign w:val="superscript"/>
                <w:lang w:val="en-US" w:eastAsia="zh-CN" w:bidi="ar-SA"/>
              </w:rPr>
              <w:t>-7</w:t>
            </w:r>
            <w:r>
              <w:rPr>
                <w:rFonts w:hint="default" w:ascii="Times New Roman" w:hAnsi="Times New Roman" w:eastAsia="宋体" w:cs="Times New Roman"/>
                <w:snapToGrid w:val="0"/>
                <w:color w:val="auto"/>
                <w:kern w:val="0"/>
                <w:sz w:val="24"/>
                <w:szCs w:val="20"/>
                <w:highlight w:val="none"/>
                <w:lang w:val="en-US" w:eastAsia="zh-CN" w:bidi="ar-SA"/>
              </w:rPr>
              <w:t>cm/s)，或至少2mm厚高密度聚乙烯膜等人工防渗材料(渗透系数不大于10</w:t>
            </w:r>
            <w:r>
              <w:rPr>
                <w:rFonts w:hint="default" w:ascii="Times New Roman" w:hAnsi="Times New Roman" w:eastAsia="宋体" w:cs="Times New Roman"/>
                <w:snapToGrid w:val="0"/>
                <w:color w:val="auto"/>
                <w:kern w:val="0"/>
                <w:sz w:val="24"/>
                <w:szCs w:val="20"/>
                <w:highlight w:val="none"/>
                <w:vertAlign w:val="superscript"/>
                <w:lang w:val="en-US" w:eastAsia="zh-CN" w:bidi="ar-SA"/>
              </w:rPr>
              <w:t>-10</w:t>
            </w:r>
            <w:r>
              <w:rPr>
                <w:rFonts w:hint="default" w:ascii="Times New Roman" w:hAnsi="Times New Roman" w:eastAsia="宋体" w:cs="Times New Roman"/>
                <w:snapToGrid w:val="0"/>
                <w:color w:val="auto"/>
                <w:kern w:val="0"/>
                <w:sz w:val="24"/>
                <w:szCs w:val="20"/>
                <w:highlight w:val="none"/>
                <w:lang w:val="en-US" w:eastAsia="zh-CN" w:bidi="ar-SA"/>
              </w:rPr>
              <w:t>cm/s)，或其他防渗性能等效的材料。</w:t>
            </w:r>
          </w:p>
          <w:p w14:paraId="3F031CB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E.同一贮存设施宜采用相同的防渗、防腐工艺(包括防渗、防腐结构或材料)，防渗、防腐材料应覆盖所有可能与废物及其渗滤液、渗漏液等接触的构筑物表面；采用不同防渗、防腐工艺应分别建设贮存分区。</w:t>
            </w:r>
          </w:p>
          <w:p w14:paraId="273C75E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F.贮存设施应采取技术和管理措施防止无关人员进入。</w:t>
            </w:r>
          </w:p>
          <w:p w14:paraId="583FBDB8">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②贮存库</w:t>
            </w:r>
          </w:p>
          <w:p w14:paraId="2918728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A.贮存库内不同贮存分区之间应采取隔离措施。隔离措施可根据危险废物特性采用过道、隔板或隔墙等方式。</w:t>
            </w:r>
          </w:p>
          <w:p w14:paraId="707B90C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在贮存库内或通过贮存分区方式贮存液态危险废物的，应具有液体泄漏堵截设施，堵截设施最小容积不应低于对应贮存区域最大液态废物容器容积或液态废物总储量1/10(二者取较大者)；用于贮存可能产生渗滤液的危险废物的贮存库或贮存分区应设计渗滤液收集设施，收集设施容积应满足渗滤液的收集要求。</w:t>
            </w:r>
          </w:p>
          <w:p w14:paraId="3C60DD1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3）容器和包装物污染控制要求</w:t>
            </w:r>
          </w:p>
          <w:p w14:paraId="4D0BC6A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A.容器和包装物材质、内衬应与盛装的危险废物相容。</w:t>
            </w:r>
          </w:p>
          <w:p w14:paraId="79D9A1B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B.针对不同类别、形态、物理化学性质的危险废物，其容器和包装物应满足相应的防渗、防漏、防腐和强度等要求。</w:t>
            </w:r>
          </w:p>
          <w:p w14:paraId="60E7114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C.硬质容器和包装物及其支护结构堆叠码放时不应有明显变形，无破损泄漏。</w:t>
            </w:r>
          </w:p>
          <w:p w14:paraId="1C569D9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D.柔性容器和包装物堆叠码放时应封口严密，无破损泄漏。</w:t>
            </w:r>
          </w:p>
          <w:p w14:paraId="03A033D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E.易使用容器盛装液态、半固态危险废物时，容器内部应留有适当的空间，以适应因温度变化等可能引发的收缩和膨胀，防止其导致容器渗漏或永久变形。</w:t>
            </w:r>
          </w:p>
          <w:p w14:paraId="2E81BA8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F.容器和包装物外表面应保持清洁。</w:t>
            </w:r>
          </w:p>
          <w:p w14:paraId="0675FC09">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4）贮存过程污染控制要求</w:t>
            </w:r>
          </w:p>
          <w:p w14:paraId="053D9F7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①一般要求</w:t>
            </w:r>
          </w:p>
          <w:p w14:paraId="14DCFCAF">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A.在常温常压下不易水解、不易挥发的固态危险废物可分类堆放贮存，其他固态危险废物应装入容器或包装物内贮存。</w:t>
            </w:r>
          </w:p>
          <w:p w14:paraId="4382D0E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B.液态危险废物应装入容器内贮存，或直接采用贮存池、贮存罐区贮存。</w:t>
            </w:r>
          </w:p>
          <w:p w14:paraId="34B9D9C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C.半固态危险废物应装入容器或包装袋内贮存，或直接采用贮存池贮存。</w:t>
            </w:r>
          </w:p>
          <w:p w14:paraId="7F4C0C1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D.具有热塑性的危险废物应装入容器或包装袋内进行贮存。</w:t>
            </w:r>
          </w:p>
          <w:p w14:paraId="39C62A4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E.易产生粉尘、VOCs、酸雾、有毒有害大气污染物和刺激性气味气体的危险废物应装入闭口容器或包装物内贮存。</w:t>
            </w:r>
          </w:p>
          <w:p w14:paraId="070BD56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F.危险废物贮存过程中易产生粉尘等无组织排放的，应采取抑尘等有效措施。</w:t>
            </w:r>
          </w:p>
          <w:p w14:paraId="16D6104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②贮存设施运行环境管理要求</w:t>
            </w:r>
          </w:p>
          <w:p w14:paraId="6AC882B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A.危险废物存入贮存设施前应对危险废物类别和特性与危险废物标签等危险废物识别标志的一致性进行核验，不一致的或类别、特性不明的不应存入。</w:t>
            </w:r>
          </w:p>
          <w:p w14:paraId="5947EFD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B.应定期检查危险废物的贮存状况，及时清理贮存设施地面，更换破损泄漏的危险废物贮存容器和包装物，保证堆存危险废物的防雨、防风、防扬尘等设施功能完好。</w:t>
            </w:r>
          </w:p>
          <w:p w14:paraId="3DABADB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C.作业设备及车辆等结束作业离开贮存设施时，应对其残留的危险废物进行清理，清理的废物或清洗废水应收集处理。</w:t>
            </w:r>
          </w:p>
          <w:p w14:paraId="570F9F38">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D.贮存设施运行期间，应按国家有关标准和规定建立危险废物管理台账并保存。</w:t>
            </w:r>
          </w:p>
          <w:p w14:paraId="1F9132B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E.贮存设施所有者或运营者应建立贮存设施环境管理制度、管理人员岗位职责制度、设施运行操作制度、人员岗位培训制度等。</w:t>
            </w:r>
          </w:p>
          <w:p w14:paraId="359120E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F.贮存设施所有者或运营者应依据国家土壤和地下水污染防治的有关规定，结合贮存设施特点建立土壤和地下水污染隐患排查制度，并定期开展隐患排查；发现隐患应及时采取措施消除隐患，并建立档案。</w:t>
            </w:r>
          </w:p>
          <w:p w14:paraId="27E744A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G.贮存设施所有者或运营者应建立贮存设施全部档案，包括设计、施工、验收、运行、监测和环境应急等，应按国家有关档案管理的法律法规进行整理和归档。</w:t>
            </w:r>
          </w:p>
          <w:p w14:paraId="29167BF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③贮存点环境管理要求</w:t>
            </w:r>
          </w:p>
          <w:p w14:paraId="33146FD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A.贮存点应具有固定的区域边界，并应采取与其他区域进行隔离的措施。</w:t>
            </w:r>
          </w:p>
          <w:p w14:paraId="7032B8B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B.贮存点应采取防风、防雨、防晒和防止危险废物流失、扬散等措施。</w:t>
            </w:r>
          </w:p>
          <w:p w14:paraId="5A6DD8C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C.贮存点贮存的危险废物应置于容器或包装物中，不应直接散堆。</w:t>
            </w:r>
          </w:p>
          <w:p w14:paraId="458A0008">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D.贮存点应根据危险废物的形态、物理化学性质、包装形式等，采取防渗、防漏等污染防治措施或采用具有相应功能的装置。</w:t>
            </w:r>
          </w:p>
          <w:p w14:paraId="16DA0EE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5）污染物排放控制要求</w:t>
            </w:r>
          </w:p>
          <w:p w14:paraId="35C77D8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A.贮存设施产生的废水(包括贮存设施、作业设备、车辆等清洗废水，贮存罐区积存雨水，贮存事故废水等)应进行收集处理，废水排放应符合GB8978规定的要求。</w:t>
            </w:r>
          </w:p>
          <w:p w14:paraId="75FD019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B.贮存设施产生的废气(含无组织废气)的排放应符合GB16297和GB37822规定的要求。</w:t>
            </w:r>
          </w:p>
          <w:p w14:paraId="4DBFD12A">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C.贮存设施产生的恶臭气体的排放应符合GB14554规定的要求。</w:t>
            </w:r>
          </w:p>
          <w:p w14:paraId="54C8E1A8">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D.贮存设施内产生以及清理的固体废物应按固体废物分类管理要求妥善处理。</w:t>
            </w:r>
          </w:p>
          <w:p w14:paraId="1E2FA68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E.贮存设施排放的环境噪声应符合GB12348规定的要求。</w:t>
            </w:r>
          </w:p>
          <w:p w14:paraId="7BDCDBEB">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6）环境监测要求</w:t>
            </w:r>
          </w:p>
          <w:p w14:paraId="6C1F791E">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A.贮存设施的环境监测应纳入主体设施的环境监测计划。</w:t>
            </w:r>
          </w:p>
          <w:p w14:paraId="35A77BF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B.贮存设施废水污染物排放的监测方法和监测指标应符合国家相关标准要求。</w:t>
            </w:r>
          </w:p>
          <w:p w14:paraId="239C8272">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HJ1259规定的危险废物环境重点监管单位贮存设施地下水环境监测点布设应符合HJ164要求，监测因子应根据贮存废物的特性选择具有代表性且能表征危险废物特性的指标，地下水监测因子分析方法按照GB/T14848执行。</w:t>
            </w:r>
          </w:p>
          <w:p w14:paraId="1672F5B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D.配有收集净化系统的贮存设施大气污染物排放的监测采样应按GB/T16157、HJ/T397、HJ732的规定执行。</w:t>
            </w:r>
          </w:p>
          <w:p w14:paraId="21D8906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eastAsia" w:cs="Times New Roman"/>
                <w:snapToGrid w:val="0"/>
                <w:color w:val="auto"/>
                <w:kern w:val="0"/>
                <w:sz w:val="24"/>
                <w:szCs w:val="20"/>
                <w:highlight w:val="none"/>
                <w:lang w:val="en-US" w:eastAsia="zh-CN" w:bidi="ar-SA"/>
              </w:rPr>
              <w:t>E</w:t>
            </w:r>
            <w:r>
              <w:rPr>
                <w:rFonts w:hint="default" w:ascii="Times New Roman" w:hAnsi="Times New Roman" w:eastAsia="宋体" w:cs="Times New Roman"/>
                <w:snapToGrid w:val="0"/>
                <w:color w:val="auto"/>
                <w:kern w:val="0"/>
                <w:sz w:val="24"/>
                <w:szCs w:val="20"/>
                <w:highlight w:val="none"/>
                <w:lang w:val="en-US" w:eastAsia="zh-CN" w:bidi="ar-SA"/>
              </w:rPr>
              <w:t>.贮存设施无组织气体排放监测因子应根据贮存废物的特性选择具有代表性且能表征危险废物特性的指标；采样点布设、采样及监测方法可按HJ/T 55 的规定执行，无组织排放监测还应符合GB37822的规定。</w:t>
            </w:r>
          </w:p>
          <w:p w14:paraId="6CA0034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7）环境应急要求</w:t>
            </w:r>
          </w:p>
          <w:p w14:paraId="744E130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A.贮存设施所有者或运营者应按照国家有关规定编制突发环境事件应急预案，定期开展必要的培训和环境应急演练，并做好培训、演练记录。</w:t>
            </w:r>
          </w:p>
          <w:p w14:paraId="2B5DBCC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B.贮存设施所有者或运营者应配备满足其突发环境事件应急要求的应急人员、装备和物资，并应设置应急照明系统。</w:t>
            </w:r>
          </w:p>
          <w:p w14:paraId="37111D8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snapToGrid w:val="0"/>
                <w:color w:val="auto"/>
                <w:kern w:val="0"/>
                <w:sz w:val="24"/>
                <w:szCs w:val="20"/>
                <w:highlight w:val="none"/>
                <w:lang w:val="en-US" w:eastAsia="zh-CN" w:bidi="ar-SA"/>
              </w:rPr>
            </w:pPr>
            <w:r>
              <w:rPr>
                <w:rFonts w:hint="default" w:ascii="Times New Roman" w:hAnsi="Times New Roman" w:eastAsia="宋体" w:cs="Times New Roman"/>
                <w:snapToGrid w:val="0"/>
                <w:color w:val="auto"/>
                <w:kern w:val="0"/>
                <w:sz w:val="24"/>
                <w:szCs w:val="20"/>
                <w:highlight w:val="none"/>
                <w:lang w:val="en-US" w:eastAsia="zh-CN" w:bidi="ar-SA"/>
              </w:rPr>
              <w:t>C.相关部门发布自然灾害或恶劣天气预警后，贮存设施所有者或运营者应启动相应防控措施，若有必要可将危险废物转移至其他具有防护条件的地点贮存。</w:t>
            </w:r>
          </w:p>
          <w:p w14:paraId="61F9E30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（4）危废处置环境影响分析</w:t>
            </w:r>
          </w:p>
          <w:p w14:paraId="754E71B6">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建设单位目前还未签订危险废物利用或者委托处置意向，应结合本项目新增危废情况及时签订新的危废协议，并按照危险废物处置相关要求进行申报，落实危险废物处置去向。</w:t>
            </w:r>
          </w:p>
          <w:p w14:paraId="5E3FCD54">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综上，本项目危险废物须做好危险废物情况的记录、记录上须标明危险废物的名称、来源、数量、入库时间、废物出库日期及接收单位名称。危险废物经过统一收集后再由有危废处置资质单位统一回收处置，对项目周边环境影响较小。</w:t>
            </w:r>
          </w:p>
          <w:p w14:paraId="54CB3B57">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（5）环境管理要求</w:t>
            </w:r>
          </w:p>
          <w:p w14:paraId="5850B5F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①安排专职人员负责危险废物的收集、暂存管理及后续处置；</w:t>
            </w:r>
          </w:p>
          <w:p w14:paraId="09209B9D">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②建设规范的危废暂存场所，危险废物应在临时贮存场内规范化暂存；</w:t>
            </w:r>
          </w:p>
          <w:p w14:paraId="370CDE8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③对危险废物的容器和包装物以及收集、贮存、运输、处置危险废物的设施、场所，必须设置危险废物识别标志；</w:t>
            </w:r>
          </w:p>
          <w:p w14:paraId="6BF19AC3">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④禁止将危险废物提供或者委托给无经营许可证的单位从事收集、贮存、利用、处置的经营活动；</w:t>
            </w:r>
          </w:p>
          <w:p w14:paraId="41C2EBF1">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⑤建立危险废物管理台账，记录厂区内危险废物的产生、贮存、处置等情况，并保存5年；</w:t>
            </w:r>
          </w:p>
          <w:p w14:paraId="03D2238C">
            <w:pPr>
              <w:keepNext w:val="0"/>
              <w:keepLines w:val="0"/>
              <w:widowControl w:val="0"/>
              <w:suppressLineNumbers w:val="0"/>
              <w:adjustRightInd w:val="0"/>
              <w:snapToGrid w:val="0"/>
              <w:spacing w:before="0" w:beforeAutospacing="0" w:after="0" w:afterAutospacing="0" w:line="360" w:lineRule="auto"/>
              <w:ind w:left="0" w:right="0" w:firstLine="480" w:firstLineChars="200"/>
              <w:jc w:val="both"/>
              <w:rPr>
                <w:rFonts w:hint="default" w:ascii="Times New Roman" w:hAnsi="Times New Roman" w:eastAsia="宋体" w:cs="Times New Roman"/>
                <w:b w:val="0"/>
                <w:bCs w:val="0"/>
                <w:snapToGrid w:val="0"/>
                <w:color w:val="auto"/>
                <w:kern w:val="0"/>
                <w:sz w:val="24"/>
                <w:szCs w:val="20"/>
                <w:highlight w:val="none"/>
                <w:lang w:val="en-US" w:eastAsia="zh-CN" w:bidi="ar-SA"/>
              </w:rPr>
            </w:pPr>
            <w:r>
              <w:rPr>
                <w:rFonts w:hint="default" w:ascii="Times New Roman" w:hAnsi="Times New Roman" w:eastAsia="宋体" w:cs="Times New Roman"/>
                <w:b w:val="0"/>
                <w:bCs w:val="0"/>
                <w:snapToGrid w:val="0"/>
                <w:color w:val="auto"/>
                <w:kern w:val="0"/>
                <w:sz w:val="24"/>
                <w:szCs w:val="20"/>
                <w:highlight w:val="none"/>
                <w:lang w:val="en-US" w:eastAsia="zh-CN" w:bidi="ar-SA"/>
              </w:rPr>
              <w:t>⑥项目必须按照国家有关规定制定危险废物管理计划，并向</w:t>
            </w:r>
            <w:r>
              <w:rPr>
                <w:rFonts w:hint="eastAsia" w:cs="Times New Roman"/>
                <w:snapToGrid w:val="0"/>
                <w:kern w:val="0"/>
                <w:szCs w:val="20"/>
                <w:highlight w:val="green"/>
                <w:lang w:eastAsia="zh-CN"/>
              </w:rPr>
              <w:t>生态环境</w:t>
            </w:r>
            <w:r>
              <w:rPr>
                <w:rFonts w:hint="default" w:ascii="Times New Roman" w:hAnsi="Times New Roman" w:eastAsia="宋体" w:cs="Times New Roman"/>
                <w:b w:val="0"/>
                <w:bCs w:val="0"/>
                <w:snapToGrid w:val="0"/>
                <w:color w:val="auto"/>
                <w:kern w:val="0"/>
                <w:sz w:val="24"/>
                <w:szCs w:val="20"/>
                <w:highlight w:val="none"/>
                <w:lang w:val="en-US" w:eastAsia="zh-CN" w:bidi="ar-SA"/>
              </w:rPr>
              <w:t>部门申报危险废物的种类、产生量、流向、贮存、处置等有关资料。</w:t>
            </w:r>
          </w:p>
          <w:p w14:paraId="137E8ED3">
            <w:pPr>
              <w:keepNext w:val="0"/>
              <w:keepLines w:val="0"/>
              <w:suppressLineNumbers w:val="0"/>
              <w:bidi w:val="0"/>
              <w:spacing w:before="0" w:beforeAutospacing="0" w:after="0" w:afterAutospacing="0"/>
              <w:ind w:left="0" w:right="0"/>
              <w:rPr>
                <w:rFonts w:hint="default"/>
                <w:b/>
                <w:bCs/>
                <w:color w:val="auto"/>
                <w:highlight w:val="none"/>
              </w:rPr>
            </w:pPr>
            <w:r>
              <w:rPr>
                <w:rFonts w:hint="eastAsia"/>
                <w:b/>
                <w:bCs/>
                <w:color w:val="auto"/>
                <w:highlight w:val="none"/>
                <w:lang w:eastAsia="zh-CN"/>
              </w:rPr>
              <w:t>五</w:t>
            </w:r>
            <w:r>
              <w:rPr>
                <w:rFonts w:hint="default"/>
                <w:b/>
                <w:bCs/>
                <w:color w:val="auto"/>
                <w:highlight w:val="none"/>
              </w:rPr>
              <w:t>、地下水、土壤</w:t>
            </w:r>
          </w:p>
          <w:p w14:paraId="7E21265C">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1、地下水、土壤污染源</w:t>
            </w:r>
          </w:p>
          <w:p w14:paraId="5F0A2FE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根据对项目生产过程及存储方式等进行分析，本项目对地下水及土壤环境影响的污染源有：危险废物、</w:t>
            </w:r>
            <w:r>
              <w:rPr>
                <w:rFonts w:hint="eastAsia"/>
                <w:color w:val="auto"/>
                <w:highlight w:val="none"/>
                <w:lang w:eastAsia="zh-CN"/>
              </w:rPr>
              <w:t>机</w:t>
            </w:r>
            <w:r>
              <w:rPr>
                <w:rFonts w:hint="eastAsia"/>
                <w:color w:val="auto"/>
                <w:highlight w:val="none"/>
              </w:rPr>
              <w:t>油、</w:t>
            </w:r>
            <w:r>
              <w:rPr>
                <w:rFonts w:hint="default"/>
                <w:color w:val="auto"/>
                <w:highlight w:val="none"/>
              </w:rPr>
              <w:t>污水管线、</w:t>
            </w:r>
            <w:r>
              <w:rPr>
                <w:rFonts w:hint="eastAsia"/>
                <w:color w:val="auto"/>
                <w:highlight w:val="none"/>
                <w:lang w:eastAsia="zh-CN"/>
              </w:rPr>
              <w:t>渗滤液、</w:t>
            </w:r>
            <w:r>
              <w:rPr>
                <w:rFonts w:hint="default"/>
                <w:color w:val="auto"/>
                <w:highlight w:val="none"/>
              </w:rPr>
              <w:t>化粪池跑、冒、滴、漏造成污染物下渗对地下水、土壤造成影响。</w:t>
            </w:r>
          </w:p>
          <w:p w14:paraId="75A74B0A">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2、地下水、土壤污染途径</w:t>
            </w:r>
          </w:p>
          <w:p w14:paraId="3F653E31">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本项目对地下水及土壤产生污染的途径主要是渗透污染。渗透污染是导致地下水污染的普遍和主要方式，主要产生可能性来自：</w:t>
            </w:r>
          </w:p>
          <w:p w14:paraId="3B7FBB1B">
            <w:pPr>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lang w:eastAsia="zh-CN"/>
              </w:rPr>
              <w:t>（</w:t>
            </w:r>
            <w:r>
              <w:rPr>
                <w:rFonts w:hint="eastAsia"/>
                <w:color w:val="FF0000"/>
                <w:highlight w:val="none"/>
                <w:lang w:val="en-US" w:eastAsia="zh-CN"/>
              </w:rPr>
              <w:t>1</w:t>
            </w:r>
            <w:r>
              <w:rPr>
                <w:rFonts w:hint="eastAsia"/>
                <w:color w:val="FF0000"/>
                <w:highlight w:val="none"/>
                <w:lang w:eastAsia="zh-CN"/>
              </w:rPr>
              <w:t>）</w:t>
            </w:r>
            <w:r>
              <w:rPr>
                <w:rFonts w:hint="default"/>
                <w:color w:val="FF0000"/>
                <w:highlight w:val="none"/>
              </w:rPr>
              <w:t>项目产生的污水事故情况下排入地表水环境，再渗入补给地下水；或者直接渗入土壤，进而污染土壤及含水层。</w:t>
            </w:r>
          </w:p>
          <w:p w14:paraId="21ADCAAD">
            <w:pPr>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lang w:eastAsia="zh-CN"/>
              </w:rPr>
              <w:t>（</w:t>
            </w:r>
            <w:r>
              <w:rPr>
                <w:rFonts w:hint="eastAsia"/>
                <w:color w:val="FF0000"/>
                <w:highlight w:val="none"/>
                <w:lang w:val="en-US" w:eastAsia="zh-CN"/>
              </w:rPr>
              <w:t>2</w:t>
            </w:r>
            <w:r>
              <w:rPr>
                <w:rFonts w:hint="eastAsia"/>
                <w:color w:val="FF0000"/>
                <w:highlight w:val="none"/>
                <w:lang w:eastAsia="zh-CN"/>
              </w:rPr>
              <w:t>）</w:t>
            </w:r>
            <w:r>
              <w:rPr>
                <w:rFonts w:hint="default"/>
                <w:color w:val="FF0000"/>
                <w:highlight w:val="none"/>
              </w:rPr>
              <w:t>厂区内污水处理设施在未采取防渗防漏措施的情况下，废水将从构筑物下渗入含水层而污染地下水及土壤。</w:t>
            </w:r>
          </w:p>
          <w:p w14:paraId="63112C28">
            <w:pPr>
              <w:keepNext w:val="0"/>
              <w:keepLines w:val="0"/>
              <w:suppressLineNumbers w:val="0"/>
              <w:bidi w:val="0"/>
              <w:spacing w:before="0" w:beforeAutospacing="0" w:after="0" w:afterAutospacing="0"/>
              <w:ind w:left="0" w:right="0"/>
              <w:rPr>
                <w:rFonts w:hint="default"/>
                <w:color w:val="FF0000"/>
                <w:highlight w:val="none"/>
                <w:lang w:val="zh-CN"/>
              </w:rPr>
            </w:pPr>
            <w:r>
              <w:rPr>
                <w:rFonts w:hint="eastAsia"/>
                <w:color w:val="FF0000"/>
                <w:highlight w:val="none"/>
                <w:lang w:eastAsia="zh-CN"/>
              </w:rPr>
              <w:t>（</w:t>
            </w:r>
            <w:r>
              <w:rPr>
                <w:rFonts w:hint="eastAsia"/>
                <w:color w:val="FF0000"/>
                <w:highlight w:val="none"/>
                <w:lang w:val="en-US" w:eastAsia="zh-CN"/>
              </w:rPr>
              <w:t>3</w:t>
            </w:r>
            <w:r>
              <w:rPr>
                <w:rFonts w:hint="eastAsia"/>
                <w:color w:val="FF0000"/>
                <w:highlight w:val="none"/>
                <w:lang w:eastAsia="zh-CN"/>
              </w:rPr>
              <w:t>）</w:t>
            </w:r>
            <w:r>
              <w:rPr>
                <w:rFonts w:hint="default"/>
                <w:color w:val="FF0000"/>
                <w:highlight w:val="none"/>
              </w:rPr>
              <w:t>项目产生的危险废物，在未采取防渗措施的情况下，危险固废液体泄漏，危险废液下渗将引起地下水及土壤污染。</w:t>
            </w:r>
          </w:p>
          <w:p w14:paraId="2B1A510C">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3、影响分析</w:t>
            </w:r>
          </w:p>
          <w:p w14:paraId="054791C1">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rFonts w:hint="default"/>
                <w:color w:val="auto"/>
                <w:highlight w:val="none"/>
              </w:rPr>
              <w:t>正常情况下地下水环境影响分析</w:t>
            </w:r>
          </w:p>
          <w:p w14:paraId="67C2A44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本项目通过采取本评价提出的环保措施后，对生产区、危废暂存间进行严格的防渗处理后，废水下渗量很小，在正常情况下对地下水及土壤不会造成污染。</w:t>
            </w:r>
          </w:p>
          <w:p w14:paraId="6E98B4F0">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default"/>
                <w:color w:val="auto"/>
                <w:highlight w:val="none"/>
              </w:rPr>
              <w:t>非正常情况下地下水环境影响分析</w:t>
            </w:r>
          </w:p>
          <w:p w14:paraId="5E68AC9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根据场地水文地质条件，危废暂存间</w:t>
            </w:r>
            <w:r>
              <w:rPr>
                <w:rFonts w:hint="eastAsia"/>
                <w:color w:val="auto"/>
                <w:highlight w:val="none"/>
                <w:lang w:eastAsia="zh-CN"/>
              </w:rPr>
              <w:t>、</w:t>
            </w:r>
            <w:r>
              <w:rPr>
                <w:rFonts w:hint="eastAsia"/>
                <w:color w:val="auto"/>
                <w:highlight w:val="none"/>
                <w:lang w:val="en-US" w:eastAsia="zh-CN"/>
              </w:rPr>
              <w:t>渗滤液池</w:t>
            </w:r>
            <w:r>
              <w:rPr>
                <w:rFonts w:hint="default"/>
                <w:color w:val="auto"/>
                <w:highlight w:val="none"/>
              </w:rPr>
              <w:t>若发生渗漏，</w:t>
            </w:r>
            <w:r>
              <w:rPr>
                <w:rFonts w:hint="eastAsia"/>
                <w:color w:val="auto"/>
                <w:highlight w:val="none"/>
                <w:lang w:val="en-US" w:eastAsia="zh-CN"/>
              </w:rPr>
              <w:t>渗滤液和</w:t>
            </w:r>
            <w:r>
              <w:rPr>
                <w:rFonts w:hint="default"/>
                <w:color w:val="auto"/>
                <w:highlight w:val="none"/>
              </w:rPr>
              <w:t>液态危废将通过地表水入渗进入地下污染地下水及土壤。</w:t>
            </w:r>
          </w:p>
          <w:p w14:paraId="78F6672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由于污染物的存在，非正常状况下，将不可避免地会对项目所在区域周围，特别是下游部分区域的地下水及土壤产生一定程度的污染。因此，建设单位应积极采取有效的防渗措施，定期监控，一旦发现液态危废渗漏后，采取有效的应急措施，避免泄漏持续发生。</w:t>
            </w:r>
          </w:p>
          <w:p w14:paraId="075F693F">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4、预防措施</w:t>
            </w:r>
          </w:p>
          <w:p w14:paraId="0A42E866">
            <w:pPr>
              <w:keepNext w:val="0"/>
              <w:keepLines w:val="0"/>
              <w:suppressLineNumbers w:val="0"/>
              <w:bidi w:val="0"/>
              <w:spacing w:before="0" w:beforeAutospacing="0" w:after="0" w:afterAutospacing="0"/>
              <w:ind w:left="0" w:right="0"/>
              <w:rPr>
                <w:rFonts w:hint="default"/>
                <w:color w:val="auto"/>
                <w:highlight w:val="none"/>
              </w:rPr>
            </w:pPr>
            <w:r>
              <w:rPr>
                <w:rFonts w:hint="eastAsia"/>
                <w:color w:val="FF0000"/>
                <w:kern w:val="2"/>
                <w:szCs w:val="21"/>
                <w:lang w:val="en-US" w:eastAsia="zh-CN"/>
              </w:rPr>
              <w:t>现有项目已</w:t>
            </w:r>
            <w:r>
              <w:rPr>
                <w:rFonts w:hint="default"/>
                <w:color w:val="FF0000"/>
                <w:kern w:val="2"/>
                <w:szCs w:val="21"/>
                <w:lang w:val="en-US" w:eastAsia="zh-CN"/>
              </w:rPr>
              <w:t>针对可能造成的地下水、土壤环境污染</w:t>
            </w:r>
            <w:r>
              <w:rPr>
                <w:rFonts w:hint="eastAsia"/>
                <w:color w:val="FF0000"/>
                <w:kern w:val="2"/>
                <w:szCs w:val="21"/>
                <w:lang w:val="en-US" w:eastAsia="zh-CN"/>
              </w:rPr>
              <w:t>，</w:t>
            </w:r>
            <w:r>
              <w:rPr>
                <w:rFonts w:hint="default"/>
                <w:color w:val="FF0000"/>
                <w:kern w:val="2"/>
                <w:szCs w:val="21"/>
                <w:lang w:val="en-US" w:eastAsia="zh-CN"/>
              </w:rPr>
              <w:t>按照</w:t>
            </w:r>
            <w:r>
              <w:rPr>
                <w:rFonts w:hint="eastAsia"/>
                <w:color w:val="FF0000"/>
                <w:kern w:val="2"/>
                <w:szCs w:val="21"/>
                <w:lang w:val="en-US" w:eastAsia="zh-CN"/>
              </w:rPr>
              <w:t>“</w:t>
            </w:r>
            <w:r>
              <w:rPr>
                <w:rFonts w:hint="default"/>
                <w:color w:val="FF0000"/>
                <w:kern w:val="2"/>
                <w:szCs w:val="21"/>
                <w:lang w:val="en-US" w:eastAsia="zh-CN"/>
              </w:rPr>
              <w:t>源头控制、分区防治、污染监控、应急响应</w:t>
            </w:r>
            <w:r>
              <w:rPr>
                <w:rFonts w:hint="eastAsia"/>
                <w:color w:val="FF0000"/>
                <w:kern w:val="2"/>
                <w:szCs w:val="21"/>
                <w:lang w:val="en-US" w:eastAsia="zh-CN"/>
              </w:rPr>
              <w:t>”</w:t>
            </w:r>
            <w:r>
              <w:rPr>
                <w:rFonts w:hint="default"/>
                <w:color w:val="FF0000"/>
                <w:kern w:val="2"/>
                <w:szCs w:val="21"/>
                <w:lang w:val="en-US" w:eastAsia="zh-CN"/>
              </w:rPr>
              <w:t>原则</w:t>
            </w:r>
            <w:r>
              <w:rPr>
                <w:rFonts w:hint="eastAsia"/>
                <w:color w:val="FF0000"/>
                <w:kern w:val="2"/>
                <w:szCs w:val="21"/>
                <w:lang w:val="en-US" w:eastAsia="zh-CN"/>
              </w:rPr>
              <w:t>采取如下防治措施。</w:t>
            </w:r>
            <w:r>
              <w:rPr>
                <w:rFonts w:hint="default"/>
                <w:color w:val="auto"/>
                <w:highlight w:val="none"/>
              </w:rPr>
              <w:t>针对</w:t>
            </w:r>
            <w:r>
              <w:rPr>
                <w:rFonts w:hint="eastAsia"/>
                <w:color w:val="auto"/>
                <w:highlight w:val="none"/>
                <w:lang w:eastAsia="zh-CN"/>
              </w:rPr>
              <w:t>本项目</w:t>
            </w:r>
            <w:r>
              <w:rPr>
                <w:rFonts w:hint="default"/>
                <w:color w:val="auto"/>
                <w:highlight w:val="none"/>
              </w:rPr>
              <w:t>情况，企业采取以下措施，以减轻对地下水及土壤的污染。</w:t>
            </w:r>
          </w:p>
          <w:p w14:paraId="6BBB322E">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（1）源头控制措施</w:t>
            </w:r>
          </w:p>
          <w:p w14:paraId="224AED56">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项目各类废气均可达标排放，废水经收集、处理，达标后纳管排放，各类固态废物均能得以妥善处置，有效减少污染物的排放量。</w:t>
            </w:r>
          </w:p>
          <w:p w14:paraId="16E12B72">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（2）分区防治措施</w:t>
            </w:r>
          </w:p>
          <w:p w14:paraId="4D7E3E2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生产废气妥善收集处理后高空排放。</w:t>
            </w:r>
          </w:p>
          <w:p w14:paraId="62C6306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废水收集处理构筑物在工程设计时采用混凝土构造，并按照相应的标准设置了防渗层，防止污水下渗污染地下水及土壤。在正常生产情况下，企业做好防渗处理条件下，项目废水不会直接渗入土壤，也不会对地下水造成影响。</w:t>
            </w:r>
          </w:p>
          <w:p w14:paraId="64C77B1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项目设置专门的危废贮存场所，厂区地面进行硬化处理，环评要求按照下表防渗标准分区设置防渗区，建立防渗设施的检漏系统，防止污染物的跑、冒、滴、漏，将污染物泄漏的环境风险事故降到最低限度。</w:t>
            </w:r>
          </w:p>
          <w:p w14:paraId="56B3CA13">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针对可能对地下水造成影响的各环节。本项目采取的防渗漏措施主要为一般防渗区和重点防渗区。</w:t>
            </w:r>
          </w:p>
          <w:p w14:paraId="7B5E1905">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项目</w:t>
            </w:r>
            <w:r>
              <w:rPr>
                <w:rFonts w:hint="eastAsia" w:cs="Times New Roman"/>
                <w:color w:val="auto"/>
                <w:sz w:val="21"/>
                <w:szCs w:val="21"/>
                <w:highlight w:val="none"/>
                <w:lang w:val="en-US" w:eastAsia="zh-CN"/>
              </w:rPr>
              <w:t>分区防渗</w:t>
            </w:r>
            <w:r>
              <w:rPr>
                <w:rFonts w:hint="default" w:ascii="Times New Roman" w:hAnsi="Times New Roman" w:eastAsia="宋体" w:cs="Times New Roman"/>
                <w:color w:val="auto"/>
                <w:sz w:val="21"/>
                <w:szCs w:val="21"/>
                <w:highlight w:val="none"/>
                <w:lang w:val="en-US" w:eastAsia="zh-CN"/>
              </w:rPr>
              <w:t>表</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1"/>
              <w:gridCol w:w="818"/>
              <w:gridCol w:w="1527"/>
              <w:gridCol w:w="4364"/>
              <w:gridCol w:w="1122"/>
            </w:tblGrid>
            <w:tr w14:paraId="37EBF2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noWrap w:val="0"/>
                  <w:vAlign w:val="center"/>
                </w:tcPr>
                <w:p w14:paraId="648C943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b/>
                      <w:bCs/>
                      <w:color w:val="auto"/>
                      <w:highlight w:val="none"/>
                    </w:rPr>
                  </w:pPr>
                  <w:r>
                    <w:rPr>
                      <w:rFonts w:hint="default"/>
                      <w:b/>
                      <w:bCs/>
                      <w:color w:val="auto"/>
                      <w:highlight w:val="none"/>
                    </w:rPr>
                    <w:t>防渗级别</w:t>
                  </w:r>
                </w:p>
              </w:tc>
              <w:tc>
                <w:tcPr>
                  <w:tcW w:w="2345" w:type="dxa"/>
                  <w:gridSpan w:val="2"/>
                  <w:noWrap w:val="0"/>
                  <w:vAlign w:val="center"/>
                </w:tcPr>
                <w:p w14:paraId="471806A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工作区</w:t>
                  </w:r>
                </w:p>
              </w:tc>
              <w:tc>
                <w:tcPr>
                  <w:tcW w:w="4364" w:type="dxa"/>
                  <w:noWrap w:val="0"/>
                  <w:vAlign w:val="center"/>
                </w:tcPr>
                <w:p w14:paraId="4E9AAF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防渗技术要求</w:t>
                  </w:r>
                </w:p>
              </w:tc>
              <w:tc>
                <w:tcPr>
                  <w:tcW w:w="1122" w:type="dxa"/>
                  <w:noWrap w:val="0"/>
                  <w:vAlign w:val="center"/>
                </w:tcPr>
                <w:p w14:paraId="0D70C9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eastAsia="宋体"/>
                      <w:b/>
                      <w:bCs/>
                      <w:color w:val="auto"/>
                      <w:highlight w:val="none"/>
                      <w:lang w:eastAsia="zh-CN"/>
                    </w:rPr>
                  </w:pPr>
                  <w:r>
                    <w:rPr>
                      <w:rFonts w:hint="eastAsia"/>
                      <w:b/>
                      <w:bCs/>
                      <w:color w:val="auto"/>
                      <w:highlight w:val="none"/>
                      <w:lang w:eastAsia="zh-CN"/>
                    </w:rPr>
                    <w:t>备注</w:t>
                  </w:r>
                </w:p>
              </w:tc>
            </w:tr>
            <w:tr w14:paraId="5FC2EB8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vMerge w:val="restart"/>
                  <w:noWrap w:val="0"/>
                  <w:vAlign w:val="center"/>
                </w:tcPr>
                <w:p w14:paraId="3F2884E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重点防渗区</w:t>
                  </w:r>
                </w:p>
              </w:tc>
              <w:tc>
                <w:tcPr>
                  <w:tcW w:w="818" w:type="dxa"/>
                  <w:noWrap w:val="0"/>
                  <w:vAlign w:val="center"/>
                </w:tcPr>
                <w:p w14:paraId="5838C5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eastAsia="宋体"/>
                      <w:color w:val="FF0000"/>
                      <w:highlight w:val="none"/>
                      <w:lang w:val="en-US" w:eastAsia="zh-CN"/>
                    </w:rPr>
                  </w:pPr>
                  <w:r>
                    <w:rPr>
                      <w:rFonts w:hint="eastAsia"/>
                      <w:color w:val="FF0000"/>
                      <w:highlight w:val="none"/>
                      <w:lang w:val="en-US" w:eastAsia="zh-CN"/>
                    </w:rPr>
                    <w:t>1#厂房</w:t>
                  </w:r>
                </w:p>
              </w:tc>
              <w:tc>
                <w:tcPr>
                  <w:tcW w:w="1527" w:type="dxa"/>
                  <w:noWrap w:val="0"/>
                  <w:vAlign w:val="center"/>
                </w:tcPr>
                <w:p w14:paraId="306817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olor w:val="FF0000"/>
                      <w:highlight w:val="none"/>
                      <w:lang w:val="en-US" w:eastAsia="zh-CN"/>
                    </w:rPr>
                  </w:pPr>
                  <w:r>
                    <w:rPr>
                      <w:rFonts w:hint="default"/>
                      <w:color w:val="FF0000"/>
                    </w:rPr>
                    <w:t>危废暂存间、事故应急池、初期收集雨水池、三级沉淀池、初期雨水处理池、含锂溶液收集池</w:t>
                  </w:r>
                  <w:bookmarkStart w:id="441" w:name="OLE_LINK109"/>
                  <w:r>
                    <w:rPr>
                      <w:rFonts w:hint="default"/>
                      <w:color w:val="FF0000"/>
                    </w:rPr>
                    <w:t>、原料区、成品区</w:t>
                  </w:r>
                  <w:bookmarkEnd w:id="441"/>
                </w:p>
              </w:tc>
              <w:tc>
                <w:tcPr>
                  <w:tcW w:w="4364" w:type="dxa"/>
                  <w:noWrap w:val="0"/>
                  <w:vAlign w:val="center"/>
                </w:tcPr>
                <w:p w14:paraId="12C1A0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rPr>
                  </w:pPr>
                  <w:r>
                    <w:rPr>
                      <w:rFonts w:hint="default"/>
                      <w:color w:val="FF0000"/>
                    </w:rPr>
                    <w:t>防渗要求依据《危险废物贮存污染控制标准》GB18597-2023要求，表面防渗材料应与所接触的物料或污染物相容，可采用抗渗混凝土、高密度聚乙烯膜、钠基膨润土防水毯或其他防渗性能等效的材料。贮存的危险废物直接接触地面的，还应进行基础防渗，防渗层为至少1m厚黏土层（渗透系数不大于10-7cm/s），或至少2mm厚高密度聚乙烯膜等人工防渗材料（渗透系数不大于10-10cm/s），或其他防渗性能等效的材料，或者参考GB18598执行。</w:t>
                  </w:r>
                  <w:r>
                    <w:rPr>
                      <w:rFonts w:hint="default"/>
                      <w:color w:val="FF0000"/>
                      <w:highlight w:val="none"/>
                    </w:rPr>
                    <w:t>。</w:t>
                  </w:r>
                </w:p>
              </w:tc>
              <w:tc>
                <w:tcPr>
                  <w:tcW w:w="1122" w:type="dxa"/>
                  <w:noWrap w:val="0"/>
                  <w:vAlign w:val="center"/>
                </w:tcPr>
                <w:p w14:paraId="7B021C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eastAsia="宋体"/>
                      <w:color w:val="FF0000"/>
                      <w:highlight w:val="none"/>
                      <w:lang w:eastAsia="zh-CN"/>
                    </w:rPr>
                  </w:pPr>
                  <w:r>
                    <w:rPr>
                      <w:rFonts w:hint="eastAsia"/>
                      <w:color w:val="FF0000"/>
                      <w:highlight w:val="none"/>
                      <w:lang w:eastAsia="zh-CN"/>
                    </w:rPr>
                    <w:t>已采取重点防渗</w:t>
                  </w:r>
                  <w:r>
                    <w:rPr>
                      <w:rFonts w:hint="eastAsia"/>
                      <w:color w:val="FF0000"/>
                      <w:highlight w:val="none"/>
                      <w:lang w:val="en-US" w:eastAsia="zh-CN"/>
                    </w:rPr>
                    <w:t>措施</w:t>
                  </w:r>
                </w:p>
              </w:tc>
            </w:tr>
            <w:tr w14:paraId="51F043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vMerge w:val="continue"/>
                  <w:noWrap w:val="0"/>
                  <w:vAlign w:val="center"/>
                </w:tcPr>
                <w:p w14:paraId="09E426D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p>
              </w:tc>
              <w:tc>
                <w:tcPr>
                  <w:tcW w:w="818" w:type="dxa"/>
                  <w:noWrap w:val="0"/>
                  <w:vAlign w:val="center"/>
                </w:tcPr>
                <w:p w14:paraId="50F83A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rPr>
                  </w:pPr>
                  <w:r>
                    <w:rPr>
                      <w:rFonts w:hint="eastAsia"/>
                      <w:color w:val="auto"/>
                      <w:highlight w:val="none"/>
                      <w:lang w:val="en-US" w:eastAsia="zh-CN"/>
                    </w:rPr>
                    <w:t>2#厂房</w:t>
                  </w:r>
                </w:p>
              </w:tc>
              <w:tc>
                <w:tcPr>
                  <w:tcW w:w="1527" w:type="dxa"/>
                  <w:noWrap w:val="0"/>
                  <w:vAlign w:val="center"/>
                </w:tcPr>
                <w:p w14:paraId="6BB714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default"/>
                      <w:color w:val="auto"/>
                      <w:highlight w:val="none"/>
                    </w:rPr>
                  </w:pPr>
                  <w:r>
                    <w:rPr>
                      <w:rFonts w:hint="eastAsia"/>
                      <w:color w:val="auto"/>
                      <w:highlight w:val="none"/>
                      <w:lang w:val="en-US" w:eastAsia="zh-CN"/>
                    </w:rPr>
                    <w:t>渗滤液池、沉淀池、事故池、</w:t>
                  </w:r>
                  <w:r>
                    <w:rPr>
                      <w:rFonts w:hint="default"/>
                      <w:color w:val="auto"/>
                      <w:highlight w:val="none"/>
                    </w:rPr>
                    <w:t>危废暂存间</w:t>
                  </w:r>
                  <w:r>
                    <w:rPr>
                      <w:rFonts w:hint="eastAsia"/>
                      <w:color w:val="auto"/>
                      <w:highlight w:val="none"/>
                      <w:lang w:eastAsia="zh-CN"/>
                    </w:rPr>
                    <w:t>、</w:t>
                  </w:r>
                  <w:r>
                    <w:rPr>
                      <w:rFonts w:hint="eastAsia"/>
                      <w:color w:val="FF0000"/>
                      <w:highlight w:val="none"/>
                      <w:lang w:eastAsia="zh-CN"/>
                    </w:rPr>
                    <w:t>初期雨水池、洗车平台</w:t>
                  </w:r>
                </w:p>
              </w:tc>
              <w:tc>
                <w:tcPr>
                  <w:tcW w:w="4364" w:type="dxa"/>
                  <w:noWrap w:val="0"/>
                  <w:vAlign w:val="center"/>
                </w:tcPr>
                <w:p w14:paraId="3C2562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FF0000"/>
                      <w:highlight w:val="none"/>
                    </w:rPr>
                    <w:t>危废暂存间防渗要求依据《危险废物贮存污染控制标准》</w:t>
                  </w:r>
                  <w:r>
                    <w:rPr>
                      <w:rFonts w:hint="default"/>
                      <w:color w:val="FF0000"/>
                      <w:highlight w:val="green"/>
                    </w:rPr>
                    <w:t>GB18597-20</w:t>
                  </w:r>
                  <w:r>
                    <w:rPr>
                      <w:rFonts w:hint="eastAsia"/>
                      <w:color w:val="FF0000"/>
                      <w:highlight w:val="green"/>
                      <w:lang w:val="en-US" w:eastAsia="zh-CN"/>
                    </w:rPr>
                    <w:t>23</w:t>
                  </w:r>
                  <w:r>
                    <w:rPr>
                      <w:rFonts w:hint="default"/>
                      <w:color w:val="FF0000"/>
                      <w:highlight w:val="none"/>
                    </w:rPr>
                    <w:t>要求，渗透系数≤10</w:t>
                  </w:r>
                  <w:r>
                    <w:rPr>
                      <w:rFonts w:hint="default"/>
                      <w:color w:val="FF0000"/>
                      <w:highlight w:val="none"/>
                      <w:vertAlign w:val="superscript"/>
                    </w:rPr>
                    <w:t>-10</w:t>
                  </w:r>
                  <w:r>
                    <w:rPr>
                      <w:rFonts w:hint="default"/>
                      <w:color w:val="FF0000"/>
                      <w:highlight w:val="none"/>
                    </w:rPr>
                    <w:t>cm/s；其余工作区防渗要求为：等效黏土防渗层厚≥6.0m，渗透系数≤1.0×10</w:t>
                  </w:r>
                  <w:r>
                    <w:rPr>
                      <w:rFonts w:hint="default"/>
                      <w:color w:val="FF0000"/>
                      <w:highlight w:val="none"/>
                      <w:vertAlign w:val="superscript"/>
                    </w:rPr>
                    <w:t>-7</w:t>
                  </w:r>
                  <w:r>
                    <w:rPr>
                      <w:rFonts w:hint="default"/>
                      <w:color w:val="FF0000"/>
                      <w:highlight w:val="none"/>
                    </w:rPr>
                    <w:t>cm/s，或者参考GB18598执行</w:t>
                  </w:r>
                </w:p>
              </w:tc>
              <w:tc>
                <w:tcPr>
                  <w:tcW w:w="1122" w:type="dxa"/>
                  <w:noWrap w:val="0"/>
                  <w:vAlign w:val="center"/>
                </w:tcPr>
                <w:p w14:paraId="17D718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eastAsia="宋体"/>
                      <w:color w:val="auto"/>
                      <w:highlight w:val="none"/>
                      <w:lang w:eastAsia="zh-CN"/>
                    </w:rPr>
                  </w:pPr>
                  <w:r>
                    <w:rPr>
                      <w:rFonts w:hint="eastAsia"/>
                      <w:color w:val="FF0000"/>
                      <w:highlight w:val="none"/>
                      <w:lang w:eastAsia="zh-CN"/>
                    </w:rPr>
                    <w:t>按要求采取重点防渗</w:t>
                  </w:r>
                  <w:r>
                    <w:rPr>
                      <w:rFonts w:hint="eastAsia"/>
                      <w:color w:val="FF0000"/>
                      <w:highlight w:val="none"/>
                      <w:lang w:val="en-US" w:eastAsia="zh-CN"/>
                    </w:rPr>
                    <w:t>措施</w:t>
                  </w:r>
                </w:p>
              </w:tc>
            </w:tr>
            <w:tr w14:paraId="61B80C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vMerge w:val="restart"/>
                  <w:noWrap w:val="0"/>
                  <w:vAlign w:val="center"/>
                </w:tcPr>
                <w:p w14:paraId="0B2ED8B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default"/>
                      <w:color w:val="auto"/>
                      <w:highlight w:val="none"/>
                    </w:rPr>
                    <w:t>一般防渗区</w:t>
                  </w:r>
                </w:p>
              </w:tc>
              <w:tc>
                <w:tcPr>
                  <w:tcW w:w="818" w:type="dxa"/>
                  <w:noWrap w:val="0"/>
                  <w:vAlign w:val="center"/>
                </w:tcPr>
                <w:p w14:paraId="1EC8FE3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eastAsia="宋体"/>
                      <w:color w:val="FF0000"/>
                      <w:highlight w:val="none"/>
                      <w:lang w:eastAsia="zh-CN"/>
                    </w:rPr>
                  </w:pPr>
                  <w:r>
                    <w:rPr>
                      <w:rFonts w:hint="eastAsia"/>
                      <w:color w:val="FF0000"/>
                      <w:highlight w:val="none"/>
                      <w:lang w:val="en-US" w:eastAsia="zh-CN"/>
                    </w:rPr>
                    <w:t>1#厂房</w:t>
                  </w:r>
                </w:p>
              </w:tc>
              <w:tc>
                <w:tcPr>
                  <w:tcW w:w="1527" w:type="dxa"/>
                  <w:noWrap w:val="0"/>
                  <w:vAlign w:val="center"/>
                </w:tcPr>
                <w:p w14:paraId="566BD749">
                  <w:pPr>
                    <w:pStyle w:val="11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72" w:leftChars="-30" w:right="-72" w:rightChars="-30" w:firstLine="0" w:firstLineChars="0"/>
                    <w:textAlignment w:val="auto"/>
                    <w:rPr>
                      <w:rFonts w:hint="default"/>
                      <w:color w:val="FF0000"/>
                      <w:highlight w:val="none"/>
                    </w:rPr>
                  </w:pPr>
                  <w:r>
                    <w:rPr>
                      <w:rFonts w:hint="default"/>
                      <w:color w:val="FF0000"/>
                    </w:rPr>
                    <w:t>隔油池、化粪池、一般固废暂存间、生产车间</w:t>
                  </w:r>
                </w:p>
              </w:tc>
              <w:tc>
                <w:tcPr>
                  <w:tcW w:w="4364" w:type="dxa"/>
                  <w:noWrap w:val="0"/>
                  <w:vAlign w:val="center"/>
                </w:tcPr>
                <w:p w14:paraId="7317D405">
                  <w:pPr>
                    <w:pStyle w:val="114"/>
                    <w:keepNext w:val="0"/>
                    <w:keepLines w:val="0"/>
                    <w:suppressLineNumbers w:val="0"/>
                    <w:spacing w:before="0" w:beforeAutospacing="0" w:after="0" w:afterAutospacing="0"/>
                    <w:ind w:left="0" w:right="0" w:firstLine="0" w:firstLineChars="0"/>
                    <w:rPr>
                      <w:rFonts w:hint="default"/>
                      <w:color w:val="FF0000"/>
                      <w:highlight w:val="none"/>
                    </w:rPr>
                  </w:pPr>
                  <w:r>
                    <w:rPr>
                      <w:rFonts w:hint="default"/>
                      <w:color w:val="FF0000"/>
                    </w:rPr>
                    <w:t>等效黏土防渗层厚≥1.5m，渗透系数≤1.0×10-7cm/s；或者参考GB16889执行</w:t>
                  </w:r>
                </w:p>
              </w:tc>
              <w:tc>
                <w:tcPr>
                  <w:tcW w:w="1122" w:type="dxa"/>
                  <w:noWrap w:val="0"/>
                  <w:vAlign w:val="center"/>
                </w:tcPr>
                <w:p w14:paraId="143F0D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color w:val="auto"/>
                      <w:highlight w:val="none"/>
                    </w:rPr>
                  </w:pPr>
                  <w:r>
                    <w:rPr>
                      <w:rFonts w:hint="eastAsia"/>
                      <w:color w:val="FF0000"/>
                      <w:highlight w:val="none"/>
                      <w:lang w:eastAsia="zh-CN"/>
                    </w:rPr>
                    <w:t>已采取一般防渗</w:t>
                  </w:r>
                  <w:r>
                    <w:rPr>
                      <w:rFonts w:hint="eastAsia"/>
                      <w:color w:val="FF0000"/>
                      <w:highlight w:val="none"/>
                      <w:lang w:val="en-US" w:eastAsia="zh-CN"/>
                    </w:rPr>
                    <w:t>措施</w:t>
                  </w:r>
                </w:p>
              </w:tc>
            </w:tr>
            <w:tr w14:paraId="104D2D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vMerge w:val="continue"/>
                  <w:noWrap w:val="0"/>
                  <w:vAlign w:val="center"/>
                </w:tcPr>
                <w:p w14:paraId="54BFD6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color w:val="auto"/>
                      <w:highlight w:val="none"/>
                      <w:lang w:eastAsia="zh-CN"/>
                    </w:rPr>
                  </w:pPr>
                </w:p>
              </w:tc>
              <w:tc>
                <w:tcPr>
                  <w:tcW w:w="818" w:type="dxa"/>
                  <w:noWrap w:val="0"/>
                  <w:vAlign w:val="center"/>
                </w:tcPr>
                <w:p w14:paraId="6DA892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olor w:val="auto"/>
                      <w:highlight w:val="none"/>
                      <w:lang w:eastAsia="zh-CN"/>
                    </w:rPr>
                  </w:pPr>
                  <w:r>
                    <w:rPr>
                      <w:rFonts w:hint="eastAsia"/>
                      <w:color w:val="auto"/>
                      <w:highlight w:val="none"/>
                      <w:lang w:val="en-US" w:eastAsia="zh-CN"/>
                    </w:rPr>
                    <w:t>2#厂房</w:t>
                  </w:r>
                </w:p>
              </w:tc>
              <w:tc>
                <w:tcPr>
                  <w:tcW w:w="1527" w:type="dxa"/>
                  <w:noWrap w:val="0"/>
                  <w:vAlign w:val="center"/>
                </w:tcPr>
                <w:p w14:paraId="308858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color w:val="auto"/>
                      <w:highlight w:val="none"/>
                      <w:lang w:eastAsia="zh-CN"/>
                    </w:rPr>
                  </w:pPr>
                  <w:r>
                    <w:rPr>
                      <w:rFonts w:hint="default"/>
                      <w:color w:val="auto"/>
                      <w:highlight w:val="none"/>
                    </w:rPr>
                    <w:t>一般固废暂存间、</w:t>
                  </w:r>
                  <w:r>
                    <w:rPr>
                      <w:rFonts w:hint="eastAsia"/>
                      <w:color w:val="auto"/>
                      <w:highlight w:val="none"/>
                      <w:lang w:eastAsia="zh-CN"/>
                    </w:rPr>
                    <w:t>原料区、</w:t>
                  </w:r>
                  <w:r>
                    <w:rPr>
                      <w:rFonts w:hint="default"/>
                      <w:color w:val="auto"/>
                      <w:highlight w:val="none"/>
                    </w:rPr>
                    <w:t>生产区</w:t>
                  </w:r>
                  <w:r>
                    <w:rPr>
                      <w:rFonts w:hint="eastAsia"/>
                      <w:color w:val="auto"/>
                      <w:highlight w:val="none"/>
                      <w:lang w:eastAsia="zh-CN"/>
                    </w:rPr>
                    <w:t>、成品区</w:t>
                  </w:r>
                </w:p>
              </w:tc>
              <w:tc>
                <w:tcPr>
                  <w:tcW w:w="4364" w:type="dxa"/>
                  <w:noWrap w:val="0"/>
                  <w:vAlign w:val="center"/>
                </w:tcPr>
                <w:p w14:paraId="50E3EC9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ascii="Times New Roman" w:hAnsi="Times New Roman" w:eastAsia="宋体" w:cs="Times New Roman"/>
                      <w:color w:val="auto"/>
                      <w:highlight w:val="none"/>
                    </w:rPr>
                  </w:pPr>
                  <w:r>
                    <w:rPr>
                      <w:rFonts w:hint="default"/>
                      <w:color w:val="auto"/>
                      <w:highlight w:val="none"/>
                    </w:rPr>
                    <w:t>等效黏土防渗层厚≥1.5m，渗透系数≤1.0×10</w:t>
                  </w:r>
                  <w:r>
                    <w:rPr>
                      <w:rFonts w:hint="default"/>
                      <w:color w:val="auto"/>
                      <w:highlight w:val="none"/>
                      <w:vertAlign w:val="superscript"/>
                    </w:rPr>
                    <w:t>-7</w:t>
                  </w:r>
                  <w:r>
                    <w:rPr>
                      <w:rFonts w:hint="default"/>
                      <w:color w:val="auto"/>
                      <w:highlight w:val="none"/>
                    </w:rPr>
                    <w:t>cm/s；或者参考GB16889执行。</w:t>
                  </w:r>
                </w:p>
              </w:tc>
              <w:tc>
                <w:tcPr>
                  <w:tcW w:w="1122" w:type="dxa"/>
                  <w:noWrap w:val="0"/>
                  <w:vAlign w:val="center"/>
                </w:tcPr>
                <w:p w14:paraId="63E02F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ascii="Times New Roman" w:hAnsi="Times New Roman" w:eastAsia="宋体" w:cs="Times New Roman"/>
                      <w:color w:val="auto"/>
                      <w:highlight w:val="none"/>
                    </w:rPr>
                  </w:pPr>
                  <w:r>
                    <w:rPr>
                      <w:rFonts w:hint="eastAsia"/>
                      <w:color w:val="FF0000"/>
                      <w:highlight w:val="none"/>
                      <w:lang w:eastAsia="zh-CN"/>
                    </w:rPr>
                    <w:t>按要求采取重点防渗</w:t>
                  </w:r>
                  <w:r>
                    <w:rPr>
                      <w:rFonts w:hint="eastAsia"/>
                      <w:color w:val="FF0000"/>
                      <w:highlight w:val="none"/>
                      <w:lang w:val="en-US" w:eastAsia="zh-CN"/>
                    </w:rPr>
                    <w:t>措施</w:t>
                  </w:r>
                </w:p>
              </w:tc>
            </w:tr>
            <w:tr w14:paraId="0853C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1" w:type="dxa"/>
                  <w:noWrap w:val="0"/>
                  <w:vAlign w:val="center"/>
                </w:tcPr>
                <w:p w14:paraId="438CA4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eastAsia" w:eastAsia="宋体"/>
                      <w:color w:val="auto"/>
                      <w:highlight w:val="none"/>
                      <w:lang w:eastAsia="zh-CN"/>
                    </w:rPr>
                  </w:pPr>
                  <w:r>
                    <w:rPr>
                      <w:rFonts w:hint="eastAsia"/>
                      <w:color w:val="auto"/>
                      <w:highlight w:val="none"/>
                      <w:lang w:eastAsia="zh-CN"/>
                    </w:rPr>
                    <w:t>简单防渗区</w:t>
                  </w:r>
                </w:p>
              </w:tc>
              <w:tc>
                <w:tcPr>
                  <w:tcW w:w="2345" w:type="dxa"/>
                  <w:gridSpan w:val="2"/>
                  <w:noWrap w:val="0"/>
                  <w:vAlign w:val="center"/>
                </w:tcPr>
                <w:p w14:paraId="7EB1E1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72" w:leftChars="-30" w:right="-72" w:rightChars="-30"/>
                    <w:textAlignment w:val="auto"/>
                    <w:rPr>
                      <w:rFonts w:hint="eastAsia" w:eastAsia="宋体"/>
                      <w:color w:val="auto"/>
                      <w:highlight w:val="none"/>
                      <w:lang w:eastAsia="zh-CN"/>
                    </w:rPr>
                  </w:pPr>
                  <w:r>
                    <w:rPr>
                      <w:rFonts w:hint="eastAsia"/>
                      <w:color w:val="auto"/>
                      <w:highlight w:val="none"/>
                      <w:lang w:eastAsia="zh-CN"/>
                    </w:rPr>
                    <w:t>办公室及其他区域</w:t>
                  </w:r>
                </w:p>
              </w:tc>
              <w:tc>
                <w:tcPr>
                  <w:tcW w:w="4364" w:type="dxa"/>
                  <w:noWrap w:val="0"/>
                  <w:vAlign w:val="center"/>
                </w:tcPr>
                <w:p w14:paraId="7455D7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ascii="Times New Roman" w:hAnsi="Times New Roman" w:eastAsia="宋体" w:cs="Times New Roman"/>
                      <w:color w:val="auto"/>
                      <w:highlight w:val="none"/>
                    </w:rPr>
                    <w:t>一般地面硬化即可</w:t>
                  </w:r>
                  <w:r>
                    <w:rPr>
                      <w:rFonts w:hint="eastAsia" w:ascii="Times New Roman" w:hAnsi="Times New Roman" w:eastAsia="宋体" w:cs="Times New Roman"/>
                      <w:color w:val="auto"/>
                      <w:highlight w:val="none"/>
                      <w:lang w:eastAsia="zh-CN"/>
                    </w:rPr>
                    <w:t>。</w:t>
                  </w:r>
                </w:p>
              </w:tc>
              <w:tc>
                <w:tcPr>
                  <w:tcW w:w="1122" w:type="dxa"/>
                  <w:noWrap w:val="0"/>
                  <w:vAlign w:val="center"/>
                </w:tcPr>
                <w:p w14:paraId="44715EA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120" w:leftChars="-50" w:right="-120" w:rightChars="-50"/>
                    <w:textAlignment w:val="auto"/>
                    <w:rPr>
                      <w:rFonts w:hint="default" w:ascii="Times New Roman" w:hAnsi="Times New Roman" w:eastAsia="宋体" w:cs="Times New Roman"/>
                      <w:color w:val="auto"/>
                      <w:highlight w:val="none"/>
                    </w:rPr>
                  </w:pPr>
                  <w:r>
                    <w:rPr>
                      <w:rFonts w:hint="default" w:ascii="Times New Roman" w:hAnsi="Times New Roman" w:eastAsia="宋体" w:cs="Times New Roman"/>
                      <w:color w:val="FF0000"/>
                      <w:highlight w:val="none"/>
                      <w:lang w:val="en-US" w:eastAsia="zh-CN"/>
                    </w:rPr>
                    <w:t>依托现有，已做好地面硬化处理</w:t>
                  </w:r>
                </w:p>
              </w:tc>
            </w:tr>
          </w:tbl>
          <w:p w14:paraId="17B3741C">
            <w:pPr>
              <w:pStyle w:val="76"/>
              <w:keepNext w:val="0"/>
              <w:keepLines w:val="0"/>
              <w:numPr>
                <w:ilvl w:val="0"/>
                <w:numId w:val="0"/>
              </w:numPr>
              <w:suppressLineNumbers w:val="0"/>
              <w:bidi w:val="0"/>
              <w:spacing w:before="0" w:beforeAutospacing="0" w:after="0" w:afterAutospacing="0"/>
              <w:ind w:left="0" w:leftChars="0" w:right="0" w:rightChars="0" w:firstLine="480" w:firstLineChars="200"/>
              <w:rPr>
                <w:rFonts w:hint="eastAsia" w:cs="Times New Roman"/>
                <w:b w:val="0"/>
                <w:bCs/>
                <w:color w:val="FF0000"/>
                <w:kern w:val="2"/>
                <w:sz w:val="24"/>
                <w:szCs w:val="24"/>
                <w:lang w:val="en-US" w:eastAsia="zh-CN" w:bidi="ar-SA"/>
              </w:rPr>
            </w:pPr>
            <w:r>
              <w:rPr>
                <w:rFonts w:hint="eastAsia" w:cs="Times New Roman"/>
                <w:b w:val="0"/>
                <w:bCs/>
                <w:color w:val="FF0000"/>
                <w:kern w:val="2"/>
                <w:sz w:val="24"/>
                <w:szCs w:val="24"/>
                <w:lang w:val="en-US" w:eastAsia="zh-CN" w:bidi="ar-SA"/>
              </w:rPr>
              <w:t>（3）日常管理</w:t>
            </w:r>
          </w:p>
          <w:p w14:paraId="195C0437">
            <w:pPr>
              <w:keepNext w:val="0"/>
              <w:keepLines w:val="0"/>
              <w:suppressLineNumbers w:val="0"/>
              <w:shd w:val="clear"/>
              <w:bidi w:val="0"/>
              <w:spacing w:before="0" w:beforeAutospacing="0" w:after="0" w:afterAutospacing="0"/>
              <w:ind w:left="0" w:right="0"/>
              <w:rPr>
                <w:rFonts w:hint="eastAsia"/>
                <w:color w:val="FF0000"/>
                <w:kern w:val="2"/>
                <w:szCs w:val="21"/>
                <w:lang w:val="en-US" w:eastAsia="zh-CN"/>
              </w:rPr>
            </w:pPr>
            <w:r>
              <w:rPr>
                <w:rFonts w:hint="eastAsia"/>
                <w:color w:val="FF0000"/>
                <w:kern w:val="2"/>
                <w:szCs w:val="21"/>
                <w:lang w:val="en-US" w:eastAsia="zh-CN"/>
              </w:rPr>
              <w:t>建立经常性的检修制度，如每年对厂区的污水处理设施、固废暂存间及污水管线进行定期检查以便及时发现问题，及时处理解决，及时更新维护各类污水输送储存中转设施。加强生产管理，杜绝事故性排放和泄漏。加强现场巡查，特别是在卫生清理、下雨地面水量较大时，重点检查有无渗漏情况。若发现问题，及时分析原因，找到泄漏点制定整改措施，尽快修补，确保防腐防渗层的完整性。</w:t>
            </w:r>
          </w:p>
          <w:p w14:paraId="1EBC33E0">
            <w:pPr>
              <w:pStyle w:val="76"/>
              <w:keepNext w:val="0"/>
              <w:keepLines w:val="0"/>
              <w:numPr>
                <w:ilvl w:val="0"/>
                <w:numId w:val="0"/>
              </w:numPr>
              <w:suppressLineNumbers w:val="0"/>
              <w:bidi w:val="0"/>
              <w:spacing w:before="0" w:beforeAutospacing="0" w:after="0" w:afterAutospacing="0"/>
              <w:ind w:left="0" w:leftChars="0" w:right="0" w:rightChars="0" w:firstLine="482" w:firstLineChars="200"/>
              <w:rPr>
                <w:rFonts w:hint="eastAsia"/>
                <w:b/>
                <w:bCs w:val="0"/>
                <w:color w:val="auto"/>
                <w:highlight w:val="none"/>
                <w:lang w:val="en-US" w:eastAsia="zh-CN"/>
              </w:rPr>
            </w:pPr>
            <w:r>
              <w:rPr>
                <w:rFonts w:hint="eastAsia" w:cs="Times New Roman"/>
                <w:b/>
                <w:bCs w:val="0"/>
                <w:color w:val="auto"/>
                <w:kern w:val="2"/>
                <w:sz w:val="24"/>
                <w:szCs w:val="24"/>
                <w:lang w:val="en-US" w:eastAsia="zh-CN" w:bidi="ar-SA"/>
              </w:rPr>
              <w:t>5</w:t>
            </w:r>
            <w:r>
              <w:rPr>
                <w:rFonts w:hint="eastAsia" w:ascii="Times New Roman" w:hAnsi="Times New Roman" w:eastAsia="宋体" w:cs="Times New Roman"/>
                <w:b/>
                <w:bCs w:val="0"/>
                <w:color w:val="auto"/>
                <w:kern w:val="2"/>
                <w:sz w:val="24"/>
                <w:szCs w:val="24"/>
                <w:lang w:val="en-US" w:eastAsia="zh-CN" w:bidi="ar-SA"/>
              </w:rPr>
              <w:t>、</w:t>
            </w:r>
            <w:r>
              <w:rPr>
                <w:rFonts w:hint="eastAsia"/>
                <w:b/>
                <w:bCs w:val="0"/>
                <w:color w:val="auto"/>
                <w:highlight w:val="none"/>
                <w:lang w:val="en-US" w:eastAsia="zh-CN"/>
              </w:rPr>
              <w:t>地下水环境管理对策</w:t>
            </w:r>
          </w:p>
          <w:p w14:paraId="786C975F">
            <w:pPr>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根据《宜春市生态环境保护委员会办公室关于印发〈宜春市涉锂电主要行业生态环境监管标准（试行）〉的通知》（宜环委办字〔2023〕2号）要求</w:t>
            </w:r>
            <w:r>
              <w:rPr>
                <w:rFonts w:hint="eastAsia"/>
                <w:color w:val="FF0000"/>
                <w:highlight w:val="none"/>
                <w:lang w:eastAsia="zh-CN"/>
              </w:rPr>
              <w:t>，</w:t>
            </w:r>
            <w:r>
              <w:rPr>
                <w:rFonts w:hint="default"/>
                <w:color w:val="FF0000"/>
                <w:highlight w:val="none"/>
              </w:rPr>
              <w:t>在企业上下游和厂区内每季度开展一次铊、铍、氟化物等特征污染因子地下水自行监测。项目设置3个跟踪监测井：1#：</w:t>
            </w:r>
            <w:r>
              <w:rPr>
                <w:rFonts w:hint="eastAsia"/>
                <w:color w:val="FF0000"/>
                <w:highlight w:val="none"/>
                <w:lang w:eastAsia="zh-CN"/>
              </w:rPr>
              <w:t>毛家村村民</w:t>
            </w:r>
            <w:r>
              <w:rPr>
                <w:rFonts w:hint="default"/>
                <w:color w:val="FF0000"/>
                <w:highlight w:val="none"/>
              </w:rPr>
              <w:t>地下水井（厂外</w:t>
            </w:r>
            <w:r>
              <w:rPr>
                <w:rFonts w:hint="eastAsia"/>
                <w:color w:val="FF0000"/>
                <w:highlight w:val="none"/>
                <w:lang w:eastAsia="zh-CN"/>
              </w:rPr>
              <w:t>东</w:t>
            </w:r>
            <w:r>
              <w:rPr>
                <w:rFonts w:hint="default"/>
                <w:color w:val="FF0000"/>
                <w:highlight w:val="none"/>
              </w:rPr>
              <w:t>北侧</w:t>
            </w:r>
            <w:r>
              <w:rPr>
                <w:rFonts w:hint="eastAsia"/>
                <w:color w:val="FF0000"/>
                <w:highlight w:val="none"/>
                <w:lang w:val="en-US" w:eastAsia="zh-CN"/>
              </w:rPr>
              <w:t>446</w:t>
            </w:r>
            <w:r>
              <w:rPr>
                <w:rFonts w:hint="default"/>
                <w:color w:val="FF0000"/>
                <w:highlight w:val="none"/>
              </w:rPr>
              <w:t>m，上游）；2#：</w:t>
            </w:r>
            <w:r>
              <w:rPr>
                <w:rFonts w:hint="eastAsia"/>
                <w:color w:val="FF0000"/>
                <w:highlight w:val="none"/>
                <w:lang w:eastAsia="zh-CN"/>
              </w:rPr>
              <w:t>本项目厂房</w:t>
            </w:r>
            <w:r>
              <w:rPr>
                <w:rFonts w:hint="default"/>
                <w:color w:val="FF0000"/>
                <w:highlight w:val="none"/>
              </w:rPr>
              <w:t>外</w:t>
            </w:r>
            <w:r>
              <w:rPr>
                <w:rFonts w:hint="eastAsia"/>
                <w:color w:val="FF0000"/>
                <w:highlight w:val="none"/>
                <w:lang w:eastAsia="zh-CN"/>
              </w:rPr>
              <w:t>西南侧</w:t>
            </w:r>
            <w:r>
              <w:rPr>
                <w:rFonts w:hint="default"/>
                <w:color w:val="FF0000"/>
                <w:highlight w:val="none"/>
              </w:rPr>
              <w:t>（厂区内，重点污染风险源处）；3#：</w:t>
            </w:r>
            <w:r>
              <w:rPr>
                <w:rFonts w:hint="eastAsia"/>
                <w:color w:val="FF0000"/>
                <w:highlight w:val="none"/>
                <w:lang w:eastAsia="zh-CN"/>
              </w:rPr>
              <w:t>陈家新村</w:t>
            </w:r>
            <w:r>
              <w:rPr>
                <w:rFonts w:hint="default"/>
                <w:color w:val="FF0000"/>
                <w:highlight w:val="none"/>
              </w:rPr>
              <w:t>村民水井（厂外</w:t>
            </w:r>
            <w:r>
              <w:rPr>
                <w:rFonts w:hint="eastAsia"/>
                <w:color w:val="FF0000"/>
                <w:highlight w:val="none"/>
                <w:lang w:eastAsia="zh-CN"/>
              </w:rPr>
              <w:t>西</w:t>
            </w:r>
            <w:r>
              <w:rPr>
                <w:rFonts w:hint="default"/>
                <w:color w:val="FF0000"/>
                <w:highlight w:val="none"/>
              </w:rPr>
              <w:t>南侧</w:t>
            </w:r>
            <w:r>
              <w:rPr>
                <w:rFonts w:hint="eastAsia"/>
                <w:color w:val="FF0000"/>
                <w:highlight w:val="none"/>
                <w:lang w:val="en-US" w:eastAsia="zh-CN"/>
              </w:rPr>
              <w:t>57</w:t>
            </w:r>
            <w:r>
              <w:rPr>
                <w:rFonts w:hint="default"/>
                <w:color w:val="FF0000"/>
                <w:highlight w:val="none"/>
              </w:rPr>
              <w:t>m，下游）。定期进行监测，一旦发现污染，应立即采取措施，防止地下水污染扩散。</w:t>
            </w:r>
          </w:p>
          <w:p w14:paraId="7B87D523">
            <w:pPr>
              <w:keepNext w:val="0"/>
              <w:keepLines w:val="0"/>
              <w:suppressLineNumbers w:val="0"/>
              <w:bidi w:val="0"/>
              <w:spacing w:before="0" w:beforeAutospacing="0" w:after="0" w:afterAutospacing="0"/>
              <w:ind w:left="0" w:right="0"/>
              <w:rPr>
                <w:rFonts w:hint="eastAsia"/>
                <w:color w:val="FF0000"/>
                <w:highlight w:val="none"/>
                <w:lang w:eastAsia="zh-CN"/>
              </w:rPr>
            </w:pPr>
            <w:r>
              <w:rPr>
                <w:rFonts w:hint="eastAsia"/>
                <w:color w:val="FF0000"/>
                <w:highlight w:val="none"/>
                <w:lang w:eastAsia="zh-CN"/>
              </w:rPr>
              <w:t>地下水监测合理性分析：</w:t>
            </w:r>
          </w:p>
          <w:p w14:paraId="78C4B0C6">
            <w:pPr>
              <w:keepNext w:val="0"/>
              <w:keepLines w:val="0"/>
              <w:suppressLineNumbers w:val="0"/>
              <w:bidi w:val="0"/>
              <w:spacing w:before="0" w:beforeAutospacing="0" w:after="0" w:afterAutospacing="0"/>
              <w:ind w:left="0" w:right="0"/>
              <w:rPr>
                <w:rFonts w:hint="default"/>
                <w:color w:val="FF0000"/>
              </w:rPr>
            </w:pPr>
            <w:r>
              <w:rPr>
                <w:rFonts w:hint="default"/>
                <w:color w:val="FF0000"/>
              </w:rPr>
              <w:t>本项目地下水监测井根据《宜春市生态环境保护委员会办公室关于印发〈宜春市涉锂电主要行业生态环境监管标准（试行）〉的通知》（宜环委办字〔2023〕2号）要求，在企业上下游和厂区内均布置一个水井，符合宜环委办字〔2023〕2号要求。</w:t>
            </w:r>
          </w:p>
          <w:p w14:paraId="6977FFEB">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六</w:t>
            </w:r>
            <w:r>
              <w:rPr>
                <w:rFonts w:hint="default"/>
                <w:b/>
                <w:bCs w:val="0"/>
                <w:color w:val="auto"/>
                <w:highlight w:val="none"/>
              </w:rPr>
              <w:t>、环境风险</w:t>
            </w:r>
          </w:p>
          <w:p w14:paraId="1E9DEB05">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1、风险调查</w:t>
            </w:r>
          </w:p>
          <w:p w14:paraId="6016D5F0">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对照《建设项目环境风险评价技术导则》（HJ169-2018），厂内危险物质主要为</w:t>
            </w:r>
            <w:r>
              <w:rPr>
                <w:rFonts w:hint="eastAsia"/>
                <w:color w:val="auto"/>
                <w:highlight w:val="none"/>
                <w:lang w:eastAsia="zh-CN"/>
              </w:rPr>
              <w:t>机油</w:t>
            </w:r>
            <w:r>
              <w:rPr>
                <w:rFonts w:hint="eastAsia"/>
                <w:color w:val="auto"/>
                <w:highlight w:val="none"/>
              </w:rPr>
              <w:t>、</w:t>
            </w:r>
            <w:r>
              <w:rPr>
                <w:rFonts w:hint="default"/>
                <w:color w:val="auto"/>
                <w:highlight w:val="none"/>
              </w:rPr>
              <w:t>危险废物，风险源主要为仓库、危废暂存间。</w:t>
            </w:r>
          </w:p>
          <w:p w14:paraId="279986D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建设项目涉及危险物质及数量见下表。</w:t>
            </w:r>
          </w:p>
          <w:p w14:paraId="57E9ECB8">
            <w:pPr>
              <w:pStyle w:val="12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建设项目涉及危险物质及数量一览表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374"/>
              <w:gridCol w:w="1309"/>
              <w:gridCol w:w="1400"/>
              <w:gridCol w:w="1281"/>
              <w:gridCol w:w="1346"/>
            </w:tblGrid>
            <w:tr w14:paraId="2BEDAE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55" w:type="dxa"/>
                  <w:noWrap w:val="0"/>
                  <w:vAlign w:val="center"/>
                </w:tcPr>
                <w:p w14:paraId="1CAC9C6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序号</w:t>
                  </w:r>
                </w:p>
              </w:tc>
              <w:tc>
                <w:tcPr>
                  <w:tcW w:w="2374" w:type="dxa"/>
                  <w:noWrap w:val="0"/>
                  <w:vAlign w:val="center"/>
                </w:tcPr>
                <w:p w14:paraId="2FBD417D">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危险物质名称</w:t>
                  </w:r>
                </w:p>
              </w:tc>
              <w:tc>
                <w:tcPr>
                  <w:tcW w:w="1309" w:type="dxa"/>
                  <w:noWrap w:val="0"/>
                  <w:vAlign w:val="center"/>
                </w:tcPr>
                <w:p w14:paraId="1EBC6819">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年用量（t）</w:t>
                  </w:r>
                </w:p>
              </w:tc>
              <w:tc>
                <w:tcPr>
                  <w:tcW w:w="1400" w:type="dxa"/>
                  <w:noWrap w:val="0"/>
                  <w:vAlign w:val="center"/>
                </w:tcPr>
                <w:p w14:paraId="6CED23F1">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储存方式</w:t>
                  </w:r>
                </w:p>
              </w:tc>
              <w:tc>
                <w:tcPr>
                  <w:tcW w:w="1281" w:type="dxa"/>
                  <w:noWrap w:val="0"/>
                  <w:vAlign w:val="center"/>
                </w:tcPr>
                <w:p w14:paraId="04E14104">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最大</w:t>
                  </w:r>
                  <w:r>
                    <w:rPr>
                      <w:rFonts w:hint="eastAsia"/>
                      <w:b/>
                      <w:bCs/>
                      <w:color w:val="auto"/>
                      <w:highlight w:val="none"/>
                      <w:lang w:eastAsia="zh-CN"/>
                    </w:rPr>
                    <w:t>存在</w:t>
                  </w:r>
                  <w:r>
                    <w:rPr>
                      <w:rFonts w:hint="default"/>
                      <w:b/>
                      <w:bCs/>
                      <w:color w:val="auto"/>
                      <w:highlight w:val="none"/>
                    </w:rPr>
                    <w:t>量</w:t>
                  </w:r>
                </w:p>
              </w:tc>
              <w:tc>
                <w:tcPr>
                  <w:tcW w:w="1346" w:type="dxa"/>
                  <w:noWrap w:val="0"/>
                  <w:vAlign w:val="center"/>
                </w:tcPr>
                <w:p w14:paraId="28ADD02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b/>
                      <w:bCs/>
                      <w:color w:val="auto"/>
                      <w:highlight w:val="none"/>
                    </w:rPr>
                  </w:pPr>
                  <w:r>
                    <w:rPr>
                      <w:rFonts w:hint="default"/>
                      <w:b/>
                      <w:bCs/>
                      <w:color w:val="auto"/>
                      <w:highlight w:val="none"/>
                    </w:rPr>
                    <w:t>储存位置</w:t>
                  </w:r>
                </w:p>
              </w:tc>
            </w:tr>
            <w:tr w14:paraId="1566F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55" w:type="dxa"/>
                  <w:noWrap w:val="0"/>
                  <w:vAlign w:val="center"/>
                </w:tcPr>
                <w:p w14:paraId="256DC944">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1</w:t>
                  </w:r>
                </w:p>
              </w:tc>
              <w:tc>
                <w:tcPr>
                  <w:tcW w:w="2374" w:type="dxa"/>
                  <w:noWrap w:val="0"/>
                  <w:vAlign w:val="center"/>
                </w:tcPr>
                <w:p w14:paraId="036C9845">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color w:val="auto"/>
                      <w:highlight w:val="none"/>
                      <w:lang w:eastAsia="zh-CN"/>
                    </w:rPr>
                    <w:t>机油</w:t>
                  </w:r>
                </w:p>
              </w:tc>
              <w:tc>
                <w:tcPr>
                  <w:tcW w:w="1309" w:type="dxa"/>
                  <w:noWrap w:val="0"/>
                  <w:vAlign w:val="center"/>
                </w:tcPr>
                <w:p w14:paraId="0A6E1E63">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0.5</w:t>
                  </w:r>
                </w:p>
              </w:tc>
              <w:tc>
                <w:tcPr>
                  <w:tcW w:w="1400" w:type="dxa"/>
                  <w:noWrap w:val="0"/>
                  <w:vAlign w:val="center"/>
                </w:tcPr>
                <w:p w14:paraId="3DC8973F">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桶装，密封</w:t>
                  </w:r>
                </w:p>
              </w:tc>
              <w:tc>
                <w:tcPr>
                  <w:tcW w:w="1281" w:type="dxa"/>
                  <w:noWrap w:val="0"/>
                  <w:vAlign w:val="center"/>
                </w:tcPr>
                <w:p w14:paraId="68C2CA60">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0.5</w:t>
                  </w:r>
                </w:p>
              </w:tc>
              <w:tc>
                <w:tcPr>
                  <w:tcW w:w="1346" w:type="dxa"/>
                  <w:noWrap w:val="0"/>
                  <w:vAlign w:val="center"/>
                </w:tcPr>
                <w:p w14:paraId="158F6AA0">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eastAsia="zh-CN"/>
                    </w:rPr>
                  </w:pPr>
                  <w:r>
                    <w:rPr>
                      <w:rFonts w:hint="default"/>
                      <w:color w:val="auto"/>
                      <w:highlight w:val="none"/>
                    </w:rPr>
                    <w:t>原料</w:t>
                  </w:r>
                  <w:r>
                    <w:rPr>
                      <w:rFonts w:hint="eastAsia"/>
                      <w:color w:val="auto"/>
                      <w:highlight w:val="none"/>
                      <w:lang w:val="en-US" w:eastAsia="zh-CN"/>
                    </w:rPr>
                    <w:t>仓库</w:t>
                  </w:r>
                </w:p>
              </w:tc>
            </w:tr>
            <w:tr w14:paraId="3BB0B3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55" w:type="dxa"/>
                  <w:noWrap w:val="0"/>
                  <w:vAlign w:val="center"/>
                </w:tcPr>
                <w:p w14:paraId="11E5A71B">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color w:val="auto"/>
                      <w:highlight w:val="none"/>
                    </w:rPr>
                    <w:t>2</w:t>
                  </w:r>
                </w:p>
              </w:tc>
              <w:tc>
                <w:tcPr>
                  <w:tcW w:w="2374" w:type="dxa"/>
                  <w:noWrap w:val="0"/>
                  <w:vAlign w:val="center"/>
                </w:tcPr>
                <w:p w14:paraId="1C954D06">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eastAsia="zh-CN"/>
                    </w:rPr>
                  </w:pPr>
                  <w:r>
                    <w:rPr>
                      <w:rFonts w:hint="default"/>
                      <w:color w:val="auto"/>
                      <w:highlight w:val="none"/>
                    </w:rPr>
                    <w:t>危险废物</w:t>
                  </w:r>
                  <w:r>
                    <w:rPr>
                      <w:rFonts w:hint="eastAsia"/>
                      <w:color w:val="auto"/>
                      <w:highlight w:val="none"/>
                      <w:lang w:eastAsia="zh-CN"/>
                    </w:rPr>
                    <w:t>（</w:t>
                  </w:r>
                  <w:r>
                    <w:rPr>
                      <w:rFonts w:hint="eastAsia"/>
                      <w:color w:val="auto"/>
                      <w:highlight w:val="none"/>
                      <w:lang w:val="en-US" w:eastAsia="zh-CN"/>
                    </w:rPr>
                    <w:t>废</w:t>
                  </w:r>
                  <w:r>
                    <w:rPr>
                      <w:rFonts w:hint="eastAsia"/>
                      <w:color w:val="auto"/>
                      <w:highlight w:val="none"/>
                      <w:lang w:eastAsia="zh-CN"/>
                    </w:rPr>
                    <w:t>机油</w:t>
                  </w:r>
                  <w:r>
                    <w:rPr>
                      <w:rFonts w:hint="eastAsia"/>
                      <w:color w:val="auto"/>
                      <w:highlight w:val="none"/>
                      <w:lang w:val="en-US" w:eastAsia="zh-CN"/>
                    </w:rPr>
                    <w:t>、废</w:t>
                  </w:r>
                  <w:r>
                    <w:rPr>
                      <w:rFonts w:hint="eastAsia"/>
                      <w:color w:val="auto"/>
                      <w:highlight w:val="none"/>
                      <w:lang w:eastAsia="zh-CN"/>
                    </w:rPr>
                    <w:t>机油</w:t>
                  </w:r>
                  <w:r>
                    <w:rPr>
                      <w:rFonts w:hint="eastAsia"/>
                      <w:color w:val="auto"/>
                      <w:highlight w:val="none"/>
                      <w:lang w:val="en-US" w:eastAsia="zh-CN"/>
                    </w:rPr>
                    <w:t>桶、废含油手套及劳保用品</w:t>
                  </w:r>
                  <w:r>
                    <w:rPr>
                      <w:rFonts w:hint="eastAsia"/>
                      <w:color w:val="auto"/>
                      <w:highlight w:val="none"/>
                      <w:lang w:eastAsia="zh-CN"/>
                    </w:rPr>
                    <w:t>）</w:t>
                  </w:r>
                </w:p>
              </w:tc>
              <w:tc>
                <w:tcPr>
                  <w:tcW w:w="1309" w:type="dxa"/>
                  <w:noWrap w:val="0"/>
                  <w:vAlign w:val="center"/>
                </w:tcPr>
                <w:p w14:paraId="1881B20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0.43</w:t>
                  </w:r>
                </w:p>
              </w:tc>
              <w:tc>
                <w:tcPr>
                  <w:tcW w:w="1400" w:type="dxa"/>
                  <w:noWrap w:val="0"/>
                  <w:vAlign w:val="center"/>
                </w:tcPr>
                <w:p w14:paraId="55E7954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桶装，密封</w:t>
                  </w:r>
                </w:p>
              </w:tc>
              <w:tc>
                <w:tcPr>
                  <w:tcW w:w="1281" w:type="dxa"/>
                  <w:noWrap w:val="0"/>
                  <w:vAlign w:val="center"/>
                </w:tcPr>
                <w:p w14:paraId="11A231B3">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0.215</w:t>
                  </w:r>
                </w:p>
              </w:tc>
              <w:tc>
                <w:tcPr>
                  <w:tcW w:w="1346" w:type="dxa"/>
                  <w:noWrap w:val="0"/>
                  <w:vAlign w:val="center"/>
                </w:tcPr>
                <w:p w14:paraId="5435C0B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危废暂存间</w:t>
                  </w:r>
                </w:p>
              </w:tc>
            </w:tr>
            <w:tr w14:paraId="515ED0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655" w:type="dxa"/>
                  <w:noWrap w:val="0"/>
                  <w:vAlign w:val="center"/>
                </w:tcPr>
                <w:p w14:paraId="6575B8E3">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3</w:t>
                  </w:r>
                </w:p>
              </w:tc>
              <w:tc>
                <w:tcPr>
                  <w:tcW w:w="2374" w:type="dxa"/>
                  <w:noWrap w:val="0"/>
                  <w:vAlign w:val="center"/>
                </w:tcPr>
                <w:p w14:paraId="41ECB9BC">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柴油</w:t>
                  </w:r>
                </w:p>
              </w:tc>
              <w:tc>
                <w:tcPr>
                  <w:tcW w:w="1309" w:type="dxa"/>
                  <w:noWrap w:val="0"/>
                  <w:vAlign w:val="center"/>
                </w:tcPr>
                <w:p w14:paraId="0A667BD5">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18.42</w:t>
                  </w:r>
                </w:p>
              </w:tc>
              <w:tc>
                <w:tcPr>
                  <w:tcW w:w="1400" w:type="dxa"/>
                  <w:noWrap w:val="0"/>
                  <w:vAlign w:val="center"/>
                </w:tcPr>
                <w:p w14:paraId="5C98C2EB">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桶装，密封</w:t>
                  </w:r>
                </w:p>
              </w:tc>
              <w:tc>
                <w:tcPr>
                  <w:tcW w:w="1281" w:type="dxa"/>
                  <w:noWrap w:val="0"/>
                  <w:vAlign w:val="center"/>
                </w:tcPr>
                <w:p w14:paraId="3D251D25">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1</w:t>
                  </w:r>
                </w:p>
              </w:tc>
              <w:tc>
                <w:tcPr>
                  <w:tcW w:w="1346" w:type="dxa"/>
                  <w:noWrap w:val="0"/>
                  <w:vAlign w:val="center"/>
                </w:tcPr>
                <w:p w14:paraId="1874CD29">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原料</w:t>
                  </w:r>
                  <w:r>
                    <w:rPr>
                      <w:rFonts w:hint="eastAsia"/>
                      <w:color w:val="auto"/>
                      <w:highlight w:val="none"/>
                      <w:lang w:val="en-US" w:eastAsia="zh-CN"/>
                    </w:rPr>
                    <w:t>仓库</w:t>
                  </w:r>
                </w:p>
              </w:tc>
            </w:tr>
            <w:tr w14:paraId="13ADB6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655" w:type="dxa"/>
                  <w:noWrap w:val="0"/>
                  <w:vAlign w:val="center"/>
                </w:tcPr>
                <w:p w14:paraId="40545956">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auto"/>
                      <w:highlight w:val="none"/>
                      <w:lang w:val="en-US" w:eastAsia="zh-CN"/>
                    </w:rPr>
                  </w:pPr>
                  <w:r>
                    <w:rPr>
                      <w:rFonts w:hint="eastAsia"/>
                      <w:color w:val="auto"/>
                      <w:highlight w:val="none"/>
                      <w:lang w:val="en-US" w:eastAsia="zh-CN"/>
                    </w:rPr>
                    <w:t>4</w:t>
                  </w:r>
                </w:p>
              </w:tc>
              <w:tc>
                <w:tcPr>
                  <w:tcW w:w="2374" w:type="dxa"/>
                  <w:noWrap w:val="0"/>
                  <w:vAlign w:val="center"/>
                </w:tcPr>
                <w:p w14:paraId="6EC6440E">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FF0000"/>
                      <w:highlight w:val="none"/>
                      <w:lang w:val="en-US" w:eastAsia="zh-CN"/>
                    </w:rPr>
                  </w:pPr>
                  <w:r>
                    <w:rPr>
                      <w:rFonts w:hint="eastAsia"/>
                      <w:color w:val="FF0000"/>
                      <w:highlight w:val="none"/>
                      <w:lang w:val="en-US" w:eastAsia="zh-CN"/>
                    </w:rPr>
                    <w:t>铊</w:t>
                  </w:r>
                </w:p>
              </w:tc>
              <w:tc>
                <w:tcPr>
                  <w:tcW w:w="1309" w:type="dxa"/>
                  <w:noWrap w:val="0"/>
                  <w:vAlign w:val="center"/>
                </w:tcPr>
                <w:p w14:paraId="172B413A">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FF0000"/>
                      <w:highlight w:val="none"/>
                      <w:lang w:val="en-US" w:eastAsia="zh-CN"/>
                    </w:rPr>
                  </w:pPr>
                  <w:r>
                    <w:rPr>
                      <w:rFonts w:hint="eastAsia"/>
                      <w:color w:val="FF0000"/>
                      <w:highlight w:val="none"/>
                      <w:lang w:val="en-US" w:eastAsia="zh-CN"/>
                    </w:rPr>
                    <w:t>4.0162</w:t>
                  </w:r>
                </w:p>
              </w:tc>
              <w:tc>
                <w:tcPr>
                  <w:tcW w:w="1400" w:type="dxa"/>
                  <w:noWrap w:val="0"/>
                  <w:vAlign w:val="center"/>
                </w:tcPr>
                <w:p w14:paraId="0286A495">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eastAsia" w:eastAsia="宋体"/>
                      <w:color w:val="FF0000"/>
                      <w:highlight w:val="none"/>
                      <w:lang w:val="en-US" w:eastAsia="zh-CN"/>
                    </w:rPr>
                  </w:pPr>
                  <w:r>
                    <w:rPr>
                      <w:rFonts w:hint="eastAsia"/>
                      <w:color w:val="FF0000"/>
                      <w:highlight w:val="none"/>
                      <w:lang w:val="en-US" w:eastAsia="zh-CN"/>
                    </w:rPr>
                    <w:t>散装</w:t>
                  </w:r>
                </w:p>
              </w:tc>
              <w:tc>
                <w:tcPr>
                  <w:tcW w:w="1281" w:type="dxa"/>
                  <w:noWrap w:val="0"/>
                  <w:vAlign w:val="center"/>
                </w:tcPr>
                <w:p w14:paraId="4437C8BA">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color w:val="FF0000"/>
                      <w:highlight w:val="none"/>
                      <w:lang w:val="en-US" w:eastAsia="zh-CN"/>
                    </w:rPr>
                  </w:pPr>
                  <w:r>
                    <w:rPr>
                      <w:rFonts w:hint="eastAsia"/>
                      <w:color w:val="FF0000"/>
                      <w:highlight w:val="none"/>
                      <w:lang w:val="en-US" w:eastAsia="zh-CN"/>
                    </w:rPr>
                    <w:t>0.080324</w:t>
                  </w:r>
                </w:p>
              </w:tc>
              <w:tc>
                <w:tcPr>
                  <w:tcW w:w="1346" w:type="dxa"/>
                  <w:noWrap w:val="0"/>
                  <w:vAlign w:val="center"/>
                </w:tcPr>
                <w:p w14:paraId="64C29C39">
                  <w:pPr>
                    <w:pStyle w:val="84"/>
                    <w:keepNext w:val="0"/>
                    <w:keepLines w:val="0"/>
                    <w:pageBreakBefore w:val="0"/>
                    <w:widowControl w:val="0"/>
                    <w:suppressLineNumbers w:val="0"/>
                    <w:kinsoku w:val="0"/>
                    <w:wordWrap/>
                    <w:overflowPunct w:val="0"/>
                    <w:topLinePunct w:val="0"/>
                    <w:autoSpaceDE/>
                    <w:autoSpaceDN/>
                    <w:bidi w:val="0"/>
                    <w:adjustRightInd w:val="0"/>
                    <w:snapToGrid w:val="0"/>
                    <w:spacing w:before="0" w:beforeAutospacing="0" w:after="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原料仓库</w:t>
                  </w:r>
                </w:p>
              </w:tc>
            </w:tr>
          </w:tbl>
          <w:p w14:paraId="22D881BD">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根据《建设项目环境风险评价技术导则》（HJ169-2018）附录C，Q值按下式进行计算：</w:t>
            </w:r>
          </w:p>
          <w:p w14:paraId="5F2899B4">
            <w:pPr>
              <w:pStyle w:val="89"/>
              <w:keepNext w:val="0"/>
              <w:keepLines w:val="0"/>
              <w:suppressLineNumbers w:val="0"/>
              <w:spacing w:before="0" w:beforeAutospacing="0" w:after="0" w:afterAutospacing="0"/>
              <w:ind w:left="0" w:right="0" w:firstLine="480"/>
              <w:jc w:val="center"/>
              <w:rPr>
                <w:rFonts w:hint="default" w:cs="Times New Roman"/>
                <w:color w:val="auto"/>
                <w:highlight w:val="none"/>
              </w:rPr>
            </w:pPr>
            <w:r>
              <w:rPr>
                <w:rFonts w:hint="default" w:cs="Times New Roman"/>
                <w:color w:val="auto"/>
                <w:highlight w:val="none"/>
              </w:rPr>
              <w:fldChar w:fldCharType="begin"/>
            </w:r>
            <w:r>
              <w:rPr>
                <w:rFonts w:hint="default"/>
                <w:color w:val="auto"/>
                <w:highlight w:val="none"/>
              </w:rPr>
              <w:instrText xml:space="preserve"> INCLUDEPICTURE "F:\\86134\\AppData\\Local\\Temp\\ksohtml4412\\wps22.png" \* MERGEFORMAT </w:instrText>
            </w:r>
            <w:r>
              <w:rPr>
                <w:rFonts w:hint="default" w:cs="Times New Roman"/>
                <w:color w:val="auto"/>
                <w:highlight w:val="none"/>
              </w:rPr>
              <w:fldChar w:fldCharType="separate"/>
            </w:r>
            <w:r>
              <w:rPr>
                <w:rFonts w:hint="default" w:cs="Times New Roman"/>
                <w:color w:val="auto"/>
                <w:highlight w:val="none"/>
              </w:rPr>
              <w:drawing>
                <wp:inline distT="0" distB="0" distL="114300" distR="114300">
                  <wp:extent cx="1248410" cy="466090"/>
                  <wp:effectExtent l="0" t="0" r="0" b="0"/>
                  <wp:docPr id="18" name="图片 14" descr="wps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wps22"/>
                          <pic:cNvPicPr>
                            <a:picLocks noChangeAspect="1"/>
                          </pic:cNvPicPr>
                        </pic:nvPicPr>
                        <pic:blipFill>
                          <a:blip r:embed="rId36"/>
                          <a:stretch>
                            <a:fillRect/>
                          </a:stretch>
                        </pic:blipFill>
                        <pic:spPr>
                          <a:xfrm>
                            <a:off x="0" y="0"/>
                            <a:ext cx="1248410" cy="466090"/>
                          </a:xfrm>
                          <a:prstGeom prst="rect">
                            <a:avLst/>
                          </a:prstGeom>
                          <a:noFill/>
                          <a:ln>
                            <a:noFill/>
                          </a:ln>
                        </pic:spPr>
                      </pic:pic>
                    </a:graphicData>
                  </a:graphic>
                </wp:inline>
              </w:drawing>
            </w:r>
            <w:r>
              <w:rPr>
                <w:rFonts w:hint="default" w:cs="Times New Roman"/>
                <w:color w:val="auto"/>
                <w:highlight w:val="none"/>
              </w:rPr>
              <w:fldChar w:fldCharType="end"/>
            </w:r>
          </w:p>
          <w:p w14:paraId="191F0039">
            <w:pPr>
              <w:pStyle w:val="89"/>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式中：q</w:t>
            </w:r>
            <w:r>
              <w:rPr>
                <w:rFonts w:hint="default" w:cs="Times New Roman"/>
                <w:color w:val="auto"/>
                <w:highlight w:val="none"/>
                <w:vertAlign w:val="subscript"/>
              </w:rPr>
              <w:t>1</w:t>
            </w:r>
            <w:r>
              <w:rPr>
                <w:rFonts w:hint="eastAsia" w:cs="Times New Roman"/>
                <w:color w:val="auto"/>
                <w:highlight w:val="none"/>
              </w:rPr>
              <w:t>、q</w:t>
            </w:r>
            <w:r>
              <w:rPr>
                <w:rFonts w:hint="default" w:cs="Times New Roman"/>
                <w:color w:val="auto"/>
                <w:highlight w:val="none"/>
                <w:vertAlign w:val="subscript"/>
              </w:rPr>
              <w:t>2</w:t>
            </w:r>
            <w:r>
              <w:rPr>
                <w:rFonts w:hint="default" w:cs="Times New Roman"/>
                <w:color w:val="auto"/>
                <w:highlight w:val="none"/>
              </w:rPr>
              <w:t>——每种危险物质的最大存在总量，t；</w:t>
            </w:r>
          </w:p>
          <w:p w14:paraId="62B324CD">
            <w:pPr>
              <w:pStyle w:val="89"/>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Q</w:t>
            </w:r>
            <w:r>
              <w:rPr>
                <w:rFonts w:hint="default" w:cs="Times New Roman"/>
                <w:color w:val="auto"/>
                <w:highlight w:val="none"/>
                <w:vertAlign w:val="subscript"/>
              </w:rPr>
              <w:t>1</w:t>
            </w:r>
            <w:r>
              <w:rPr>
                <w:rFonts w:hint="eastAsia" w:cs="Times New Roman"/>
                <w:color w:val="auto"/>
                <w:highlight w:val="none"/>
              </w:rPr>
              <w:t>、</w:t>
            </w:r>
            <w:r>
              <w:rPr>
                <w:rFonts w:hint="default" w:cs="Times New Roman"/>
                <w:color w:val="auto"/>
                <w:highlight w:val="none"/>
              </w:rPr>
              <w:t>Q</w:t>
            </w:r>
            <w:r>
              <w:rPr>
                <w:rFonts w:hint="default" w:cs="Times New Roman"/>
                <w:color w:val="auto"/>
                <w:highlight w:val="none"/>
                <w:vertAlign w:val="subscript"/>
              </w:rPr>
              <w:t>2</w:t>
            </w:r>
            <w:r>
              <w:rPr>
                <w:rFonts w:hint="default" w:cs="Times New Roman"/>
                <w:color w:val="auto"/>
                <w:highlight w:val="none"/>
              </w:rPr>
              <w:t>…..Q</w:t>
            </w:r>
            <w:r>
              <w:rPr>
                <w:rFonts w:hint="eastAsia" w:cs="Times New Roman"/>
                <w:color w:val="auto"/>
                <w:highlight w:val="none"/>
                <w:vertAlign w:val="subscript"/>
              </w:rPr>
              <w:t>n</w:t>
            </w:r>
            <w:r>
              <w:rPr>
                <w:rFonts w:hint="default" w:cs="Times New Roman"/>
                <w:color w:val="auto"/>
                <w:highlight w:val="none"/>
              </w:rPr>
              <w:t>———每种危险物质的临界量，t。</w:t>
            </w:r>
          </w:p>
          <w:p w14:paraId="63C1773E">
            <w:pPr>
              <w:pStyle w:val="89"/>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当Q＜1时，该项目环境风险潜势为I。</w:t>
            </w:r>
          </w:p>
          <w:p w14:paraId="46B3CC2F">
            <w:pPr>
              <w:pStyle w:val="89"/>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当Q≥1时，将Q值划分为：（1）1≤Q＜10；（2）10≤Q＜100；（3）Q≥100。</w:t>
            </w:r>
          </w:p>
          <w:p w14:paraId="7E989129">
            <w:pPr>
              <w:pStyle w:val="89"/>
              <w:keepNext w:val="0"/>
              <w:keepLines w:val="0"/>
              <w:suppressLineNumbers w:val="0"/>
              <w:spacing w:before="0" w:beforeAutospacing="0" w:after="0" w:afterAutospacing="0"/>
              <w:ind w:left="0" w:right="0" w:firstLine="480"/>
              <w:rPr>
                <w:rFonts w:hint="default" w:cs="Times New Roman"/>
                <w:color w:val="auto"/>
                <w:highlight w:val="none"/>
              </w:rPr>
            </w:pPr>
            <w:r>
              <w:rPr>
                <w:rFonts w:hint="default" w:cs="Times New Roman"/>
                <w:color w:val="auto"/>
                <w:highlight w:val="none"/>
              </w:rPr>
              <w:t>项目Q值计算结果见下表所示。</w:t>
            </w:r>
          </w:p>
          <w:p w14:paraId="6242B2C3">
            <w:pPr>
              <w:pStyle w:val="12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建设项目Q值确定表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1"/>
              <w:gridCol w:w="1562"/>
              <w:gridCol w:w="1360"/>
              <w:gridCol w:w="1652"/>
              <w:gridCol w:w="1365"/>
              <w:gridCol w:w="1625"/>
            </w:tblGrid>
            <w:tr w14:paraId="7AFD89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1" w:type="dxa"/>
                  <w:noWrap w:val="0"/>
                  <w:vAlign w:val="center"/>
                </w:tcPr>
                <w:p w14:paraId="6142C1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序号</w:t>
                  </w:r>
                </w:p>
              </w:tc>
              <w:tc>
                <w:tcPr>
                  <w:tcW w:w="1562" w:type="dxa"/>
                  <w:noWrap w:val="0"/>
                  <w:vAlign w:val="center"/>
                </w:tcPr>
                <w:p w14:paraId="05069EA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危险物质名称</w:t>
                  </w:r>
                </w:p>
              </w:tc>
              <w:tc>
                <w:tcPr>
                  <w:tcW w:w="1360" w:type="dxa"/>
                  <w:noWrap w:val="0"/>
                  <w:vAlign w:val="center"/>
                </w:tcPr>
                <w:p w14:paraId="6232BE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分布情况</w:t>
                  </w:r>
                </w:p>
              </w:tc>
              <w:tc>
                <w:tcPr>
                  <w:tcW w:w="1652" w:type="dxa"/>
                  <w:noWrap w:val="0"/>
                  <w:vAlign w:val="center"/>
                </w:tcPr>
                <w:p w14:paraId="356C1D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最大存在总量qn/t</w:t>
                  </w:r>
                </w:p>
              </w:tc>
              <w:tc>
                <w:tcPr>
                  <w:tcW w:w="1365" w:type="dxa"/>
                  <w:noWrap w:val="0"/>
                  <w:vAlign w:val="center"/>
                </w:tcPr>
                <w:p w14:paraId="24E810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临界量Qn/t</w:t>
                  </w:r>
                </w:p>
              </w:tc>
              <w:tc>
                <w:tcPr>
                  <w:tcW w:w="1625" w:type="dxa"/>
                  <w:noWrap w:val="0"/>
                  <w:vAlign w:val="center"/>
                </w:tcPr>
                <w:p w14:paraId="01B05E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该种危险物质Q值</w:t>
                  </w:r>
                </w:p>
              </w:tc>
            </w:tr>
            <w:tr w14:paraId="53F2028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1" w:type="dxa"/>
                  <w:noWrap w:val="0"/>
                  <w:vAlign w:val="center"/>
                </w:tcPr>
                <w:p w14:paraId="30C54A9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w:t>
                  </w:r>
                </w:p>
              </w:tc>
              <w:tc>
                <w:tcPr>
                  <w:tcW w:w="1562" w:type="dxa"/>
                  <w:noWrap w:val="0"/>
                  <w:vAlign w:val="center"/>
                </w:tcPr>
                <w:p w14:paraId="77A7D7D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eastAsia="zh-CN"/>
                    </w:rPr>
                    <w:t>机</w:t>
                  </w:r>
                  <w:r>
                    <w:rPr>
                      <w:rFonts w:hint="default"/>
                      <w:color w:val="auto"/>
                      <w:highlight w:val="none"/>
                    </w:rPr>
                    <w:t>油</w:t>
                  </w:r>
                </w:p>
              </w:tc>
              <w:tc>
                <w:tcPr>
                  <w:tcW w:w="1360" w:type="dxa"/>
                  <w:noWrap w:val="0"/>
                  <w:vAlign w:val="center"/>
                </w:tcPr>
                <w:p w14:paraId="719F4D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仓库</w:t>
                  </w:r>
                </w:p>
              </w:tc>
              <w:tc>
                <w:tcPr>
                  <w:tcW w:w="1652" w:type="dxa"/>
                  <w:noWrap w:val="0"/>
                  <w:vAlign w:val="center"/>
                </w:tcPr>
                <w:p w14:paraId="38FE56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0.5</w:t>
                  </w:r>
                </w:p>
              </w:tc>
              <w:tc>
                <w:tcPr>
                  <w:tcW w:w="1365" w:type="dxa"/>
                  <w:noWrap w:val="0"/>
                  <w:vAlign w:val="center"/>
                </w:tcPr>
                <w:p w14:paraId="751AB4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2500</w:t>
                  </w:r>
                </w:p>
              </w:tc>
              <w:tc>
                <w:tcPr>
                  <w:tcW w:w="1625" w:type="dxa"/>
                  <w:noWrap w:val="0"/>
                  <w:vAlign w:val="center"/>
                </w:tcPr>
                <w:p w14:paraId="544224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0.000</w:t>
                  </w:r>
                  <w:r>
                    <w:rPr>
                      <w:rFonts w:hint="eastAsia"/>
                      <w:color w:val="auto"/>
                      <w:highlight w:val="none"/>
                      <w:lang w:val="en-US" w:eastAsia="zh-CN"/>
                    </w:rPr>
                    <w:t>2</w:t>
                  </w:r>
                </w:p>
              </w:tc>
            </w:tr>
            <w:tr w14:paraId="19E71A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1" w:type="dxa"/>
                  <w:noWrap w:val="0"/>
                  <w:vAlign w:val="center"/>
                </w:tcPr>
                <w:p w14:paraId="4FA9FF0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w:t>
                  </w:r>
                </w:p>
              </w:tc>
              <w:tc>
                <w:tcPr>
                  <w:tcW w:w="1562" w:type="dxa"/>
                  <w:noWrap w:val="0"/>
                  <w:vAlign w:val="center"/>
                </w:tcPr>
                <w:p w14:paraId="372BB0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危险废物</w:t>
                  </w:r>
                </w:p>
              </w:tc>
              <w:tc>
                <w:tcPr>
                  <w:tcW w:w="1360" w:type="dxa"/>
                  <w:noWrap w:val="0"/>
                  <w:vAlign w:val="center"/>
                </w:tcPr>
                <w:p w14:paraId="7D4121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危废暂存间</w:t>
                  </w:r>
                </w:p>
              </w:tc>
              <w:tc>
                <w:tcPr>
                  <w:tcW w:w="1652" w:type="dxa"/>
                  <w:noWrap w:val="0"/>
                  <w:vAlign w:val="center"/>
                </w:tcPr>
                <w:p w14:paraId="5840A96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0.215</w:t>
                  </w:r>
                </w:p>
              </w:tc>
              <w:tc>
                <w:tcPr>
                  <w:tcW w:w="1365" w:type="dxa"/>
                  <w:noWrap w:val="0"/>
                  <w:vAlign w:val="center"/>
                </w:tcPr>
                <w:p w14:paraId="7F51C2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50</w:t>
                  </w:r>
                </w:p>
              </w:tc>
              <w:tc>
                <w:tcPr>
                  <w:tcW w:w="1625" w:type="dxa"/>
                  <w:noWrap w:val="0"/>
                  <w:vAlign w:val="center"/>
                </w:tcPr>
                <w:p w14:paraId="0F219B2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0.0043</w:t>
                  </w:r>
                </w:p>
              </w:tc>
            </w:tr>
            <w:tr w14:paraId="1CE958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1" w:type="dxa"/>
                  <w:noWrap w:val="0"/>
                  <w:vAlign w:val="center"/>
                </w:tcPr>
                <w:p w14:paraId="3AEAA9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3</w:t>
                  </w:r>
                </w:p>
              </w:tc>
              <w:tc>
                <w:tcPr>
                  <w:tcW w:w="1562" w:type="dxa"/>
                  <w:noWrap w:val="0"/>
                  <w:vAlign w:val="center"/>
                </w:tcPr>
                <w:p w14:paraId="1B1666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柴油</w:t>
                  </w:r>
                </w:p>
              </w:tc>
              <w:tc>
                <w:tcPr>
                  <w:tcW w:w="1360" w:type="dxa"/>
                  <w:noWrap w:val="0"/>
                  <w:vAlign w:val="center"/>
                </w:tcPr>
                <w:p w14:paraId="629148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仓库</w:t>
                  </w:r>
                </w:p>
              </w:tc>
              <w:tc>
                <w:tcPr>
                  <w:tcW w:w="1652" w:type="dxa"/>
                  <w:noWrap w:val="0"/>
                  <w:vAlign w:val="center"/>
                </w:tcPr>
                <w:p w14:paraId="10515E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1</w:t>
                  </w:r>
                </w:p>
              </w:tc>
              <w:tc>
                <w:tcPr>
                  <w:tcW w:w="1365" w:type="dxa"/>
                  <w:noWrap w:val="0"/>
                  <w:vAlign w:val="center"/>
                </w:tcPr>
                <w:p w14:paraId="568274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2500</w:t>
                  </w:r>
                </w:p>
              </w:tc>
              <w:tc>
                <w:tcPr>
                  <w:tcW w:w="1625" w:type="dxa"/>
                  <w:noWrap w:val="0"/>
                  <w:vAlign w:val="center"/>
                </w:tcPr>
                <w:p w14:paraId="54E8BE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0.0004</w:t>
                  </w:r>
                </w:p>
              </w:tc>
            </w:tr>
            <w:tr w14:paraId="28A441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01" w:type="dxa"/>
                  <w:noWrap w:val="0"/>
                  <w:vAlign w:val="center"/>
                </w:tcPr>
                <w:p w14:paraId="4D70C2E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4</w:t>
                  </w:r>
                </w:p>
              </w:tc>
              <w:tc>
                <w:tcPr>
                  <w:tcW w:w="1562" w:type="dxa"/>
                  <w:noWrap w:val="0"/>
                  <w:vAlign w:val="center"/>
                </w:tcPr>
                <w:p w14:paraId="3157FD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铊</w:t>
                  </w:r>
                </w:p>
              </w:tc>
              <w:tc>
                <w:tcPr>
                  <w:tcW w:w="1360" w:type="dxa"/>
                  <w:noWrap w:val="0"/>
                  <w:vAlign w:val="center"/>
                </w:tcPr>
                <w:p w14:paraId="23A700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锂渣仓库</w:t>
                  </w:r>
                </w:p>
              </w:tc>
              <w:tc>
                <w:tcPr>
                  <w:tcW w:w="1652" w:type="dxa"/>
                  <w:noWrap w:val="0"/>
                  <w:vAlign w:val="center"/>
                </w:tcPr>
                <w:p w14:paraId="7368681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0.080324</w:t>
                  </w:r>
                </w:p>
              </w:tc>
              <w:tc>
                <w:tcPr>
                  <w:tcW w:w="1365" w:type="dxa"/>
                  <w:noWrap w:val="0"/>
                  <w:vAlign w:val="center"/>
                </w:tcPr>
                <w:p w14:paraId="2D5F6E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0.25</w:t>
                  </w:r>
                </w:p>
              </w:tc>
              <w:tc>
                <w:tcPr>
                  <w:tcW w:w="1625" w:type="dxa"/>
                  <w:noWrap w:val="0"/>
                  <w:vAlign w:val="center"/>
                </w:tcPr>
                <w:p w14:paraId="72537B3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0.321296</w:t>
                  </w:r>
                </w:p>
              </w:tc>
            </w:tr>
            <w:tr w14:paraId="0EFBF6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740" w:type="dxa"/>
                  <w:gridSpan w:val="5"/>
                  <w:noWrap w:val="0"/>
                  <w:vAlign w:val="center"/>
                </w:tcPr>
                <w:p w14:paraId="669DA5C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项目Q值∑</w:t>
                  </w:r>
                </w:p>
              </w:tc>
              <w:tc>
                <w:tcPr>
                  <w:tcW w:w="1625" w:type="dxa"/>
                  <w:noWrap w:val="0"/>
                  <w:vAlign w:val="center"/>
                </w:tcPr>
                <w:p w14:paraId="3FFDF7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default"/>
                      <w:color w:val="FF0000"/>
                      <w:highlight w:val="none"/>
                    </w:rPr>
                    <w:t>0.</w:t>
                  </w:r>
                  <w:r>
                    <w:rPr>
                      <w:rFonts w:hint="eastAsia"/>
                      <w:color w:val="FF0000"/>
                      <w:highlight w:val="none"/>
                      <w:lang w:val="en-US" w:eastAsia="zh-CN"/>
                    </w:rPr>
                    <w:t>326196</w:t>
                  </w:r>
                </w:p>
              </w:tc>
            </w:tr>
          </w:tbl>
          <w:p w14:paraId="1C1B3795">
            <w:pPr>
              <w:pStyle w:val="84"/>
              <w:keepNext w:val="0"/>
              <w:keepLines w:val="0"/>
              <w:suppressLineNumbers w:val="0"/>
              <w:spacing w:before="0" w:beforeAutospacing="0" w:after="0" w:afterAutospacing="0"/>
              <w:ind w:left="0" w:right="0"/>
              <w:jc w:val="left"/>
              <w:rPr>
                <w:rFonts w:hint="default"/>
                <w:color w:val="auto"/>
                <w:highlight w:val="none"/>
              </w:rPr>
            </w:pPr>
            <w:r>
              <w:rPr>
                <w:rFonts w:hint="default"/>
                <w:color w:val="auto"/>
                <w:highlight w:val="none"/>
              </w:rPr>
              <w:t>注：上表中危险废物临界量保守考虑按照《建设项目环境风险评价技术导则》（HJ169-2018）附录B表B.2中健康危险急性毒性物质（类别2，类别3）中临界量50t计；</w:t>
            </w:r>
            <w:r>
              <w:rPr>
                <w:rFonts w:hint="eastAsia"/>
                <w:color w:val="auto"/>
                <w:highlight w:val="none"/>
                <w:lang w:eastAsia="zh-CN"/>
              </w:rPr>
              <w:t>机</w:t>
            </w:r>
            <w:r>
              <w:rPr>
                <w:rFonts w:hint="default"/>
                <w:color w:val="auto"/>
                <w:highlight w:val="none"/>
              </w:rPr>
              <w:t>油</w:t>
            </w:r>
            <w:r>
              <w:rPr>
                <w:rFonts w:hint="eastAsia"/>
                <w:color w:val="auto"/>
                <w:highlight w:val="none"/>
                <w:lang w:eastAsia="zh-CN"/>
              </w:rPr>
              <w:t>、</w:t>
            </w:r>
            <w:r>
              <w:rPr>
                <w:rFonts w:hint="eastAsia"/>
                <w:color w:val="auto"/>
                <w:highlight w:val="none"/>
                <w:lang w:val="en-US" w:eastAsia="zh-CN"/>
              </w:rPr>
              <w:t>柴油</w:t>
            </w:r>
            <w:r>
              <w:rPr>
                <w:rFonts w:hint="default"/>
                <w:color w:val="auto"/>
                <w:highlight w:val="none"/>
              </w:rPr>
              <w:t>临界量按照附录B表B.1中油类物质（矿物油类，如石油、汽油、柴油等；生物柴油等）临界量2500t计。</w:t>
            </w:r>
          </w:p>
          <w:p w14:paraId="1ABF7AB8">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由上表可知项目Q值为0.</w:t>
            </w:r>
            <w:r>
              <w:rPr>
                <w:rFonts w:hint="eastAsia"/>
                <w:color w:val="auto"/>
                <w:highlight w:val="none"/>
                <w:lang w:val="en-US" w:eastAsia="zh-CN"/>
              </w:rPr>
              <w:t>00558</w:t>
            </w:r>
            <w:r>
              <w:rPr>
                <w:rFonts w:hint="default"/>
                <w:color w:val="auto"/>
                <w:highlight w:val="none"/>
              </w:rPr>
              <w:t>，即Q＜1，经对照</w:t>
            </w:r>
            <w:r>
              <w:rPr>
                <w:rFonts w:hint="default"/>
                <w:color w:val="FF0000"/>
                <w:highlight w:val="none"/>
              </w:rPr>
              <w:t>《建设项目环境风险评价导则》（HJ</w:t>
            </w:r>
            <w:r>
              <w:rPr>
                <w:rFonts w:hint="eastAsia"/>
                <w:color w:val="FF0000"/>
                <w:highlight w:val="none"/>
                <w:lang w:val="en-US" w:eastAsia="zh-CN"/>
              </w:rPr>
              <w:t xml:space="preserve"> </w:t>
            </w:r>
            <w:r>
              <w:rPr>
                <w:rFonts w:hint="default"/>
                <w:color w:val="FF0000"/>
                <w:highlight w:val="none"/>
              </w:rPr>
              <w:t>169-2018）</w:t>
            </w:r>
            <w:r>
              <w:rPr>
                <w:rFonts w:hint="default"/>
                <w:color w:val="auto"/>
                <w:highlight w:val="none"/>
              </w:rPr>
              <w:t>中“附录B突发环境事件风险物质及临界量表”和《企业突发环境事件风险分级方法》中“附录A突发环境事件风险物质及临界量清单”，因此确定建设项目环境风险潜势为I，故开展环境风险简单分析。</w:t>
            </w:r>
          </w:p>
          <w:p w14:paraId="042C6E0B">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2、环境风险识别</w:t>
            </w:r>
          </w:p>
          <w:p w14:paraId="3B4C4C57">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分析危险物质特性及可能的环境风险类型，识别危险物质影响环境的途径，分析可能影响的环境敏感目标，具体见下表。</w:t>
            </w:r>
          </w:p>
          <w:p w14:paraId="1627BA4D">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建设项目环境风险识别表</w:t>
            </w:r>
          </w:p>
          <w:tbl>
            <w:tblPr>
              <w:tblStyle w:val="25"/>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9"/>
              <w:gridCol w:w="797"/>
              <w:gridCol w:w="962"/>
              <w:gridCol w:w="1362"/>
              <w:gridCol w:w="823"/>
              <w:gridCol w:w="1465"/>
              <w:gridCol w:w="1087"/>
              <w:gridCol w:w="1325"/>
            </w:tblGrid>
            <w:tr w14:paraId="3368BA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dxa"/>
                  <w:noWrap w:val="0"/>
                  <w:vAlign w:val="center"/>
                </w:tcPr>
                <w:p w14:paraId="1898FD1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序号</w:t>
                  </w:r>
                </w:p>
              </w:tc>
              <w:tc>
                <w:tcPr>
                  <w:tcW w:w="797" w:type="dxa"/>
                  <w:noWrap w:val="0"/>
                  <w:vAlign w:val="center"/>
                </w:tcPr>
                <w:p w14:paraId="4032E9B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危险单元</w:t>
                  </w:r>
                </w:p>
              </w:tc>
              <w:tc>
                <w:tcPr>
                  <w:tcW w:w="962" w:type="dxa"/>
                  <w:noWrap w:val="0"/>
                  <w:vAlign w:val="center"/>
                </w:tcPr>
                <w:p w14:paraId="725DB0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风险源</w:t>
                  </w:r>
                </w:p>
              </w:tc>
              <w:tc>
                <w:tcPr>
                  <w:tcW w:w="1362" w:type="dxa"/>
                  <w:noWrap w:val="0"/>
                  <w:vAlign w:val="center"/>
                </w:tcPr>
                <w:p w14:paraId="01B8CEB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主要风险物质</w:t>
                  </w:r>
                </w:p>
              </w:tc>
              <w:tc>
                <w:tcPr>
                  <w:tcW w:w="823" w:type="dxa"/>
                  <w:noWrap w:val="0"/>
                  <w:vAlign w:val="center"/>
                </w:tcPr>
                <w:p w14:paraId="4D30D7E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环境风险类型</w:t>
                  </w:r>
                </w:p>
              </w:tc>
              <w:tc>
                <w:tcPr>
                  <w:tcW w:w="1465" w:type="dxa"/>
                  <w:noWrap w:val="0"/>
                  <w:vAlign w:val="center"/>
                </w:tcPr>
                <w:p w14:paraId="28983A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环境风险途径</w:t>
                  </w:r>
                </w:p>
              </w:tc>
              <w:tc>
                <w:tcPr>
                  <w:tcW w:w="1087" w:type="dxa"/>
                  <w:noWrap w:val="0"/>
                  <w:vAlign w:val="center"/>
                </w:tcPr>
                <w:p w14:paraId="5CC3A0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次生/伴生污染物</w:t>
                  </w:r>
                </w:p>
              </w:tc>
              <w:tc>
                <w:tcPr>
                  <w:tcW w:w="1325" w:type="dxa"/>
                  <w:noWrap w:val="0"/>
                  <w:vAlign w:val="center"/>
                </w:tcPr>
                <w:p w14:paraId="17530F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可能影响的环境敏感目标</w:t>
                  </w:r>
                </w:p>
              </w:tc>
            </w:tr>
            <w:tr w14:paraId="16A0C9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dxa"/>
                  <w:noWrap w:val="0"/>
                  <w:vAlign w:val="center"/>
                </w:tcPr>
                <w:p w14:paraId="4DC91C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w:t>
                  </w:r>
                </w:p>
              </w:tc>
              <w:tc>
                <w:tcPr>
                  <w:tcW w:w="797" w:type="dxa"/>
                  <w:noWrap w:val="0"/>
                  <w:vAlign w:val="center"/>
                </w:tcPr>
                <w:p w14:paraId="4BEE59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原料仓库</w:t>
                  </w:r>
                </w:p>
              </w:tc>
              <w:tc>
                <w:tcPr>
                  <w:tcW w:w="962" w:type="dxa"/>
                  <w:noWrap w:val="0"/>
                  <w:vAlign w:val="center"/>
                </w:tcPr>
                <w:p w14:paraId="6005BB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原辅材料</w:t>
                  </w:r>
                </w:p>
              </w:tc>
              <w:tc>
                <w:tcPr>
                  <w:tcW w:w="1362" w:type="dxa"/>
                  <w:noWrap w:val="0"/>
                  <w:vAlign w:val="center"/>
                </w:tcPr>
                <w:p w14:paraId="5E150C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eastAsia="zh-CN"/>
                    </w:rPr>
                    <w:t>机</w:t>
                  </w:r>
                  <w:r>
                    <w:rPr>
                      <w:rFonts w:hint="eastAsia"/>
                      <w:color w:val="auto"/>
                      <w:highlight w:val="none"/>
                    </w:rPr>
                    <w:t>油</w:t>
                  </w:r>
                  <w:r>
                    <w:rPr>
                      <w:rFonts w:hint="eastAsia"/>
                      <w:color w:val="auto"/>
                      <w:highlight w:val="none"/>
                      <w:lang w:eastAsia="zh-CN"/>
                    </w:rPr>
                    <w:t>、</w:t>
                  </w:r>
                  <w:r>
                    <w:rPr>
                      <w:rFonts w:hint="eastAsia"/>
                      <w:color w:val="auto"/>
                      <w:highlight w:val="none"/>
                      <w:lang w:val="en-US" w:eastAsia="zh-CN"/>
                    </w:rPr>
                    <w:t>柴油</w:t>
                  </w:r>
                  <w:r>
                    <w:rPr>
                      <w:rFonts w:hint="default"/>
                      <w:color w:val="auto"/>
                      <w:highlight w:val="none"/>
                    </w:rPr>
                    <w:t>等</w:t>
                  </w:r>
                </w:p>
              </w:tc>
              <w:tc>
                <w:tcPr>
                  <w:tcW w:w="823" w:type="dxa"/>
                  <w:noWrap w:val="0"/>
                  <w:vAlign w:val="center"/>
                </w:tcPr>
                <w:p w14:paraId="17E6844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泄漏</w:t>
                  </w:r>
                </w:p>
              </w:tc>
              <w:tc>
                <w:tcPr>
                  <w:tcW w:w="1465" w:type="dxa"/>
                  <w:vMerge w:val="restart"/>
                  <w:noWrap w:val="0"/>
                  <w:vAlign w:val="center"/>
                </w:tcPr>
                <w:p w14:paraId="7E1E57B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液体物质、发生泄漏遇明火或其他易燃物质会发生火灾，甚至发生爆炸</w:t>
                  </w:r>
                </w:p>
              </w:tc>
              <w:tc>
                <w:tcPr>
                  <w:tcW w:w="1087" w:type="dxa"/>
                  <w:noWrap w:val="0"/>
                  <w:vAlign w:val="center"/>
                </w:tcPr>
                <w:p w14:paraId="7056EF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有毒气体</w:t>
                  </w:r>
                </w:p>
              </w:tc>
              <w:tc>
                <w:tcPr>
                  <w:tcW w:w="1325" w:type="dxa"/>
                  <w:vMerge w:val="restart"/>
                  <w:noWrap w:val="0"/>
                  <w:vAlign w:val="center"/>
                </w:tcPr>
                <w:p w14:paraId="620BD42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主要可能影响泄漏点附近的员工，对外环境基本无影响</w:t>
                  </w:r>
                </w:p>
              </w:tc>
            </w:tr>
            <w:tr w14:paraId="55BF9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dxa"/>
                  <w:noWrap w:val="0"/>
                  <w:vAlign w:val="center"/>
                </w:tcPr>
                <w:p w14:paraId="057D89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w:t>
                  </w:r>
                </w:p>
              </w:tc>
              <w:tc>
                <w:tcPr>
                  <w:tcW w:w="797" w:type="dxa"/>
                  <w:noWrap w:val="0"/>
                  <w:vAlign w:val="center"/>
                </w:tcPr>
                <w:p w14:paraId="6219D52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危废暂存间</w:t>
                  </w:r>
                </w:p>
              </w:tc>
              <w:tc>
                <w:tcPr>
                  <w:tcW w:w="962" w:type="dxa"/>
                  <w:noWrap w:val="0"/>
                  <w:vAlign w:val="center"/>
                </w:tcPr>
                <w:p w14:paraId="62807A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危险废物</w:t>
                  </w:r>
                </w:p>
              </w:tc>
              <w:tc>
                <w:tcPr>
                  <w:tcW w:w="1362" w:type="dxa"/>
                  <w:noWrap w:val="0"/>
                  <w:vAlign w:val="center"/>
                </w:tcPr>
                <w:p w14:paraId="3326A6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w:t>
                  </w:r>
                  <w:r>
                    <w:rPr>
                      <w:rFonts w:hint="eastAsia"/>
                      <w:color w:val="auto"/>
                      <w:highlight w:val="none"/>
                      <w:lang w:eastAsia="zh-CN"/>
                    </w:rPr>
                    <w:t>机</w:t>
                  </w:r>
                  <w:r>
                    <w:rPr>
                      <w:rFonts w:hint="eastAsia"/>
                      <w:color w:val="auto"/>
                      <w:highlight w:val="none"/>
                    </w:rPr>
                    <w:t>油、废</w:t>
                  </w:r>
                  <w:r>
                    <w:rPr>
                      <w:rFonts w:hint="eastAsia"/>
                      <w:color w:val="auto"/>
                      <w:highlight w:val="none"/>
                      <w:lang w:eastAsia="zh-CN"/>
                    </w:rPr>
                    <w:t>机</w:t>
                  </w:r>
                  <w:r>
                    <w:rPr>
                      <w:rFonts w:hint="eastAsia"/>
                      <w:color w:val="auto"/>
                      <w:highlight w:val="none"/>
                    </w:rPr>
                    <w:t>油桶、废含油抹布及手套</w:t>
                  </w:r>
                </w:p>
              </w:tc>
              <w:tc>
                <w:tcPr>
                  <w:tcW w:w="823" w:type="dxa"/>
                  <w:noWrap w:val="0"/>
                  <w:vAlign w:val="center"/>
                </w:tcPr>
                <w:p w14:paraId="50AF6FD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泄漏</w:t>
                  </w:r>
                </w:p>
              </w:tc>
              <w:tc>
                <w:tcPr>
                  <w:tcW w:w="1465" w:type="dxa"/>
                  <w:vMerge w:val="continue"/>
                  <w:noWrap w:val="0"/>
                  <w:vAlign w:val="center"/>
                </w:tcPr>
                <w:p w14:paraId="6B7205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087" w:type="dxa"/>
                  <w:noWrap w:val="0"/>
                  <w:vAlign w:val="center"/>
                </w:tcPr>
                <w:p w14:paraId="6272D1A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有毒气体</w:t>
                  </w:r>
                </w:p>
              </w:tc>
              <w:tc>
                <w:tcPr>
                  <w:tcW w:w="1325" w:type="dxa"/>
                  <w:vMerge w:val="continue"/>
                  <w:noWrap w:val="0"/>
                  <w:vAlign w:val="center"/>
                </w:tcPr>
                <w:p w14:paraId="4A08D4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r>
            <w:tr w14:paraId="271EED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39" w:type="dxa"/>
                  <w:noWrap w:val="0"/>
                  <w:vAlign w:val="center"/>
                </w:tcPr>
                <w:p w14:paraId="7092B8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3</w:t>
                  </w:r>
                </w:p>
              </w:tc>
              <w:tc>
                <w:tcPr>
                  <w:tcW w:w="797" w:type="dxa"/>
                  <w:noWrap w:val="0"/>
                  <w:vAlign w:val="center"/>
                </w:tcPr>
                <w:p w14:paraId="67586D2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渗滤液池</w:t>
                  </w:r>
                </w:p>
              </w:tc>
              <w:tc>
                <w:tcPr>
                  <w:tcW w:w="962" w:type="dxa"/>
                  <w:noWrap w:val="0"/>
                  <w:vAlign w:val="center"/>
                </w:tcPr>
                <w:p w14:paraId="2A9F3E2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渗滤液</w:t>
                  </w:r>
                </w:p>
              </w:tc>
              <w:tc>
                <w:tcPr>
                  <w:tcW w:w="1362" w:type="dxa"/>
                  <w:noWrap w:val="0"/>
                  <w:vAlign w:val="center"/>
                </w:tcPr>
                <w:p w14:paraId="07A464F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渗滤液（含铊）</w:t>
                  </w:r>
                </w:p>
              </w:tc>
              <w:tc>
                <w:tcPr>
                  <w:tcW w:w="823" w:type="dxa"/>
                  <w:noWrap w:val="0"/>
                  <w:vAlign w:val="center"/>
                </w:tcPr>
                <w:p w14:paraId="62FFA1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泄漏</w:t>
                  </w:r>
                </w:p>
              </w:tc>
              <w:tc>
                <w:tcPr>
                  <w:tcW w:w="1465" w:type="dxa"/>
                  <w:noWrap w:val="0"/>
                  <w:vAlign w:val="center"/>
                </w:tcPr>
                <w:p w14:paraId="1B2047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泄漏污染大气环境、土壤、地下水</w:t>
                  </w:r>
                </w:p>
              </w:tc>
              <w:tc>
                <w:tcPr>
                  <w:tcW w:w="1087" w:type="dxa"/>
                  <w:noWrap w:val="0"/>
                  <w:vAlign w:val="center"/>
                </w:tcPr>
                <w:p w14:paraId="2A53EB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重金属污染</w:t>
                  </w:r>
                </w:p>
              </w:tc>
              <w:tc>
                <w:tcPr>
                  <w:tcW w:w="1325" w:type="dxa"/>
                  <w:noWrap w:val="0"/>
                  <w:vAlign w:val="center"/>
                </w:tcPr>
                <w:p w14:paraId="586D9C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污染</w:t>
                  </w:r>
                  <w:r>
                    <w:rPr>
                      <w:rFonts w:hint="default"/>
                      <w:color w:val="auto"/>
                      <w:highlight w:val="none"/>
                    </w:rPr>
                    <w:t>大气环境、土壤、地下水</w:t>
                  </w:r>
                  <w:r>
                    <w:rPr>
                      <w:rFonts w:hint="eastAsia"/>
                      <w:color w:val="auto"/>
                      <w:highlight w:val="none"/>
                      <w:lang w:val="en-US" w:eastAsia="zh-CN"/>
                    </w:rPr>
                    <w:t>环境</w:t>
                  </w:r>
                </w:p>
              </w:tc>
            </w:tr>
          </w:tbl>
          <w:p w14:paraId="39F7D017">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3、环境风险分析</w:t>
            </w:r>
          </w:p>
          <w:p w14:paraId="0D9075B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大气环境风险分析</w:t>
            </w:r>
          </w:p>
          <w:p w14:paraId="4610575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项目大气环境风险主要来自发生火灾爆炸导致的伴生污染物排放等。厂区内一旦发生火灾或爆炸，将会产生CO、CO</w:t>
            </w:r>
            <w:r>
              <w:rPr>
                <w:rFonts w:hint="default"/>
                <w:color w:val="auto"/>
                <w:highlight w:val="none"/>
                <w:vertAlign w:val="subscript"/>
              </w:rPr>
              <w:t>2</w:t>
            </w:r>
            <w:r>
              <w:rPr>
                <w:rFonts w:hint="default"/>
                <w:color w:val="auto"/>
                <w:highlight w:val="none"/>
              </w:rPr>
              <w:t>等伴生污染物对周围环境空气造成污染。</w:t>
            </w:r>
          </w:p>
          <w:p w14:paraId="010DB486">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②地表水环境风险分析</w:t>
            </w:r>
          </w:p>
          <w:p w14:paraId="655FB2D1">
            <w:pPr>
              <w:keepNext w:val="0"/>
              <w:keepLines w:val="0"/>
              <w:suppressLineNumbers w:val="0"/>
              <w:bidi w:val="0"/>
              <w:spacing w:before="0" w:beforeAutospacing="0" w:after="0" w:afterAutospacing="0"/>
              <w:ind w:left="0" w:right="0"/>
              <w:rPr>
                <w:rFonts w:hint="eastAsia"/>
                <w:color w:val="auto"/>
                <w:highlight w:val="none"/>
              </w:rPr>
            </w:pPr>
            <w:r>
              <w:rPr>
                <w:rFonts w:hint="eastAsia"/>
                <w:color w:val="auto"/>
                <w:highlight w:val="none"/>
              </w:rPr>
              <w:t>灭火过程中产生的消防废水和生活污水等未及时收集或泄漏进入雨水管网及周边水体，给周边水体带来不利影响，对人体健康和农业生产造成一定的危害。</w:t>
            </w:r>
          </w:p>
          <w:p w14:paraId="22A0CA8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地下水环境风险分析</w:t>
            </w:r>
          </w:p>
          <w:p w14:paraId="3763491C">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项目风险物质一旦发生泄漏，可通过土壤发生渗漏，对区域地下水环境造成污染。</w:t>
            </w:r>
          </w:p>
          <w:p w14:paraId="3D99E2A9">
            <w:pPr>
              <w:keepNext w:val="0"/>
              <w:keepLines w:val="0"/>
              <w:suppressLineNumbers w:val="0"/>
              <w:bidi w:val="0"/>
              <w:spacing w:before="0" w:beforeAutospacing="0" w:after="0" w:afterAutospacing="0"/>
              <w:ind w:left="0" w:right="0"/>
              <w:rPr>
                <w:rFonts w:hint="default"/>
                <w:b/>
                <w:bCs/>
                <w:color w:val="auto"/>
                <w:highlight w:val="none"/>
              </w:rPr>
            </w:pPr>
            <w:r>
              <w:rPr>
                <w:rFonts w:hint="default"/>
                <w:b/>
                <w:bCs/>
                <w:color w:val="auto"/>
                <w:highlight w:val="none"/>
              </w:rPr>
              <w:t>4、环境风险防范措施及应急要求</w:t>
            </w:r>
          </w:p>
          <w:p w14:paraId="52492DEF">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A.风险物质泄漏风险防范措施：</w:t>
            </w:r>
          </w:p>
          <w:p w14:paraId="7AEBA8C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建议操作人员应经过专门培训，严格遵守操作规程；</w:t>
            </w:r>
          </w:p>
          <w:p w14:paraId="02FDDF82">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配备相应品种和数量的消防器材及泄漏应急处理设备。建立环境风险管理体系，制定操作规程、安全规章、职工培训、应急计划等。车间布置固定式消防设施，如干粉灭火器及消防水炮力为0.7MPa时，其额定流量为10～25L/s；移动式消防炮为手动操作。</w:t>
            </w:r>
          </w:p>
          <w:p w14:paraId="29B4AE2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委托专业单位进行废气、废水治理工程的设计、施工，确保环保治理设施符合相关规范要求。同时派专业人员负责环保设施的运行、管理、维护，风机等均用一备一，定期维护，严防事故性废气、废水排放。</w:t>
            </w:r>
          </w:p>
          <w:p w14:paraId="29F78294">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生产车间原辅料一旦发生泄漏事故时，应立即切断一切火源，对原料间喷施泡沫覆盖泄漏物，降低蒸汽危害，并尽快封堵泄漏源。原辅料仓库存放处应贴有禁火标志，定期检查存放情况。凡在装置开停工、检修、生产过程中，可能产生含有可燃、有毒、对环境有污染液体漫流的装置单元周围，应当设置高度不低于150mm，宽度不超过150mm的围堰和导流设施。</w:t>
            </w:r>
          </w:p>
          <w:p w14:paraId="61147EB5">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B.火灾事故风险防范措施</w:t>
            </w:r>
          </w:p>
          <w:p w14:paraId="038569A7">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消除和控制明火源：在生产区及原料区及成品存放区内设置严禁烟火标志，严禁携带火柴、打火机等；在各厂房处配备灭火器、消防栓、消防沙等消防物资，以便及时扑灭初期火灾。</w:t>
            </w:r>
          </w:p>
          <w:p w14:paraId="6F1A1FC8">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防止电气火花：采取有效措施防止电气线路和电气设备在开关断开、接触不良、短路、漏电时产生火花，防止静电放电火花；采取防雷接地措施，防止雷电放电火花。</w:t>
            </w:r>
          </w:p>
          <w:p w14:paraId="42F40A7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原料、成品储存于阴凉、通风处。库温不超过30℃，相对湿度不超过85%，保持干燥通风。</w:t>
            </w:r>
          </w:p>
          <w:p w14:paraId="02B0ED8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定期对原料使用过程中的相关人员，如联络员、仓管员、直接使用人员进行过程检查，定期对上述人员进行相关知识教育和岗位职责培训。</w:t>
            </w:r>
          </w:p>
          <w:p w14:paraId="2F3E3798">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C.危险废物的风险防范措施</w:t>
            </w:r>
          </w:p>
          <w:p w14:paraId="26B37D11">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由前面工程分析可知，本项目生产过程产生的危险废物主要为废</w:t>
            </w:r>
            <w:r>
              <w:rPr>
                <w:rFonts w:hint="eastAsia"/>
                <w:color w:val="auto"/>
                <w:highlight w:val="none"/>
                <w:lang w:eastAsia="zh-CN"/>
              </w:rPr>
              <w:t>机</w:t>
            </w:r>
            <w:r>
              <w:rPr>
                <w:rFonts w:hint="default"/>
                <w:color w:val="auto"/>
                <w:highlight w:val="none"/>
              </w:rPr>
              <w:t>油、废</w:t>
            </w:r>
            <w:r>
              <w:rPr>
                <w:rFonts w:hint="eastAsia"/>
                <w:color w:val="auto"/>
                <w:highlight w:val="none"/>
                <w:lang w:eastAsia="zh-CN"/>
              </w:rPr>
              <w:t>机</w:t>
            </w:r>
            <w:r>
              <w:rPr>
                <w:rFonts w:hint="default"/>
                <w:color w:val="auto"/>
                <w:highlight w:val="none"/>
              </w:rPr>
              <w:t>油桶、废含油抹布等。在建设单位交由有资质的单位处理处置前，厂内必须设置危险废物暂存场所对其进行合理贮存和严格管理，若任意堆放或暂存场所未采取防渗防漏措施或疏于管理，都将造成危险废物中的有毒有害物质进入周边环境，给周边的土壤、生态、水体及空气等环境造成一定的危害。</w:t>
            </w:r>
          </w:p>
          <w:p w14:paraId="5C365009">
            <w:pPr>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危险废物暂存仓的贮存场所须满足以下要求：</w:t>
            </w:r>
          </w:p>
          <w:p w14:paraId="371FF87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基础做好防渗层，地面和墙壁设置防渗衬里。</w:t>
            </w:r>
          </w:p>
          <w:p w14:paraId="1FA2DB27">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堆放危险废物的高度应根据地面承载能力确定。</w:t>
            </w:r>
          </w:p>
          <w:p w14:paraId="66CEE0C3">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衬里放在一个基础或底座上。</w:t>
            </w:r>
          </w:p>
          <w:p w14:paraId="6CB5831D">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衬里要能够覆盖危险废物或其溶出物可能涉及的范围。</w:t>
            </w:r>
          </w:p>
          <w:p w14:paraId="6D2C3DA8">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⑤</w:t>
            </w:r>
            <w:r>
              <w:rPr>
                <w:rFonts w:hint="default"/>
                <w:color w:val="auto"/>
                <w:highlight w:val="none"/>
              </w:rPr>
              <w:t>衬里材料与堆放危险废物相容。</w:t>
            </w:r>
          </w:p>
          <w:p w14:paraId="179D3623">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⑥</w:t>
            </w:r>
            <w:r>
              <w:rPr>
                <w:rFonts w:hint="default"/>
                <w:color w:val="auto"/>
                <w:highlight w:val="none"/>
              </w:rPr>
              <w:t>危险废物采用密闭桶/袋装包装，不同类型的危险废物分开包装，不得混合。</w:t>
            </w:r>
          </w:p>
          <w:p w14:paraId="507E80C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⑦</w:t>
            </w:r>
            <w:r>
              <w:rPr>
                <w:rFonts w:hint="default"/>
                <w:color w:val="auto"/>
                <w:highlight w:val="none"/>
              </w:rPr>
              <w:t>危险废物临时堆放场要做好防风、防雨、防晒、防渗漏。</w:t>
            </w:r>
          </w:p>
          <w:p w14:paraId="1E22BD4F">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D</w:t>
            </w:r>
            <w:r>
              <w:rPr>
                <w:rFonts w:hint="default"/>
                <w:color w:val="auto"/>
                <w:highlight w:val="none"/>
              </w:rPr>
              <w:t>.危废仓库泄漏防范和应对措施：</w:t>
            </w:r>
          </w:p>
          <w:p w14:paraId="7E18D90A">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w:t>
            </w:r>
            <w:r>
              <w:rPr>
                <w:rFonts w:hint="default"/>
                <w:color w:val="auto"/>
                <w:highlight w:val="none"/>
              </w:rPr>
              <w:t>仓库门口应设置墁坡高于室内地面20cm，形成内封闭系统。</w:t>
            </w:r>
          </w:p>
          <w:p w14:paraId="0E4BF84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w:t>
            </w:r>
            <w:r>
              <w:rPr>
                <w:rFonts w:hint="default"/>
                <w:color w:val="auto"/>
                <w:highlight w:val="none"/>
              </w:rPr>
              <w:t>墙体及地面做好防腐、防渗等措施，废液储存桶周围设置0.3m高的围堰。</w:t>
            </w:r>
          </w:p>
          <w:p w14:paraId="2216BF86">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③</w:t>
            </w:r>
            <w:r>
              <w:rPr>
                <w:rFonts w:hint="default"/>
                <w:color w:val="auto"/>
                <w:highlight w:val="none"/>
              </w:rPr>
              <w:t>配备相应品种和数量的防器材；禁止使用易产生火花的机械设备和工具；要设置“危险”“禁止烟火”等警示标志。</w:t>
            </w:r>
          </w:p>
          <w:p w14:paraId="36794B8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④</w:t>
            </w:r>
            <w:r>
              <w:rPr>
                <w:rFonts w:hint="default"/>
                <w:color w:val="auto"/>
                <w:highlight w:val="none"/>
              </w:rPr>
              <w:t>各种废液应按其相应堆放规范堆置，禁止堆置过高，防止滚动。</w:t>
            </w:r>
          </w:p>
          <w:p w14:paraId="2D4D8819">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⑤</w:t>
            </w:r>
            <w:r>
              <w:rPr>
                <w:rFonts w:hint="default"/>
                <w:color w:val="auto"/>
                <w:highlight w:val="none"/>
              </w:rPr>
              <w:t>建立严格的管理和规章制度，废液装卸时，全过程应有人在现场监督，一旦发生事故，立即采用防范措施。</w:t>
            </w:r>
          </w:p>
          <w:p w14:paraId="58331FF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E.</w:t>
            </w:r>
            <w:r>
              <w:rPr>
                <w:rFonts w:hint="eastAsia"/>
                <w:color w:val="auto"/>
                <w:highlight w:val="none"/>
              </w:rPr>
              <w:t>建立环境污染三级防控体系</w:t>
            </w:r>
          </w:p>
          <w:p w14:paraId="1B3E10E5">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本项目</w:t>
            </w:r>
            <w:r>
              <w:rPr>
                <w:rFonts w:hint="eastAsia"/>
                <w:color w:val="auto"/>
                <w:highlight w:val="none"/>
                <w:lang w:eastAsia="zh-CN"/>
              </w:rPr>
              <w:t>应</w:t>
            </w:r>
            <w:r>
              <w:rPr>
                <w:rFonts w:hint="eastAsia"/>
                <w:color w:val="auto"/>
                <w:highlight w:val="none"/>
              </w:rPr>
              <w:t>设置环境风险事故水污染防控三级防控系统，防止环境风险事故造成水污染。为防止生产过程或事故状态污染物进入周边环境，导致环境污染事故，必须坚持预防为主、防控结合，建立安全有效的污染综合预防控制体系。针对项目生产原料、产品的特点，在事故池设施建立一级防控措施，在厂区建立二级预控措施，建立厂外三级防控措施，防止重大生产事故泄漏物料和消防废水造成的环境污染</w:t>
            </w:r>
            <w:r>
              <w:rPr>
                <w:rFonts w:hint="eastAsia"/>
                <w:color w:val="auto"/>
                <w:highlight w:val="none"/>
                <w:lang w:eastAsia="zh-CN"/>
              </w:rPr>
              <w:t>，</w:t>
            </w:r>
            <w:r>
              <w:rPr>
                <w:rFonts w:hint="eastAsia"/>
                <w:color w:val="auto"/>
                <w:highlight w:val="none"/>
                <w:lang w:val="en-US" w:eastAsia="zh-CN"/>
              </w:rPr>
              <w:t>由于租赁厂区已全面停产，与本项目相关的三级防控的责任主体均为</w:t>
            </w:r>
            <w:r>
              <w:rPr>
                <w:rFonts w:hint="default"/>
                <w:color w:val="auto"/>
                <w:sz w:val="24"/>
                <w:highlight w:val="none"/>
              </w:rPr>
              <w:t>高安市环鑫环保科技有限公司</w:t>
            </w:r>
            <w:r>
              <w:rPr>
                <w:rFonts w:hint="eastAsia"/>
                <w:color w:val="auto"/>
                <w:highlight w:val="none"/>
              </w:rPr>
              <w:t>。具体的三级防控措施设置要求及措施应如下：</w:t>
            </w:r>
          </w:p>
          <w:p w14:paraId="371ADE7C">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①一级防控措施</w:t>
            </w:r>
          </w:p>
          <w:p w14:paraId="1CD604D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生产区域的水池、原料及成品堆场四周设置导流沟和渗滤液收集措施可在第一时间内将渗滤液或泄漏的液体截留在小范围内，便于收集处理。</w:t>
            </w:r>
          </w:p>
          <w:p w14:paraId="5984F5D0">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②二级预防控制措施</w:t>
            </w:r>
          </w:p>
          <w:p w14:paraId="2882E66A">
            <w:pPr>
              <w:keepNext w:val="0"/>
              <w:keepLines w:val="0"/>
              <w:suppressLineNumbers w:val="0"/>
              <w:bidi w:val="0"/>
              <w:spacing w:before="0" w:beforeAutospacing="0" w:after="0" w:afterAutospacing="0"/>
              <w:ind w:left="0" w:right="0"/>
              <w:rPr>
                <w:rFonts w:hint="eastAsia"/>
                <w:color w:val="FF0000"/>
                <w:highlight w:val="none"/>
                <w:lang w:eastAsia="zh-CN"/>
              </w:rPr>
            </w:pPr>
            <w:r>
              <w:rPr>
                <w:rFonts w:hint="eastAsia"/>
                <w:color w:val="FF0000"/>
                <w:highlight w:val="none"/>
              </w:rPr>
              <w:t>为了预防生产废水处理设施异常导致生产废水外排，</w:t>
            </w:r>
            <w:r>
              <w:rPr>
                <w:rFonts w:hint="eastAsia"/>
                <w:color w:val="FF0000"/>
                <w:highlight w:val="none"/>
                <w:lang w:eastAsia="zh-CN"/>
              </w:rPr>
              <w:t>现有工程</w:t>
            </w:r>
            <w:r>
              <w:rPr>
                <w:rFonts w:hint="eastAsia"/>
                <w:color w:val="FF0000"/>
                <w:highlight w:val="none"/>
                <w:lang w:val="en-US" w:eastAsia="zh-CN"/>
              </w:rPr>
              <w:t>1#厂房外东北侧</w:t>
            </w:r>
            <w:r>
              <w:rPr>
                <w:rFonts w:hint="eastAsia"/>
                <w:color w:val="FF0000"/>
                <w:highlight w:val="none"/>
              </w:rPr>
              <w:t>建设</w:t>
            </w:r>
            <w:r>
              <w:rPr>
                <w:rFonts w:hint="eastAsia"/>
                <w:color w:val="FF0000"/>
                <w:highlight w:val="none"/>
                <w:lang w:val="en-US" w:eastAsia="zh-CN"/>
              </w:rPr>
              <w:t>有初期雨水池</w:t>
            </w:r>
            <w:r>
              <w:rPr>
                <w:rFonts w:hint="eastAsia"/>
                <w:color w:val="FF0000"/>
                <w:highlight w:val="none"/>
              </w:rPr>
              <w:t>容积为</w:t>
            </w:r>
            <w:r>
              <w:rPr>
                <w:rFonts w:hint="eastAsia"/>
                <w:color w:val="FF0000"/>
                <w:highlight w:val="none"/>
                <w:lang w:val="en-US" w:eastAsia="zh-CN"/>
              </w:rPr>
              <w:t>960</w:t>
            </w:r>
            <w:r>
              <w:rPr>
                <w:rFonts w:hint="eastAsia"/>
                <w:color w:val="FF0000"/>
                <w:highlight w:val="none"/>
              </w:rPr>
              <w:t>m</w:t>
            </w:r>
            <w:r>
              <w:rPr>
                <w:rFonts w:hint="eastAsia"/>
                <w:color w:val="FF0000"/>
                <w:highlight w:val="none"/>
                <w:vertAlign w:val="superscript"/>
              </w:rPr>
              <w:t>3</w:t>
            </w:r>
            <w:r>
              <w:rPr>
                <w:rFonts w:hint="eastAsia"/>
                <w:color w:val="FF0000"/>
                <w:highlight w:val="none"/>
              </w:rPr>
              <w:t>，可兼做事故应急池</w:t>
            </w:r>
            <w:r>
              <w:rPr>
                <w:rFonts w:hint="eastAsia"/>
                <w:color w:val="FF0000"/>
                <w:highlight w:val="none"/>
                <w:lang w:eastAsia="zh-CN"/>
              </w:rPr>
              <w:t>，</w:t>
            </w:r>
            <w:r>
              <w:rPr>
                <w:rFonts w:hint="eastAsia"/>
                <w:color w:val="FF0000"/>
                <w:highlight w:val="none"/>
              </w:rPr>
              <w:t>一旦出现生产废水处理设施异常或是池体破裂生产废水进入事故池，生产废水处理设施检修正常后再由泵+管道导入预处理后回用，禁止外排</w:t>
            </w:r>
            <w:r>
              <w:rPr>
                <w:rFonts w:hint="eastAsia"/>
                <w:color w:val="FF0000"/>
                <w:highlight w:val="none"/>
                <w:lang w:eastAsia="zh-CN"/>
              </w:rPr>
              <w:t>。</w:t>
            </w:r>
          </w:p>
          <w:p w14:paraId="4068EA4C">
            <w:pPr>
              <w:keepNext w:val="0"/>
              <w:keepLines w:val="0"/>
              <w:suppressLineNumbers w:val="0"/>
              <w:bidi w:val="0"/>
              <w:spacing w:before="0" w:beforeAutospacing="0" w:after="0" w:afterAutospacing="0"/>
              <w:ind w:left="0" w:right="0"/>
              <w:rPr>
                <w:rFonts w:hint="eastAsia"/>
                <w:color w:val="FF0000"/>
                <w:highlight w:val="none"/>
                <w:lang w:eastAsia="zh-CN"/>
              </w:rPr>
            </w:pPr>
            <w:r>
              <w:rPr>
                <w:rFonts w:hint="eastAsia"/>
                <w:color w:val="FF0000"/>
                <w:highlight w:val="none"/>
                <w:lang w:eastAsia="zh-CN"/>
              </w:rPr>
              <w:t>建设单位依托现有工程已建的初期雨水收集池（960m</w:t>
            </w:r>
            <w:r>
              <w:rPr>
                <w:rFonts w:hint="eastAsia"/>
                <w:color w:val="FF0000"/>
                <w:highlight w:val="none"/>
                <w:vertAlign w:val="superscript"/>
                <w:lang w:eastAsia="zh-CN"/>
              </w:rPr>
              <w:t>3</w:t>
            </w:r>
            <w:r>
              <w:rPr>
                <w:rFonts w:hint="eastAsia"/>
                <w:color w:val="FF0000"/>
                <w:highlight w:val="none"/>
                <w:lang w:eastAsia="zh-CN"/>
              </w:rPr>
              <w:t>），废水处理设施（除氟-除铊-絮凝沉淀）</w:t>
            </w:r>
            <w:r>
              <w:rPr>
                <w:rFonts w:hint="eastAsia"/>
                <w:color w:val="FF0000"/>
              </w:rPr>
              <w:t>位于租赁1#厂房外东北侧</w:t>
            </w:r>
            <w:r>
              <w:rPr>
                <w:rFonts w:hint="eastAsia"/>
                <w:color w:val="FF0000"/>
                <w:lang w:eastAsia="zh-CN"/>
              </w:rPr>
              <w:t>，本</w:t>
            </w:r>
            <w:r>
              <w:rPr>
                <w:rFonts w:hint="eastAsia"/>
                <w:color w:val="FF0000"/>
              </w:rPr>
              <w:t>项目一次初期雨水的收集量为</w:t>
            </w:r>
            <w:r>
              <w:rPr>
                <w:rFonts w:hint="eastAsia"/>
                <w:color w:val="FF0000"/>
                <w:lang w:val="en-US" w:eastAsia="zh-CN"/>
              </w:rPr>
              <w:t>240</w:t>
            </w:r>
            <w:r>
              <w:rPr>
                <w:rFonts w:hint="eastAsia"/>
                <w:color w:val="FF0000"/>
              </w:rPr>
              <w:t>m</w:t>
            </w:r>
            <w:r>
              <w:rPr>
                <w:rFonts w:hint="eastAsia"/>
                <w:color w:val="FF0000"/>
                <w:vertAlign w:val="superscript"/>
              </w:rPr>
              <w:t>3</w:t>
            </w:r>
            <w:r>
              <w:rPr>
                <w:rFonts w:hint="eastAsia"/>
                <w:color w:val="FF0000"/>
              </w:rPr>
              <w:t>，因此初期雨水池</w:t>
            </w:r>
            <w:r>
              <w:rPr>
                <w:rFonts w:hint="eastAsia"/>
                <w:color w:val="FF0000"/>
                <w:lang w:eastAsia="zh-CN"/>
              </w:rPr>
              <w:t>依托现有</w:t>
            </w:r>
            <w:r>
              <w:rPr>
                <w:rFonts w:hint="eastAsia"/>
                <w:color w:val="FF0000"/>
              </w:rPr>
              <w:t>可行。</w:t>
            </w:r>
            <w:r>
              <w:rPr>
                <w:rFonts w:hint="eastAsia"/>
                <w:color w:val="FF0000"/>
                <w:lang w:eastAsia="zh-CN"/>
              </w:rPr>
              <w:t>本项目</w:t>
            </w:r>
            <w:r>
              <w:rPr>
                <w:rFonts w:hint="eastAsia"/>
                <w:color w:val="FF0000"/>
                <w:highlight w:val="none"/>
                <w:lang w:eastAsia="zh-CN"/>
              </w:rPr>
              <w:t>已在厂区进行地下水分区防渗措施，雨污水管网和在线监测设备已按环评要求设置；生产区域的水池、原料及成品堆场四周设置导流沟和渗滤液收集措施可在第一时间内将渗滤液或泄漏的液体截留在小范围内，便于收集处理；为了预防生产废水处理设施异常导致生产废水外排，本项目建设事故应急池容积</w:t>
            </w:r>
            <w:r>
              <w:rPr>
                <w:rFonts w:hint="eastAsia"/>
                <w:color w:val="FF0000"/>
                <w:highlight w:val="none"/>
                <w:lang w:val="en-US" w:eastAsia="zh-CN"/>
              </w:rPr>
              <w:t>6</w:t>
            </w:r>
            <w:r>
              <w:rPr>
                <w:rFonts w:hint="eastAsia"/>
                <w:color w:val="FF0000"/>
                <w:highlight w:val="none"/>
                <w:lang w:eastAsia="zh-CN"/>
              </w:rPr>
              <w:t>00m</w:t>
            </w:r>
            <w:r>
              <w:rPr>
                <w:rFonts w:hint="eastAsia"/>
                <w:color w:val="FF0000"/>
                <w:highlight w:val="none"/>
                <w:vertAlign w:val="superscript"/>
                <w:lang w:eastAsia="zh-CN"/>
              </w:rPr>
              <w:t>3</w:t>
            </w:r>
            <w:r>
              <w:rPr>
                <w:rFonts w:hint="eastAsia"/>
                <w:color w:val="FF0000"/>
                <w:highlight w:val="none"/>
                <w:lang w:eastAsia="zh-CN"/>
              </w:rPr>
              <w:t>，一旦出现生产废水处理设施异常或是池体破裂生产废水进入事故池，生产废水处理设施检修正常后再由泵+管道导入预处理后回用，可满足全厂事故废水收集要求。</w:t>
            </w:r>
          </w:p>
          <w:p w14:paraId="0F42CAAB">
            <w:pPr>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rPr>
              <w:t>参考中国石化集团公司《水体污染防控紧急措施设计导则》，事故池总有效容积按下式计算：</w:t>
            </w:r>
          </w:p>
          <w:p w14:paraId="1065B021">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olor w:val="auto"/>
                <w:kern w:val="0"/>
                <w:sz w:val="24"/>
                <w:szCs w:val="20"/>
                <w:highlight w:val="none"/>
              </w:rPr>
            </w:pPr>
            <w:r>
              <w:rPr>
                <w:rFonts w:hint="default"/>
                <w:b/>
                <w:color w:val="auto"/>
                <w:kern w:val="0"/>
                <w:sz w:val="24"/>
                <w:szCs w:val="20"/>
                <w:highlight w:val="none"/>
              </w:rPr>
              <w:t>V</w:t>
            </w:r>
            <w:r>
              <w:rPr>
                <w:rFonts w:hint="default"/>
                <w:b/>
                <w:color w:val="auto"/>
                <w:kern w:val="0"/>
                <w:sz w:val="24"/>
                <w:szCs w:val="20"/>
                <w:highlight w:val="none"/>
                <w:vertAlign w:val="subscript"/>
              </w:rPr>
              <w:t>总</w:t>
            </w:r>
            <w:r>
              <w:rPr>
                <w:rFonts w:hint="default"/>
                <w:b/>
                <w:color w:val="auto"/>
                <w:kern w:val="0"/>
                <w:sz w:val="24"/>
                <w:szCs w:val="20"/>
                <w:highlight w:val="none"/>
              </w:rPr>
              <w:t>＝（V</w:t>
            </w:r>
            <w:r>
              <w:rPr>
                <w:rFonts w:hint="default"/>
                <w:b/>
                <w:color w:val="auto"/>
                <w:kern w:val="0"/>
                <w:sz w:val="24"/>
                <w:szCs w:val="20"/>
                <w:highlight w:val="none"/>
                <w:vertAlign w:val="subscript"/>
              </w:rPr>
              <w:t>1</w:t>
            </w:r>
            <w:r>
              <w:rPr>
                <w:rFonts w:hint="default"/>
                <w:b/>
                <w:color w:val="auto"/>
                <w:kern w:val="0"/>
                <w:sz w:val="24"/>
                <w:szCs w:val="20"/>
                <w:highlight w:val="none"/>
              </w:rPr>
              <w:t>＋V</w:t>
            </w:r>
            <w:r>
              <w:rPr>
                <w:rFonts w:hint="default"/>
                <w:b/>
                <w:color w:val="auto"/>
                <w:kern w:val="0"/>
                <w:sz w:val="24"/>
                <w:szCs w:val="20"/>
                <w:highlight w:val="none"/>
                <w:vertAlign w:val="subscript"/>
              </w:rPr>
              <w:t>2</w:t>
            </w:r>
            <w:r>
              <w:rPr>
                <w:rFonts w:hint="default"/>
                <w:b/>
                <w:color w:val="auto"/>
                <w:kern w:val="0"/>
                <w:sz w:val="24"/>
                <w:szCs w:val="20"/>
                <w:highlight w:val="none"/>
              </w:rPr>
              <w:t>－V</w:t>
            </w:r>
            <w:r>
              <w:rPr>
                <w:rFonts w:hint="default"/>
                <w:b/>
                <w:color w:val="auto"/>
                <w:kern w:val="0"/>
                <w:sz w:val="24"/>
                <w:szCs w:val="20"/>
                <w:highlight w:val="none"/>
                <w:vertAlign w:val="subscript"/>
              </w:rPr>
              <w:t>3</w:t>
            </w:r>
            <w:r>
              <w:rPr>
                <w:rFonts w:hint="default"/>
                <w:b/>
                <w:color w:val="auto"/>
                <w:kern w:val="0"/>
                <w:sz w:val="24"/>
                <w:szCs w:val="20"/>
                <w:highlight w:val="none"/>
              </w:rPr>
              <w:t>）</w:t>
            </w:r>
            <w:r>
              <w:rPr>
                <w:rFonts w:hint="default"/>
                <w:b/>
                <w:color w:val="auto"/>
                <w:kern w:val="0"/>
                <w:sz w:val="24"/>
                <w:szCs w:val="20"/>
                <w:highlight w:val="none"/>
                <w:vertAlign w:val="subscript"/>
              </w:rPr>
              <w:t>max</w:t>
            </w:r>
            <w:r>
              <w:rPr>
                <w:rFonts w:hint="default"/>
                <w:b/>
                <w:color w:val="auto"/>
                <w:kern w:val="0"/>
                <w:sz w:val="24"/>
                <w:szCs w:val="20"/>
                <w:highlight w:val="none"/>
              </w:rPr>
              <w:t>+V</w:t>
            </w:r>
            <w:r>
              <w:rPr>
                <w:rFonts w:hint="default"/>
                <w:b/>
                <w:color w:val="auto"/>
                <w:kern w:val="0"/>
                <w:sz w:val="24"/>
                <w:szCs w:val="20"/>
                <w:highlight w:val="none"/>
                <w:vertAlign w:val="subscript"/>
              </w:rPr>
              <w:t>4</w:t>
            </w:r>
            <w:r>
              <w:rPr>
                <w:rFonts w:hint="default"/>
                <w:b/>
                <w:color w:val="auto"/>
                <w:kern w:val="0"/>
                <w:sz w:val="24"/>
                <w:szCs w:val="20"/>
                <w:highlight w:val="none"/>
              </w:rPr>
              <w:t>+V</w:t>
            </w:r>
            <w:r>
              <w:rPr>
                <w:rFonts w:hint="default"/>
                <w:b/>
                <w:color w:val="auto"/>
                <w:kern w:val="0"/>
                <w:sz w:val="24"/>
                <w:szCs w:val="20"/>
                <w:highlight w:val="none"/>
                <w:vertAlign w:val="subscript"/>
              </w:rPr>
              <w:t>5</w:t>
            </w:r>
          </w:p>
          <w:p w14:paraId="2822A9B2">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注：计算应急事故废水量时，装置区或贮罐区事故不作同时发生考虑，取其中的最大值。</w:t>
            </w:r>
          </w:p>
          <w:p w14:paraId="54D4E4FC">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1</w:t>
            </w:r>
            <w:r>
              <w:rPr>
                <w:rFonts w:hint="default"/>
                <w:color w:val="auto"/>
                <w:highlight w:val="none"/>
              </w:rPr>
              <w:t>——最大一个容量的设备或贮罐。</w:t>
            </w:r>
            <w:r>
              <w:rPr>
                <w:rFonts w:hint="eastAsia"/>
                <w:color w:val="auto"/>
                <w:highlight w:val="none"/>
              </w:rPr>
              <w:t>项目不设储罐，故V1=0</w:t>
            </w:r>
            <w:r>
              <w:rPr>
                <w:rFonts w:hint="default"/>
                <w:color w:val="auto"/>
                <w:highlight w:val="none"/>
              </w:rPr>
              <w:t>m</w:t>
            </w:r>
            <w:r>
              <w:rPr>
                <w:rFonts w:hint="default"/>
                <w:color w:val="auto"/>
                <w:highlight w:val="none"/>
                <w:vertAlign w:val="superscript"/>
              </w:rPr>
              <w:t>3</w:t>
            </w:r>
            <w:r>
              <w:rPr>
                <w:rFonts w:hint="eastAsia"/>
                <w:color w:val="auto"/>
                <w:highlight w:val="none"/>
              </w:rPr>
              <w:t>；</w:t>
            </w:r>
          </w:p>
          <w:p w14:paraId="066170CA">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2</w:t>
            </w:r>
            <w:r>
              <w:rPr>
                <w:rFonts w:hint="default"/>
                <w:color w:val="auto"/>
                <w:highlight w:val="none"/>
              </w:rPr>
              <w:t>——一旦发生火灾、爆炸时的消防用水量，包括扑灭火灾所需用水量和保护临近设备的喷淋水量。</w:t>
            </w:r>
          </w:p>
          <w:p w14:paraId="6330B5AB">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发生事故时的消防水量，m</w:t>
            </w:r>
            <w:r>
              <w:rPr>
                <w:rFonts w:hint="default"/>
                <w:color w:val="auto"/>
                <w:highlight w:val="none"/>
                <w:vertAlign w:val="superscript"/>
              </w:rPr>
              <w:t>3</w:t>
            </w:r>
            <w:r>
              <w:rPr>
                <w:rFonts w:hint="default"/>
                <w:color w:val="auto"/>
                <w:highlight w:val="none"/>
              </w:rPr>
              <w:t>；</w:t>
            </w:r>
          </w:p>
          <w:p w14:paraId="5EB65B7A">
            <w:pPr>
              <w:keepNext w:val="0"/>
              <w:keepLines w:val="0"/>
              <w:widowControl/>
              <w:suppressLineNumbers w:val="0"/>
              <w:autoSpaceDE w:val="0"/>
              <w:autoSpaceDN w:val="0"/>
              <w:adjustRightInd w:val="0"/>
              <w:spacing w:before="0" w:beforeAutospacing="0" w:after="0" w:afterAutospacing="0" w:line="360" w:lineRule="auto"/>
              <w:ind w:left="0" w:right="0"/>
              <w:jc w:val="center"/>
              <w:textAlignment w:val="baseline"/>
              <w:rPr>
                <w:rFonts w:hint="default"/>
                <w:b/>
                <w:color w:val="auto"/>
                <w:kern w:val="0"/>
                <w:sz w:val="24"/>
                <w:szCs w:val="20"/>
                <w:highlight w:val="none"/>
              </w:rPr>
            </w:pPr>
            <w:r>
              <w:rPr>
                <w:rFonts w:hint="default"/>
                <w:b/>
                <w:color w:val="auto"/>
                <w:kern w:val="0"/>
                <w:sz w:val="24"/>
                <w:szCs w:val="20"/>
                <w:highlight w:val="none"/>
              </w:rPr>
              <w:object>
                <v:shape id="_x0000_i1030" o:spt="75" type="#_x0000_t75" style="height:14.25pt;width:72pt;" o:ole="t" filled="f" o:preferrelative="t" stroked="f" coordsize="21600,21600">
                  <v:path/>
                  <v:fill on="f" focussize="0,0"/>
                  <v:stroke on="f" joinstyle="miter"/>
                  <v:imagedata r:id="rId38" o:title=""/>
                  <o:lock v:ext="edit" aspectratio="t"/>
                  <w10:wrap type="none"/>
                  <w10:anchorlock/>
                </v:shape>
                <o:OLEObject Type="Embed" ProgID="Acrobat.Document.DC" ShapeID="_x0000_i1030" DrawAspect="Content" ObjectID="_1468075728" r:id="rId37">
                  <o:LockedField>false</o:LockedField>
                </o:OLEObject>
              </w:object>
            </w:r>
          </w:p>
          <w:p w14:paraId="14E048EA">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Q</w:t>
            </w:r>
            <w:r>
              <w:rPr>
                <w:rFonts w:hint="default"/>
                <w:color w:val="auto"/>
                <w:highlight w:val="none"/>
                <w:vertAlign w:val="subscript"/>
              </w:rPr>
              <w:t>消</w:t>
            </w:r>
            <w:r>
              <w:rPr>
                <w:rFonts w:hint="default"/>
                <w:color w:val="auto"/>
                <w:highlight w:val="none"/>
              </w:rPr>
              <w:t>——发生事故的储罐或装置的同时使用的消防设施给水流量，m</w:t>
            </w:r>
            <w:r>
              <w:rPr>
                <w:rFonts w:hint="default"/>
                <w:color w:val="auto"/>
                <w:highlight w:val="none"/>
                <w:vertAlign w:val="superscript"/>
              </w:rPr>
              <w:t>3</w:t>
            </w:r>
            <w:r>
              <w:rPr>
                <w:rFonts w:hint="default"/>
                <w:color w:val="auto"/>
                <w:highlight w:val="none"/>
              </w:rPr>
              <w:t>/h；根据《消防给水及消防栓系统技术规范》</w:t>
            </w:r>
            <w:r>
              <w:rPr>
                <w:rFonts w:hint="eastAsia"/>
                <w:color w:val="auto"/>
                <w:highlight w:val="none"/>
              </w:rPr>
              <w:t>（</w:t>
            </w:r>
            <w:r>
              <w:rPr>
                <w:rFonts w:hint="default"/>
                <w:color w:val="auto"/>
                <w:highlight w:val="none"/>
              </w:rPr>
              <w:t>GB50974-2014</w:t>
            </w:r>
            <w:r>
              <w:rPr>
                <w:rFonts w:hint="eastAsia"/>
                <w:color w:val="auto"/>
                <w:highlight w:val="none"/>
              </w:rPr>
              <w:t>）</w:t>
            </w:r>
            <w:r>
              <w:rPr>
                <w:rFonts w:hint="default"/>
                <w:color w:val="auto"/>
                <w:highlight w:val="none"/>
              </w:rPr>
              <w:t>计算，室外消防栓设计流量20L/s、室内消防栓设计流量10L/s，本评价假设项目出现火灾时，按消防水量消耗30L/s计算</w:t>
            </w:r>
          </w:p>
          <w:p w14:paraId="7B59FA91">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t</w:t>
            </w:r>
            <w:r>
              <w:rPr>
                <w:rFonts w:hint="default"/>
                <w:color w:val="auto"/>
                <w:highlight w:val="none"/>
                <w:vertAlign w:val="subscript"/>
              </w:rPr>
              <w:t>消</w:t>
            </w:r>
            <w:r>
              <w:rPr>
                <w:rFonts w:hint="default"/>
                <w:color w:val="auto"/>
                <w:highlight w:val="none"/>
              </w:rPr>
              <w:t>——消防设施对应的设计消防历时，h；（本项目事故持续时间假定为2h），所以，本次环评一次事故收集的消防废水量取216m</w:t>
            </w:r>
            <w:r>
              <w:rPr>
                <w:rFonts w:hint="default"/>
                <w:color w:val="auto"/>
                <w:highlight w:val="none"/>
                <w:vertAlign w:val="superscript"/>
              </w:rPr>
              <w:t>3</w:t>
            </w:r>
            <w:r>
              <w:rPr>
                <w:rFonts w:hint="default"/>
                <w:color w:val="auto"/>
                <w:highlight w:val="none"/>
              </w:rPr>
              <w:t>。</w:t>
            </w:r>
          </w:p>
          <w:p w14:paraId="45EE8A68">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3</w:t>
            </w:r>
            <w:r>
              <w:rPr>
                <w:rFonts w:hint="default"/>
                <w:color w:val="auto"/>
                <w:highlight w:val="none"/>
              </w:rPr>
              <w:t>——发生事故时可以传输到其他储存或处理设施的物料量，m</w:t>
            </w:r>
            <w:r>
              <w:rPr>
                <w:rFonts w:hint="default"/>
                <w:color w:val="auto"/>
                <w:highlight w:val="none"/>
                <w:vertAlign w:val="superscript"/>
              </w:rPr>
              <w:t>3</w:t>
            </w:r>
            <w:r>
              <w:rPr>
                <w:rFonts w:hint="default"/>
                <w:color w:val="auto"/>
                <w:highlight w:val="none"/>
              </w:rPr>
              <w:t>，本项目取0。</w:t>
            </w:r>
          </w:p>
          <w:p w14:paraId="6B4089D3">
            <w:pPr>
              <w:pStyle w:val="54"/>
              <w:keepNext w:val="0"/>
              <w:keepLines w:val="0"/>
              <w:suppressLineNumbers w:val="0"/>
              <w:spacing w:before="0" w:beforeAutospacing="0" w:after="0" w:afterAutospacing="0"/>
              <w:ind w:left="0" w:right="0"/>
              <w:rPr>
                <w:rFonts w:hint="default"/>
                <w:color w:val="auto"/>
                <w:highlight w:val="none"/>
              </w:rPr>
            </w:pPr>
            <w:r>
              <w:rPr>
                <w:rFonts w:hint="default"/>
                <w:color w:val="auto"/>
                <w:highlight w:val="none"/>
              </w:rPr>
              <w:t>V</w:t>
            </w:r>
            <w:r>
              <w:rPr>
                <w:rFonts w:hint="default"/>
                <w:color w:val="auto"/>
                <w:highlight w:val="none"/>
                <w:vertAlign w:val="subscript"/>
              </w:rPr>
              <w:t>4</w:t>
            </w:r>
            <w:r>
              <w:rPr>
                <w:rFonts w:hint="default"/>
                <w:color w:val="auto"/>
                <w:highlight w:val="none"/>
              </w:rPr>
              <w:t>——发生事故时仍必须进入该收集系统的生产废水量，m</w:t>
            </w:r>
            <w:r>
              <w:rPr>
                <w:rFonts w:hint="default"/>
                <w:color w:val="auto"/>
                <w:highlight w:val="none"/>
                <w:vertAlign w:val="superscript"/>
              </w:rPr>
              <w:t>3</w:t>
            </w:r>
            <w:r>
              <w:rPr>
                <w:rFonts w:hint="default"/>
                <w:color w:val="auto"/>
                <w:highlight w:val="none"/>
              </w:rPr>
              <w:t>，</w:t>
            </w:r>
            <w:r>
              <w:rPr>
                <w:rFonts w:hint="eastAsia"/>
                <w:color w:val="auto"/>
                <w:highlight w:val="none"/>
              </w:rPr>
              <w:t>项目生产废水有单独的收集处理系统，无生产废水进入厂区事故池，V4=0；</w:t>
            </w:r>
          </w:p>
          <w:p w14:paraId="2A90D671">
            <w:pPr>
              <w:pStyle w:val="54"/>
              <w:keepNext w:val="0"/>
              <w:keepLines w:val="0"/>
              <w:suppressLineNumbers w:val="0"/>
              <w:spacing w:before="0" w:beforeAutospacing="0" w:after="0" w:afterAutospacing="0"/>
              <w:ind w:left="0" w:right="0"/>
              <w:rPr>
                <w:rFonts w:hint="default"/>
                <w:color w:val="auto"/>
                <w:szCs w:val="20"/>
              </w:rPr>
            </w:pPr>
            <w:r>
              <w:rPr>
                <w:rFonts w:hint="default"/>
                <w:color w:val="auto"/>
                <w:highlight w:val="none"/>
              </w:rPr>
              <w:t>V</w:t>
            </w:r>
            <w:r>
              <w:rPr>
                <w:rFonts w:hint="default"/>
                <w:color w:val="auto"/>
                <w:highlight w:val="none"/>
                <w:vertAlign w:val="subscript"/>
              </w:rPr>
              <w:t>5</w:t>
            </w:r>
            <w:r>
              <w:rPr>
                <w:rFonts w:hint="default"/>
                <w:color w:val="auto"/>
                <w:highlight w:val="none"/>
              </w:rPr>
              <w:t>——发生事故时可能进入该收集系统的降雨量，m</w:t>
            </w:r>
            <w:r>
              <w:rPr>
                <w:rFonts w:hint="default"/>
                <w:color w:val="auto"/>
                <w:highlight w:val="none"/>
                <w:vertAlign w:val="superscript"/>
              </w:rPr>
              <w:t>3</w:t>
            </w:r>
            <w:r>
              <w:rPr>
                <w:rFonts w:hint="default"/>
                <w:color w:val="auto"/>
                <w:highlight w:val="none"/>
              </w:rPr>
              <w:t>，</w:t>
            </w:r>
            <w:r>
              <w:rPr>
                <w:rFonts w:hint="eastAsia"/>
                <w:color w:val="auto"/>
                <w:szCs w:val="20"/>
              </w:rPr>
              <w:t>本项目V</w:t>
            </w:r>
            <w:r>
              <w:rPr>
                <w:rFonts w:hint="eastAsia"/>
                <w:color w:val="auto"/>
                <w:szCs w:val="20"/>
                <w:vertAlign w:val="subscript"/>
              </w:rPr>
              <w:t>5</w:t>
            </w:r>
            <w:r>
              <w:rPr>
                <w:rFonts w:hint="eastAsia"/>
                <w:color w:val="auto"/>
                <w:szCs w:val="20"/>
              </w:rPr>
              <w:t>=</w:t>
            </w:r>
            <w:r>
              <w:rPr>
                <w:rFonts w:hint="eastAsia"/>
                <w:color w:val="auto"/>
                <w:szCs w:val="20"/>
                <w:highlight w:val="green"/>
              </w:rPr>
              <w:t>180。</w:t>
            </w:r>
          </w:p>
          <w:p w14:paraId="117F798E">
            <w:pPr>
              <w:pStyle w:val="54"/>
              <w:keepNext w:val="0"/>
              <w:keepLines w:val="0"/>
              <w:suppressLineNumbers w:val="0"/>
              <w:spacing w:before="0" w:beforeAutospacing="0" w:after="0" w:afterAutospacing="0"/>
              <w:ind w:left="0" w:right="0"/>
              <w:rPr>
                <w:rFonts w:hint="eastAsia" w:eastAsia="宋体"/>
                <w:color w:val="auto"/>
                <w:vertAlign w:val="baseline"/>
                <w:lang w:eastAsia="zh-CN"/>
              </w:rPr>
            </w:pPr>
            <w:r>
              <w:rPr>
                <w:rFonts w:hint="eastAsia"/>
                <w:color w:val="auto"/>
              </w:rPr>
              <w:t>综上，</w:t>
            </w:r>
            <w:r>
              <w:rPr>
                <w:rFonts w:hint="default"/>
                <w:color w:val="auto"/>
              </w:rPr>
              <w:t>V</w:t>
            </w:r>
            <w:r>
              <w:rPr>
                <w:rFonts w:hint="eastAsia"/>
                <w:color w:val="auto"/>
              </w:rPr>
              <w:t>总</w:t>
            </w:r>
            <w:r>
              <w:rPr>
                <w:rFonts w:hint="default"/>
                <w:color w:val="auto"/>
              </w:rPr>
              <w:t>=</w:t>
            </w:r>
            <w:r>
              <w:rPr>
                <w:rFonts w:hint="eastAsia"/>
                <w:color w:val="auto"/>
              </w:rPr>
              <w:t>（</w:t>
            </w:r>
            <w:r>
              <w:rPr>
                <w:rFonts w:hint="default"/>
                <w:color w:val="auto"/>
              </w:rPr>
              <w:t>V1+V2</w:t>
            </w:r>
            <w:r>
              <w:rPr>
                <w:rFonts w:hint="eastAsia"/>
                <w:color w:val="auto"/>
              </w:rPr>
              <w:t>－</w:t>
            </w:r>
            <w:r>
              <w:rPr>
                <w:rFonts w:hint="default"/>
                <w:color w:val="auto"/>
              </w:rPr>
              <w:t>V3</w:t>
            </w:r>
            <w:r>
              <w:rPr>
                <w:rFonts w:hint="eastAsia"/>
                <w:color w:val="auto"/>
              </w:rPr>
              <w:t>）</w:t>
            </w:r>
            <w:r>
              <w:rPr>
                <w:rFonts w:hint="default"/>
                <w:color w:val="auto"/>
              </w:rPr>
              <w:t>+V4+V5</w:t>
            </w:r>
            <w:r>
              <w:rPr>
                <w:rFonts w:hint="eastAsia"/>
                <w:color w:val="auto"/>
              </w:rPr>
              <w:t>＝</w:t>
            </w:r>
            <w:r>
              <w:rPr>
                <w:rFonts w:hint="default"/>
                <w:color w:val="auto"/>
              </w:rPr>
              <w:t>(0+2</w:t>
            </w:r>
            <w:r>
              <w:rPr>
                <w:rFonts w:hint="eastAsia"/>
                <w:color w:val="auto"/>
              </w:rPr>
              <w:t>16</w:t>
            </w:r>
            <w:r>
              <w:rPr>
                <w:rFonts w:hint="default"/>
                <w:color w:val="auto"/>
              </w:rPr>
              <w:t>-0)+</w:t>
            </w:r>
            <w:r>
              <w:rPr>
                <w:rFonts w:hint="eastAsia"/>
                <w:color w:val="auto"/>
              </w:rPr>
              <w:t>0</w:t>
            </w:r>
            <w:r>
              <w:rPr>
                <w:rFonts w:hint="default"/>
                <w:color w:val="auto"/>
              </w:rPr>
              <w:t>+</w:t>
            </w:r>
            <w:r>
              <w:rPr>
                <w:rFonts w:hint="eastAsia"/>
                <w:color w:val="FF0000"/>
                <w:highlight w:val="green"/>
                <w:lang w:val="en-US" w:eastAsia="zh-CN"/>
              </w:rPr>
              <w:t>180</w:t>
            </w:r>
            <w:r>
              <w:rPr>
                <w:rFonts w:hint="eastAsia"/>
                <w:color w:val="FF0000"/>
              </w:rPr>
              <w:t>＝</w:t>
            </w:r>
            <w:r>
              <w:rPr>
                <w:rFonts w:hint="eastAsia"/>
                <w:color w:val="FF0000"/>
                <w:highlight w:val="green"/>
                <w:lang w:val="en-US" w:eastAsia="zh-CN"/>
              </w:rPr>
              <w:t>396</w:t>
            </w:r>
            <w:r>
              <w:rPr>
                <w:rFonts w:hint="default"/>
                <w:color w:val="FF0000"/>
                <w:highlight w:val="green"/>
              </w:rPr>
              <w:t>m</w:t>
            </w:r>
            <w:r>
              <w:rPr>
                <w:rFonts w:hint="default"/>
                <w:color w:val="FF0000"/>
                <w:highlight w:val="green"/>
                <w:vertAlign w:val="superscript"/>
              </w:rPr>
              <w:t>3</w:t>
            </w:r>
            <w:r>
              <w:rPr>
                <w:rFonts w:hint="eastAsia"/>
                <w:color w:val="FF0000"/>
                <w:highlight w:val="green"/>
                <w:vertAlign w:val="baseline"/>
                <w:lang w:eastAsia="zh-CN"/>
              </w:rPr>
              <w:t>，</w:t>
            </w:r>
          </w:p>
          <w:p w14:paraId="5F8A5F73">
            <w:pPr>
              <w:pStyle w:val="54"/>
              <w:keepNext w:val="0"/>
              <w:keepLines w:val="0"/>
              <w:suppressLineNumbers w:val="0"/>
              <w:spacing w:before="0" w:beforeAutospacing="0" w:after="0" w:afterAutospacing="0"/>
              <w:ind w:left="0" w:right="0"/>
              <w:rPr>
                <w:rFonts w:hint="default"/>
                <w:color w:val="auto"/>
                <w:highlight w:val="none"/>
              </w:rPr>
            </w:pPr>
            <w:r>
              <w:rPr>
                <w:rFonts w:hint="eastAsia" w:ascii="宋体" w:hAnsi="宋体"/>
                <w:color w:val="auto"/>
                <w:highlight w:val="none"/>
              </w:rPr>
              <w:t>③</w:t>
            </w:r>
            <w:r>
              <w:rPr>
                <w:rFonts w:hint="eastAsia"/>
                <w:color w:val="auto"/>
                <w:highlight w:val="none"/>
              </w:rPr>
              <w:t>三级预防控制措施</w:t>
            </w:r>
          </w:p>
          <w:p w14:paraId="13AB128A">
            <w:pPr>
              <w:pStyle w:val="54"/>
              <w:keepNext w:val="0"/>
              <w:keepLines w:val="0"/>
              <w:suppressLineNumbers w:val="0"/>
              <w:spacing w:before="0" w:beforeAutospacing="0" w:after="0" w:afterAutospacing="0"/>
              <w:ind w:left="0" w:right="0"/>
              <w:rPr>
                <w:rFonts w:hint="default"/>
                <w:color w:val="auto"/>
                <w:highlight w:val="none"/>
              </w:rPr>
            </w:pPr>
            <w:r>
              <w:rPr>
                <w:rFonts w:hint="eastAsia"/>
                <w:color w:val="auto"/>
                <w:highlight w:val="none"/>
              </w:rPr>
              <w:t>园区建有三级风险防控措施:江西省建筑陶瓷产业基地污水处理厂设事故池1座（10000m</w:t>
            </w:r>
            <w:r>
              <w:rPr>
                <w:rFonts w:hint="eastAsia"/>
                <w:color w:val="auto"/>
                <w:highlight w:val="none"/>
                <w:vertAlign w:val="superscript"/>
              </w:rPr>
              <w:t>3</w:t>
            </w:r>
            <w:r>
              <w:rPr>
                <w:rFonts w:hint="eastAsia"/>
                <w:color w:val="auto"/>
                <w:highlight w:val="none"/>
              </w:rPr>
              <w:t>，位于园区地势最低处）和专用管道，收集江西省建筑陶瓷产业基地各企业的废水，经进一步处理后排入肖江，防止正常和事故废水泄漏影响下游水体。建立企业与园区管理委员会安全环保管理部门的管理、信息、通讯联系，始终处于畅通状态，一旦发生风险事故，能及时报告、及时响应。一旦废水处理设施出现故障，铊、氟化物、铍等污染物超标，企业应将产生的废水排入事故应急池，并对废水进行暂存或者停产，及时维修处理设施，一旦修好，应立即将事故池中的废水治理达标后外排。</w:t>
            </w:r>
          </w:p>
          <w:p w14:paraId="6D55E302">
            <w:pPr>
              <w:pStyle w:val="113"/>
              <w:keepLines w:val="0"/>
              <w:suppressLineNumbers w:val="0"/>
              <w:spacing w:beforeAutospacing="0" w:afterAutospacing="0"/>
              <w:ind w:left="0" w:leftChars="0" w:right="0" w:firstLine="0" w:firstLineChars="0"/>
              <w:jc w:val="center"/>
              <w:rPr>
                <w:rFonts w:hint="default"/>
                <w:color w:val="auto"/>
                <w:highlight w:val="none"/>
              </w:rPr>
            </w:pPr>
            <w:r>
              <w:rPr>
                <w:rFonts w:hint="default"/>
                <w:color w:val="auto"/>
                <w:highlight w:val="none"/>
              </w:rPr>
              <w:drawing>
                <wp:inline distT="0" distB="0" distL="0" distR="0">
                  <wp:extent cx="5113020" cy="1195705"/>
                  <wp:effectExtent l="0" t="0" r="11430" b="4445"/>
                  <wp:docPr id="79292449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924494" name="图片 1"/>
                          <pic:cNvPicPr>
                            <a:picLocks noChangeAspect="1"/>
                          </pic:cNvPicPr>
                        </pic:nvPicPr>
                        <pic:blipFill>
                          <a:blip r:embed="rId39"/>
                          <a:stretch>
                            <a:fillRect/>
                          </a:stretch>
                        </pic:blipFill>
                        <pic:spPr>
                          <a:xfrm>
                            <a:off x="0" y="0"/>
                            <a:ext cx="5113020" cy="1195705"/>
                          </a:xfrm>
                          <a:prstGeom prst="rect">
                            <a:avLst/>
                          </a:prstGeom>
                        </pic:spPr>
                      </pic:pic>
                    </a:graphicData>
                  </a:graphic>
                </wp:inline>
              </w:drawing>
            </w:r>
          </w:p>
          <w:p w14:paraId="68CC5E96">
            <w:pPr>
              <w:pStyle w:val="113"/>
              <w:keepLines w:val="0"/>
              <w:suppressLineNumbers w:val="0"/>
              <w:spacing w:beforeAutospacing="0" w:afterAutospacing="0"/>
              <w:ind w:right="0"/>
              <w:rPr>
                <w:rFonts w:hint="default"/>
                <w:color w:val="auto"/>
                <w:highlight w:val="none"/>
              </w:rPr>
            </w:pPr>
            <w:r>
              <w:rPr>
                <w:rFonts w:hint="eastAsia"/>
                <w:color w:val="auto"/>
                <w:highlight w:val="none"/>
              </w:rPr>
              <w:t>图4-</w:t>
            </w:r>
            <w:r>
              <w:rPr>
                <w:rFonts w:hint="eastAsia"/>
                <w:color w:val="auto"/>
                <w:highlight w:val="none"/>
                <w:lang w:val="en-US" w:eastAsia="zh-CN"/>
              </w:rPr>
              <w:t>1</w:t>
            </w:r>
            <w:r>
              <w:rPr>
                <w:rFonts w:hint="eastAsia"/>
                <w:color w:val="auto"/>
                <w:highlight w:val="none"/>
              </w:rPr>
              <w:t xml:space="preserve">  厂区三级事故废水防控体系图</w:t>
            </w:r>
          </w:p>
          <w:p w14:paraId="6C73A22A">
            <w:pPr>
              <w:pStyle w:val="76"/>
              <w:keepNext w:val="0"/>
              <w:keepLines w:val="0"/>
              <w:suppressLineNumbers w:val="0"/>
              <w:bidi w:val="0"/>
              <w:spacing w:before="0" w:beforeAutospacing="0" w:after="0" w:afterAutospacing="0"/>
              <w:ind w:left="0" w:right="0"/>
              <w:rPr>
                <w:rFonts w:hint="default"/>
                <w:color w:val="auto"/>
                <w:highlight w:val="none"/>
              </w:rPr>
            </w:pPr>
            <w:r>
              <w:rPr>
                <w:rFonts w:hint="eastAsia"/>
                <w:color w:val="auto"/>
                <w:highlight w:val="none"/>
                <w:lang w:val="en-US" w:eastAsia="zh-CN"/>
              </w:rPr>
              <w:t>F</w:t>
            </w:r>
            <w:r>
              <w:rPr>
                <w:rFonts w:hint="default"/>
                <w:color w:val="auto"/>
                <w:highlight w:val="none"/>
              </w:rPr>
              <w:t>.制定突发环境事件应急预案</w:t>
            </w:r>
          </w:p>
          <w:p w14:paraId="188400C8">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建设单位应根据《关于印发〈企业事业单位突发环境事件应急预案备案管理办法（试行）〉的通知》（环发〔2015〕4号）的相关要求编制环境应急预案</w:t>
            </w:r>
            <w:r>
              <w:rPr>
                <w:rFonts w:hint="eastAsia"/>
                <w:color w:val="auto"/>
                <w:highlight w:val="none"/>
              </w:rPr>
              <w:t>，具体内容见下表</w:t>
            </w:r>
            <w:r>
              <w:rPr>
                <w:rFonts w:hint="default"/>
                <w:color w:val="auto"/>
                <w:highlight w:val="none"/>
              </w:rPr>
              <w:t>，并结合实际情况，开展环境应急预案的培训、宣传和必要的应急演练，发生或者可能发生突发环境事件时及时启动环境应急预案，定期进行修订完善。</w:t>
            </w:r>
          </w:p>
          <w:p w14:paraId="5CA9AC68">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应急预案的主要内容</w:t>
            </w:r>
          </w:p>
          <w:tbl>
            <w:tblPr>
              <w:tblStyle w:val="25"/>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88"/>
              <w:gridCol w:w="6874"/>
            </w:tblGrid>
            <w:tr w14:paraId="1C3314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64F471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sz w:val="21"/>
                      <w:szCs w:val="21"/>
                      <w:highlight w:val="none"/>
                    </w:rPr>
                  </w:pPr>
                  <w:r>
                    <w:rPr>
                      <w:rFonts w:hint="eastAsia"/>
                      <w:b/>
                      <w:bCs/>
                      <w:color w:val="auto"/>
                      <w:sz w:val="21"/>
                      <w:szCs w:val="21"/>
                      <w:highlight w:val="none"/>
                    </w:rPr>
                    <w:t>项目</w:t>
                  </w:r>
                </w:p>
              </w:tc>
              <w:tc>
                <w:tcPr>
                  <w:tcW w:w="4110" w:type="pct"/>
                  <w:noWrap w:val="0"/>
                  <w:vAlign w:val="center"/>
                </w:tcPr>
                <w:p w14:paraId="7FAEAE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sz w:val="21"/>
                      <w:szCs w:val="21"/>
                      <w:highlight w:val="none"/>
                    </w:rPr>
                  </w:pPr>
                  <w:r>
                    <w:rPr>
                      <w:rFonts w:hint="eastAsia"/>
                      <w:b/>
                      <w:bCs/>
                      <w:color w:val="auto"/>
                      <w:sz w:val="21"/>
                      <w:szCs w:val="21"/>
                      <w:highlight w:val="none"/>
                    </w:rPr>
                    <w:t>内容及要求</w:t>
                  </w:r>
                </w:p>
              </w:tc>
            </w:tr>
            <w:tr w14:paraId="66CC8F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40FA18D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应急计划区</w:t>
                  </w:r>
                </w:p>
              </w:tc>
              <w:tc>
                <w:tcPr>
                  <w:tcW w:w="4110" w:type="pct"/>
                  <w:noWrap w:val="0"/>
                  <w:vAlign w:val="center"/>
                </w:tcPr>
                <w:p w14:paraId="479F39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厂区</w:t>
                  </w:r>
                </w:p>
              </w:tc>
            </w:tr>
            <w:tr w14:paraId="00BCD7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73134E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应急组织</w:t>
                  </w:r>
                </w:p>
              </w:tc>
              <w:tc>
                <w:tcPr>
                  <w:tcW w:w="4110" w:type="pct"/>
                  <w:noWrap w:val="0"/>
                  <w:vAlign w:val="center"/>
                </w:tcPr>
                <w:p w14:paraId="4C32AA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应急指挥中心：负责现场全面指挥；</w:t>
                  </w:r>
                </w:p>
                <w:p w14:paraId="7A01F32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应急办公室：负责接收指令、下达任务，协调联络</w:t>
                  </w:r>
                </w:p>
                <w:p w14:paraId="758B9F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应急小组：负责抢险、警戒、后勤保障、医疗救护</w:t>
                  </w:r>
                </w:p>
              </w:tc>
            </w:tr>
            <w:tr w14:paraId="5CEB0E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5839EF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分级响应</w:t>
                  </w:r>
                </w:p>
              </w:tc>
              <w:tc>
                <w:tcPr>
                  <w:tcW w:w="4110" w:type="pct"/>
                  <w:noWrap w:val="0"/>
                  <w:vAlign w:val="center"/>
                </w:tcPr>
                <w:p w14:paraId="6452928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一级响应：需要全公司和社会力量参与应急；</w:t>
                  </w:r>
                </w:p>
                <w:p w14:paraId="037D6D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二级响应：需要全公司力量参与应急；</w:t>
                  </w:r>
                </w:p>
                <w:p w14:paraId="0BC979E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三级响应：仅需事件部门或个别部门参与应急。</w:t>
                  </w:r>
                </w:p>
              </w:tc>
            </w:tr>
            <w:tr w14:paraId="66EA3D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6AF8C9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应急救援保障</w:t>
                  </w:r>
                </w:p>
              </w:tc>
              <w:tc>
                <w:tcPr>
                  <w:tcW w:w="4110" w:type="pct"/>
                  <w:noWrap w:val="0"/>
                  <w:vAlign w:val="center"/>
                </w:tcPr>
                <w:p w14:paraId="5CA378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后勤保障小组负责及时运送应急设施、急救箱、应急工具等。</w:t>
                  </w:r>
                </w:p>
              </w:tc>
            </w:tr>
            <w:tr w14:paraId="4E898A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80146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预警条件</w:t>
                  </w:r>
                </w:p>
              </w:tc>
              <w:tc>
                <w:tcPr>
                  <w:tcW w:w="4110" w:type="pct"/>
                  <w:noWrap w:val="0"/>
                  <w:vAlign w:val="center"/>
                </w:tcPr>
                <w:p w14:paraId="1558E2D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发现明火燃烧；火警报装置发生响动；仓库冒出浓烟。</w:t>
                  </w:r>
                </w:p>
              </w:tc>
            </w:tr>
            <w:tr w14:paraId="6D69B1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94C80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上报程序</w:t>
                  </w:r>
                </w:p>
              </w:tc>
              <w:tc>
                <w:tcPr>
                  <w:tcW w:w="4110" w:type="pct"/>
                  <w:noWrap w:val="0"/>
                  <w:vAlign w:val="center"/>
                </w:tcPr>
                <w:p w14:paraId="30424B0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第一发现者→应急办公室负责人→应急指挥部。</w:t>
                  </w:r>
                </w:p>
              </w:tc>
            </w:tr>
            <w:tr w14:paraId="3F85B9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6CBB0C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应急启动程序</w:t>
                  </w:r>
                </w:p>
              </w:tc>
              <w:tc>
                <w:tcPr>
                  <w:tcW w:w="4110" w:type="pct"/>
                  <w:noWrap w:val="0"/>
                  <w:vAlign w:val="center"/>
                </w:tcPr>
                <w:p w14:paraId="7ED2789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事故确认：应急指挥部→应急办公室→应急小组。</w:t>
                  </w:r>
                </w:p>
              </w:tc>
            </w:tr>
            <w:tr w14:paraId="37FF5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12D239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人员疏散</w:t>
                  </w:r>
                </w:p>
              </w:tc>
              <w:tc>
                <w:tcPr>
                  <w:tcW w:w="4110" w:type="pct"/>
                  <w:noWrap w:val="0"/>
                  <w:vAlign w:val="center"/>
                </w:tcPr>
                <w:p w14:paraId="0251A34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警戒组及时隔离事故现场，疏散无关人员，禁止无关人员进入警戒区。</w:t>
                  </w:r>
                </w:p>
              </w:tc>
            </w:tr>
            <w:tr w14:paraId="6F81BC1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379738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灭火处理</w:t>
                  </w:r>
                </w:p>
              </w:tc>
              <w:tc>
                <w:tcPr>
                  <w:tcW w:w="4110" w:type="pct"/>
                  <w:noWrap w:val="0"/>
                  <w:vAlign w:val="center"/>
                </w:tcPr>
                <w:p w14:paraId="052A33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抢险组佩戴防护设备，切断火势蔓延途径，及时撤离其他可燃物，控制燃烧范围；尽快采用灭火器、消防栓等进行灭火，把火势消灭在萌芽状态；判断着火面积，并能占领现场上风和侧风阵地，继续进行控制火势、灭火。</w:t>
                  </w:r>
                </w:p>
              </w:tc>
            </w:tr>
            <w:tr w14:paraId="0E6596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4697F7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医疗救护</w:t>
                  </w:r>
                </w:p>
              </w:tc>
              <w:tc>
                <w:tcPr>
                  <w:tcW w:w="4110" w:type="pct"/>
                  <w:noWrap w:val="0"/>
                  <w:vAlign w:val="center"/>
                </w:tcPr>
                <w:p w14:paraId="0F7666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若发生人员烧伤或中毒事故，医疗组佩戴好防护设备，及时转移受伤人员至安全地点，并实施应急救护，如有必要及时送伤员就医。</w:t>
                  </w:r>
                </w:p>
              </w:tc>
            </w:tr>
            <w:tr w14:paraId="1590D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00A9FE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环境监测</w:t>
                  </w:r>
                </w:p>
              </w:tc>
              <w:tc>
                <w:tcPr>
                  <w:tcW w:w="4110" w:type="pct"/>
                  <w:noWrap w:val="0"/>
                  <w:vAlign w:val="center"/>
                </w:tcPr>
                <w:p w14:paraId="12FAFD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应急办公室协助专业人员对事故现场进行侦查监测，对事故性质、参数与后果进行评估，为指挥部门提供决策依据。</w:t>
                  </w:r>
                </w:p>
              </w:tc>
            </w:tr>
            <w:tr w14:paraId="0D731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5B0DD5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应急终止</w:t>
                  </w:r>
                </w:p>
              </w:tc>
              <w:tc>
                <w:tcPr>
                  <w:tcW w:w="4110" w:type="pct"/>
                  <w:noWrap w:val="0"/>
                  <w:vAlign w:val="center"/>
                </w:tcPr>
                <w:p w14:paraId="2F351F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当事件现场得到控制，事件条件已经消除，事件所造成的危害已经被彻底消除，无继发可能时应急终止。</w:t>
                  </w:r>
                </w:p>
              </w:tc>
            </w:tr>
            <w:tr w14:paraId="344BCD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3E8BC72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现场恢复</w:t>
                  </w:r>
                </w:p>
              </w:tc>
              <w:tc>
                <w:tcPr>
                  <w:tcW w:w="4110" w:type="pct"/>
                  <w:noWrap w:val="0"/>
                  <w:vAlign w:val="center"/>
                </w:tcPr>
                <w:p w14:paraId="428E1F2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火灾扑灭后，检查事故现场，消除隐患，清点损失，联系相关单位进行修复，恢复正常生产。</w:t>
                  </w:r>
                </w:p>
              </w:tc>
            </w:tr>
            <w:tr w14:paraId="539C78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0" w:type="pct"/>
                  <w:noWrap w:val="0"/>
                  <w:vAlign w:val="center"/>
                </w:tcPr>
                <w:p w14:paraId="20E643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后续工作</w:t>
                  </w:r>
                </w:p>
              </w:tc>
              <w:tc>
                <w:tcPr>
                  <w:tcW w:w="4110" w:type="pct"/>
                  <w:noWrap w:val="0"/>
                  <w:vAlign w:val="center"/>
                </w:tcPr>
                <w:p w14:paraId="1BB154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总指挥部调查了解事故发生的原因、过程、损失等情况，提出处理方案和整改措施，经济补偿受伤人员，对突发环境事件进行总结和事后污染评估。</w:t>
                  </w:r>
                </w:p>
              </w:tc>
            </w:tr>
            <w:tr w14:paraId="3161C2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890" w:type="pct"/>
                  <w:noWrap w:val="0"/>
                  <w:vAlign w:val="center"/>
                </w:tcPr>
                <w:p w14:paraId="77909A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注意事项</w:t>
                  </w:r>
                </w:p>
              </w:tc>
              <w:tc>
                <w:tcPr>
                  <w:tcW w:w="4110" w:type="pct"/>
                  <w:noWrap w:val="0"/>
                  <w:vAlign w:val="center"/>
                </w:tcPr>
                <w:p w14:paraId="1057BD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①现场处置以先抢救人、后抢救物为原则。</w:t>
                  </w:r>
                </w:p>
                <w:p w14:paraId="416E7469">
                  <w:pPr>
                    <w:pStyle w:val="77"/>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default"/>
                      <w:color w:val="auto"/>
                      <w:sz w:val="21"/>
                      <w:szCs w:val="21"/>
                      <w:highlight w:val="none"/>
                    </w:rPr>
                  </w:pPr>
                  <w:r>
                    <w:rPr>
                      <w:rFonts w:hint="eastAsia"/>
                      <w:b w:val="0"/>
                      <w:bCs w:val="0"/>
                      <w:color w:val="auto"/>
                      <w:sz w:val="21"/>
                      <w:szCs w:val="21"/>
                      <w:highlight w:val="none"/>
                    </w:rPr>
                    <w:t>②抢救人员须穿戴好劳动防护用品，正确使用抢险救援器材。</w:t>
                  </w:r>
                </w:p>
                <w:p w14:paraId="04531C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③遇火灾拨打119火警电话时，需告知火险情况、具体位置，并在厂房门口接应消防车。</w:t>
                  </w:r>
                </w:p>
                <w:p w14:paraId="08D6CC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sz w:val="21"/>
                      <w:szCs w:val="21"/>
                      <w:highlight w:val="none"/>
                    </w:rPr>
                  </w:pPr>
                  <w:r>
                    <w:rPr>
                      <w:rFonts w:hint="eastAsia"/>
                      <w:color w:val="auto"/>
                      <w:sz w:val="21"/>
                      <w:szCs w:val="21"/>
                      <w:highlight w:val="none"/>
                    </w:rPr>
                    <w:t>④现场应急救援应至少一名监护人员。</w:t>
                  </w:r>
                </w:p>
              </w:tc>
            </w:tr>
          </w:tbl>
          <w:p w14:paraId="495C2DDC">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default"/>
                <w:b/>
                <w:bCs w:val="0"/>
                <w:color w:val="auto"/>
                <w:highlight w:val="none"/>
              </w:rPr>
              <w:t>5、结论</w:t>
            </w:r>
          </w:p>
          <w:p w14:paraId="7B665409">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综上所述，项目环境风险潜势为Ⅰ，评价等级属于简单分析，总体上环境风险很小且易于控制，只要做好泄漏、火灾风险事故后的收集、灭火工作，环境风险影响范围主要在厂区内，对环境影响很小。</w:t>
            </w:r>
          </w:p>
          <w:p w14:paraId="56E5D366">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七、</w:t>
            </w:r>
            <w:r>
              <w:rPr>
                <w:rFonts w:hint="default"/>
                <w:b/>
                <w:bCs w:val="0"/>
                <w:color w:val="auto"/>
                <w:highlight w:val="none"/>
              </w:rPr>
              <w:t>环境管理与监测计划</w:t>
            </w:r>
          </w:p>
          <w:p w14:paraId="656BF7C9">
            <w:pPr>
              <w:pStyle w:val="76"/>
              <w:keepNext w:val="0"/>
              <w:keepLines w:val="0"/>
              <w:suppressLineNumbers w:val="0"/>
              <w:bidi w:val="0"/>
              <w:spacing w:before="0" w:beforeAutospacing="0" w:after="0" w:afterAutospacing="0"/>
              <w:ind w:left="0" w:right="0"/>
              <w:rPr>
                <w:rFonts w:hint="eastAsia"/>
                <w:b/>
                <w:bCs w:val="0"/>
                <w:color w:val="FF0000"/>
                <w:highlight w:val="none"/>
              </w:rPr>
            </w:pPr>
            <w:r>
              <w:rPr>
                <w:rFonts w:hint="eastAsia"/>
                <w:b/>
                <w:bCs w:val="0"/>
                <w:color w:val="FF0000"/>
                <w:highlight w:val="none"/>
              </w:rPr>
              <w:t>1环境管理体系</w:t>
            </w:r>
          </w:p>
          <w:p w14:paraId="30B4F845">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环境保护的关键是环境管理，而实践证明企业的环境管理是企业管理的重要组成部分，它与企业计划、生产、质量、技术、财务等管理同等重要。它对促进环境效益、经济效益的提高，都起到了明显的作用。目前，环境管理已逐渐形成一项制度，任何一个可能造成较大环境影响的建设项目或一个可能造成较大环境影响的单位，都应设置一个环境管理机构，建立一套有效的环境管理办法，负责实施该项目或该单位的环境管理和监督。</w:t>
            </w:r>
          </w:p>
          <w:p w14:paraId="0B6191D0">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环境管理的基本任务是以保护环境为目标，清洁生产为手段，发展生产与经济效益为目的。因此，必须加大环境管理力度，确保本公司“三废治理”的设施正常运转。使该公司建设在经济、环境、社会效益方面能够协调发展。</w:t>
            </w:r>
          </w:p>
          <w:p w14:paraId="262FF99F">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为保证环境管理任务的顺利实施，总经理既是该公司的法定负责人，又是公司控制污染、保护环境的法律责任人。</w:t>
            </w:r>
          </w:p>
          <w:p w14:paraId="4E8BE55C">
            <w:pPr>
              <w:pStyle w:val="76"/>
              <w:keepNext w:val="0"/>
              <w:keepLines w:val="0"/>
              <w:suppressLineNumbers w:val="0"/>
              <w:bidi w:val="0"/>
              <w:spacing w:before="0" w:beforeAutospacing="0" w:after="0" w:afterAutospacing="0"/>
              <w:ind w:left="0" w:right="0"/>
              <w:rPr>
                <w:rFonts w:hint="eastAsia"/>
                <w:b/>
                <w:bCs w:val="0"/>
                <w:color w:val="FF0000"/>
                <w:highlight w:val="none"/>
              </w:rPr>
            </w:pPr>
            <w:r>
              <w:rPr>
                <w:rFonts w:hint="eastAsia"/>
                <w:b/>
                <w:bCs w:val="0"/>
                <w:color w:val="FF0000"/>
                <w:highlight w:val="none"/>
              </w:rPr>
              <w:t>2环境管理机构及职责</w:t>
            </w:r>
          </w:p>
          <w:p w14:paraId="1F0F214A">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该项目常设的环境管理机构是环境保护办公室，设兼职环保管理人员1～2人，具体负责全公司的日常的环境管理和监督工作。环境保护办公室的主要职责是：</w:t>
            </w:r>
          </w:p>
          <w:p w14:paraId="46D7D20E">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1）贯彻执行国家和地方的有关环保法律法规、政策和要求；</w:t>
            </w:r>
          </w:p>
          <w:p w14:paraId="5FC4D233">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2）制定本公司的环境保护规划和年度目标计划，并组织实施；</w:t>
            </w:r>
          </w:p>
          <w:p w14:paraId="33F9C4EF">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3）制定本公司的环境管理制度，并对实施情况进行监督、检查；</w:t>
            </w:r>
          </w:p>
          <w:p w14:paraId="37571BE4">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4）制定本公司污染总量控制指标，环保设施运行指标，“三废”综合利用指标，污染事故率指标等各项考核指标，分解到车间，进行定量考评；</w:t>
            </w:r>
          </w:p>
          <w:p w14:paraId="61057D77">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5）负责监督本公司“三同时”的执行情况。对本公司环境质量状况和各环保设施运行状况的例行监测和检查工作，并及时纠正违规行为；</w:t>
            </w:r>
          </w:p>
          <w:p w14:paraId="48B3BDB9">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6）组织或协调污染控制、“三废”综合利用、清洁生产等技术攻关课题研究，不断提高环境保护水平；</w:t>
            </w:r>
          </w:p>
          <w:p w14:paraId="67B1128A">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7）负责污染事故的防范，应急处理和报告工作；</w:t>
            </w:r>
          </w:p>
          <w:p w14:paraId="2CF2F19F">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8）搞好环境保护宣传教育，组织环保技术培训、竞赛、评比等工作，增强全体员工环保意识和技能；</w:t>
            </w:r>
          </w:p>
          <w:p w14:paraId="08E6B0B2">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9）负责环保资料的收集、汇总、保管、归档工作；</w:t>
            </w:r>
          </w:p>
          <w:p w14:paraId="2811726A">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10）完成公司环保委员会交办的其它工作；</w:t>
            </w:r>
          </w:p>
          <w:p w14:paraId="7A3EF5BB">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11）负责领导公司环境监测室工作，指导车间环保小组工作；</w:t>
            </w:r>
          </w:p>
          <w:p w14:paraId="4F7F4750">
            <w:pPr>
              <w:pStyle w:val="76"/>
              <w:keepNext w:val="0"/>
              <w:keepLines w:val="0"/>
              <w:suppressLineNumbers w:val="0"/>
              <w:bidi w:val="0"/>
              <w:spacing w:before="0" w:beforeAutospacing="0" w:after="0" w:afterAutospacing="0"/>
              <w:ind w:left="0" w:right="0"/>
              <w:rPr>
                <w:rFonts w:hint="eastAsia"/>
                <w:color w:val="FF0000"/>
                <w:highlight w:val="none"/>
              </w:rPr>
            </w:pPr>
            <w:r>
              <w:rPr>
                <w:rFonts w:hint="eastAsia"/>
                <w:color w:val="FF0000"/>
                <w:highlight w:val="none"/>
              </w:rPr>
              <w:t>12）对本公司的绿化工作进行监督管理，提出建议；</w:t>
            </w:r>
          </w:p>
          <w:p w14:paraId="7886D792">
            <w:pPr>
              <w:pStyle w:val="76"/>
              <w:keepNext w:val="0"/>
              <w:keepLines w:val="0"/>
              <w:suppressLineNumbers w:val="0"/>
              <w:bidi w:val="0"/>
              <w:spacing w:before="0" w:beforeAutospacing="0" w:after="0" w:afterAutospacing="0"/>
              <w:ind w:left="0" w:right="0"/>
              <w:rPr>
                <w:rFonts w:hint="default"/>
                <w:color w:val="FF0000"/>
                <w:highlight w:val="none"/>
              </w:rPr>
            </w:pPr>
            <w:r>
              <w:rPr>
                <w:rFonts w:hint="eastAsia"/>
                <w:color w:val="FF0000"/>
                <w:highlight w:val="none"/>
              </w:rPr>
              <w:t>13）负责与当地环保局的联络和沟通。</w:t>
            </w:r>
          </w:p>
          <w:p w14:paraId="0E3189D5">
            <w:pPr>
              <w:pStyle w:val="76"/>
              <w:keepNext w:val="0"/>
              <w:keepLines w:val="0"/>
              <w:suppressLineNumbers w:val="0"/>
              <w:bidi w:val="0"/>
              <w:spacing w:before="0" w:beforeAutospacing="0" w:after="0" w:afterAutospacing="0"/>
              <w:ind w:left="0" w:right="0"/>
              <w:rPr>
                <w:rFonts w:hint="default"/>
                <w:b/>
                <w:bCs w:val="0"/>
                <w:color w:val="FF0000"/>
                <w:highlight w:val="none"/>
              </w:rPr>
            </w:pPr>
            <w:r>
              <w:rPr>
                <w:rFonts w:hint="default"/>
                <w:b/>
                <w:bCs w:val="0"/>
                <w:color w:val="FF0000"/>
                <w:highlight w:val="none"/>
              </w:rPr>
              <w:t>3、环境监测计划</w:t>
            </w:r>
          </w:p>
          <w:p w14:paraId="353C9E6B">
            <w:pPr>
              <w:pStyle w:val="76"/>
              <w:keepNext w:val="0"/>
              <w:keepLines w:val="0"/>
              <w:suppressLineNumbers w:val="0"/>
              <w:bidi w:val="0"/>
              <w:spacing w:before="0" w:beforeAutospacing="0" w:after="0" w:afterAutospacing="0"/>
              <w:ind w:left="0" w:right="0"/>
              <w:rPr>
                <w:rFonts w:hint="default"/>
                <w:color w:val="FF0000"/>
                <w:highlight w:val="none"/>
              </w:rPr>
            </w:pPr>
            <w:r>
              <w:rPr>
                <w:rFonts w:hint="default"/>
                <w:color w:val="FF0000"/>
                <w:highlight w:val="none"/>
              </w:rPr>
              <w:t>根据《排污许可证申请与核发技术规范总则》（HJ942-2018）、《排污许可证申请与核发技术规范废弃资源加工工业》（HJ1034）和《排污单位自行监测技术指南砖瓦工业》（HJ1254-2022）的相关规定，并结合本项目污染物的产排情况，提出本项目的污染物监测计划，详见下表。</w:t>
            </w:r>
          </w:p>
          <w:p w14:paraId="26064135">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污染源监测计划表</w:t>
            </w:r>
          </w:p>
          <w:tbl>
            <w:tblPr>
              <w:tblStyle w:val="25"/>
              <w:tblW w:w="835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73"/>
              <w:gridCol w:w="1414"/>
              <w:gridCol w:w="1729"/>
              <w:gridCol w:w="1286"/>
              <w:gridCol w:w="2855"/>
            </w:tblGrid>
            <w:tr w14:paraId="44E531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17B48561">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b/>
                      <w:bCs/>
                      <w:color w:val="FF0000"/>
                      <w:highlight w:val="none"/>
                    </w:rPr>
                  </w:pPr>
                  <w:r>
                    <w:rPr>
                      <w:rFonts w:hint="default"/>
                      <w:b/>
                      <w:bCs/>
                      <w:color w:val="FF0000"/>
                      <w:highlight w:val="none"/>
                    </w:rPr>
                    <w:t>监测目的</w:t>
                  </w:r>
                </w:p>
              </w:tc>
              <w:tc>
                <w:tcPr>
                  <w:tcW w:w="1414" w:type="dxa"/>
                  <w:vAlign w:val="center"/>
                </w:tcPr>
                <w:p w14:paraId="09DC0BBC">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b/>
                      <w:bCs/>
                      <w:color w:val="FF0000"/>
                      <w:highlight w:val="none"/>
                    </w:rPr>
                  </w:pPr>
                  <w:r>
                    <w:rPr>
                      <w:rFonts w:hint="default"/>
                      <w:b/>
                      <w:bCs/>
                      <w:color w:val="FF0000"/>
                      <w:highlight w:val="none"/>
                    </w:rPr>
                    <w:t>监测点位</w:t>
                  </w:r>
                </w:p>
              </w:tc>
              <w:tc>
                <w:tcPr>
                  <w:tcW w:w="1729" w:type="dxa"/>
                  <w:vAlign w:val="center"/>
                </w:tcPr>
                <w:p w14:paraId="08A95EB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b/>
                      <w:bCs/>
                      <w:color w:val="FF0000"/>
                      <w:highlight w:val="none"/>
                    </w:rPr>
                  </w:pPr>
                  <w:r>
                    <w:rPr>
                      <w:rFonts w:hint="default"/>
                      <w:b/>
                      <w:bCs/>
                      <w:color w:val="FF0000"/>
                      <w:highlight w:val="none"/>
                    </w:rPr>
                    <w:t>监测指标</w:t>
                  </w:r>
                </w:p>
              </w:tc>
              <w:tc>
                <w:tcPr>
                  <w:tcW w:w="1286" w:type="dxa"/>
                  <w:vAlign w:val="center"/>
                </w:tcPr>
                <w:p w14:paraId="5D5BC81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b/>
                      <w:bCs/>
                      <w:color w:val="FF0000"/>
                      <w:highlight w:val="none"/>
                    </w:rPr>
                  </w:pPr>
                  <w:r>
                    <w:rPr>
                      <w:rFonts w:hint="default"/>
                      <w:b/>
                      <w:bCs/>
                      <w:color w:val="FF0000"/>
                      <w:highlight w:val="none"/>
                    </w:rPr>
                    <w:t>监测频次</w:t>
                  </w:r>
                </w:p>
              </w:tc>
              <w:tc>
                <w:tcPr>
                  <w:tcW w:w="2855" w:type="dxa"/>
                  <w:vAlign w:val="center"/>
                </w:tcPr>
                <w:p w14:paraId="300CA167">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b/>
                      <w:bCs/>
                      <w:color w:val="FF0000"/>
                      <w:highlight w:val="none"/>
                    </w:rPr>
                  </w:pPr>
                  <w:r>
                    <w:rPr>
                      <w:rFonts w:hint="default"/>
                      <w:b/>
                      <w:bCs/>
                      <w:color w:val="FF0000"/>
                      <w:highlight w:val="none"/>
                    </w:rPr>
                    <w:t>执行排放标准</w:t>
                  </w:r>
                </w:p>
              </w:tc>
            </w:tr>
            <w:tr w14:paraId="214BAF1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Align w:val="center"/>
                </w:tcPr>
                <w:p w14:paraId="485032D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噪声</w:t>
                  </w:r>
                </w:p>
              </w:tc>
              <w:tc>
                <w:tcPr>
                  <w:tcW w:w="1414" w:type="dxa"/>
                  <w:vAlign w:val="center"/>
                </w:tcPr>
                <w:p w14:paraId="657985D1">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厂界外</w:t>
                  </w:r>
                  <w:r>
                    <w:rPr>
                      <w:rFonts w:hint="eastAsia"/>
                      <w:color w:val="FF0000"/>
                      <w:highlight w:val="none"/>
                      <w:lang w:eastAsia="zh-CN"/>
                    </w:rPr>
                    <w:t>四周</w:t>
                  </w:r>
                  <w:r>
                    <w:rPr>
                      <w:rFonts w:hint="default"/>
                      <w:color w:val="FF0000"/>
                      <w:highlight w:val="none"/>
                    </w:rPr>
                    <w:t>1m</w:t>
                  </w:r>
                </w:p>
              </w:tc>
              <w:tc>
                <w:tcPr>
                  <w:tcW w:w="1729" w:type="dxa"/>
                  <w:vAlign w:val="center"/>
                </w:tcPr>
                <w:p w14:paraId="5C039FC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等效连续A声级</w:t>
                  </w:r>
                </w:p>
              </w:tc>
              <w:tc>
                <w:tcPr>
                  <w:tcW w:w="1286" w:type="dxa"/>
                  <w:vAlign w:val="center"/>
                </w:tcPr>
                <w:p w14:paraId="37AB8227">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1次/季度</w:t>
                  </w:r>
                </w:p>
              </w:tc>
              <w:tc>
                <w:tcPr>
                  <w:tcW w:w="2855" w:type="dxa"/>
                  <w:vAlign w:val="center"/>
                </w:tcPr>
                <w:p w14:paraId="6EDD6229">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《工业企业厂界环境噪声排放标准》（GB12348-2008）3类</w:t>
                  </w:r>
                </w:p>
              </w:tc>
            </w:tr>
            <w:tr w14:paraId="714829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restart"/>
                  <w:vAlign w:val="center"/>
                </w:tcPr>
                <w:p w14:paraId="6FBEF66C">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val="en-US" w:eastAsia="zh-CN"/>
                    </w:rPr>
                  </w:pPr>
                  <w:r>
                    <w:rPr>
                      <w:rFonts w:hint="eastAsia"/>
                      <w:color w:val="FF0000"/>
                      <w:highlight w:val="none"/>
                      <w:lang w:val="en-US" w:eastAsia="zh-CN"/>
                    </w:rPr>
                    <w:t>废水</w:t>
                  </w:r>
                </w:p>
              </w:tc>
              <w:tc>
                <w:tcPr>
                  <w:tcW w:w="1414" w:type="dxa"/>
                  <w:vMerge w:val="restart"/>
                  <w:vAlign w:val="center"/>
                </w:tcPr>
                <w:p w14:paraId="7548B6C2">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废水排放口</w:t>
                  </w:r>
                </w:p>
              </w:tc>
              <w:tc>
                <w:tcPr>
                  <w:tcW w:w="1729" w:type="dxa"/>
                  <w:vAlign w:val="center"/>
                </w:tcPr>
                <w:p w14:paraId="5B8F6AAE">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default"/>
                      <w:color w:val="FF0000"/>
                      <w:highlight w:val="none"/>
                    </w:rPr>
                    <w:t>pH、COD</w:t>
                  </w:r>
                  <w:r>
                    <w:rPr>
                      <w:rFonts w:hint="default"/>
                      <w:color w:val="FF0000"/>
                      <w:highlight w:val="none"/>
                      <w:vertAlign w:val="subscript"/>
                    </w:rPr>
                    <w:t>Cr</w:t>
                  </w:r>
                  <w:r>
                    <w:rPr>
                      <w:rFonts w:hint="default"/>
                      <w:color w:val="FF0000"/>
                      <w:highlight w:val="none"/>
                    </w:rPr>
                    <w:t>、BOD</w:t>
                  </w:r>
                  <w:r>
                    <w:rPr>
                      <w:rFonts w:hint="default"/>
                      <w:color w:val="FF0000"/>
                      <w:highlight w:val="none"/>
                      <w:vertAlign w:val="subscript"/>
                    </w:rPr>
                    <w:t>5</w:t>
                  </w:r>
                  <w:r>
                    <w:rPr>
                      <w:rFonts w:hint="default"/>
                      <w:color w:val="FF0000"/>
                      <w:highlight w:val="none"/>
                    </w:rPr>
                    <w:t>、SS、NH</w:t>
                  </w:r>
                  <w:r>
                    <w:rPr>
                      <w:rFonts w:hint="default"/>
                      <w:color w:val="FF0000"/>
                      <w:highlight w:val="none"/>
                      <w:vertAlign w:val="subscript"/>
                    </w:rPr>
                    <w:t>3</w:t>
                  </w:r>
                  <w:r>
                    <w:rPr>
                      <w:rFonts w:hint="default"/>
                      <w:color w:val="FF0000"/>
                      <w:highlight w:val="none"/>
                    </w:rPr>
                    <w:t>-N、</w:t>
                  </w:r>
                  <w:r>
                    <w:rPr>
                      <w:rFonts w:hint="eastAsia"/>
                      <w:color w:val="FF0000"/>
                      <w:highlight w:val="none"/>
                      <w:lang w:val="en-US" w:eastAsia="zh-CN"/>
                    </w:rPr>
                    <w:t>TN、</w:t>
                  </w:r>
                  <w:r>
                    <w:rPr>
                      <w:rFonts w:hint="default"/>
                      <w:color w:val="FF0000"/>
                      <w:highlight w:val="none"/>
                    </w:rPr>
                    <w:t>TP</w:t>
                  </w:r>
                  <w:r>
                    <w:rPr>
                      <w:rFonts w:hint="eastAsia"/>
                      <w:color w:val="FF0000"/>
                      <w:highlight w:val="none"/>
                      <w:lang w:eastAsia="zh-CN"/>
                    </w:rPr>
                    <w:t>、</w:t>
                  </w:r>
                  <w:r>
                    <w:rPr>
                      <w:rFonts w:hint="eastAsia"/>
                      <w:color w:val="FF0000"/>
                      <w:highlight w:val="none"/>
                      <w:lang w:val="en-US" w:eastAsia="zh-CN"/>
                    </w:rPr>
                    <w:t>动植物油</w:t>
                  </w:r>
                </w:p>
              </w:tc>
              <w:tc>
                <w:tcPr>
                  <w:tcW w:w="1286" w:type="dxa"/>
                  <w:vAlign w:val="center"/>
                </w:tcPr>
                <w:p w14:paraId="6B208B88">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1次/</w:t>
                  </w:r>
                  <w:r>
                    <w:rPr>
                      <w:rFonts w:hint="eastAsia"/>
                      <w:color w:val="FF0000"/>
                      <w:highlight w:val="none"/>
                      <w:lang w:val="en-US" w:eastAsia="zh-CN"/>
                    </w:rPr>
                    <w:t>半年</w:t>
                  </w:r>
                </w:p>
              </w:tc>
              <w:tc>
                <w:tcPr>
                  <w:tcW w:w="2855" w:type="dxa"/>
                  <w:vAlign w:val="center"/>
                </w:tcPr>
                <w:p w14:paraId="3147D8D8">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rPr>
                  </w:pPr>
                  <w:r>
                    <w:rPr>
                      <w:rFonts w:hint="eastAsia"/>
                      <w:color w:val="FF0000"/>
                      <w:highlight w:val="none"/>
                      <w:lang w:eastAsia="zh-CN"/>
                    </w:rPr>
                    <w:t>建筑陶瓷产业园污水处理厂</w:t>
                  </w:r>
                  <w:r>
                    <w:rPr>
                      <w:rFonts w:hint="eastAsia"/>
                      <w:color w:val="FF0000"/>
                      <w:highlight w:val="none"/>
                      <w:lang w:val="en-US" w:eastAsia="zh-CN"/>
                    </w:rPr>
                    <w:t>接管标准</w:t>
                  </w:r>
                </w:p>
              </w:tc>
            </w:tr>
            <w:tr w14:paraId="5FC0F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5D7ABD63">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val="en-US" w:eastAsia="zh-CN"/>
                    </w:rPr>
                  </w:pPr>
                </w:p>
              </w:tc>
              <w:tc>
                <w:tcPr>
                  <w:tcW w:w="1414" w:type="dxa"/>
                  <w:vMerge w:val="continue"/>
                  <w:vAlign w:val="center"/>
                </w:tcPr>
                <w:p w14:paraId="3F1C1B1D">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val="en-US" w:eastAsia="zh-CN"/>
                    </w:rPr>
                  </w:pPr>
                </w:p>
              </w:tc>
              <w:tc>
                <w:tcPr>
                  <w:tcW w:w="1729" w:type="dxa"/>
                  <w:shd w:val="clear" w:color="auto" w:fill="auto"/>
                  <w:vAlign w:val="center"/>
                </w:tcPr>
                <w:p w14:paraId="42166D36">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color w:val="FF0000"/>
                      <w:spacing w:val="7"/>
                      <w:highlight w:val="none"/>
                    </w:rPr>
                    <w:t>氟化物、铊</w:t>
                  </w:r>
                </w:p>
              </w:tc>
              <w:tc>
                <w:tcPr>
                  <w:tcW w:w="1286" w:type="dxa"/>
                  <w:shd w:val="clear" w:color="auto" w:fill="auto"/>
                  <w:vAlign w:val="center"/>
                </w:tcPr>
                <w:p w14:paraId="1CD94C9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自动监测</w:t>
                  </w:r>
                </w:p>
              </w:tc>
              <w:tc>
                <w:tcPr>
                  <w:tcW w:w="2855" w:type="dxa"/>
                  <w:vMerge w:val="restart"/>
                  <w:shd w:val="clear" w:color="auto" w:fill="auto"/>
                  <w:vAlign w:val="center"/>
                </w:tcPr>
                <w:p w14:paraId="248802F6">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铊预警浓度为0.002mg/L、氟化物预警浓度为2mg/L</w:t>
                  </w:r>
                </w:p>
              </w:tc>
            </w:tr>
            <w:tr w14:paraId="6E872BB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581FD59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val="en-US" w:eastAsia="zh-CN"/>
                    </w:rPr>
                  </w:pPr>
                </w:p>
              </w:tc>
              <w:tc>
                <w:tcPr>
                  <w:tcW w:w="1414" w:type="dxa"/>
                  <w:vAlign w:val="center"/>
                </w:tcPr>
                <w:p w14:paraId="64DAA13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雨水排放口</w:t>
                  </w:r>
                </w:p>
              </w:tc>
              <w:tc>
                <w:tcPr>
                  <w:tcW w:w="1729" w:type="dxa"/>
                  <w:vAlign w:val="center"/>
                </w:tcPr>
                <w:p w14:paraId="22CF64A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default"/>
                      <w:color w:val="FF0000"/>
                      <w:spacing w:val="7"/>
                      <w:highlight w:val="none"/>
                    </w:rPr>
                    <w:t>氟化物、铊</w:t>
                  </w:r>
                </w:p>
              </w:tc>
              <w:tc>
                <w:tcPr>
                  <w:tcW w:w="1286" w:type="dxa"/>
                  <w:vAlign w:val="center"/>
                </w:tcPr>
                <w:p w14:paraId="5656153E">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eastAsia"/>
                      <w:color w:val="FF0000"/>
                      <w:highlight w:val="none"/>
                      <w:lang w:val="en-US" w:eastAsia="zh-CN"/>
                    </w:rPr>
                    <w:t>自动监测</w:t>
                  </w:r>
                </w:p>
              </w:tc>
              <w:tc>
                <w:tcPr>
                  <w:tcW w:w="2855" w:type="dxa"/>
                  <w:vMerge w:val="continue"/>
                  <w:vAlign w:val="center"/>
                </w:tcPr>
                <w:p w14:paraId="13EF8DC6">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p>
              </w:tc>
            </w:tr>
            <w:tr w14:paraId="77563E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restart"/>
                  <w:vAlign w:val="center"/>
                </w:tcPr>
                <w:p w14:paraId="30733A5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废气</w:t>
                  </w:r>
                </w:p>
              </w:tc>
              <w:tc>
                <w:tcPr>
                  <w:tcW w:w="1414" w:type="dxa"/>
                  <w:vMerge w:val="restart"/>
                  <w:vAlign w:val="center"/>
                </w:tcPr>
                <w:p w14:paraId="07D67090">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排气筒</w:t>
                  </w:r>
                  <w:r>
                    <w:rPr>
                      <w:rFonts w:hint="eastAsia"/>
                      <w:color w:val="FF0000"/>
                      <w:highlight w:val="none"/>
                      <w:lang w:val="en-US" w:eastAsia="zh-CN"/>
                    </w:rPr>
                    <w:t>DA003</w:t>
                  </w:r>
                </w:p>
              </w:tc>
              <w:tc>
                <w:tcPr>
                  <w:tcW w:w="1729" w:type="dxa"/>
                  <w:vAlign w:val="center"/>
                </w:tcPr>
                <w:p w14:paraId="154A61E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颗粒物</w:t>
                  </w:r>
                </w:p>
              </w:tc>
              <w:tc>
                <w:tcPr>
                  <w:tcW w:w="1286" w:type="dxa"/>
                  <w:vAlign w:val="center"/>
                </w:tcPr>
                <w:p w14:paraId="71346FDF">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eastAsia="zh-CN"/>
                    </w:rPr>
                  </w:pPr>
                  <w:r>
                    <w:rPr>
                      <w:rFonts w:hint="default"/>
                      <w:color w:val="FF0000"/>
                      <w:highlight w:val="none"/>
                    </w:rPr>
                    <w:t>1次</w:t>
                  </w:r>
                  <w:r>
                    <w:rPr>
                      <w:rFonts w:hint="eastAsia"/>
                      <w:color w:val="FF0000"/>
                      <w:highlight w:val="none"/>
                      <w:lang w:val="en-US" w:eastAsia="zh-CN"/>
                    </w:rPr>
                    <w:t>/年</w:t>
                  </w:r>
                </w:p>
              </w:tc>
              <w:tc>
                <w:tcPr>
                  <w:tcW w:w="2855" w:type="dxa"/>
                  <w:vAlign w:val="center"/>
                </w:tcPr>
                <w:p w14:paraId="7AB0D4C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eastAsia="zh-CN"/>
                    </w:rPr>
                  </w:pPr>
                  <w:r>
                    <w:rPr>
                      <w:rFonts w:hint="eastAsia"/>
                      <w:color w:val="FF0000"/>
                      <w:highlight w:val="none"/>
                      <w:lang w:eastAsia="zh-CN"/>
                    </w:rPr>
                    <w:t>《大气污染物综合排放标准》（GB16297-1996）表2</w:t>
                  </w:r>
                </w:p>
              </w:tc>
            </w:tr>
            <w:tr w14:paraId="1CF7C3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4A01976E">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Merge w:val="continue"/>
                  <w:vAlign w:val="center"/>
                </w:tcPr>
                <w:p w14:paraId="0838966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729" w:type="dxa"/>
                  <w:vAlign w:val="center"/>
                </w:tcPr>
                <w:p w14:paraId="79BF4F96">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spacing w:val="7"/>
                      <w:highlight w:val="none"/>
                    </w:rPr>
                  </w:pPr>
                  <w:r>
                    <w:rPr>
                      <w:rFonts w:hint="eastAsia"/>
                      <w:color w:val="FF0000"/>
                    </w:rPr>
                    <w:t>氟化物</w:t>
                  </w:r>
                </w:p>
              </w:tc>
              <w:tc>
                <w:tcPr>
                  <w:tcW w:w="1286" w:type="dxa"/>
                  <w:vAlign w:val="center"/>
                </w:tcPr>
                <w:p w14:paraId="2D46D34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rPr>
                    <w:t>1次</w:t>
                  </w:r>
                  <w:r>
                    <w:rPr>
                      <w:rFonts w:hint="eastAsia"/>
                      <w:color w:val="FF0000"/>
                      <w:sz w:val="21"/>
                      <w:szCs w:val="21"/>
                      <w:highlight w:val="none"/>
                      <w:lang w:val="en-US" w:eastAsia="zh-CN"/>
                    </w:rPr>
                    <w:t>/年</w:t>
                  </w:r>
                </w:p>
              </w:tc>
              <w:tc>
                <w:tcPr>
                  <w:tcW w:w="2855" w:type="dxa"/>
                  <w:vMerge w:val="restart"/>
                  <w:vAlign w:val="center"/>
                </w:tcPr>
                <w:p w14:paraId="5667CF8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eastAsia="zh-CN"/>
                    </w:rPr>
                  </w:pPr>
                  <w:r>
                    <w:rPr>
                      <w:rFonts w:hint="eastAsia"/>
                      <w:color w:val="FF0000"/>
                      <w:highlight w:val="none"/>
                    </w:rPr>
                    <w:t>《无机化学工业污染物排放标准》（GB31573-2015）</w:t>
                  </w:r>
                </w:p>
              </w:tc>
            </w:tr>
            <w:tr w14:paraId="3DB83F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641C12C6">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Merge w:val="continue"/>
                  <w:vAlign w:val="center"/>
                </w:tcPr>
                <w:p w14:paraId="0DFBE85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729" w:type="dxa"/>
                  <w:vAlign w:val="center"/>
                </w:tcPr>
                <w:p w14:paraId="0D0C5EB3">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eastAsia="宋体"/>
                      <w:color w:val="FF0000"/>
                      <w:highlight w:val="none"/>
                      <w:lang w:val="en-US" w:eastAsia="zh-CN"/>
                    </w:rPr>
                  </w:pPr>
                  <w:r>
                    <w:rPr>
                      <w:rFonts w:hint="default"/>
                      <w:color w:val="FF0000"/>
                      <w:spacing w:val="7"/>
                      <w:highlight w:val="none"/>
                    </w:rPr>
                    <w:t>铊</w:t>
                  </w:r>
                  <w:r>
                    <w:rPr>
                      <w:rFonts w:hint="eastAsia"/>
                      <w:color w:val="FF0000"/>
                      <w:spacing w:val="7"/>
                      <w:highlight w:val="none"/>
                      <w:lang w:val="en-US" w:eastAsia="zh-CN"/>
                    </w:rPr>
                    <w:t>及其化合物</w:t>
                  </w:r>
                </w:p>
              </w:tc>
              <w:tc>
                <w:tcPr>
                  <w:tcW w:w="1286" w:type="dxa"/>
                  <w:vAlign w:val="center"/>
                </w:tcPr>
                <w:p w14:paraId="24BE8E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FF0000"/>
                      <w:sz w:val="21"/>
                      <w:szCs w:val="21"/>
                      <w:highlight w:val="none"/>
                    </w:rPr>
                  </w:pPr>
                  <w:r>
                    <w:rPr>
                      <w:rFonts w:hint="default"/>
                      <w:color w:val="FF0000"/>
                      <w:sz w:val="21"/>
                      <w:szCs w:val="21"/>
                      <w:highlight w:val="none"/>
                    </w:rPr>
                    <w:t>1次</w:t>
                  </w:r>
                  <w:r>
                    <w:rPr>
                      <w:rFonts w:hint="eastAsia"/>
                      <w:color w:val="FF0000"/>
                      <w:sz w:val="21"/>
                      <w:szCs w:val="21"/>
                      <w:highlight w:val="none"/>
                      <w:lang w:val="en-US" w:eastAsia="zh-CN"/>
                    </w:rPr>
                    <w:t>/年</w:t>
                  </w:r>
                </w:p>
              </w:tc>
              <w:tc>
                <w:tcPr>
                  <w:tcW w:w="2855" w:type="dxa"/>
                  <w:vMerge w:val="continue"/>
                  <w:vAlign w:val="center"/>
                </w:tcPr>
                <w:p w14:paraId="7886F0BD">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eastAsia="zh-CN"/>
                    </w:rPr>
                  </w:pPr>
                </w:p>
              </w:tc>
            </w:tr>
            <w:tr w14:paraId="7A4FF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7EEC2C7E">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Merge w:val="restart"/>
                  <w:vAlign w:val="center"/>
                </w:tcPr>
                <w:p w14:paraId="2E88D7A8">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rPr>
                  </w:pPr>
                  <w:r>
                    <w:rPr>
                      <w:rFonts w:hint="default"/>
                      <w:color w:val="FF0000"/>
                      <w:highlight w:val="none"/>
                    </w:rPr>
                    <w:t>排气筒</w:t>
                  </w:r>
                  <w:r>
                    <w:rPr>
                      <w:rFonts w:hint="eastAsia"/>
                      <w:color w:val="FF0000"/>
                      <w:highlight w:val="none"/>
                      <w:lang w:val="en-US" w:eastAsia="zh-CN"/>
                    </w:rPr>
                    <w:t>DA002</w:t>
                  </w:r>
                </w:p>
              </w:tc>
              <w:tc>
                <w:tcPr>
                  <w:tcW w:w="1729" w:type="dxa"/>
                  <w:vAlign w:val="center"/>
                </w:tcPr>
                <w:p w14:paraId="5FB6E28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leftChars="0" w:right="0" w:rightChars="0" w:firstLine="0" w:firstLineChars="0"/>
                    <w:textAlignment w:val="auto"/>
                    <w:rPr>
                      <w:rFonts w:hint="default"/>
                      <w:color w:val="FF0000"/>
                      <w:highlight w:val="none"/>
                    </w:rPr>
                  </w:pPr>
                  <w:r>
                    <w:rPr>
                      <w:rFonts w:hint="default"/>
                      <w:color w:val="FF0000"/>
                      <w:spacing w:val="0"/>
                      <w:highlight w:val="none"/>
                    </w:rPr>
                    <w:t>颗粒物</w:t>
                  </w:r>
                </w:p>
              </w:tc>
              <w:tc>
                <w:tcPr>
                  <w:tcW w:w="1286" w:type="dxa"/>
                  <w:vAlign w:val="center"/>
                </w:tcPr>
                <w:p w14:paraId="5FF6101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sz w:val="21"/>
                      <w:szCs w:val="21"/>
                      <w:highlight w:val="none"/>
                    </w:rPr>
                  </w:pPr>
                  <w:r>
                    <w:rPr>
                      <w:rFonts w:hint="default"/>
                      <w:color w:val="FF0000"/>
                      <w:sz w:val="21"/>
                      <w:szCs w:val="21"/>
                      <w:highlight w:val="none"/>
                    </w:rPr>
                    <w:t>1次</w:t>
                  </w:r>
                  <w:r>
                    <w:rPr>
                      <w:rFonts w:hint="eastAsia"/>
                      <w:color w:val="FF0000"/>
                      <w:sz w:val="21"/>
                      <w:szCs w:val="21"/>
                      <w:highlight w:val="none"/>
                      <w:lang w:val="en-US" w:eastAsia="zh-CN"/>
                    </w:rPr>
                    <w:t>/年</w:t>
                  </w:r>
                </w:p>
              </w:tc>
              <w:tc>
                <w:tcPr>
                  <w:tcW w:w="2855" w:type="dxa"/>
                  <w:vAlign w:val="center"/>
                </w:tcPr>
                <w:p w14:paraId="053697E1">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eastAsia"/>
                      <w:color w:val="FF0000"/>
                      <w:highlight w:val="none"/>
                    </w:rPr>
                  </w:pPr>
                  <w:r>
                    <w:rPr>
                      <w:rFonts w:hint="eastAsia"/>
                      <w:color w:val="FF0000"/>
                      <w:highlight w:val="none"/>
                      <w:lang w:eastAsia="zh-CN"/>
                    </w:rPr>
                    <w:t>《大气污染物综合排放标准》（GB16297-1996）表2</w:t>
                  </w:r>
                </w:p>
              </w:tc>
            </w:tr>
            <w:tr w14:paraId="44BA58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2F4BF23C">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Merge w:val="continue"/>
                  <w:vAlign w:val="center"/>
                </w:tcPr>
                <w:p w14:paraId="54103BE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729" w:type="dxa"/>
                  <w:vAlign w:val="center"/>
                </w:tcPr>
                <w:p w14:paraId="636AD5E7">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default"/>
                      <w:color w:val="FF0000"/>
                      <w:highlight w:val="none"/>
                    </w:rPr>
                  </w:pPr>
                  <w:r>
                    <w:rPr>
                      <w:rFonts w:hint="eastAsia"/>
                      <w:color w:val="FF0000"/>
                    </w:rPr>
                    <w:t>氟化物</w:t>
                  </w:r>
                </w:p>
              </w:tc>
              <w:tc>
                <w:tcPr>
                  <w:tcW w:w="1286" w:type="dxa"/>
                  <w:vAlign w:val="center"/>
                </w:tcPr>
                <w:p w14:paraId="7088A7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sz w:val="21"/>
                      <w:szCs w:val="21"/>
                      <w:highlight w:val="none"/>
                    </w:rPr>
                  </w:pPr>
                  <w:r>
                    <w:rPr>
                      <w:rFonts w:hint="default"/>
                      <w:color w:val="FF0000"/>
                      <w:sz w:val="21"/>
                      <w:szCs w:val="21"/>
                      <w:highlight w:val="none"/>
                    </w:rPr>
                    <w:t>1次</w:t>
                  </w:r>
                  <w:r>
                    <w:rPr>
                      <w:rFonts w:hint="eastAsia"/>
                      <w:color w:val="FF0000"/>
                      <w:sz w:val="21"/>
                      <w:szCs w:val="21"/>
                      <w:highlight w:val="none"/>
                      <w:lang w:val="en-US" w:eastAsia="zh-CN"/>
                    </w:rPr>
                    <w:t>/年</w:t>
                  </w:r>
                </w:p>
              </w:tc>
              <w:tc>
                <w:tcPr>
                  <w:tcW w:w="2855" w:type="dxa"/>
                  <w:vMerge w:val="restart"/>
                  <w:vAlign w:val="center"/>
                </w:tcPr>
                <w:p w14:paraId="61ED66C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eastAsia"/>
                      <w:color w:val="FF0000"/>
                      <w:highlight w:val="none"/>
                    </w:rPr>
                  </w:pPr>
                  <w:r>
                    <w:rPr>
                      <w:rFonts w:hint="eastAsia"/>
                      <w:color w:val="FF0000"/>
                      <w:highlight w:val="none"/>
                    </w:rPr>
                    <w:t>《无机化学工业污染物排放标准》（GB31573-2015）</w:t>
                  </w:r>
                </w:p>
              </w:tc>
            </w:tr>
            <w:tr w14:paraId="3C4C416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073" w:type="dxa"/>
                  <w:vMerge w:val="continue"/>
                  <w:vAlign w:val="center"/>
                </w:tcPr>
                <w:p w14:paraId="0CBD083B">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Merge w:val="continue"/>
                  <w:vAlign w:val="center"/>
                </w:tcPr>
                <w:p w14:paraId="4C703D19">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729" w:type="dxa"/>
                  <w:vAlign w:val="center"/>
                </w:tcPr>
                <w:p w14:paraId="056B76C4">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leftChars="0" w:right="0" w:rightChars="0"/>
                    <w:textAlignment w:val="auto"/>
                    <w:rPr>
                      <w:rFonts w:hint="eastAsia"/>
                      <w:color w:val="FF0000"/>
                      <w:spacing w:val="0"/>
                      <w:highlight w:val="none"/>
                      <w:lang w:bidi="ar"/>
                    </w:rPr>
                  </w:pPr>
                  <w:r>
                    <w:rPr>
                      <w:rFonts w:hint="default"/>
                      <w:color w:val="FF0000"/>
                      <w:spacing w:val="7"/>
                      <w:highlight w:val="none"/>
                    </w:rPr>
                    <w:t>铊</w:t>
                  </w:r>
                  <w:r>
                    <w:rPr>
                      <w:rFonts w:hint="eastAsia"/>
                      <w:color w:val="FF0000"/>
                      <w:spacing w:val="7"/>
                      <w:highlight w:val="none"/>
                      <w:lang w:val="en-US" w:eastAsia="zh-CN"/>
                    </w:rPr>
                    <w:t>及其化合物</w:t>
                  </w:r>
                </w:p>
              </w:tc>
              <w:tc>
                <w:tcPr>
                  <w:tcW w:w="1286" w:type="dxa"/>
                  <w:vAlign w:val="center"/>
                </w:tcPr>
                <w:p w14:paraId="434541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spacing w:val="0"/>
                      <w:sz w:val="21"/>
                      <w:szCs w:val="21"/>
                      <w:highlight w:val="none"/>
                      <w:lang w:bidi="ar"/>
                    </w:rPr>
                  </w:pPr>
                  <w:r>
                    <w:rPr>
                      <w:rFonts w:hint="default"/>
                      <w:color w:val="FF0000"/>
                      <w:sz w:val="21"/>
                      <w:szCs w:val="21"/>
                      <w:highlight w:val="none"/>
                    </w:rPr>
                    <w:t>1次</w:t>
                  </w:r>
                  <w:r>
                    <w:rPr>
                      <w:rFonts w:hint="eastAsia"/>
                      <w:color w:val="FF0000"/>
                      <w:sz w:val="21"/>
                      <w:szCs w:val="21"/>
                      <w:highlight w:val="none"/>
                      <w:lang w:val="en-US" w:eastAsia="zh-CN"/>
                    </w:rPr>
                    <w:t>/年</w:t>
                  </w:r>
                </w:p>
              </w:tc>
              <w:tc>
                <w:tcPr>
                  <w:tcW w:w="2855" w:type="dxa"/>
                  <w:vMerge w:val="continue"/>
                  <w:vAlign w:val="center"/>
                </w:tcPr>
                <w:p w14:paraId="375A6F7F">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rPr>
                  </w:pPr>
                </w:p>
              </w:tc>
            </w:tr>
            <w:tr w14:paraId="2A7819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3" w:type="dxa"/>
                  <w:vMerge w:val="continue"/>
                  <w:vAlign w:val="center"/>
                </w:tcPr>
                <w:p w14:paraId="4C0F7D07">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p>
              </w:tc>
              <w:tc>
                <w:tcPr>
                  <w:tcW w:w="1414" w:type="dxa"/>
                  <w:vAlign w:val="center"/>
                </w:tcPr>
                <w:p w14:paraId="219FC8D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rPr>
                  </w:pPr>
                  <w:r>
                    <w:rPr>
                      <w:rFonts w:hint="default"/>
                      <w:color w:val="FF0000"/>
                      <w:highlight w:val="none"/>
                    </w:rPr>
                    <w:t>厂</w:t>
                  </w:r>
                  <w:r>
                    <w:rPr>
                      <w:rFonts w:hint="eastAsia"/>
                      <w:color w:val="FF0000"/>
                      <w:highlight w:val="none"/>
                    </w:rPr>
                    <w:t>界</w:t>
                  </w:r>
                </w:p>
              </w:tc>
              <w:tc>
                <w:tcPr>
                  <w:tcW w:w="1729" w:type="dxa"/>
                  <w:vAlign w:val="center"/>
                </w:tcPr>
                <w:p w14:paraId="142963D3">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default"/>
                      <w:color w:val="FF0000"/>
                      <w:highlight w:val="none"/>
                    </w:rPr>
                    <w:t>颗粒物</w:t>
                  </w:r>
                </w:p>
              </w:tc>
              <w:tc>
                <w:tcPr>
                  <w:tcW w:w="1286" w:type="dxa"/>
                  <w:vAlign w:val="center"/>
                </w:tcPr>
                <w:p w14:paraId="410523A0">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eastAsia"/>
                      <w:color w:val="FF0000"/>
                      <w:highlight w:val="none"/>
                      <w:lang w:eastAsia="zh-CN"/>
                    </w:rPr>
                  </w:pPr>
                  <w:r>
                    <w:rPr>
                      <w:rFonts w:hint="default"/>
                      <w:color w:val="FF0000"/>
                      <w:highlight w:val="none"/>
                    </w:rPr>
                    <w:t>1次/</w:t>
                  </w:r>
                  <w:r>
                    <w:rPr>
                      <w:rFonts w:hint="eastAsia"/>
                      <w:color w:val="FF0000"/>
                      <w:highlight w:val="none"/>
                      <w:lang w:val="en-US" w:eastAsia="zh-CN"/>
                    </w:rPr>
                    <w:t>年</w:t>
                  </w:r>
                </w:p>
              </w:tc>
              <w:tc>
                <w:tcPr>
                  <w:tcW w:w="2855" w:type="dxa"/>
                  <w:vAlign w:val="center"/>
                </w:tcPr>
                <w:p w14:paraId="6937CA95">
                  <w:pPr>
                    <w:pStyle w:val="78"/>
                    <w:keepNext w:val="0"/>
                    <w:keepLines w:val="0"/>
                    <w:pageBreakBefore w:val="0"/>
                    <w:widowControl w:val="0"/>
                    <w:suppressLineNumbers w:val="0"/>
                    <w:wordWrap/>
                    <w:topLinePunct w:val="0"/>
                    <w:autoSpaceDE/>
                    <w:autoSpaceDN/>
                    <w:bidi w:val="0"/>
                    <w:adjustRightInd w:val="0"/>
                    <w:snapToGrid w:val="0"/>
                    <w:spacing w:before="0" w:beforeAutospacing="0" w:afterAutospacing="0"/>
                    <w:ind w:left="0" w:right="0"/>
                    <w:textAlignment w:val="auto"/>
                    <w:rPr>
                      <w:rFonts w:hint="default"/>
                      <w:color w:val="FF0000"/>
                      <w:highlight w:val="none"/>
                    </w:rPr>
                  </w:pPr>
                  <w:r>
                    <w:rPr>
                      <w:rFonts w:hint="eastAsia"/>
                      <w:color w:val="FF0000"/>
                      <w:highlight w:val="none"/>
                      <w:lang w:eastAsia="zh-CN"/>
                    </w:rPr>
                    <w:t>《大气污染物综合排放标准》（GB16297-1996）表2</w:t>
                  </w:r>
                  <w:r>
                    <w:rPr>
                      <w:rFonts w:hint="eastAsia"/>
                      <w:color w:val="FF0000"/>
                      <w:highlight w:val="none"/>
                    </w:rPr>
                    <w:t>大气污染物无组织排放限值</w:t>
                  </w:r>
                </w:p>
              </w:tc>
            </w:tr>
          </w:tbl>
          <w:p w14:paraId="605087FC">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八</w:t>
            </w:r>
            <w:r>
              <w:rPr>
                <w:rFonts w:hint="default"/>
                <w:b/>
                <w:bCs w:val="0"/>
                <w:color w:val="auto"/>
                <w:highlight w:val="none"/>
              </w:rPr>
              <w:t>、排污口规范化措施</w:t>
            </w:r>
          </w:p>
          <w:p w14:paraId="1544460C">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废水排放口、固定噪声源、固体废物贮存必须按照《江西省排污口设置与规范化整治管理办法》进行建设，应符合“一明显、二合理、三便于”的要求，即环保标志明显，排污口设置合理，便于采集样品、便于监测计量、便于公众参与和监督管理。同时要求按照《环境保护图形标志实施细则（试行）》（环监〔1996〕463号）、《环境保护图形标志固体废物贮存（处置）场》（GB15562.2-1995）及其2023年修改单〔GB15562.2（修改单）-1995〕的规定，设置与排污口相应的图形标志牌。</w:t>
            </w:r>
          </w:p>
          <w:p w14:paraId="382A7803">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（1）废水排放口附近竖立图形标志牌。</w:t>
            </w:r>
          </w:p>
          <w:p w14:paraId="334CB749">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（2）排污口管理。建设单位应在各个排污口处竖立标志牌，并如实填写《中华人民共和国规范化排污口标记登记证》，由</w:t>
            </w:r>
            <w:r>
              <w:rPr>
                <w:rFonts w:hint="eastAsia"/>
                <w:highlight w:val="none"/>
                <w:lang w:eastAsia="zh-CN"/>
              </w:rPr>
              <w:t>生态环境主管</w:t>
            </w:r>
            <w:r>
              <w:rPr>
                <w:rFonts w:hint="default"/>
                <w:highlight w:val="none"/>
              </w:rPr>
              <w:t>部门签发。</w:t>
            </w:r>
            <w:r>
              <w:rPr>
                <w:rFonts w:hint="eastAsia"/>
                <w:highlight w:val="none"/>
                <w:lang w:eastAsia="zh-CN"/>
              </w:rPr>
              <w:t>生态环境</w:t>
            </w:r>
            <w:r>
              <w:rPr>
                <w:rFonts w:hint="default"/>
                <w:highlight w:val="none"/>
              </w:rPr>
              <w:t>主管</w:t>
            </w:r>
            <w:r>
              <w:rPr>
                <w:rFonts w:hint="default"/>
                <w:color w:val="auto"/>
                <w:highlight w:val="none"/>
              </w:rPr>
              <w:t>部门和建设单位可分别按以下内容建立排污口管理的专门档案：排污口性质和编号；位置；排放主要污染物种类、数量、浓度；排放去向；达标情况；治理设施运行情况及整改意见。</w:t>
            </w:r>
          </w:p>
          <w:p w14:paraId="23A416BF">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（3）环境保护图形标志</w:t>
            </w:r>
          </w:p>
          <w:p w14:paraId="1977ED85">
            <w:pPr>
              <w:pStyle w:val="76"/>
              <w:keepNext w:val="0"/>
              <w:keepLines w:val="0"/>
              <w:suppressLineNumbers w:val="0"/>
              <w:bidi w:val="0"/>
              <w:spacing w:before="0" w:beforeAutospacing="0" w:after="0" w:afterAutospacing="0"/>
              <w:ind w:left="0" w:right="0"/>
              <w:rPr>
                <w:rFonts w:hint="default" w:cs="Times New Roman"/>
                <w:color w:val="auto"/>
                <w:highlight w:val="none"/>
              </w:rPr>
            </w:pPr>
            <w:r>
              <w:rPr>
                <w:rFonts w:hint="default"/>
                <w:color w:val="auto"/>
                <w:highlight w:val="none"/>
              </w:rPr>
              <w:t>在废水排放口、废气排放源、固体废物贮存处置场应设置环境保护图形标志，图形符号分为提示图形和警告图形符号两种，分别按GB15562.1-1995、GB15562.2-1995及其2023年修改单【GB15562.2（修改单）-1995】执行。环境保护图形标志的形状及颜色见表4-</w:t>
            </w:r>
            <w:r>
              <w:rPr>
                <w:rFonts w:hint="eastAsia"/>
                <w:color w:val="auto"/>
                <w:highlight w:val="none"/>
                <w:lang w:val="en-US" w:eastAsia="zh-CN"/>
              </w:rPr>
              <w:t>22</w:t>
            </w:r>
            <w:r>
              <w:rPr>
                <w:rFonts w:hint="default"/>
                <w:color w:val="auto"/>
                <w:highlight w:val="none"/>
              </w:rPr>
              <w:t>，环境保护图形符号见表4-</w:t>
            </w:r>
            <w:r>
              <w:rPr>
                <w:rFonts w:hint="eastAsia"/>
                <w:color w:val="auto"/>
                <w:highlight w:val="none"/>
                <w:lang w:val="en-US" w:eastAsia="zh-CN"/>
              </w:rPr>
              <w:t>23</w:t>
            </w:r>
            <w:r>
              <w:rPr>
                <w:rFonts w:hint="default"/>
                <w:color w:val="auto"/>
                <w:highlight w:val="none"/>
              </w:rPr>
              <w:t>。</w:t>
            </w:r>
          </w:p>
          <w:p w14:paraId="5F346403">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环境保护图形标志的形状及颜色表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092"/>
              <w:gridCol w:w="2091"/>
              <w:gridCol w:w="2091"/>
              <w:gridCol w:w="2091"/>
            </w:tblGrid>
            <w:tr w14:paraId="07736AA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04B118C3">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标志名称</w:t>
                  </w:r>
                </w:p>
              </w:tc>
              <w:tc>
                <w:tcPr>
                  <w:tcW w:w="3109" w:type="dxa"/>
                  <w:noWrap w:val="0"/>
                  <w:vAlign w:val="center"/>
                </w:tcPr>
                <w:p w14:paraId="625D725C">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形状</w:t>
                  </w:r>
                </w:p>
              </w:tc>
              <w:tc>
                <w:tcPr>
                  <w:tcW w:w="3109" w:type="dxa"/>
                  <w:noWrap w:val="0"/>
                  <w:vAlign w:val="center"/>
                </w:tcPr>
                <w:p w14:paraId="0406C7B5">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背景颜色</w:t>
                  </w:r>
                </w:p>
              </w:tc>
              <w:tc>
                <w:tcPr>
                  <w:tcW w:w="3109" w:type="dxa"/>
                  <w:noWrap w:val="0"/>
                  <w:vAlign w:val="center"/>
                </w:tcPr>
                <w:p w14:paraId="45734A08">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图形颜色</w:t>
                  </w:r>
                </w:p>
              </w:tc>
            </w:tr>
            <w:tr w14:paraId="365F29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51DC53A6">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警告标志</w:t>
                  </w:r>
                </w:p>
              </w:tc>
              <w:tc>
                <w:tcPr>
                  <w:tcW w:w="3109" w:type="dxa"/>
                  <w:noWrap w:val="0"/>
                  <w:vAlign w:val="center"/>
                </w:tcPr>
                <w:p w14:paraId="753B2E7B">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三角形边框</w:t>
                  </w:r>
                </w:p>
              </w:tc>
              <w:tc>
                <w:tcPr>
                  <w:tcW w:w="3109" w:type="dxa"/>
                  <w:noWrap w:val="0"/>
                  <w:vAlign w:val="center"/>
                </w:tcPr>
                <w:p w14:paraId="7AF48B39">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黄色</w:t>
                  </w:r>
                </w:p>
              </w:tc>
              <w:tc>
                <w:tcPr>
                  <w:tcW w:w="3109" w:type="dxa"/>
                  <w:noWrap w:val="0"/>
                  <w:vAlign w:val="center"/>
                </w:tcPr>
                <w:p w14:paraId="0D24329D">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黑色</w:t>
                  </w:r>
                </w:p>
              </w:tc>
            </w:tr>
            <w:tr w14:paraId="76517B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110" w:type="dxa"/>
                  <w:noWrap w:val="0"/>
                  <w:vAlign w:val="center"/>
                </w:tcPr>
                <w:p w14:paraId="01E5DFBF">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提示标志</w:t>
                  </w:r>
                </w:p>
              </w:tc>
              <w:tc>
                <w:tcPr>
                  <w:tcW w:w="3109" w:type="dxa"/>
                  <w:noWrap w:val="0"/>
                  <w:vAlign w:val="center"/>
                </w:tcPr>
                <w:p w14:paraId="72793F43">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正方形边框</w:t>
                  </w:r>
                </w:p>
              </w:tc>
              <w:tc>
                <w:tcPr>
                  <w:tcW w:w="3109" w:type="dxa"/>
                  <w:noWrap w:val="0"/>
                  <w:vAlign w:val="center"/>
                </w:tcPr>
                <w:p w14:paraId="6C6D3070">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绿色</w:t>
                  </w:r>
                </w:p>
              </w:tc>
              <w:tc>
                <w:tcPr>
                  <w:tcW w:w="3109" w:type="dxa"/>
                  <w:noWrap w:val="0"/>
                  <w:vAlign w:val="center"/>
                </w:tcPr>
                <w:p w14:paraId="0DB8916F">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白色</w:t>
                  </w:r>
                </w:p>
              </w:tc>
            </w:tr>
          </w:tbl>
          <w:p w14:paraId="447554EE">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环境保护图形符号一览表</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4"/>
              <w:gridCol w:w="1833"/>
              <w:gridCol w:w="2248"/>
              <w:gridCol w:w="1206"/>
              <w:gridCol w:w="2344"/>
            </w:tblGrid>
            <w:tr w14:paraId="40A9757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457EDBBB">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序号</w:t>
                  </w:r>
                </w:p>
              </w:tc>
              <w:tc>
                <w:tcPr>
                  <w:tcW w:w="2520" w:type="dxa"/>
                  <w:noWrap w:val="0"/>
                  <w:vAlign w:val="center"/>
                </w:tcPr>
                <w:p w14:paraId="7F8BE3AA">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提示图形符号</w:t>
                  </w:r>
                </w:p>
              </w:tc>
              <w:tc>
                <w:tcPr>
                  <w:tcW w:w="2716" w:type="dxa"/>
                  <w:noWrap w:val="0"/>
                  <w:vAlign w:val="center"/>
                </w:tcPr>
                <w:p w14:paraId="7A1F44B5">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警告图形符号</w:t>
                  </w:r>
                </w:p>
              </w:tc>
              <w:tc>
                <w:tcPr>
                  <w:tcW w:w="2020" w:type="dxa"/>
                  <w:noWrap w:val="0"/>
                  <w:vAlign w:val="center"/>
                </w:tcPr>
                <w:p w14:paraId="564C4BAC">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名称</w:t>
                  </w:r>
                </w:p>
              </w:tc>
              <w:tc>
                <w:tcPr>
                  <w:tcW w:w="4127" w:type="dxa"/>
                  <w:noWrap w:val="0"/>
                  <w:vAlign w:val="center"/>
                </w:tcPr>
                <w:p w14:paraId="7269D2AB">
                  <w:pPr>
                    <w:pStyle w:val="78"/>
                    <w:keepNext w:val="0"/>
                    <w:keepLines w:val="0"/>
                    <w:suppressLineNumbers w:val="0"/>
                    <w:bidi w:val="0"/>
                    <w:spacing w:beforeAutospacing="0" w:afterAutospacing="0"/>
                    <w:ind w:left="0" w:right="0"/>
                    <w:rPr>
                      <w:rFonts w:hint="default"/>
                      <w:b/>
                      <w:bCs/>
                      <w:color w:val="auto"/>
                      <w:highlight w:val="none"/>
                    </w:rPr>
                  </w:pPr>
                  <w:r>
                    <w:rPr>
                      <w:rFonts w:hint="default"/>
                      <w:b/>
                      <w:bCs/>
                      <w:color w:val="auto"/>
                      <w:highlight w:val="none"/>
                    </w:rPr>
                    <w:t>功能</w:t>
                  </w:r>
                </w:p>
              </w:tc>
            </w:tr>
            <w:tr w14:paraId="5DD22C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39B71FE1">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1</w:t>
                  </w:r>
                </w:p>
              </w:tc>
              <w:tc>
                <w:tcPr>
                  <w:tcW w:w="2520" w:type="dxa"/>
                  <w:noWrap w:val="0"/>
                  <w:vAlign w:val="center"/>
                </w:tcPr>
                <w:p w14:paraId="0EF61B4B">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"F:\\86134\\AppData\\Local\\Temp\\ksohtml4412\\wps29.jpg" \* MERGEFORMAT </w:instrText>
                  </w:r>
                  <w:r>
                    <w:rPr>
                      <w:rFonts w:hint="default"/>
                      <w:color w:val="auto"/>
                      <w:highlight w:val="none"/>
                    </w:rPr>
                    <w:fldChar w:fldCharType="separate"/>
                  </w:r>
                  <w:r>
                    <w:rPr>
                      <w:rFonts w:hint="default"/>
                      <w:color w:val="auto"/>
                      <w:highlight w:val="none"/>
                    </w:rPr>
                    <w:drawing>
                      <wp:inline distT="0" distB="0" distL="114300" distR="114300">
                        <wp:extent cx="589915" cy="600710"/>
                        <wp:effectExtent l="0" t="0" r="4445" b="8890"/>
                        <wp:docPr id="20" name="图片 15" descr="wps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5" descr="wps29"/>
                                <pic:cNvPicPr>
                                  <a:picLocks noChangeAspect="1"/>
                                </pic:cNvPicPr>
                              </pic:nvPicPr>
                              <pic:blipFill>
                                <a:blip r:embed="rId40"/>
                                <a:stretch>
                                  <a:fillRect/>
                                </a:stretch>
                              </pic:blipFill>
                              <pic:spPr>
                                <a:xfrm>
                                  <a:off x="0" y="0"/>
                                  <a:ext cx="589915" cy="600710"/>
                                </a:xfrm>
                                <a:prstGeom prst="rect">
                                  <a:avLst/>
                                </a:prstGeom>
                                <a:noFill/>
                                <a:ln>
                                  <a:noFill/>
                                </a:ln>
                              </pic:spPr>
                            </pic:pic>
                          </a:graphicData>
                        </a:graphic>
                      </wp:inline>
                    </w:drawing>
                  </w:r>
                  <w:r>
                    <w:rPr>
                      <w:rFonts w:hint="default"/>
                      <w:color w:val="auto"/>
                      <w:highlight w:val="none"/>
                    </w:rPr>
                    <w:fldChar w:fldCharType="end"/>
                  </w:r>
                </w:p>
              </w:tc>
              <w:tc>
                <w:tcPr>
                  <w:tcW w:w="2716" w:type="dxa"/>
                  <w:noWrap w:val="0"/>
                  <w:vAlign w:val="center"/>
                </w:tcPr>
                <w:p w14:paraId="1A950D52">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"F:\\86134\\AppData\\Local\\Temp\\ksohtml4412\\wps30.jpg" \* MERGEFORMAT </w:instrText>
                  </w:r>
                  <w:r>
                    <w:rPr>
                      <w:rFonts w:hint="default"/>
                      <w:color w:val="auto"/>
                      <w:highlight w:val="none"/>
                    </w:rPr>
                    <w:fldChar w:fldCharType="separate"/>
                  </w:r>
                  <w:r>
                    <w:rPr>
                      <w:rFonts w:hint="default"/>
                      <w:color w:val="auto"/>
                      <w:highlight w:val="none"/>
                    </w:rPr>
                    <w:drawing>
                      <wp:inline distT="0" distB="0" distL="114300" distR="114300">
                        <wp:extent cx="600710" cy="608965"/>
                        <wp:effectExtent l="0" t="0" r="8890" b="635"/>
                        <wp:docPr id="19" name="图片 16" descr="wps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descr="wps30"/>
                                <pic:cNvPicPr>
                                  <a:picLocks noChangeAspect="1"/>
                                </pic:cNvPicPr>
                              </pic:nvPicPr>
                              <pic:blipFill>
                                <a:blip r:embed="rId41"/>
                                <a:stretch>
                                  <a:fillRect/>
                                </a:stretch>
                              </pic:blipFill>
                              <pic:spPr>
                                <a:xfrm>
                                  <a:off x="0" y="0"/>
                                  <a:ext cx="600710" cy="608965"/>
                                </a:xfrm>
                                <a:prstGeom prst="rect">
                                  <a:avLst/>
                                </a:prstGeom>
                                <a:noFill/>
                                <a:ln>
                                  <a:noFill/>
                                </a:ln>
                              </pic:spPr>
                            </pic:pic>
                          </a:graphicData>
                        </a:graphic>
                      </wp:inline>
                    </w:drawing>
                  </w:r>
                  <w:r>
                    <w:rPr>
                      <w:rFonts w:hint="default"/>
                      <w:color w:val="auto"/>
                      <w:highlight w:val="none"/>
                    </w:rPr>
                    <w:fldChar w:fldCharType="end"/>
                  </w:r>
                </w:p>
              </w:tc>
              <w:tc>
                <w:tcPr>
                  <w:tcW w:w="2020" w:type="dxa"/>
                  <w:noWrap w:val="0"/>
                  <w:vAlign w:val="center"/>
                </w:tcPr>
                <w:p w14:paraId="0FC48C8A">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废水排放口</w:t>
                  </w:r>
                </w:p>
              </w:tc>
              <w:tc>
                <w:tcPr>
                  <w:tcW w:w="4127" w:type="dxa"/>
                  <w:noWrap w:val="0"/>
                  <w:vAlign w:val="center"/>
                </w:tcPr>
                <w:p w14:paraId="049F003D">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表示废水向水体排放</w:t>
                  </w:r>
                </w:p>
              </w:tc>
            </w:tr>
            <w:tr w14:paraId="6A31BB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53A2ED2C">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2</w:t>
                  </w:r>
                </w:p>
              </w:tc>
              <w:tc>
                <w:tcPr>
                  <w:tcW w:w="2520" w:type="dxa"/>
                  <w:noWrap w:val="0"/>
                  <w:vAlign w:val="center"/>
                </w:tcPr>
                <w:p w14:paraId="359BC50F">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"F:\\86134\\AppData\\Local\\Temp\\ksohtml4412\\wps31.jpg" \* MERGEFORMAT </w:instrText>
                  </w:r>
                  <w:r>
                    <w:rPr>
                      <w:rFonts w:hint="default"/>
                      <w:color w:val="auto"/>
                      <w:highlight w:val="none"/>
                    </w:rPr>
                    <w:fldChar w:fldCharType="separate"/>
                  </w:r>
                  <w:r>
                    <w:rPr>
                      <w:rFonts w:hint="default"/>
                      <w:color w:val="auto"/>
                      <w:highlight w:val="none"/>
                    </w:rPr>
                    <w:drawing>
                      <wp:inline distT="0" distB="0" distL="114300" distR="114300">
                        <wp:extent cx="600710" cy="608965"/>
                        <wp:effectExtent l="0" t="0" r="8890" b="635"/>
                        <wp:docPr id="16" name="图片 17" descr="wps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7" descr="wps31"/>
                                <pic:cNvPicPr>
                                  <a:picLocks noChangeAspect="1"/>
                                </pic:cNvPicPr>
                              </pic:nvPicPr>
                              <pic:blipFill>
                                <a:blip r:embed="rId42"/>
                                <a:stretch>
                                  <a:fillRect/>
                                </a:stretch>
                              </pic:blipFill>
                              <pic:spPr>
                                <a:xfrm>
                                  <a:off x="0" y="0"/>
                                  <a:ext cx="600710" cy="608965"/>
                                </a:xfrm>
                                <a:prstGeom prst="rect">
                                  <a:avLst/>
                                </a:prstGeom>
                                <a:noFill/>
                                <a:ln>
                                  <a:noFill/>
                                </a:ln>
                              </pic:spPr>
                            </pic:pic>
                          </a:graphicData>
                        </a:graphic>
                      </wp:inline>
                    </w:drawing>
                  </w:r>
                  <w:r>
                    <w:rPr>
                      <w:rFonts w:hint="default"/>
                      <w:color w:val="auto"/>
                      <w:highlight w:val="none"/>
                    </w:rPr>
                    <w:fldChar w:fldCharType="end"/>
                  </w:r>
                </w:p>
              </w:tc>
              <w:tc>
                <w:tcPr>
                  <w:tcW w:w="2716" w:type="dxa"/>
                  <w:noWrap w:val="0"/>
                  <w:vAlign w:val="center"/>
                </w:tcPr>
                <w:p w14:paraId="2D4862E5">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"F:\\86134\\AppData\\Local\\Temp\\ksohtml4412\\wps32.jpg" \* MERGEFORMAT </w:instrText>
                  </w:r>
                  <w:r>
                    <w:rPr>
                      <w:rFonts w:hint="default"/>
                      <w:color w:val="auto"/>
                      <w:highlight w:val="none"/>
                    </w:rPr>
                    <w:fldChar w:fldCharType="separate"/>
                  </w:r>
                  <w:r>
                    <w:rPr>
                      <w:rFonts w:hint="default"/>
                      <w:color w:val="auto"/>
                      <w:highlight w:val="none"/>
                    </w:rPr>
                    <w:drawing>
                      <wp:inline distT="0" distB="0" distL="114300" distR="114300">
                        <wp:extent cx="619760" cy="619760"/>
                        <wp:effectExtent l="0" t="0" r="5080" b="5080"/>
                        <wp:docPr id="17" name="图片 18" descr="wps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8" descr="wps32"/>
                                <pic:cNvPicPr>
                                  <a:picLocks noChangeAspect="1"/>
                                </pic:cNvPicPr>
                              </pic:nvPicPr>
                              <pic:blipFill>
                                <a:blip r:embed="rId43"/>
                                <a:stretch>
                                  <a:fillRect/>
                                </a:stretch>
                              </pic:blipFill>
                              <pic:spPr>
                                <a:xfrm>
                                  <a:off x="0" y="0"/>
                                  <a:ext cx="619760" cy="619760"/>
                                </a:xfrm>
                                <a:prstGeom prst="rect">
                                  <a:avLst/>
                                </a:prstGeom>
                                <a:noFill/>
                                <a:ln>
                                  <a:noFill/>
                                </a:ln>
                              </pic:spPr>
                            </pic:pic>
                          </a:graphicData>
                        </a:graphic>
                      </wp:inline>
                    </w:drawing>
                  </w:r>
                  <w:r>
                    <w:rPr>
                      <w:rFonts w:hint="default"/>
                      <w:color w:val="auto"/>
                      <w:highlight w:val="none"/>
                    </w:rPr>
                    <w:fldChar w:fldCharType="end"/>
                  </w:r>
                </w:p>
              </w:tc>
              <w:tc>
                <w:tcPr>
                  <w:tcW w:w="2020" w:type="dxa"/>
                  <w:noWrap w:val="0"/>
                  <w:vAlign w:val="center"/>
                </w:tcPr>
                <w:p w14:paraId="2781A963">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废气排放口</w:t>
                  </w:r>
                </w:p>
              </w:tc>
              <w:tc>
                <w:tcPr>
                  <w:tcW w:w="4127" w:type="dxa"/>
                  <w:noWrap w:val="0"/>
                  <w:vAlign w:val="center"/>
                </w:tcPr>
                <w:p w14:paraId="26CD05E6">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表示废气向大气环境排放</w:t>
                  </w:r>
                </w:p>
              </w:tc>
            </w:tr>
            <w:tr w14:paraId="6D3D9C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3D347967">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3</w:t>
                  </w:r>
                </w:p>
              </w:tc>
              <w:tc>
                <w:tcPr>
                  <w:tcW w:w="2520" w:type="dxa"/>
                  <w:noWrap w:val="0"/>
                  <w:vAlign w:val="center"/>
                </w:tcPr>
                <w:p w14:paraId="3498A52A">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"F:\\86134\\AppData\\Local\\Temp\\ksohtml4412\\wps33.jpg" \* MERGEFORMAT </w:instrText>
                  </w:r>
                  <w:r>
                    <w:rPr>
                      <w:rFonts w:hint="default"/>
                      <w:color w:val="auto"/>
                      <w:highlight w:val="none"/>
                    </w:rPr>
                    <w:fldChar w:fldCharType="separate"/>
                  </w:r>
                  <w:r>
                    <w:rPr>
                      <w:rFonts w:hint="default"/>
                      <w:color w:val="auto"/>
                      <w:highlight w:val="none"/>
                    </w:rPr>
                    <w:drawing>
                      <wp:inline distT="0" distB="0" distL="114300" distR="114300">
                        <wp:extent cx="581660" cy="581660"/>
                        <wp:effectExtent l="0" t="0" r="12700" b="12700"/>
                        <wp:docPr id="15" name="图片 19" descr="wps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9" descr="wps33"/>
                                <pic:cNvPicPr>
                                  <a:picLocks noChangeAspect="1"/>
                                </pic:cNvPicPr>
                              </pic:nvPicPr>
                              <pic:blipFill>
                                <a:blip r:embed="rId44"/>
                                <a:stretch>
                                  <a:fillRect/>
                                </a:stretch>
                              </pic:blipFill>
                              <pic:spPr>
                                <a:xfrm>
                                  <a:off x="0" y="0"/>
                                  <a:ext cx="581660" cy="581660"/>
                                </a:xfrm>
                                <a:prstGeom prst="rect">
                                  <a:avLst/>
                                </a:prstGeom>
                                <a:noFill/>
                                <a:ln>
                                  <a:noFill/>
                                </a:ln>
                              </pic:spPr>
                            </pic:pic>
                          </a:graphicData>
                        </a:graphic>
                      </wp:inline>
                    </w:drawing>
                  </w:r>
                  <w:r>
                    <w:rPr>
                      <w:rFonts w:hint="default"/>
                      <w:color w:val="auto"/>
                      <w:highlight w:val="none"/>
                    </w:rPr>
                    <w:fldChar w:fldCharType="end"/>
                  </w:r>
                </w:p>
              </w:tc>
              <w:tc>
                <w:tcPr>
                  <w:tcW w:w="2716" w:type="dxa"/>
                  <w:noWrap w:val="0"/>
                  <w:vAlign w:val="center"/>
                </w:tcPr>
                <w:p w14:paraId="0E0359BF">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"F:\\86134\\AppData\\Local\\Temp\\ksohtml4412\\wps34.jpg" \* MERGEFORMAT </w:instrText>
                  </w:r>
                  <w:r>
                    <w:rPr>
                      <w:rFonts w:hint="default"/>
                      <w:color w:val="auto"/>
                      <w:highlight w:val="none"/>
                    </w:rPr>
                    <w:fldChar w:fldCharType="separate"/>
                  </w:r>
                  <w:r>
                    <w:rPr>
                      <w:rFonts w:hint="default"/>
                      <w:color w:val="auto"/>
                      <w:highlight w:val="none"/>
                    </w:rPr>
                    <w:drawing>
                      <wp:inline distT="0" distB="0" distL="114300" distR="114300">
                        <wp:extent cx="647700" cy="581660"/>
                        <wp:effectExtent l="0" t="0" r="7620" b="12700"/>
                        <wp:docPr id="12" name="图片 20" descr="wps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0" descr="wps34"/>
                                <pic:cNvPicPr>
                                  <a:picLocks noChangeAspect="1"/>
                                </pic:cNvPicPr>
                              </pic:nvPicPr>
                              <pic:blipFill>
                                <a:blip r:embed="rId45"/>
                                <a:stretch>
                                  <a:fillRect/>
                                </a:stretch>
                              </pic:blipFill>
                              <pic:spPr>
                                <a:xfrm>
                                  <a:off x="0" y="0"/>
                                  <a:ext cx="647700" cy="581660"/>
                                </a:xfrm>
                                <a:prstGeom prst="rect">
                                  <a:avLst/>
                                </a:prstGeom>
                                <a:noFill/>
                                <a:ln>
                                  <a:noFill/>
                                </a:ln>
                              </pic:spPr>
                            </pic:pic>
                          </a:graphicData>
                        </a:graphic>
                      </wp:inline>
                    </w:drawing>
                  </w:r>
                  <w:r>
                    <w:rPr>
                      <w:rFonts w:hint="default"/>
                      <w:color w:val="auto"/>
                      <w:highlight w:val="none"/>
                    </w:rPr>
                    <w:fldChar w:fldCharType="end"/>
                  </w:r>
                </w:p>
              </w:tc>
              <w:tc>
                <w:tcPr>
                  <w:tcW w:w="2020" w:type="dxa"/>
                  <w:noWrap w:val="0"/>
                  <w:vAlign w:val="center"/>
                </w:tcPr>
                <w:p w14:paraId="6B26D736">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噪声排放源</w:t>
                  </w:r>
                </w:p>
              </w:tc>
              <w:tc>
                <w:tcPr>
                  <w:tcW w:w="4127" w:type="dxa"/>
                  <w:noWrap w:val="0"/>
                  <w:vAlign w:val="center"/>
                </w:tcPr>
                <w:p w14:paraId="1DCBE2B0">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表示噪声向外环境排放</w:t>
                  </w:r>
                </w:p>
              </w:tc>
            </w:tr>
            <w:tr w14:paraId="29A36D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069730F7">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4</w:t>
                  </w:r>
                </w:p>
              </w:tc>
              <w:tc>
                <w:tcPr>
                  <w:tcW w:w="2520" w:type="dxa"/>
                  <w:noWrap w:val="0"/>
                  <w:vAlign w:val="center"/>
                </w:tcPr>
                <w:p w14:paraId="303287F2">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"F:\\86134\\AppData\\Local\\Temp\\ksohtml4412\\wps35.jpg" \* MERGEFORMAT </w:instrText>
                  </w:r>
                  <w:r>
                    <w:rPr>
                      <w:rFonts w:hint="default"/>
                      <w:color w:val="auto"/>
                      <w:highlight w:val="none"/>
                    </w:rPr>
                    <w:fldChar w:fldCharType="separate"/>
                  </w:r>
                  <w:r>
                    <w:rPr>
                      <w:rFonts w:hint="default"/>
                      <w:color w:val="auto"/>
                      <w:highlight w:val="none"/>
                    </w:rPr>
                    <w:drawing>
                      <wp:inline distT="0" distB="0" distL="114300" distR="114300">
                        <wp:extent cx="608965" cy="608965"/>
                        <wp:effectExtent l="0" t="0" r="635" b="635"/>
                        <wp:docPr id="13" name="图片 21" descr="wps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1" descr="wps35"/>
                                <pic:cNvPicPr>
                                  <a:picLocks noChangeAspect="1"/>
                                </pic:cNvPicPr>
                              </pic:nvPicPr>
                              <pic:blipFill>
                                <a:blip r:embed="rId46"/>
                                <a:stretch>
                                  <a:fillRect/>
                                </a:stretch>
                              </pic:blipFill>
                              <pic:spPr>
                                <a:xfrm>
                                  <a:off x="0" y="0"/>
                                  <a:ext cx="608965" cy="608965"/>
                                </a:xfrm>
                                <a:prstGeom prst="rect">
                                  <a:avLst/>
                                </a:prstGeom>
                                <a:noFill/>
                                <a:ln>
                                  <a:noFill/>
                                </a:ln>
                              </pic:spPr>
                            </pic:pic>
                          </a:graphicData>
                        </a:graphic>
                      </wp:inline>
                    </w:drawing>
                  </w:r>
                  <w:r>
                    <w:rPr>
                      <w:rFonts w:hint="default"/>
                      <w:color w:val="auto"/>
                      <w:highlight w:val="none"/>
                    </w:rPr>
                    <w:fldChar w:fldCharType="end"/>
                  </w:r>
                </w:p>
              </w:tc>
              <w:tc>
                <w:tcPr>
                  <w:tcW w:w="2716" w:type="dxa"/>
                  <w:noWrap w:val="0"/>
                  <w:vAlign w:val="center"/>
                </w:tcPr>
                <w:p w14:paraId="40C8CE12">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"F:\\86134\\AppData\\Local\\Temp\\ksohtml4412\\wps36.jpg" \* MERGEFORMAT </w:instrText>
                  </w:r>
                  <w:r>
                    <w:rPr>
                      <w:rFonts w:hint="default"/>
                      <w:color w:val="auto"/>
                      <w:highlight w:val="none"/>
                    </w:rPr>
                    <w:fldChar w:fldCharType="separate"/>
                  </w:r>
                  <w:r>
                    <w:rPr>
                      <w:rFonts w:hint="default"/>
                      <w:color w:val="auto"/>
                      <w:highlight w:val="none"/>
                    </w:rPr>
                    <w:drawing>
                      <wp:inline distT="0" distB="0" distL="114300" distR="114300">
                        <wp:extent cx="619760" cy="581660"/>
                        <wp:effectExtent l="0" t="0" r="5080" b="12700"/>
                        <wp:docPr id="14" name="图片 22" descr="wps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2" descr="wps36"/>
                                <pic:cNvPicPr>
                                  <a:picLocks noChangeAspect="1"/>
                                </pic:cNvPicPr>
                              </pic:nvPicPr>
                              <pic:blipFill>
                                <a:blip r:embed="rId47"/>
                                <a:stretch>
                                  <a:fillRect/>
                                </a:stretch>
                              </pic:blipFill>
                              <pic:spPr>
                                <a:xfrm>
                                  <a:off x="0" y="0"/>
                                  <a:ext cx="619760" cy="581660"/>
                                </a:xfrm>
                                <a:prstGeom prst="rect">
                                  <a:avLst/>
                                </a:prstGeom>
                                <a:noFill/>
                                <a:ln>
                                  <a:noFill/>
                                </a:ln>
                              </pic:spPr>
                            </pic:pic>
                          </a:graphicData>
                        </a:graphic>
                      </wp:inline>
                    </w:drawing>
                  </w:r>
                  <w:r>
                    <w:rPr>
                      <w:rFonts w:hint="default"/>
                      <w:color w:val="auto"/>
                      <w:highlight w:val="none"/>
                    </w:rPr>
                    <w:fldChar w:fldCharType="end"/>
                  </w:r>
                </w:p>
              </w:tc>
              <w:tc>
                <w:tcPr>
                  <w:tcW w:w="2020" w:type="dxa"/>
                  <w:noWrap w:val="0"/>
                  <w:vAlign w:val="center"/>
                </w:tcPr>
                <w:p w14:paraId="385744A0">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一般固体废物</w:t>
                  </w:r>
                </w:p>
              </w:tc>
              <w:tc>
                <w:tcPr>
                  <w:tcW w:w="4127" w:type="dxa"/>
                  <w:noWrap w:val="0"/>
                  <w:vAlign w:val="center"/>
                </w:tcPr>
                <w:p w14:paraId="736EC371">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表示一般固体废物贮存、处置场</w:t>
                  </w:r>
                </w:p>
              </w:tc>
            </w:tr>
            <w:tr w14:paraId="72B41B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54" w:type="dxa"/>
                  <w:noWrap w:val="0"/>
                  <w:vAlign w:val="center"/>
                </w:tcPr>
                <w:p w14:paraId="155E1B53">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5</w:t>
                  </w:r>
                </w:p>
              </w:tc>
              <w:tc>
                <w:tcPr>
                  <w:tcW w:w="2520" w:type="dxa"/>
                  <w:noWrap w:val="0"/>
                  <w:vAlign w:val="center"/>
                </w:tcPr>
                <w:p w14:paraId="2905CFFE">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w:t>
                  </w:r>
                </w:p>
              </w:tc>
              <w:tc>
                <w:tcPr>
                  <w:tcW w:w="2716" w:type="dxa"/>
                  <w:noWrap w:val="0"/>
                  <w:vAlign w:val="center"/>
                </w:tcPr>
                <w:p w14:paraId="1EF975D7">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fldChar w:fldCharType="begin"/>
                  </w:r>
                  <w:r>
                    <w:rPr>
                      <w:rFonts w:hint="default"/>
                      <w:color w:val="auto"/>
                      <w:highlight w:val="none"/>
                    </w:rPr>
                    <w:instrText xml:space="preserve"> INCLUDEPICTURE "F:\\86134\\AppData\\Local\\Temp\\ksohtml4412\\wps37.jpg" \* MERGEFORMAT </w:instrText>
                  </w:r>
                  <w:r>
                    <w:rPr>
                      <w:rFonts w:hint="default"/>
                      <w:color w:val="auto"/>
                      <w:highlight w:val="none"/>
                    </w:rPr>
                    <w:fldChar w:fldCharType="separate"/>
                  </w:r>
                  <w:r>
                    <w:rPr>
                      <w:rFonts w:hint="default"/>
                      <w:color w:val="auto"/>
                      <w:highlight w:val="none"/>
                    </w:rPr>
                    <w:drawing>
                      <wp:inline distT="0" distB="0" distL="114300" distR="114300">
                        <wp:extent cx="1001395" cy="647700"/>
                        <wp:effectExtent l="0" t="0" r="4445" b="7620"/>
                        <wp:docPr id="11" name="图片 23" descr="wps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3" descr="wps37"/>
                                <pic:cNvPicPr>
                                  <a:picLocks noChangeAspect="1"/>
                                </pic:cNvPicPr>
                              </pic:nvPicPr>
                              <pic:blipFill>
                                <a:blip r:embed="rId48"/>
                                <a:stretch>
                                  <a:fillRect/>
                                </a:stretch>
                              </pic:blipFill>
                              <pic:spPr>
                                <a:xfrm>
                                  <a:off x="0" y="0"/>
                                  <a:ext cx="1001395" cy="647700"/>
                                </a:xfrm>
                                <a:prstGeom prst="rect">
                                  <a:avLst/>
                                </a:prstGeom>
                                <a:noFill/>
                                <a:ln>
                                  <a:noFill/>
                                </a:ln>
                              </pic:spPr>
                            </pic:pic>
                          </a:graphicData>
                        </a:graphic>
                      </wp:inline>
                    </w:drawing>
                  </w:r>
                  <w:r>
                    <w:rPr>
                      <w:rFonts w:hint="default"/>
                      <w:color w:val="auto"/>
                      <w:highlight w:val="none"/>
                    </w:rPr>
                    <w:fldChar w:fldCharType="end"/>
                  </w:r>
                </w:p>
              </w:tc>
              <w:tc>
                <w:tcPr>
                  <w:tcW w:w="2020" w:type="dxa"/>
                  <w:noWrap w:val="0"/>
                  <w:vAlign w:val="center"/>
                </w:tcPr>
                <w:p w14:paraId="522B9577">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危险废物</w:t>
                  </w:r>
                </w:p>
              </w:tc>
              <w:tc>
                <w:tcPr>
                  <w:tcW w:w="4127" w:type="dxa"/>
                  <w:noWrap w:val="0"/>
                  <w:vAlign w:val="center"/>
                </w:tcPr>
                <w:p w14:paraId="41D6843B">
                  <w:pPr>
                    <w:pStyle w:val="78"/>
                    <w:keepNext w:val="0"/>
                    <w:keepLines w:val="0"/>
                    <w:suppressLineNumbers w:val="0"/>
                    <w:bidi w:val="0"/>
                    <w:spacing w:beforeAutospacing="0" w:afterAutospacing="0"/>
                    <w:ind w:left="0" w:right="0"/>
                    <w:rPr>
                      <w:rFonts w:hint="default"/>
                      <w:color w:val="auto"/>
                      <w:highlight w:val="none"/>
                    </w:rPr>
                  </w:pPr>
                  <w:r>
                    <w:rPr>
                      <w:rFonts w:hint="default"/>
                      <w:color w:val="auto"/>
                      <w:highlight w:val="none"/>
                    </w:rPr>
                    <w:t>表示危险废物贮存设施</w:t>
                  </w:r>
                </w:p>
              </w:tc>
            </w:tr>
          </w:tbl>
          <w:p w14:paraId="0652FBD0">
            <w:pPr>
              <w:pStyle w:val="76"/>
              <w:keepNext w:val="0"/>
              <w:keepLines w:val="0"/>
              <w:suppressLineNumbers w:val="0"/>
              <w:bidi w:val="0"/>
              <w:spacing w:before="0" w:beforeAutospacing="0" w:after="0" w:afterAutospacing="0"/>
              <w:ind w:left="0" w:right="0"/>
              <w:rPr>
                <w:rFonts w:hint="default"/>
                <w:b/>
                <w:bCs w:val="0"/>
                <w:color w:val="auto"/>
                <w:highlight w:val="none"/>
              </w:rPr>
            </w:pPr>
            <w:r>
              <w:rPr>
                <w:rFonts w:hint="eastAsia"/>
                <w:b/>
                <w:bCs w:val="0"/>
                <w:color w:val="auto"/>
                <w:highlight w:val="none"/>
                <w:lang w:eastAsia="zh-CN"/>
              </w:rPr>
              <w:t>九</w:t>
            </w:r>
            <w:r>
              <w:rPr>
                <w:rFonts w:hint="default"/>
                <w:b/>
                <w:bCs w:val="0"/>
                <w:color w:val="auto"/>
                <w:highlight w:val="none"/>
              </w:rPr>
              <w:t>、环保投资</w:t>
            </w:r>
          </w:p>
          <w:p w14:paraId="1FF3F37B">
            <w:pPr>
              <w:pStyle w:val="76"/>
              <w:keepNext w:val="0"/>
              <w:keepLines w:val="0"/>
              <w:suppressLineNumbers w:val="0"/>
              <w:bidi w:val="0"/>
              <w:spacing w:before="0" w:beforeAutospacing="0" w:after="0" w:afterAutospacing="0"/>
              <w:ind w:left="0" w:right="0"/>
              <w:rPr>
                <w:rFonts w:hint="default"/>
                <w:color w:val="auto"/>
                <w:highlight w:val="none"/>
              </w:rPr>
            </w:pPr>
            <w:r>
              <w:rPr>
                <w:rFonts w:hint="default"/>
                <w:color w:val="auto"/>
                <w:highlight w:val="none"/>
              </w:rPr>
              <w:t>本项目总投资为</w:t>
            </w:r>
            <w:r>
              <w:rPr>
                <w:rFonts w:hint="eastAsia"/>
                <w:color w:val="auto"/>
                <w:highlight w:val="none"/>
                <w:lang w:val="en-US" w:eastAsia="zh-CN"/>
              </w:rPr>
              <w:t>3000</w:t>
            </w:r>
            <w:r>
              <w:rPr>
                <w:rFonts w:hint="default"/>
                <w:color w:val="auto"/>
                <w:highlight w:val="none"/>
              </w:rPr>
              <w:t>万元，</w:t>
            </w:r>
            <w:r>
              <w:rPr>
                <w:rFonts w:hint="default"/>
                <w:color w:val="FF0000"/>
                <w:highlight w:val="none"/>
              </w:rPr>
              <w:t>其中环保投资总额为</w:t>
            </w:r>
            <w:r>
              <w:rPr>
                <w:rFonts w:hint="eastAsia"/>
                <w:color w:val="FF0000"/>
                <w:highlight w:val="none"/>
                <w:lang w:val="en-US" w:eastAsia="zh-CN"/>
              </w:rPr>
              <w:t>36</w:t>
            </w:r>
            <w:r>
              <w:rPr>
                <w:rFonts w:hint="default"/>
                <w:color w:val="FF0000"/>
                <w:highlight w:val="none"/>
              </w:rPr>
              <w:t>万元，占项目总投资的比例为</w:t>
            </w:r>
            <w:r>
              <w:rPr>
                <w:rFonts w:hint="eastAsia"/>
                <w:color w:val="FF0000"/>
                <w:highlight w:val="none"/>
                <w:lang w:val="en-US" w:eastAsia="zh-CN"/>
              </w:rPr>
              <w:t>1.2</w:t>
            </w:r>
            <w:r>
              <w:rPr>
                <w:rFonts w:hint="default"/>
                <w:color w:val="FF0000"/>
                <w:highlight w:val="none"/>
              </w:rPr>
              <w:t>%</w:t>
            </w:r>
            <w:r>
              <w:rPr>
                <w:rFonts w:hint="default"/>
                <w:color w:val="auto"/>
                <w:highlight w:val="none"/>
              </w:rPr>
              <w:t>，环保投资详情见</w:t>
            </w:r>
            <w:r>
              <w:rPr>
                <w:rFonts w:hint="eastAsia"/>
                <w:color w:val="auto"/>
                <w:highlight w:val="none"/>
              </w:rPr>
              <w:t>下</w:t>
            </w:r>
            <w:r>
              <w:rPr>
                <w:rFonts w:hint="default"/>
                <w:color w:val="auto"/>
                <w:highlight w:val="none"/>
              </w:rPr>
              <w:t>表。</w:t>
            </w:r>
          </w:p>
          <w:p w14:paraId="601632C4">
            <w:pPr>
              <w:pStyle w:val="124"/>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ind w:left="0" w:right="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 xml:space="preserve"> 项目环境保护投资</w:t>
            </w:r>
          </w:p>
          <w:tbl>
            <w:tblPr>
              <w:tblStyle w:val="25"/>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1376"/>
              <w:gridCol w:w="3311"/>
              <w:gridCol w:w="1581"/>
              <w:gridCol w:w="1484"/>
            </w:tblGrid>
            <w:tr w14:paraId="1F28DA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7AF3FB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序号</w:t>
                  </w:r>
                </w:p>
              </w:tc>
              <w:tc>
                <w:tcPr>
                  <w:tcW w:w="0" w:type="auto"/>
                  <w:noWrap w:val="0"/>
                  <w:vAlign w:val="center"/>
                </w:tcPr>
                <w:p w14:paraId="59D618E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类别</w:t>
                  </w:r>
                </w:p>
              </w:tc>
              <w:tc>
                <w:tcPr>
                  <w:tcW w:w="1979" w:type="pct"/>
                  <w:noWrap w:val="0"/>
                  <w:vAlign w:val="center"/>
                </w:tcPr>
                <w:p w14:paraId="5F866E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环保措施内容</w:t>
                  </w:r>
                </w:p>
              </w:tc>
              <w:tc>
                <w:tcPr>
                  <w:tcW w:w="945" w:type="pct"/>
                  <w:noWrap w:val="0"/>
                  <w:vAlign w:val="center"/>
                </w:tcPr>
                <w:p w14:paraId="175E0D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default"/>
                      <w:b/>
                      <w:bCs/>
                      <w:color w:val="auto"/>
                      <w:highlight w:val="none"/>
                    </w:rPr>
                    <w:t>投资（万元）</w:t>
                  </w:r>
                </w:p>
              </w:tc>
              <w:tc>
                <w:tcPr>
                  <w:tcW w:w="887" w:type="pct"/>
                  <w:noWrap w:val="0"/>
                  <w:vAlign w:val="center"/>
                </w:tcPr>
                <w:p w14:paraId="4DB4363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b/>
                      <w:bCs/>
                      <w:color w:val="auto"/>
                      <w:highlight w:val="none"/>
                    </w:rPr>
                  </w:pPr>
                  <w:r>
                    <w:rPr>
                      <w:rFonts w:hint="eastAsia"/>
                      <w:b/>
                      <w:bCs/>
                      <w:color w:val="auto"/>
                      <w:highlight w:val="none"/>
                    </w:rPr>
                    <w:t>备注</w:t>
                  </w:r>
                </w:p>
              </w:tc>
            </w:tr>
            <w:tr w14:paraId="38799B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1AEDD13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1</w:t>
                  </w:r>
                </w:p>
              </w:tc>
              <w:tc>
                <w:tcPr>
                  <w:tcW w:w="0" w:type="auto"/>
                  <w:noWrap w:val="0"/>
                  <w:vAlign w:val="center"/>
                </w:tcPr>
                <w:p w14:paraId="286C377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废水处理设施</w:t>
                  </w:r>
                </w:p>
              </w:tc>
              <w:tc>
                <w:tcPr>
                  <w:tcW w:w="1979" w:type="pct"/>
                  <w:noWrap w:val="0"/>
                  <w:vAlign w:val="center"/>
                </w:tcPr>
                <w:p w14:paraId="5F9256B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隔油池、</w:t>
                  </w:r>
                  <w:r>
                    <w:rPr>
                      <w:rFonts w:hint="default"/>
                      <w:color w:val="auto"/>
                      <w:highlight w:val="none"/>
                    </w:rPr>
                    <w:t>化粪池</w:t>
                  </w:r>
                  <w:r>
                    <w:rPr>
                      <w:rFonts w:hint="eastAsia"/>
                      <w:color w:val="FF0000"/>
                      <w:highlight w:val="none"/>
                      <w:lang w:eastAsia="zh-CN"/>
                    </w:rPr>
                    <w:t>（</w:t>
                  </w:r>
                  <w:r>
                    <w:rPr>
                      <w:rFonts w:hint="eastAsia"/>
                      <w:color w:val="FF0000"/>
                      <w:highlight w:val="none"/>
                      <w:lang w:val="en-US" w:eastAsia="zh-CN"/>
                    </w:rPr>
                    <w:t>50t/d</w:t>
                  </w:r>
                  <w:r>
                    <w:rPr>
                      <w:rFonts w:hint="eastAsia"/>
                      <w:color w:val="FF0000"/>
                      <w:highlight w:val="none"/>
                      <w:lang w:eastAsia="zh-CN"/>
                    </w:rPr>
                    <w:t>）</w:t>
                  </w:r>
                  <w:r>
                    <w:rPr>
                      <w:rFonts w:hint="eastAsia"/>
                      <w:color w:val="auto"/>
                      <w:highlight w:val="none"/>
                      <w:lang w:eastAsia="zh-CN"/>
                    </w:rPr>
                    <w:t>、</w:t>
                  </w:r>
                  <w:r>
                    <w:rPr>
                      <w:rFonts w:hint="eastAsia"/>
                      <w:color w:val="auto"/>
                      <w:highlight w:val="none"/>
                      <w:lang w:val="en-US" w:eastAsia="zh-CN"/>
                    </w:rPr>
                    <w:t>沉淀池</w:t>
                  </w:r>
                  <w:r>
                    <w:rPr>
                      <w:rFonts w:hint="eastAsia"/>
                      <w:color w:val="FF0000"/>
                      <w:highlight w:val="none"/>
                      <w:lang w:val="en-US" w:eastAsia="zh-CN"/>
                    </w:rPr>
                    <w:t>（600m</w:t>
                  </w:r>
                  <w:r>
                    <w:rPr>
                      <w:rFonts w:hint="eastAsia"/>
                      <w:color w:val="FF0000"/>
                      <w:highlight w:val="none"/>
                      <w:vertAlign w:val="superscript"/>
                      <w:lang w:val="en-US" w:eastAsia="zh-CN"/>
                    </w:rPr>
                    <w:t>3</w:t>
                  </w:r>
                  <w:r>
                    <w:rPr>
                      <w:rFonts w:hint="eastAsia"/>
                      <w:color w:val="FF0000"/>
                      <w:highlight w:val="none"/>
                      <w:lang w:val="en-US" w:eastAsia="zh-CN"/>
                    </w:rPr>
                    <w:t>）</w:t>
                  </w:r>
                  <w:r>
                    <w:rPr>
                      <w:rFonts w:hint="eastAsia"/>
                      <w:color w:val="auto"/>
                      <w:highlight w:val="none"/>
                      <w:lang w:val="en-US" w:eastAsia="zh-CN"/>
                    </w:rPr>
                    <w:t>、事故池</w:t>
                  </w:r>
                  <w:r>
                    <w:rPr>
                      <w:rFonts w:hint="eastAsia"/>
                      <w:color w:val="FF0000"/>
                      <w:highlight w:val="none"/>
                      <w:lang w:val="en-US" w:eastAsia="zh-CN"/>
                    </w:rPr>
                    <w:t>（600m</w:t>
                  </w:r>
                  <w:r>
                    <w:rPr>
                      <w:rFonts w:hint="eastAsia"/>
                      <w:color w:val="FF0000"/>
                      <w:highlight w:val="none"/>
                      <w:vertAlign w:val="superscript"/>
                      <w:lang w:val="en-US" w:eastAsia="zh-CN"/>
                    </w:rPr>
                    <w:t>3</w:t>
                  </w:r>
                  <w:r>
                    <w:rPr>
                      <w:rFonts w:hint="eastAsia"/>
                      <w:color w:val="FF0000"/>
                      <w:highlight w:val="none"/>
                      <w:lang w:val="en-US" w:eastAsia="zh-CN"/>
                    </w:rPr>
                    <w:t>）</w:t>
                  </w:r>
                  <w:r>
                    <w:rPr>
                      <w:rFonts w:hint="eastAsia"/>
                      <w:color w:val="auto"/>
                      <w:highlight w:val="none"/>
                      <w:lang w:val="en-US" w:eastAsia="zh-CN"/>
                    </w:rPr>
                    <w:t>、渗滤液池</w:t>
                  </w:r>
                  <w:r>
                    <w:rPr>
                      <w:rFonts w:hint="eastAsia" w:ascii="Times New Roman" w:eastAsia="宋体"/>
                      <w:color w:val="FF0000"/>
                      <w:highlight w:val="none"/>
                      <w:lang w:val="en-US" w:eastAsia="zh-CN"/>
                    </w:rPr>
                    <w:t>（</w:t>
                  </w:r>
                  <w:r>
                    <w:rPr>
                      <w:rFonts w:hint="eastAsia" w:eastAsia="宋体"/>
                      <w:color w:val="FF0000"/>
                      <w:highlight w:val="none"/>
                      <w:lang w:val="en-US" w:eastAsia="zh-CN"/>
                    </w:rPr>
                    <w:t>1</w:t>
                  </w:r>
                  <w:r>
                    <w:rPr>
                      <w:rFonts w:hint="eastAsia" w:ascii="Times New Roman" w:eastAsia="宋体"/>
                      <w:color w:val="FF0000"/>
                      <w:highlight w:val="none"/>
                      <w:lang w:val="en-US" w:eastAsia="zh-CN"/>
                    </w:rPr>
                    <w:t>00m</w:t>
                  </w:r>
                  <w:r>
                    <w:rPr>
                      <w:rFonts w:hint="eastAsia" w:ascii="Times New Roman" w:eastAsia="宋体"/>
                      <w:color w:val="FF0000"/>
                      <w:highlight w:val="none"/>
                      <w:vertAlign w:val="superscript"/>
                      <w:lang w:val="en-US" w:eastAsia="zh-CN"/>
                    </w:rPr>
                    <w:t>3</w:t>
                  </w:r>
                  <w:r>
                    <w:rPr>
                      <w:rFonts w:hint="eastAsia" w:ascii="Times New Roman" w:eastAsia="宋体"/>
                      <w:color w:val="FF0000"/>
                      <w:highlight w:val="none"/>
                      <w:lang w:val="en-US" w:eastAsia="zh-CN"/>
                    </w:rPr>
                    <w:t>）</w:t>
                  </w:r>
                  <w:r>
                    <w:rPr>
                      <w:rFonts w:hint="eastAsia"/>
                      <w:color w:val="auto"/>
                      <w:highlight w:val="none"/>
                      <w:lang w:val="en-US" w:eastAsia="zh-CN"/>
                    </w:rPr>
                    <w:t>、初期雨水池</w:t>
                  </w:r>
                  <w:r>
                    <w:rPr>
                      <w:rFonts w:hint="eastAsia" w:ascii="Times New Roman" w:eastAsia="宋体"/>
                      <w:color w:val="FF0000"/>
                      <w:highlight w:val="none"/>
                      <w:lang w:val="en-US" w:eastAsia="zh-CN"/>
                    </w:rPr>
                    <w:t>（</w:t>
                  </w:r>
                  <w:r>
                    <w:rPr>
                      <w:rFonts w:hint="eastAsia"/>
                      <w:color w:val="FF0000"/>
                      <w:highlight w:val="none"/>
                      <w:lang w:val="en-US" w:eastAsia="zh-CN"/>
                    </w:rPr>
                    <w:t>960</w:t>
                  </w:r>
                  <w:r>
                    <w:rPr>
                      <w:rFonts w:hint="eastAsia" w:ascii="Times New Roman" w:eastAsia="宋体"/>
                      <w:color w:val="FF0000"/>
                      <w:highlight w:val="none"/>
                      <w:lang w:val="en-US" w:eastAsia="zh-CN"/>
                    </w:rPr>
                    <w:t>m</w:t>
                  </w:r>
                  <w:r>
                    <w:rPr>
                      <w:rFonts w:hint="eastAsia" w:ascii="Times New Roman" w:eastAsia="宋体"/>
                      <w:color w:val="FF0000"/>
                      <w:highlight w:val="none"/>
                      <w:vertAlign w:val="superscript"/>
                      <w:lang w:val="en-US" w:eastAsia="zh-CN"/>
                    </w:rPr>
                    <w:t>3</w:t>
                  </w:r>
                  <w:r>
                    <w:rPr>
                      <w:rFonts w:hint="eastAsia" w:ascii="Times New Roman" w:eastAsia="宋体"/>
                      <w:color w:val="FF0000"/>
                      <w:highlight w:val="none"/>
                      <w:lang w:val="en-US" w:eastAsia="zh-CN"/>
                    </w:rPr>
                    <w:t>）</w:t>
                  </w:r>
                </w:p>
              </w:tc>
              <w:tc>
                <w:tcPr>
                  <w:tcW w:w="945" w:type="pct"/>
                  <w:noWrap w:val="0"/>
                  <w:vAlign w:val="center"/>
                </w:tcPr>
                <w:p w14:paraId="2656F9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w:t>
                  </w:r>
                </w:p>
              </w:tc>
              <w:tc>
                <w:tcPr>
                  <w:tcW w:w="887" w:type="pct"/>
                  <w:noWrap w:val="0"/>
                  <w:vAlign w:val="center"/>
                </w:tcPr>
                <w:p w14:paraId="50C075C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依托租赁及现有工程</w:t>
                  </w:r>
                </w:p>
              </w:tc>
            </w:tr>
            <w:tr w14:paraId="1F061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45F6FA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2</w:t>
                  </w:r>
                </w:p>
              </w:tc>
              <w:tc>
                <w:tcPr>
                  <w:tcW w:w="0" w:type="auto"/>
                  <w:noWrap w:val="0"/>
                  <w:vAlign w:val="center"/>
                </w:tcPr>
                <w:p w14:paraId="0D676AC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废气处理设施</w:t>
                  </w:r>
                </w:p>
              </w:tc>
              <w:tc>
                <w:tcPr>
                  <w:tcW w:w="1979" w:type="pct"/>
                  <w:noWrap w:val="0"/>
                  <w:vAlign w:val="center"/>
                </w:tcPr>
                <w:p w14:paraId="0DC64D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集气罩/密闭管道</w:t>
                  </w:r>
                  <w:r>
                    <w:rPr>
                      <w:rFonts w:hint="default"/>
                      <w:color w:val="auto"/>
                      <w:highlight w:val="none"/>
                    </w:rPr>
                    <w:t>+</w:t>
                  </w:r>
                  <w:r>
                    <w:rPr>
                      <w:rFonts w:hint="eastAsia"/>
                      <w:color w:val="auto"/>
                      <w:highlight w:val="none"/>
                    </w:rPr>
                    <w:t>布袋</w:t>
                  </w:r>
                  <w:r>
                    <w:rPr>
                      <w:rFonts w:hint="default"/>
                      <w:color w:val="auto"/>
                      <w:highlight w:val="none"/>
                    </w:rPr>
                    <w:t>除尘设备</w:t>
                  </w:r>
                  <w:r>
                    <w:rPr>
                      <w:rFonts w:hint="eastAsia"/>
                      <w:color w:val="FF0000"/>
                      <w:highlight w:val="none"/>
                      <w:lang w:eastAsia="zh-CN"/>
                    </w:rPr>
                    <w:t>（</w:t>
                  </w:r>
                  <w:r>
                    <w:rPr>
                      <w:rFonts w:hint="eastAsia"/>
                      <w:color w:val="FF0000"/>
                      <w:highlight w:val="none"/>
                      <w:lang w:val="en-US" w:eastAsia="zh-CN"/>
                    </w:rPr>
                    <w:t>2台</w:t>
                  </w:r>
                  <w:r>
                    <w:rPr>
                      <w:rFonts w:hint="eastAsia"/>
                      <w:color w:val="FF0000"/>
                      <w:highlight w:val="none"/>
                      <w:lang w:eastAsia="zh-CN"/>
                    </w:rPr>
                    <w:t>）</w:t>
                  </w:r>
                  <w:r>
                    <w:rPr>
                      <w:rFonts w:hint="default"/>
                      <w:color w:val="auto"/>
                      <w:highlight w:val="none"/>
                    </w:rPr>
                    <w:t>+</w:t>
                  </w:r>
                  <w:r>
                    <w:rPr>
                      <w:rFonts w:hint="eastAsia"/>
                      <w:color w:val="FF0000"/>
                      <w:highlight w:val="none"/>
                      <w:lang w:val="en-US" w:eastAsia="zh-CN"/>
                    </w:rPr>
                    <w:t>2根</w:t>
                  </w:r>
                  <w:r>
                    <w:rPr>
                      <w:rFonts w:hint="eastAsia"/>
                      <w:color w:val="auto"/>
                      <w:highlight w:val="none"/>
                      <w:lang w:val="en-US" w:eastAsia="zh-CN"/>
                    </w:rPr>
                    <w:t>20m</w:t>
                  </w:r>
                  <w:r>
                    <w:rPr>
                      <w:rFonts w:hint="default"/>
                      <w:color w:val="auto"/>
                      <w:highlight w:val="none"/>
                    </w:rPr>
                    <w:t>排气筒</w:t>
                  </w:r>
                </w:p>
              </w:tc>
              <w:tc>
                <w:tcPr>
                  <w:tcW w:w="945" w:type="pct"/>
                  <w:noWrap w:val="0"/>
                  <w:vAlign w:val="center"/>
                </w:tcPr>
                <w:p w14:paraId="1A8F077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20</w:t>
                  </w:r>
                </w:p>
              </w:tc>
              <w:tc>
                <w:tcPr>
                  <w:tcW w:w="887" w:type="pct"/>
                  <w:noWrap w:val="0"/>
                  <w:vAlign w:val="center"/>
                </w:tcPr>
                <w:p w14:paraId="753971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eastAsia"/>
                      <w:color w:val="auto"/>
                      <w:highlight w:val="none"/>
                      <w:lang w:val="en-US" w:eastAsia="zh-CN"/>
                    </w:rPr>
                    <w:t>新建</w:t>
                  </w:r>
                </w:p>
              </w:tc>
            </w:tr>
            <w:tr w14:paraId="338F1C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restart"/>
                  <w:noWrap w:val="0"/>
                  <w:vAlign w:val="center"/>
                </w:tcPr>
                <w:p w14:paraId="7EDAA5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3</w:t>
                  </w:r>
                </w:p>
              </w:tc>
              <w:tc>
                <w:tcPr>
                  <w:tcW w:w="0" w:type="auto"/>
                  <w:vMerge w:val="restart"/>
                  <w:noWrap w:val="0"/>
                  <w:vAlign w:val="center"/>
                </w:tcPr>
                <w:p w14:paraId="400A0B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固废</w:t>
                  </w:r>
                </w:p>
              </w:tc>
              <w:tc>
                <w:tcPr>
                  <w:tcW w:w="1979" w:type="pct"/>
                  <w:noWrap w:val="0"/>
                  <w:vAlign w:val="center"/>
                </w:tcPr>
                <w:p w14:paraId="1C4841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一般固废间（</w:t>
                  </w:r>
                  <w:r>
                    <w:rPr>
                      <w:rFonts w:hint="eastAsia"/>
                      <w:color w:val="auto"/>
                      <w:highlight w:val="none"/>
                      <w:lang w:val="en-US" w:eastAsia="zh-CN"/>
                    </w:rPr>
                    <w:t>100</w:t>
                  </w:r>
                  <w:r>
                    <w:rPr>
                      <w:rFonts w:hint="default"/>
                      <w:color w:val="auto"/>
                      <w:highlight w:val="none"/>
                    </w:rPr>
                    <w:t>m</w:t>
                  </w:r>
                  <w:r>
                    <w:rPr>
                      <w:rFonts w:hint="default"/>
                      <w:color w:val="auto"/>
                      <w:highlight w:val="none"/>
                      <w:vertAlign w:val="superscript"/>
                    </w:rPr>
                    <w:t>2</w:t>
                  </w:r>
                  <w:r>
                    <w:rPr>
                      <w:rFonts w:hint="default"/>
                      <w:color w:val="auto"/>
                      <w:highlight w:val="none"/>
                    </w:rPr>
                    <w:t>）</w:t>
                  </w:r>
                </w:p>
              </w:tc>
              <w:tc>
                <w:tcPr>
                  <w:tcW w:w="945" w:type="pct"/>
                  <w:noWrap w:val="0"/>
                  <w:vAlign w:val="center"/>
                </w:tcPr>
                <w:p w14:paraId="3C4F387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3</w:t>
                  </w:r>
                </w:p>
              </w:tc>
              <w:tc>
                <w:tcPr>
                  <w:tcW w:w="887" w:type="pct"/>
                  <w:noWrap w:val="0"/>
                  <w:vAlign w:val="center"/>
                </w:tcPr>
                <w:p w14:paraId="5ECD44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val="en-US" w:eastAsia="zh-CN"/>
                    </w:rPr>
                    <w:t>新建</w:t>
                  </w:r>
                </w:p>
              </w:tc>
            </w:tr>
            <w:tr w14:paraId="5991AB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vMerge w:val="continue"/>
                  <w:noWrap w:val="0"/>
                  <w:vAlign w:val="center"/>
                </w:tcPr>
                <w:p w14:paraId="5D8ACCC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0" w:type="auto"/>
                  <w:vMerge w:val="continue"/>
                  <w:noWrap w:val="0"/>
                  <w:vAlign w:val="center"/>
                </w:tcPr>
                <w:p w14:paraId="38D622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1979" w:type="pct"/>
                  <w:noWrap w:val="0"/>
                  <w:vAlign w:val="center"/>
                </w:tcPr>
                <w:p w14:paraId="41B6E46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危废间（</w:t>
                  </w:r>
                  <w:r>
                    <w:rPr>
                      <w:rFonts w:hint="eastAsia"/>
                      <w:color w:val="auto"/>
                      <w:highlight w:val="none"/>
                      <w:lang w:val="en-US" w:eastAsia="zh-CN"/>
                    </w:rPr>
                    <w:t>30</w:t>
                  </w:r>
                  <w:r>
                    <w:rPr>
                      <w:rFonts w:hint="default"/>
                      <w:color w:val="auto"/>
                      <w:highlight w:val="none"/>
                    </w:rPr>
                    <w:t>m</w:t>
                  </w:r>
                  <w:r>
                    <w:rPr>
                      <w:rFonts w:hint="default"/>
                      <w:color w:val="auto"/>
                      <w:highlight w:val="none"/>
                      <w:vertAlign w:val="superscript"/>
                    </w:rPr>
                    <w:t>2</w:t>
                  </w:r>
                  <w:r>
                    <w:rPr>
                      <w:rFonts w:hint="default"/>
                      <w:color w:val="auto"/>
                      <w:highlight w:val="none"/>
                    </w:rPr>
                    <w:t>）、生活垃圾桶</w:t>
                  </w:r>
                </w:p>
              </w:tc>
              <w:tc>
                <w:tcPr>
                  <w:tcW w:w="945" w:type="pct"/>
                  <w:noWrap w:val="0"/>
                  <w:vAlign w:val="center"/>
                </w:tcPr>
                <w:p w14:paraId="7DF81D6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w:t>
                  </w:r>
                </w:p>
              </w:tc>
              <w:tc>
                <w:tcPr>
                  <w:tcW w:w="887" w:type="pct"/>
                  <w:noWrap w:val="0"/>
                  <w:vAlign w:val="center"/>
                </w:tcPr>
                <w:p w14:paraId="742127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lang w:eastAsia="zh-CN"/>
                    </w:rPr>
                    <w:t>依托租赁</w:t>
                  </w:r>
                </w:p>
              </w:tc>
            </w:tr>
            <w:tr w14:paraId="2BB9F1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60D24BF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4</w:t>
                  </w:r>
                </w:p>
              </w:tc>
              <w:tc>
                <w:tcPr>
                  <w:tcW w:w="0" w:type="auto"/>
                  <w:noWrap w:val="0"/>
                  <w:vAlign w:val="center"/>
                </w:tcPr>
                <w:p w14:paraId="338AE16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地下水、土壤</w:t>
                  </w:r>
                </w:p>
              </w:tc>
              <w:tc>
                <w:tcPr>
                  <w:tcW w:w="1979" w:type="pct"/>
                  <w:noWrap w:val="0"/>
                  <w:vAlign w:val="center"/>
                </w:tcPr>
                <w:p w14:paraId="108331E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分区防渗</w:t>
                  </w:r>
                </w:p>
              </w:tc>
              <w:tc>
                <w:tcPr>
                  <w:tcW w:w="945" w:type="pct"/>
                  <w:noWrap w:val="0"/>
                  <w:vAlign w:val="center"/>
                </w:tcPr>
                <w:p w14:paraId="37C24D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5</w:t>
                  </w:r>
                </w:p>
              </w:tc>
              <w:tc>
                <w:tcPr>
                  <w:tcW w:w="887" w:type="pct"/>
                  <w:noWrap w:val="0"/>
                  <w:vAlign w:val="center"/>
                </w:tcPr>
                <w:p w14:paraId="18CA8CC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eastAsia"/>
                      <w:color w:val="auto"/>
                      <w:highlight w:val="none"/>
                      <w:lang w:val="en-US" w:eastAsia="zh-CN"/>
                    </w:rPr>
                    <w:t>新建</w:t>
                  </w:r>
                </w:p>
              </w:tc>
            </w:tr>
            <w:tr w14:paraId="3A8EC1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5FF66E5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5</w:t>
                  </w:r>
                </w:p>
              </w:tc>
              <w:tc>
                <w:tcPr>
                  <w:tcW w:w="0" w:type="auto"/>
                  <w:noWrap w:val="0"/>
                  <w:vAlign w:val="center"/>
                </w:tcPr>
                <w:p w14:paraId="70CF40F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噪声防治</w:t>
                  </w:r>
                </w:p>
              </w:tc>
              <w:tc>
                <w:tcPr>
                  <w:tcW w:w="1979" w:type="pct"/>
                  <w:noWrap w:val="0"/>
                  <w:vAlign w:val="center"/>
                </w:tcPr>
                <w:p w14:paraId="2959F2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减震、隔声等</w:t>
                  </w:r>
                </w:p>
              </w:tc>
              <w:tc>
                <w:tcPr>
                  <w:tcW w:w="945" w:type="pct"/>
                  <w:noWrap w:val="0"/>
                  <w:vAlign w:val="center"/>
                </w:tcPr>
                <w:p w14:paraId="38B7313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3</w:t>
                  </w:r>
                </w:p>
              </w:tc>
              <w:tc>
                <w:tcPr>
                  <w:tcW w:w="887" w:type="pct"/>
                  <w:noWrap w:val="0"/>
                  <w:vAlign w:val="center"/>
                </w:tcPr>
                <w:p w14:paraId="5289A14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eastAsia="zh-CN"/>
                    </w:rPr>
                  </w:pPr>
                  <w:r>
                    <w:rPr>
                      <w:rFonts w:hint="eastAsia"/>
                      <w:color w:val="auto"/>
                      <w:highlight w:val="none"/>
                      <w:lang w:val="en-US" w:eastAsia="zh-CN"/>
                    </w:rPr>
                    <w:t>新建</w:t>
                  </w:r>
                </w:p>
              </w:tc>
            </w:tr>
            <w:tr w14:paraId="4FE68F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noWrap w:val="0"/>
                  <w:vAlign w:val="center"/>
                </w:tcPr>
                <w:p w14:paraId="2B346C0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val="en-US" w:eastAsia="zh-CN"/>
                    </w:rPr>
                  </w:pPr>
                  <w:r>
                    <w:rPr>
                      <w:rFonts w:hint="eastAsia"/>
                      <w:color w:val="FF0000"/>
                      <w:highlight w:val="none"/>
                      <w:lang w:val="en-US" w:eastAsia="zh-CN"/>
                    </w:rPr>
                    <w:t>6</w:t>
                  </w:r>
                </w:p>
              </w:tc>
              <w:tc>
                <w:tcPr>
                  <w:tcW w:w="0" w:type="auto"/>
                  <w:noWrap w:val="0"/>
                  <w:vAlign w:val="center"/>
                </w:tcPr>
                <w:p w14:paraId="03493BC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FF0000"/>
                      <w:highlight w:val="none"/>
                      <w:lang w:val="en-US" w:eastAsia="zh-CN"/>
                    </w:rPr>
                  </w:pPr>
                  <w:r>
                    <w:rPr>
                      <w:rFonts w:hint="eastAsia"/>
                      <w:color w:val="FF0000"/>
                      <w:highlight w:val="none"/>
                      <w:lang w:val="en-US" w:eastAsia="zh-CN"/>
                    </w:rPr>
                    <w:t>环境风险</w:t>
                  </w:r>
                </w:p>
              </w:tc>
              <w:tc>
                <w:tcPr>
                  <w:tcW w:w="1979" w:type="pct"/>
                  <w:noWrap w:val="0"/>
                  <w:vAlign w:val="center"/>
                </w:tcPr>
                <w:p w14:paraId="6A638F6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rPr>
                  </w:pPr>
                  <w:r>
                    <w:rPr>
                      <w:rFonts w:hint="eastAsia"/>
                      <w:color w:val="FF0000"/>
                      <w:highlight w:val="none"/>
                      <w:lang w:eastAsia="zh-CN"/>
                    </w:rPr>
                    <w:t>事故应急池、应急物资等</w:t>
                  </w:r>
                </w:p>
              </w:tc>
              <w:tc>
                <w:tcPr>
                  <w:tcW w:w="945" w:type="pct"/>
                  <w:noWrap w:val="0"/>
                  <w:vAlign w:val="center"/>
                </w:tcPr>
                <w:p w14:paraId="3373716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5</w:t>
                  </w:r>
                </w:p>
              </w:tc>
              <w:tc>
                <w:tcPr>
                  <w:tcW w:w="887" w:type="pct"/>
                  <w:noWrap w:val="0"/>
                  <w:vAlign w:val="center"/>
                </w:tcPr>
                <w:p w14:paraId="665E683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w:t>
                  </w:r>
                </w:p>
              </w:tc>
            </w:tr>
            <w:tr w14:paraId="50D450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0" w:type="auto"/>
                  <w:gridSpan w:val="2"/>
                  <w:noWrap w:val="0"/>
                  <w:vAlign w:val="center"/>
                </w:tcPr>
                <w:p w14:paraId="5D23D2A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总计</w:t>
                  </w:r>
                </w:p>
              </w:tc>
              <w:tc>
                <w:tcPr>
                  <w:tcW w:w="1979" w:type="pct"/>
                  <w:noWrap w:val="0"/>
                  <w:vAlign w:val="center"/>
                </w:tcPr>
                <w:p w14:paraId="6E7D203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w:t>
                  </w:r>
                </w:p>
              </w:tc>
              <w:tc>
                <w:tcPr>
                  <w:tcW w:w="945" w:type="pct"/>
                  <w:noWrap w:val="0"/>
                  <w:vAlign w:val="center"/>
                </w:tcPr>
                <w:p w14:paraId="1F3F43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FF0000"/>
                      <w:highlight w:val="none"/>
                      <w:lang w:val="en-US" w:eastAsia="zh-CN"/>
                    </w:rPr>
                    <w:t>36</w:t>
                  </w:r>
                </w:p>
              </w:tc>
              <w:tc>
                <w:tcPr>
                  <w:tcW w:w="887" w:type="pct"/>
                  <w:noWrap w:val="0"/>
                  <w:vAlign w:val="center"/>
                </w:tcPr>
                <w:p w14:paraId="20FC3D8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w:t>
                  </w:r>
                </w:p>
              </w:tc>
            </w:tr>
          </w:tbl>
          <w:p w14:paraId="7F01142C">
            <w:pPr>
              <w:pStyle w:val="76"/>
              <w:keepNext w:val="0"/>
              <w:keepLines w:val="0"/>
              <w:suppressLineNumbers w:val="0"/>
              <w:bidi w:val="0"/>
              <w:spacing w:before="0" w:beforeAutospacing="0" w:after="0" w:afterAutospacing="0"/>
              <w:ind w:left="0" w:right="0"/>
              <w:rPr>
                <w:rFonts w:hint="default" w:ascii="Times New Roman" w:hAnsi="Times New Roman"/>
                <w:snapToGrid w:val="0"/>
                <w:color w:val="auto"/>
                <w:sz w:val="30"/>
                <w:szCs w:val="30"/>
                <w:highlight w:val="none"/>
              </w:rPr>
            </w:pPr>
          </w:p>
        </w:tc>
      </w:tr>
    </w:tbl>
    <w:p w14:paraId="4DB74EF4">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1DC976CA">
      <w:pPr>
        <w:pStyle w:val="22"/>
        <w:spacing w:before="0" w:beforeAutospacing="0" w:after="0" w:afterAutospacing="0"/>
        <w:ind w:firstLine="600"/>
        <w:jc w:val="center"/>
        <w:outlineLvl w:val="0"/>
        <w:rPr>
          <w:rFonts w:ascii="黑体" w:hAnsi="黑体" w:eastAsia="黑体"/>
          <w:snapToGrid w:val="0"/>
          <w:color w:val="auto"/>
          <w:sz w:val="30"/>
          <w:szCs w:val="30"/>
          <w:highlight w:val="none"/>
        </w:rPr>
      </w:pPr>
      <w:bookmarkStart w:id="442" w:name="_Toc4774"/>
      <w:bookmarkStart w:id="443" w:name="_Toc12865"/>
      <w:bookmarkStart w:id="444" w:name="_Toc2503"/>
      <w:r>
        <w:rPr>
          <w:rFonts w:hint="eastAsia" w:ascii="黑体" w:hAnsi="黑体" w:eastAsia="黑体"/>
          <w:snapToGrid w:val="0"/>
          <w:color w:val="auto"/>
          <w:sz w:val="30"/>
          <w:szCs w:val="30"/>
          <w:highlight w:val="none"/>
        </w:rPr>
        <w:t>五、</w:t>
      </w:r>
      <w:bookmarkStart w:id="445" w:name="_Hlk54167917"/>
      <w:r>
        <w:rPr>
          <w:rFonts w:hint="eastAsia" w:ascii="黑体" w:hAnsi="黑体" w:eastAsia="黑体"/>
          <w:snapToGrid w:val="0"/>
          <w:color w:val="auto"/>
          <w:sz w:val="30"/>
          <w:szCs w:val="30"/>
          <w:highlight w:val="none"/>
        </w:rPr>
        <w:t>环境保护措施监督检查清单</w:t>
      </w:r>
      <w:bookmarkEnd w:id="442"/>
      <w:bookmarkEnd w:id="443"/>
      <w:bookmarkEnd w:id="444"/>
      <w:bookmarkEnd w:id="445"/>
    </w:p>
    <w:tbl>
      <w:tblPr>
        <w:tblStyle w:val="25"/>
        <w:tblW w:w="9133"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Layout w:type="fixed"/>
        <w:tblCellMar>
          <w:top w:w="0" w:type="dxa"/>
          <w:left w:w="108" w:type="dxa"/>
          <w:bottom w:w="0" w:type="dxa"/>
          <w:right w:w="108" w:type="dxa"/>
        </w:tblCellMar>
      </w:tblPr>
      <w:tblGrid>
        <w:gridCol w:w="1112"/>
        <w:gridCol w:w="1400"/>
        <w:gridCol w:w="1846"/>
        <w:gridCol w:w="2041"/>
        <w:gridCol w:w="2734"/>
      </w:tblGrid>
      <w:tr w14:paraId="7AEBE71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112" w:type="dxa"/>
            <w:noWrap w:val="0"/>
            <w:vAlign w:val="top"/>
          </w:tcPr>
          <w:p w14:paraId="71C3DDC3">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mc:AlternateContent>
                <mc:Choice Requires="wps">
                  <w:drawing>
                    <wp:anchor distT="0" distB="0" distL="114300" distR="114300" simplePos="0" relativeHeight="251660288" behindDoc="0" locked="0" layoutInCell="1" allowOverlap="1">
                      <wp:simplePos x="0" y="0"/>
                      <wp:positionH relativeFrom="column">
                        <wp:posOffset>-46355</wp:posOffset>
                      </wp:positionH>
                      <wp:positionV relativeFrom="paragraph">
                        <wp:posOffset>635</wp:posOffset>
                      </wp:positionV>
                      <wp:extent cx="659765" cy="512445"/>
                      <wp:effectExtent l="3175" t="3810" r="3810" b="17145"/>
                      <wp:wrapNone/>
                      <wp:docPr id="21" name="直接连接符 21"/>
                      <wp:cNvGraphicFramePr/>
                      <a:graphic xmlns:a="http://schemas.openxmlformats.org/drawingml/2006/main">
                        <a:graphicData uri="http://schemas.microsoft.com/office/word/2010/wordprocessingShape">
                          <wps:wsp>
                            <wps:cNvCnPr/>
                            <wps:spPr>
                              <a:xfrm>
                                <a:off x="0" y="0"/>
                                <a:ext cx="659765" cy="5124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3.65pt;margin-top:0.05pt;height:40.35pt;width:51.95pt;z-index:251660288;mso-width-relative:page;mso-height-relative:page;" filled="f" stroked="t" coordsize="21600,21600" o:gfxdata="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gURPvTAAAABQEAAA8AAAAAAAAAAQAgAAAAIgAAAGRycy9kb3ducmV2LnhtbFBLAQIU&#10;ABQAAAAIAIdO4kCof/wu+AEAAOoDAAAOAAAAAAAAAAEAIAAAACIBAABkcnMvZTJvRG9jLnhtbFBL&#10;BQYAAAAABgAGAFkBAACMBQAAAAA=&#10;">
                      <v:fill on="f" focussize="0,0"/>
                      <v:stroke color="#000000" joinstyle="round"/>
                      <v:imagedata o:title=""/>
                      <o:lock v:ext="edit" aspectratio="f"/>
                    </v:line>
                  </w:pict>
                </mc:Fallback>
              </mc:AlternateContent>
            </w:r>
            <w:r>
              <w:rPr>
                <w:rFonts w:hint="eastAsia"/>
                <w:color w:val="auto"/>
                <w:highlight w:val="none"/>
              </w:rPr>
              <w:t xml:space="preserve"> </w:t>
            </w:r>
            <w:r>
              <w:rPr>
                <w:rFonts w:hint="default"/>
                <w:color w:val="auto"/>
                <w:highlight w:val="none"/>
              </w:rPr>
              <w:t xml:space="preserve">   内容</w:t>
            </w:r>
          </w:p>
          <w:p w14:paraId="323532D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p w14:paraId="6B79680F">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jc w:val="both"/>
              <w:textAlignment w:val="auto"/>
              <w:rPr>
                <w:rFonts w:hint="default"/>
                <w:color w:val="auto"/>
                <w:highlight w:val="none"/>
              </w:rPr>
            </w:pPr>
            <w:r>
              <w:rPr>
                <w:rFonts w:hint="default"/>
                <w:color w:val="auto"/>
                <w:highlight w:val="none"/>
              </w:rPr>
              <w:t>要素</w:t>
            </w:r>
          </w:p>
        </w:tc>
        <w:tc>
          <w:tcPr>
            <w:tcW w:w="1400" w:type="dxa"/>
            <w:noWrap w:val="0"/>
            <w:vAlign w:val="center"/>
          </w:tcPr>
          <w:p w14:paraId="42B34AE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排放口(编号、名称)/污染源</w:t>
            </w:r>
          </w:p>
        </w:tc>
        <w:tc>
          <w:tcPr>
            <w:tcW w:w="1846" w:type="dxa"/>
            <w:noWrap w:val="0"/>
            <w:vAlign w:val="center"/>
          </w:tcPr>
          <w:p w14:paraId="22FD4522">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污染物项目</w:t>
            </w:r>
          </w:p>
        </w:tc>
        <w:tc>
          <w:tcPr>
            <w:tcW w:w="2041" w:type="dxa"/>
            <w:noWrap w:val="0"/>
            <w:vAlign w:val="center"/>
          </w:tcPr>
          <w:p w14:paraId="04886EC1">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环境保护措施</w:t>
            </w:r>
          </w:p>
        </w:tc>
        <w:tc>
          <w:tcPr>
            <w:tcW w:w="2734" w:type="dxa"/>
            <w:noWrap w:val="0"/>
            <w:vAlign w:val="center"/>
          </w:tcPr>
          <w:p w14:paraId="00551B6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执行标准</w:t>
            </w:r>
          </w:p>
        </w:tc>
      </w:tr>
      <w:tr w14:paraId="73F47F1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restart"/>
            <w:noWrap w:val="0"/>
            <w:vAlign w:val="center"/>
          </w:tcPr>
          <w:p w14:paraId="137B4380">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r>
              <w:rPr>
                <w:rFonts w:hint="eastAsia"/>
                <w:color w:val="auto"/>
                <w:highlight w:val="none"/>
              </w:rPr>
              <w:t>大气环境</w:t>
            </w:r>
          </w:p>
        </w:tc>
        <w:tc>
          <w:tcPr>
            <w:tcW w:w="1400" w:type="dxa"/>
            <w:vMerge w:val="restart"/>
            <w:noWrap w:val="0"/>
            <w:vAlign w:val="center"/>
          </w:tcPr>
          <w:p w14:paraId="41179A7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color w:val="FF0000"/>
                <w:highlight w:val="none"/>
              </w:rPr>
              <w:t>DA00</w:t>
            </w:r>
            <w:r>
              <w:rPr>
                <w:rFonts w:hint="eastAsia"/>
                <w:color w:val="FF0000"/>
                <w:highlight w:val="none"/>
                <w:lang w:val="en-US" w:eastAsia="zh-CN"/>
              </w:rPr>
              <w:t>3</w:t>
            </w:r>
            <w:r>
              <w:rPr>
                <w:rFonts w:hint="eastAsia"/>
                <w:color w:val="auto"/>
                <w:highlight w:val="none"/>
                <w:lang w:val="en-US" w:eastAsia="zh-CN"/>
              </w:rPr>
              <w:t>（</w:t>
            </w:r>
            <w:r>
              <w:rPr>
                <w:rFonts w:hint="eastAsia"/>
                <w:color w:val="auto"/>
                <w:highlight w:val="none"/>
              </w:rPr>
              <w:t>搅拌粉尘</w:t>
            </w:r>
            <w:r>
              <w:rPr>
                <w:rFonts w:hint="eastAsia"/>
                <w:color w:val="auto"/>
                <w:highlight w:val="none"/>
                <w:lang w:val="en-US" w:eastAsia="zh-CN"/>
              </w:rPr>
              <w:t>）</w:t>
            </w:r>
          </w:p>
        </w:tc>
        <w:tc>
          <w:tcPr>
            <w:tcW w:w="1846" w:type="dxa"/>
            <w:noWrap w:val="0"/>
            <w:vAlign w:val="center"/>
          </w:tcPr>
          <w:p w14:paraId="26C12C7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eastAsia="宋体"/>
                <w:color w:val="auto"/>
                <w:highlight w:val="none"/>
                <w:lang w:val="en-US" w:eastAsia="zh-CN"/>
              </w:rPr>
            </w:pPr>
            <w:r>
              <w:rPr>
                <w:rFonts w:hint="eastAsia"/>
                <w:color w:val="auto"/>
                <w:highlight w:val="none"/>
                <w:lang w:val="en-US" w:eastAsia="zh-CN"/>
              </w:rPr>
              <w:t>颗粒物</w:t>
            </w:r>
          </w:p>
        </w:tc>
        <w:tc>
          <w:tcPr>
            <w:tcW w:w="2041" w:type="dxa"/>
            <w:vMerge w:val="restart"/>
            <w:noWrap w:val="0"/>
            <w:vAlign w:val="center"/>
          </w:tcPr>
          <w:p w14:paraId="435377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eastAsia="宋体"/>
                <w:color w:val="auto"/>
                <w:highlight w:val="none"/>
                <w:lang w:val="en-US" w:eastAsia="zh-CN"/>
              </w:rPr>
            </w:pPr>
            <w:r>
              <w:rPr>
                <w:rFonts w:hint="eastAsia"/>
                <w:color w:val="auto"/>
                <w:highlight w:val="none"/>
                <w:lang w:val="en-US" w:eastAsia="zh-CN"/>
              </w:rPr>
              <w:t>密闭管道+布袋除尘</w:t>
            </w:r>
            <w:r>
              <w:rPr>
                <w:rFonts w:hint="eastAsia"/>
                <w:color w:val="auto"/>
                <w:highlight w:val="none"/>
              </w:rPr>
              <w:t>+</w:t>
            </w:r>
            <w:r>
              <w:rPr>
                <w:rFonts w:hint="eastAsia"/>
                <w:color w:val="auto"/>
                <w:highlight w:val="none"/>
                <w:lang w:val="en-US" w:eastAsia="zh-CN"/>
              </w:rPr>
              <w:t>20m</w:t>
            </w:r>
            <w:r>
              <w:rPr>
                <w:rFonts w:hint="eastAsia"/>
                <w:color w:val="auto"/>
                <w:highlight w:val="none"/>
              </w:rPr>
              <w:t>排气筒</w:t>
            </w:r>
            <w:r>
              <w:rPr>
                <w:rFonts w:hint="eastAsia"/>
                <w:color w:val="auto"/>
                <w:highlight w:val="none"/>
                <w:lang w:val="en-US" w:eastAsia="zh-CN"/>
              </w:rPr>
              <w:t>排放</w:t>
            </w:r>
          </w:p>
        </w:tc>
        <w:tc>
          <w:tcPr>
            <w:tcW w:w="2734" w:type="dxa"/>
            <w:tcBorders>
              <w:bottom w:val="single" w:color="auto" w:sz="4" w:space="0"/>
            </w:tcBorders>
            <w:noWrap w:val="0"/>
            <w:vAlign w:val="center"/>
          </w:tcPr>
          <w:p w14:paraId="54D39B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宋体" w:hAnsi="宋体" w:cs="宋体"/>
                <w:color w:val="auto"/>
                <w:highlight w:val="none"/>
                <w:lang w:bidi="ar"/>
              </w:rPr>
            </w:pPr>
            <w:r>
              <w:rPr>
                <w:rFonts w:hint="eastAsia"/>
                <w:color w:val="auto"/>
                <w:highlight w:val="none"/>
              </w:rPr>
              <w:t>《大气污染物综合排放标准》（GB16297-1996）</w:t>
            </w:r>
          </w:p>
        </w:tc>
      </w:tr>
      <w:tr w14:paraId="77D2870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5DC6153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p>
        </w:tc>
        <w:tc>
          <w:tcPr>
            <w:tcW w:w="1400" w:type="dxa"/>
            <w:vMerge w:val="continue"/>
            <w:noWrap w:val="0"/>
            <w:vAlign w:val="center"/>
          </w:tcPr>
          <w:p w14:paraId="18AE967F">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1846" w:type="dxa"/>
            <w:noWrap w:val="0"/>
            <w:vAlign w:val="center"/>
          </w:tcPr>
          <w:p w14:paraId="5AA5D28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rPr>
              <w:t>氟化物</w:t>
            </w:r>
          </w:p>
        </w:tc>
        <w:tc>
          <w:tcPr>
            <w:tcW w:w="2041" w:type="dxa"/>
            <w:vMerge w:val="continue"/>
            <w:noWrap w:val="0"/>
            <w:vAlign w:val="center"/>
          </w:tcPr>
          <w:p w14:paraId="039C31E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p>
        </w:tc>
        <w:tc>
          <w:tcPr>
            <w:tcW w:w="2734" w:type="dxa"/>
            <w:vMerge w:val="restart"/>
            <w:tcBorders>
              <w:bottom w:val="single" w:color="auto" w:sz="4" w:space="0"/>
            </w:tcBorders>
            <w:noWrap w:val="0"/>
            <w:vAlign w:val="center"/>
          </w:tcPr>
          <w:p w14:paraId="57F4E4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rPr>
            </w:pPr>
            <w:r>
              <w:rPr>
                <w:rFonts w:hint="eastAsia"/>
                <w:color w:val="auto"/>
                <w:highlight w:val="none"/>
              </w:rPr>
              <w:t>《无机化学工业污染物排放标准》（GB31573-2015）</w:t>
            </w:r>
          </w:p>
        </w:tc>
      </w:tr>
      <w:tr w14:paraId="0835945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3F32EA9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p>
        </w:tc>
        <w:tc>
          <w:tcPr>
            <w:tcW w:w="1400" w:type="dxa"/>
            <w:vMerge w:val="continue"/>
            <w:noWrap w:val="0"/>
            <w:vAlign w:val="center"/>
          </w:tcPr>
          <w:p w14:paraId="0DBC3DAC">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1846" w:type="dxa"/>
            <w:noWrap w:val="0"/>
            <w:vAlign w:val="center"/>
          </w:tcPr>
          <w:p w14:paraId="79B43EC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rPr>
              <w:t>铊及其化合物</w:t>
            </w:r>
          </w:p>
        </w:tc>
        <w:tc>
          <w:tcPr>
            <w:tcW w:w="2041" w:type="dxa"/>
            <w:vMerge w:val="continue"/>
            <w:noWrap w:val="0"/>
            <w:vAlign w:val="center"/>
          </w:tcPr>
          <w:p w14:paraId="3925791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p>
        </w:tc>
        <w:tc>
          <w:tcPr>
            <w:tcW w:w="2734" w:type="dxa"/>
            <w:vMerge w:val="continue"/>
            <w:tcBorders>
              <w:bottom w:val="single" w:color="auto" w:sz="4" w:space="0"/>
            </w:tcBorders>
            <w:noWrap w:val="0"/>
            <w:vAlign w:val="center"/>
          </w:tcPr>
          <w:p w14:paraId="64DEC1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rPr>
            </w:pPr>
          </w:p>
        </w:tc>
      </w:tr>
      <w:tr w14:paraId="782DB0E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08" w:hRule="atLeast"/>
          <w:jc w:val="center"/>
        </w:trPr>
        <w:tc>
          <w:tcPr>
            <w:tcW w:w="1112" w:type="dxa"/>
            <w:vMerge w:val="continue"/>
            <w:noWrap w:val="0"/>
            <w:vAlign w:val="center"/>
          </w:tcPr>
          <w:p w14:paraId="20DCA528">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p>
        </w:tc>
        <w:tc>
          <w:tcPr>
            <w:tcW w:w="1400" w:type="dxa"/>
            <w:vMerge w:val="restart"/>
            <w:noWrap w:val="0"/>
            <w:vAlign w:val="center"/>
          </w:tcPr>
          <w:p w14:paraId="1974A9C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lang w:val="en-US" w:eastAsia="zh-CN"/>
              </w:rPr>
            </w:pPr>
            <w:r>
              <w:rPr>
                <w:rFonts w:hint="eastAsia"/>
                <w:color w:val="FF0000"/>
                <w:highlight w:val="none"/>
              </w:rPr>
              <w:t>DA00</w:t>
            </w:r>
            <w:r>
              <w:rPr>
                <w:rFonts w:hint="eastAsia"/>
                <w:color w:val="FF0000"/>
                <w:highlight w:val="none"/>
                <w:lang w:val="en-US" w:eastAsia="zh-CN"/>
              </w:rPr>
              <w:t>4</w:t>
            </w:r>
            <w:r>
              <w:rPr>
                <w:rFonts w:hint="eastAsia"/>
                <w:color w:val="auto"/>
                <w:highlight w:val="none"/>
                <w:lang w:val="en-US" w:eastAsia="zh-CN"/>
              </w:rPr>
              <w:t>（破碎筛分粉尘）</w:t>
            </w:r>
          </w:p>
        </w:tc>
        <w:tc>
          <w:tcPr>
            <w:tcW w:w="1846" w:type="dxa"/>
            <w:noWrap w:val="0"/>
            <w:vAlign w:val="center"/>
          </w:tcPr>
          <w:p w14:paraId="5C5520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lang w:val="en-US" w:eastAsia="zh-CN"/>
              </w:rPr>
              <w:t>颗粒物</w:t>
            </w:r>
          </w:p>
        </w:tc>
        <w:tc>
          <w:tcPr>
            <w:tcW w:w="2041" w:type="dxa"/>
            <w:vMerge w:val="restart"/>
            <w:noWrap w:val="0"/>
            <w:vAlign w:val="center"/>
          </w:tcPr>
          <w:p w14:paraId="7AA71F27">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r>
              <w:rPr>
                <w:rFonts w:hint="eastAsia"/>
                <w:color w:val="auto"/>
                <w:highlight w:val="none"/>
                <w:lang w:val="en-US" w:eastAsia="zh-CN"/>
              </w:rPr>
              <w:t>集气罩+布袋除尘</w:t>
            </w:r>
            <w:r>
              <w:rPr>
                <w:rFonts w:hint="eastAsia"/>
                <w:color w:val="auto"/>
                <w:highlight w:val="none"/>
              </w:rPr>
              <w:t>+</w:t>
            </w:r>
            <w:r>
              <w:rPr>
                <w:rFonts w:hint="eastAsia"/>
                <w:color w:val="auto"/>
                <w:highlight w:val="none"/>
                <w:lang w:val="en-US" w:eastAsia="zh-CN"/>
              </w:rPr>
              <w:t>20m</w:t>
            </w:r>
            <w:r>
              <w:rPr>
                <w:rFonts w:hint="eastAsia"/>
                <w:color w:val="auto"/>
                <w:highlight w:val="none"/>
              </w:rPr>
              <w:t>排气筒</w:t>
            </w:r>
            <w:r>
              <w:rPr>
                <w:rFonts w:hint="eastAsia"/>
                <w:color w:val="auto"/>
                <w:highlight w:val="none"/>
                <w:lang w:val="en-US" w:eastAsia="zh-CN"/>
              </w:rPr>
              <w:t>排放</w:t>
            </w:r>
          </w:p>
        </w:tc>
        <w:tc>
          <w:tcPr>
            <w:tcW w:w="2734" w:type="dxa"/>
            <w:noWrap w:val="0"/>
            <w:vAlign w:val="center"/>
          </w:tcPr>
          <w:p w14:paraId="7296562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宋体" w:hAnsi="宋体" w:cs="宋体"/>
                <w:color w:val="auto"/>
                <w:highlight w:val="none"/>
                <w:lang w:bidi="ar"/>
              </w:rPr>
            </w:pPr>
            <w:r>
              <w:rPr>
                <w:rFonts w:hint="eastAsia"/>
                <w:color w:val="auto"/>
                <w:highlight w:val="none"/>
              </w:rPr>
              <w:t>《大气污染物综合排放标准》（GB16297-1996）</w:t>
            </w:r>
          </w:p>
        </w:tc>
      </w:tr>
      <w:tr w14:paraId="04B1905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PrEx>
        <w:trPr>
          <w:trHeight w:val="308" w:hRule="atLeast"/>
          <w:jc w:val="center"/>
        </w:trPr>
        <w:tc>
          <w:tcPr>
            <w:tcW w:w="1112" w:type="dxa"/>
            <w:vMerge w:val="continue"/>
            <w:noWrap w:val="0"/>
            <w:vAlign w:val="center"/>
          </w:tcPr>
          <w:p w14:paraId="7A9313F4">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400" w:type="dxa"/>
            <w:vMerge w:val="continue"/>
            <w:noWrap w:val="0"/>
            <w:vAlign w:val="center"/>
          </w:tcPr>
          <w:p w14:paraId="3FA756EE">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846" w:type="dxa"/>
            <w:noWrap w:val="0"/>
            <w:vAlign w:val="center"/>
          </w:tcPr>
          <w:p w14:paraId="7C379E9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rPr>
              <w:t>氟化物</w:t>
            </w:r>
          </w:p>
        </w:tc>
        <w:tc>
          <w:tcPr>
            <w:tcW w:w="2041" w:type="dxa"/>
            <w:vMerge w:val="continue"/>
            <w:noWrap w:val="0"/>
            <w:vAlign w:val="center"/>
          </w:tcPr>
          <w:p w14:paraId="45606869">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2734" w:type="dxa"/>
            <w:vMerge w:val="restart"/>
            <w:noWrap w:val="0"/>
            <w:vAlign w:val="center"/>
          </w:tcPr>
          <w:p w14:paraId="20C1C56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rPr>
              <w:t>《无机化学工业污染物排放标准》（GB31573-2015）</w:t>
            </w:r>
          </w:p>
        </w:tc>
      </w:tr>
      <w:tr w14:paraId="09BEEC1B">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08" w:hRule="atLeast"/>
          <w:jc w:val="center"/>
        </w:trPr>
        <w:tc>
          <w:tcPr>
            <w:tcW w:w="1112" w:type="dxa"/>
            <w:vMerge w:val="continue"/>
            <w:noWrap w:val="0"/>
            <w:vAlign w:val="center"/>
          </w:tcPr>
          <w:p w14:paraId="59AC6C7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1400" w:type="dxa"/>
            <w:vMerge w:val="continue"/>
            <w:noWrap w:val="0"/>
            <w:vAlign w:val="center"/>
          </w:tcPr>
          <w:p w14:paraId="0D70B0FF">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1846" w:type="dxa"/>
            <w:noWrap w:val="0"/>
            <w:vAlign w:val="center"/>
          </w:tcPr>
          <w:p w14:paraId="45207E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rPr>
              <w:t>铊及其化合物</w:t>
            </w:r>
          </w:p>
        </w:tc>
        <w:tc>
          <w:tcPr>
            <w:tcW w:w="2041" w:type="dxa"/>
            <w:vMerge w:val="continue"/>
            <w:noWrap w:val="0"/>
            <w:vAlign w:val="center"/>
          </w:tcPr>
          <w:p w14:paraId="68B7D3C5">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c>
          <w:tcPr>
            <w:tcW w:w="2734" w:type="dxa"/>
            <w:vMerge w:val="continue"/>
            <w:tcBorders>
              <w:bottom w:val="single" w:color="auto" w:sz="4" w:space="0"/>
            </w:tcBorders>
            <w:noWrap w:val="0"/>
            <w:vAlign w:val="center"/>
          </w:tcPr>
          <w:p w14:paraId="2BF20914">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lang w:val="en-US" w:eastAsia="zh-CN"/>
              </w:rPr>
            </w:pPr>
          </w:p>
        </w:tc>
      </w:tr>
      <w:tr w14:paraId="786A151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604" w:hRule="atLeast"/>
          <w:jc w:val="center"/>
        </w:trPr>
        <w:tc>
          <w:tcPr>
            <w:tcW w:w="1112" w:type="dxa"/>
            <w:vMerge w:val="continue"/>
            <w:noWrap w:val="0"/>
            <w:vAlign w:val="center"/>
          </w:tcPr>
          <w:p w14:paraId="45958C4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p>
        </w:tc>
        <w:tc>
          <w:tcPr>
            <w:tcW w:w="1400" w:type="dxa"/>
            <w:noWrap w:val="0"/>
            <w:vAlign w:val="center"/>
          </w:tcPr>
          <w:p w14:paraId="4F6CCAE5">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无组织排放</w:t>
            </w:r>
          </w:p>
        </w:tc>
        <w:tc>
          <w:tcPr>
            <w:tcW w:w="1846" w:type="dxa"/>
            <w:noWrap w:val="0"/>
            <w:vAlign w:val="center"/>
          </w:tcPr>
          <w:p w14:paraId="7866B85C">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r>
              <w:rPr>
                <w:rFonts w:hint="eastAsia"/>
                <w:color w:val="auto"/>
                <w:highlight w:val="none"/>
                <w:lang w:val="en-US" w:eastAsia="zh-CN"/>
              </w:rPr>
              <w:t>颗粒物（卸料粉尘、</w:t>
            </w:r>
            <w:r>
              <w:rPr>
                <w:rFonts w:hint="eastAsia"/>
                <w:color w:val="auto"/>
                <w:highlight w:val="none"/>
              </w:rPr>
              <w:t>投料</w:t>
            </w:r>
            <w:r>
              <w:rPr>
                <w:rFonts w:hint="eastAsia"/>
                <w:color w:val="auto"/>
                <w:highlight w:val="none"/>
                <w:lang w:eastAsia="zh-CN"/>
              </w:rPr>
              <w:t>及转运</w:t>
            </w:r>
            <w:r>
              <w:rPr>
                <w:rFonts w:hint="eastAsia"/>
                <w:color w:val="auto"/>
                <w:highlight w:val="none"/>
              </w:rPr>
              <w:t>粉尘、料仓呼吸粉尘、搅拌粉尘、</w:t>
            </w:r>
            <w:r>
              <w:rPr>
                <w:rFonts w:hint="eastAsia"/>
                <w:color w:val="auto"/>
                <w:highlight w:val="none"/>
                <w:lang w:eastAsia="zh-CN"/>
              </w:rPr>
              <w:t>破碎及筛分粉尘</w:t>
            </w:r>
            <w:r>
              <w:rPr>
                <w:rFonts w:hint="eastAsia"/>
                <w:color w:val="auto"/>
                <w:highlight w:val="none"/>
                <w:lang w:val="en-US" w:eastAsia="zh-CN"/>
              </w:rPr>
              <w:t>储运粉尘、</w:t>
            </w:r>
            <w:r>
              <w:rPr>
                <w:rFonts w:hint="eastAsia" w:ascii="Times New Roman" w:eastAsia="宋体"/>
                <w:color w:val="auto"/>
                <w:szCs w:val="21"/>
                <w:highlight w:val="none"/>
                <w:lang w:val="en-US" w:eastAsia="zh-CN"/>
              </w:rPr>
              <w:t>运输扬尘</w:t>
            </w:r>
            <w:r>
              <w:rPr>
                <w:rFonts w:hint="eastAsia"/>
                <w:color w:val="auto"/>
                <w:szCs w:val="21"/>
                <w:highlight w:val="none"/>
                <w:lang w:val="en-US" w:eastAsia="zh-CN"/>
              </w:rPr>
              <w:t>）</w:t>
            </w:r>
          </w:p>
        </w:tc>
        <w:tc>
          <w:tcPr>
            <w:tcW w:w="2041" w:type="dxa"/>
            <w:noWrap w:val="0"/>
            <w:vAlign w:val="center"/>
          </w:tcPr>
          <w:p w14:paraId="2A31897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ascii="Times New Roman" w:eastAsia="宋体"/>
                <w:color w:val="auto"/>
                <w:highlight w:val="none"/>
                <w:lang w:val="en-US" w:eastAsia="zh-CN"/>
              </w:rPr>
              <w:t>沉降+洒水</w:t>
            </w:r>
          </w:p>
        </w:tc>
        <w:tc>
          <w:tcPr>
            <w:tcW w:w="2734" w:type="dxa"/>
            <w:tcBorders>
              <w:bottom w:val="single" w:color="auto" w:sz="4" w:space="0"/>
            </w:tcBorders>
            <w:noWrap w:val="0"/>
            <w:vAlign w:val="center"/>
          </w:tcPr>
          <w:p w14:paraId="1283B6C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ascii="宋体" w:hAnsi="宋体" w:eastAsia="宋体" w:cs="宋体"/>
                <w:color w:val="auto"/>
                <w:highlight w:val="none"/>
                <w:lang w:eastAsia="zh-CN" w:bidi="ar"/>
              </w:rPr>
            </w:pPr>
            <w:r>
              <w:rPr>
                <w:rFonts w:hint="eastAsia"/>
                <w:color w:val="auto"/>
                <w:highlight w:val="none"/>
              </w:rPr>
              <w:t>《大气污染物综合排放标准》（GB16297-1996）</w:t>
            </w:r>
            <w:r>
              <w:rPr>
                <w:rFonts w:hint="eastAsia"/>
                <w:color w:val="auto"/>
                <w:highlight w:val="none"/>
                <w:lang w:eastAsia="zh-CN"/>
              </w:rPr>
              <w:t>、《无机化学工业污染物排放标准》（GB31573-2015）</w:t>
            </w:r>
          </w:p>
        </w:tc>
      </w:tr>
      <w:tr w14:paraId="2BA60B89">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994" w:hRule="atLeast"/>
          <w:jc w:val="center"/>
        </w:trPr>
        <w:tc>
          <w:tcPr>
            <w:tcW w:w="1112" w:type="dxa"/>
            <w:vMerge w:val="restart"/>
            <w:tcBorders>
              <w:top w:val="single" w:color="000000" w:sz="8" w:space="0"/>
            </w:tcBorders>
            <w:noWrap w:val="0"/>
            <w:vAlign w:val="center"/>
          </w:tcPr>
          <w:p w14:paraId="5CB4D2F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地表水环境</w:t>
            </w:r>
          </w:p>
        </w:tc>
        <w:tc>
          <w:tcPr>
            <w:tcW w:w="1400" w:type="dxa"/>
            <w:noWrap w:val="0"/>
            <w:vAlign w:val="center"/>
          </w:tcPr>
          <w:p w14:paraId="58FFC4BB">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渗滤液和清洗用水</w:t>
            </w:r>
          </w:p>
        </w:tc>
        <w:tc>
          <w:tcPr>
            <w:tcW w:w="1846" w:type="dxa"/>
            <w:noWrap w:val="0"/>
            <w:vAlign w:val="center"/>
          </w:tcPr>
          <w:p w14:paraId="15CC5561">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val="en-US"/>
              </w:rPr>
            </w:pPr>
            <w:r>
              <w:rPr>
                <w:rFonts w:hint="default" w:ascii="Times New Roman" w:hAnsi="Times New Roman" w:cs="Times New Roman"/>
                <w:color w:val="auto"/>
                <w:highlight w:val="none"/>
                <w:lang w:val="en-US" w:eastAsia="zh-CN"/>
              </w:rPr>
              <w:t>SS、总铊、总氟</w:t>
            </w:r>
          </w:p>
        </w:tc>
        <w:tc>
          <w:tcPr>
            <w:tcW w:w="2041" w:type="dxa"/>
            <w:noWrap w:val="0"/>
            <w:vAlign w:val="center"/>
          </w:tcPr>
          <w:p w14:paraId="18AAD70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经渗滤液池</w:t>
            </w:r>
            <w:r>
              <w:rPr>
                <w:rFonts w:hint="eastAsia" w:ascii="Times New Roman" w:hAnsi="Times New Roman" w:cs="Times New Roman"/>
                <w:color w:val="auto"/>
                <w:highlight w:val="none"/>
                <w:lang w:eastAsia="zh-CN" w:bidi="ar"/>
              </w:rPr>
              <w:t>（</w:t>
            </w:r>
            <w:r>
              <w:rPr>
                <w:rFonts w:hint="default" w:ascii="Times New Roman" w:hAnsi="Times New Roman" w:cs="Times New Roman"/>
                <w:color w:val="auto"/>
                <w:highlight w:val="none"/>
                <w:lang w:bidi="ar"/>
              </w:rPr>
              <w:t>100m</w:t>
            </w:r>
            <w:r>
              <w:rPr>
                <w:rFonts w:hint="eastAsia" w:ascii="Times New Roman" w:hAnsi="Times New Roman" w:cs="Times New Roman"/>
                <w:color w:val="auto"/>
                <w:highlight w:val="none"/>
                <w:vertAlign w:val="superscript"/>
                <w:lang w:val="en-US" w:eastAsia="zh-CN" w:bidi="ar"/>
              </w:rPr>
              <w:t>3</w:t>
            </w:r>
            <w:r>
              <w:rPr>
                <w:rFonts w:hint="eastAsia" w:ascii="Times New Roman" w:hAnsi="Times New Roman" w:cs="Times New Roman"/>
                <w:color w:val="auto"/>
                <w:highlight w:val="none"/>
                <w:lang w:eastAsia="zh-CN" w:bidi="ar"/>
              </w:rPr>
              <w:t>）</w:t>
            </w:r>
            <w:r>
              <w:rPr>
                <w:rFonts w:hint="default" w:ascii="Times New Roman" w:hAnsi="Times New Roman" w:cs="Times New Roman"/>
                <w:color w:val="auto"/>
                <w:highlight w:val="none"/>
                <w:lang w:bidi="ar"/>
              </w:rPr>
              <w:t>收集后，回用于</w:t>
            </w:r>
            <w:r>
              <w:rPr>
                <w:rFonts w:hint="eastAsia" w:ascii="Times New Roman" w:hAnsi="Times New Roman" w:cs="Times New Roman"/>
                <w:color w:val="auto"/>
                <w:highlight w:val="none"/>
                <w:lang w:val="en-US" w:eastAsia="zh-CN" w:bidi="ar"/>
              </w:rPr>
              <w:t>搅拌</w:t>
            </w:r>
          </w:p>
        </w:tc>
        <w:tc>
          <w:tcPr>
            <w:tcW w:w="2734" w:type="dxa"/>
            <w:tcBorders>
              <w:top w:val="single" w:color="auto" w:sz="4" w:space="0"/>
            </w:tcBorders>
            <w:noWrap w:val="0"/>
            <w:vAlign w:val="center"/>
          </w:tcPr>
          <w:p w14:paraId="07F0DC52">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val="en-US" w:eastAsia="zh-CN" w:bidi="ar"/>
              </w:rPr>
            </w:pPr>
            <w:r>
              <w:rPr>
                <w:rFonts w:hint="default" w:ascii="Times New Roman" w:hAnsi="Times New Roman" w:cs="Times New Roman"/>
                <w:color w:val="auto"/>
                <w:highlight w:val="none"/>
                <w:lang w:val="en-US" w:eastAsia="zh-CN" w:bidi="ar"/>
              </w:rPr>
              <w:t>/</w:t>
            </w:r>
          </w:p>
        </w:tc>
      </w:tr>
      <w:tr w14:paraId="26507503">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219" w:hRule="atLeast"/>
          <w:jc w:val="center"/>
        </w:trPr>
        <w:tc>
          <w:tcPr>
            <w:tcW w:w="1112" w:type="dxa"/>
            <w:vMerge w:val="continue"/>
            <w:noWrap w:val="0"/>
            <w:vAlign w:val="center"/>
          </w:tcPr>
          <w:p w14:paraId="15E2224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400" w:type="dxa"/>
            <w:noWrap w:val="0"/>
            <w:vAlign w:val="center"/>
          </w:tcPr>
          <w:p w14:paraId="4F522073">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洗车用水和养护用水</w:t>
            </w:r>
          </w:p>
        </w:tc>
        <w:tc>
          <w:tcPr>
            <w:tcW w:w="1846" w:type="dxa"/>
            <w:noWrap w:val="0"/>
            <w:vAlign w:val="center"/>
          </w:tcPr>
          <w:p w14:paraId="4B141A88">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SS、总铊、总氟</w:t>
            </w:r>
          </w:p>
        </w:tc>
        <w:tc>
          <w:tcPr>
            <w:tcW w:w="2041" w:type="dxa"/>
            <w:noWrap w:val="0"/>
            <w:vAlign w:val="center"/>
          </w:tcPr>
          <w:p w14:paraId="68BD0111">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eastAsia="zh-CN"/>
              </w:rPr>
              <w:t>收集至</w:t>
            </w:r>
            <w:r>
              <w:rPr>
                <w:rFonts w:hint="default" w:ascii="Times New Roman" w:hAnsi="Times New Roman" w:cs="Times New Roman"/>
                <w:color w:val="auto"/>
                <w:highlight w:val="none"/>
              </w:rPr>
              <w:t>沉淀</w:t>
            </w:r>
            <w:r>
              <w:rPr>
                <w:rFonts w:hint="default" w:ascii="Times New Roman" w:hAnsi="Times New Roman" w:cs="Times New Roman"/>
                <w:color w:val="auto"/>
                <w:highlight w:val="none"/>
                <w:lang w:val="en-US" w:eastAsia="zh-CN"/>
              </w:rPr>
              <w:t>池沉淀</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采用絮凝</w:t>
            </w:r>
            <w:r>
              <w:rPr>
                <w:rFonts w:hint="default" w:ascii="Times New Roman" w:hAnsi="Times New Roman" w:cs="Times New Roman"/>
                <w:color w:val="auto"/>
                <w:highlight w:val="none"/>
                <w:lang w:eastAsia="zh-CN"/>
              </w:rPr>
              <w:t>沉淀处理</w:t>
            </w:r>
            <w:r>
              <w:rPr>
                <w:rFonts w:hint="default" w:ascii="Times New Roman" w:hAnsi="Times New Roman" w:cs="Times New Roman"/>
                <w:color w:val="auto"/>
                <w:highlight w:val="none"/>
                <w:lang w:val="en-US" w:eastAsia="zh-CN"/>
              </w:rPr>
              <w:t>去铊</w:t>
            </w:r>
            <w:r>
              <w:rPr>
                <w:rFonts w:hint="default" w:ascii="Times New Roman" w:hAnsi="Times New Roman" w:cs="Times New Roman"/>
                <w:color w:val="auto"/>
                <w:highlight w:val="none"/>
                <w:lang w:eastAsia="zh-CN"/>
              </w:rPr>
              <w:t>后回用于洗</w:t>
            </w:r>
            <w:r>
              <w:rPr>
                <w:rFonts w:hint="default" w:ascii="Times New Roman" w:hAnsi="Times New Roman" w:cs="Times New Roman"/>
                <w:color w:val="auto"/>
                <w:highlight w:val="none"/>
                <w:lang w:val="en-US" w:eastAsia="zh-CN"/>
              </w:rPr>
              <w:t>车</w:t>
            </w:r>
          </w:p>
        </w:tc>
        <w:tc>
          <w:tcPr>
            <w:tcW w:w="2734" w:type="dxa"/>
            <w:tcBorders>
              <w:top w:val="single" w:color="auto" w:sz="4" w:space="0"/>
            </w:tcBorders>
            <w:noWrap w:val="0"/>
            <w:vAlign w:val="center"/>
          </w:tcPr>
          <w:p w14:paraId="4AFB335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Times New Roman" w:hAnsi="Times New Roman" w:cs="Times New Roman"/>
                <w:color w:val="auto"/>
                <w:highlight w:val="none"/>
                <w:lang w:val="en-US" w:eastAsia="zh-CN" w:bidi="ar"/>
              </w:rPr>
            </w:pPr>
            <w:r>
              <w:rPr>
                <w:rFonts w:hint="default" w:ascii="Times New Roman" w:hAnsi="Times New Roman" w:cs="Times New Roman"/>
                <w:color w:val="FF0000"/>
                <w:highlight w:val="none"/>
                <w:lang w:eastAsia="zh-CN"/>
              </w:rPr>
              <w:t>《城市污水再生利用工业用水水质》（GB/T19923-2024）中洗涤水标准</w:t>
            </w:r>
            <w:r>
              <w:rPr>
                <w:rFonts w:hint="eastAsia" w:cs="Times New Roman"/>
                <w:color w:val="FF0000"/>
                <w:highlight w:val="none"/>
                <w:lang w:eastAsia="zh-CN"/>
              </w:rPr>
              <w:t>、《无机化学工业污染物排放标准》（GB31573-2015）、《工业废水铊污染物排放标准》（DB36/1149-2019）中较严值</w:t>
            </w:r>
          </w:p>
        </w:tc>
      </w:tr>
      <w:tr w14:paraId="2CECBFB7">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949" w:hRule="atLeast"/>
          <w:jc w:val="center"/>
        </w:trPr>
        <w:tc>
          <w:tcPr>
            <w:tcW w:w="1112" w:type="dxa"/>
            <w:vMerge w:val="continue"/>
            <w:noWrap w:val="0"/>
            <w:vAlign w:val="center"/>
          </w:tcPr>
          <w:p w14:paraId="742E3F1E">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p>
        </w:tc>
        <w:tc>
          <w:tcPr>
            <w:tcW w:w="1400" w:type="dxa"/>
            <w:noWrap w:val="0"/>
            <w:vAlign w:val="center"/>
          </w:tcPr>
          <w:p w14:paraId="5958AFA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生活污水</w:t>
            </w:r>
          </w:p>
        </w:tc>
        <w:tc>
          <w:tcPr>
            <w:tcW w:w="1846" w:type="dxa"/>
            <w:noWrap w:val="0"/>
            <w:vAlign w:val="center"/>
          </w:tcPr>
          <w:p w14:paraId="400A25D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color w:val="auto"/>
                <w:highlight w:val="none"/>
              </w:rPr>
              <w:t>pH、</w:t>
            </w:r>
            <w:r>
              <w:rPr>
                <w:rFonts w:hint="default"/>
                <w:color w:val="auto"/>
                <w:highlight w:val="none"/>
              </w:rPr>
              <w:t>SS</w:t>
            </w:r>
            <w:r>
              <w:rPr>
                <w:rFonts w:hint="eastAsia"/>
                <w:color w:val="auto"/>
                <w:highlight w:val="none"/>
              </w:rPr>
              <w:t>、COD</w:t>
            </w:r>
            <w:r>
              <w:rPr>
                <w:rFonts w:hint="default"/>
                <w:color w:val="auto"/>
                <w:highlight w:val="none"/>
                <w:vertAlign w:val="subscript"/>
              </w:rPr>
              <w:t>C</w:t>
            </w:r>
            <w:r>
              <w:rPr>
                <w:rFonts w:hint="eastAsia"/>
                <w:color w:val="auto"/>
                <w:highlight w:val="none"/>
                <w:vertAlign w:val="subscript"/>
              </w:rPr>
              <w:t>r</w:t>
            </w:r>
          </w:p>
          <w:p w14:paraId="36456F0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default"/>
                <w:color w:val="auto"/>
                <w:highlight w:val="none"/>
              </w:rPr>
              <w:t>BOD</w:t>
            </w:r>
            <w:r>
              <w:rPr>
                <w:rFonts w:hint="eastAsia"/>
                <w:color w:val="auto"/>
                <w:highlight w:val="none"/>
                <w:vertAlign w:val="subscript"/>
              </w:rPr>
              <w:t>5</w:t>
            </w:r>
            <w:r>
              <w:rPr>
                <w:rFonts w:hint="eastAsia"/>
                <w:color w:val="auto"/>
                <w:highlight w:val="none"/>
              </w:rPr>
              <w:t>、NH</w:t>
            </w:r>
            <w:r>
              <w:rPr>
                <w:rFonts w:hint="eastAsia"/>
                <w:color w:val="auto"/>
                <w:highlight w:val="none"/>
                <w:vertAlign w:val="subscript"/>
              </w:rPr>
              <w:t>3</w:t>
            </w:r>
            <w:r>
              <w:rPr>
                <w:rFonts w:hint="eastAsia"/>
                <w:color w:val="auto"/>
                <w:highlight w:val="none"/>
              </w:rPr>
              <w:t>-N、</w:t>
            </w:r>
            <w:r>
              <w:rPr>
                <w:rFonts w:hint="eastAsia"/>
                <w:color w:val="auto"/>
                <w:highlight w:val="none"/>
                <w:lang w:val="en-US" w:eastAsia="zh-CN"/>
              </w:rPr>
              <w:t>TN、TP、动植物油、铊</w:t>
            </w:r>
          </w:p>
        </w:tc>
        <w:tc>
          <w:tcPr>
            <w:tcW w:w="2041" w:type="dxa"/>
            <w:noWrap w:val="0"/>
            <w:vAlign w:val="center"/>
          </w:tcPr>
          <w:p w14:paraId="1C454FFB">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ascii="宋体" w:hAnsi="宋体" w:cs="宋体"/>
                <w:color w:val="auto"/>
                <w:highlight w:val="none"/>
                <w:lang w:bidi="ar"/>
              </w:rPr>
              <w:t>经</w:t>
            </w:r>
            <w:r>
              <w:rPr>
                <w:rFonts w:hint="eastAsia" w:ascii="宋体" w:hAnsi="宋体" w:cs="宋体"/>
                <w:color w:val="auto"/>
                <w:highlight w:val="none"/>
                <w:lang w:val="en-US" w:eastAsia="zh-CN" w:bidi="ar"/>
              </w:rPr>
              <w:t>隔油池、</w:t>
            </w:r>
            <w:r>
              <w:rPr>
                <w:rFonts w:hint="eastAsia" w:ascii="宋体" w:hAnsi="宋体" w:cs="宋体"/>
                <w:color w:val="auto"/>
                <w:highlight w:val="none"/>
                <w:lang w:bidi="ar"/>
              </w:rPr>
              <w:t>化粪池</w:t>
            </w:r>
            <w:r>
              <w:rPr>
                <w:rFonts w:hint="default" w:ascii="Times New Roman" w:hAnsi="Times New Roman" w:cs="Times New Roman"/>
                <w:color w:val="auto"/>
                <w:highlight w:val="none"/>
                <w:lang w:eastAsia="zh-CN" w:bidi="ar"/>
              </w:rPr>
              <w:t>（</w:t>
            </w:r>
            <w:r>
              <w:rPr>
                <w:rFonts w:hint="default" w:ascii="Times New Roman" w:hAnsi="Times New Roman" w:cs="Times New Roman"/>
                <w:color w:val="auto"/>
                <w:highlight w:val="none"/>
                <w:lang w:val="en-US" w:eastAsia="zh-CN" w:bidi="ar"/>
              </w:rPr>
              <w:t>10t/d</w:t>
            </w:r>
            <w:r>
              <w:rPr>
                <w:rFonts w:hint="default" w:ascii="Times New Roman" w:hAnsi="Times New Roman" w:cs="Times New Roman"/>
                <w:color w:val="auto"/>
                <w:highlight w:val="none"/>
                <w:lang w:eastAsia="zh-CN" w:bidi="ar"/>
              </w:rPr>
              <w:t>）</w:t>
            </w:r>
            <w:r>
              <w:rPr>
                <w:rFonts w:hint="eastAsia" w:ascii="宋体" w:hAnsi="宋体" w:cs="宋体"/>
                <w:color w:val="auto"/>
                <w:highlight w:val="none"/>
                <w:lang w:bidi="ar"/>
              </w:rPr>
              <w:t>预处理后经园区污水管网排入</w:t>
            </w:r>
            <w:r>
              <w:rPr>
                <w:rFonts w:hint="eastAsia" w:ascii="宋体" w:hAnsi="宋体" w:cs="宋体"/>
                <w:color w:val="auto"/>
                <w:highlight w:val="none"/>
                <w:lang w:val="en-US" w:eastAsia="zh-CN" w:bidi="ar"/>
              </w:rPr>
              <w:t>建筑陶瓷产业园污水处理厂</w:t>
            </w:r>
            <w:r>
              <w:rPr>
                <w:rFonts w:hint="eastAsia" w:ascii="宋体" w:hAnsi="宋体" w:cs="宋体"/>
                <w:color w:val="auto"/>
                <w:highlight w:val="none"/>
                <w:lang w:bidi="ar"/>
              </w:rPr>
              <w:t>处理</w:t>
            </w:r>
          </w:p>
        </w:tc>
        <w:tc>
          <w:tcPr>
            <w:tcW w:w="2734" w:type="dxa"/>
            <w:tcBorders>
              <w:top w:val="single" w:color="auto" w:sz="4" w:space="0"/>
            </w:tcBorders>
            <w:noWrap w:val="0"/>
            <w:vAlign w:val="center"/>
          </w:tcPr>
          <w:p w14:paraId="3307B6E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eastAsia="宋体"/>
                <w:color w:val="auto"/>
                <w:highlight w:val="none"/>
                <w:lang w:val="en-US" w:eastAsia="zh-CN"/>
              </w:rPr>
            </w:pPr>
            <w:r>
              <w:rPr>
                <w:rFonts w:hint="eastAsia" w:ascii="宋体" w:hAnsi="宋体" w:cs="宋体"/>
                <w:color w:val="auto"/>
                <w:highlight w:val="none"/>
                <w:lang w:val="en-US" w:eastAsia="zh-CN" w:bidi="ar"/>
              </w:rPr>
              <w:t>建筑陶瓷产业园污水处理厂</w:t>
            </w:r>
            <w:r>
              <w:rPr>
                <w:rFonts w:hint="eastAsia" w:ascii="宋体" w:hAnsi="宋体" w:cs="宋体"/>
                <w:color w:val="auto"/>
                <w:highlight w:val="none"/>
                <w:lang w:bidi="ar"/>
              </w:rPr>
              <w:t>尾水处理</w:t>
            </w:r>
            <w:r>
              <w:rPr>
                <w:rFonts w:hint="eastAsia"/>
                <w:color w:val="auto"/>
                <w:highlight w:val="none"/>
              </w:rPr>
              <w:t>排放达到《城镇污水处理厂污染物排放标准》（GB18918-2002）一级A标准后外排至</w:t>
            </w:r>
            <w:r>
              <w:rPr>
                <w:rFonts w:hint="eastAsia"/>
                <w:color w:val="auto"/>
                <w:highlight w:val="none"/>
                <w:lang w:eastAsia="zh-CN"/>
              </w:rPr>
              <w:t>肖江；</w:t>
            </w:r>
            <w:r>
              <w:rPr>
                <w:rFonts w:hint="eastAsia"/>
                <w:color w:val="auto"/>
                <w:highlight w:val="none"/>
                <w:lang w:val="en-US" w:eastAsia="zh-CN"/>
              </w:rPr>
              <w:t>铊不得检出。</w:t>
            </w:r>
          </w:p>
        </w:tc>
      </w:tr>
      <w:tr w14:paraId="566D8A85">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40" w:hRule="atLeast"/>
          <w:jc w:val="center"/>
        </w:trPr>
        <w:tc>
          <w:tcPr>
            <w:tcW w:w="1112" w:type="dxa"/>
            <w:tcBorders>
              <w:top w:val="single" w:color="000000" w:sz="8" w:space="0"/>
              <w:bottom w:val="single" w:color="auto" w:sz="4" w:space="0"/>
            </w:tcBorders>
            <w:noWrap w:val="0"/>
            <w:vAlign w:val="center"/>
          </w:tcPr>
          <w:p w14:paraId="398D7E8C">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声环境</w:t>
            </w:r>
          </w:p>
        </w:tc>
        <w:tc>
          <w:tcPr>
            <w:tcW w:w="1400" w:type="dxa"/>
            <w:tcBorders>
              <w:bottom w:val="single" w:color="auto" w:sz="4" w:space="0"/>
            </w:tcBorders>
            <w:noWrap w:val="0"/>
            <w:vAlign w:val="center"/>
          </w:tcPr>
          <w:p w14:paraId="3BF1A315">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eastAsia="宋体"/>
                <w:color w:val="auto"/>
                <w:highlight w:val="none"/>
                <w:lang w:eastAsia="zh-CN"/>
              </w:rPr>
            </w:pPr>
            <w:r>
              <w:rPr>
                <w:rFonts w:hint="default"/>
                <w:color w:val="auto"/>
                <w:highlight w:val="none"/>
              </w:rPr>
              <w:t>生产设备</w:t>
            </w:r>
            <w:r>
              <w:rPr>
                <w:rFonts w:hint="eastAsia"/>
                <w:color w:val="auto"/>
                <w:highlight w:val="none"/>
              </w:rPr>
              <w:t>、风机</w:t>
            </w:r>
            <w:r>
              <w:rPr>
                <w:rFonts w:hint="eastAsia"/>
                <w:color w:val="auto"/>
                <w:highlight w:val="none"/>
                <w:lang w:eastAsia="zh-CN"/>
              </w:rPr>
              <w:t>等</w:t>
            </w:r>
          </w:p>
        </w:tc>
        <w:tc>
          <w:tcPr>
            <w:tcW w:w="1846" w:type="dxa"/>
            <w:tcBorders>
              <w:bottom w:val="single" w:color="auto" w:sz="4" w:space="0"/>
            </w:tcBorders>
            <w:noWrap w:val="0"/>
            <w:vAlign w:val="center"/>
          </w:tcPr>
          <w:p w14:paraId="0793CEA9">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等效</w:t>
            </w:r>
            <w:r>
              <w:rPr>
                <w:rFonts w:hint="eastAsia"/>
                <w:color w:val="auto"/>
                <w:highlight w:val="none"/>
              </w:rPr>
              <w:t>连续</w:t>
            </w:r>
            <w:r>
              <w:rPr>
                <w:rFonts w:hint="default"/>
                <w:color w:val="auto"/>
                <w:highlight w:val="none"/>
              </w:rPr>
              <w:t>A声级</w:t>
            </w:r>
          </w:p>
        </w:tc>
        <w:tc>
          <w:tcPr>
            <w:tcW w:w="2041" w:type="dxa"/>
            <w:tcBorders>
              <w:bottom w:val="single" w:color="auto" w:sz="4" w:space="0"/>
            </w:tcBorders>
            <w:noWrap w:val="0"/>
            <w:vAlign w:val="center"/>
          </w:tcPr>
          <w:p w14:paraId="09BF5AAF">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建筑隔声、合理布局</w:t>
            </w:r>
          </w:p>
        </w:tc>
        <w:tc>
          <w:tcPr>
            <w:tcW w:w="2734" w:type="dxa"/>
            <w:tcBorders>
              <w:bottom w:val="single" w:color="auto" w:sz="4" w:space="0"/>
            </w:tcBorders>
            <w:noWrap w:val="0"/>
            <w:vAlign w:val="center"/>
          </w:tcPr>
          <w:p w14:paraId="737F291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eastAsia"/>
                <w:color w:val="auto"/>
                <w:highlight w:val="none"/>
              </w:rPr>
            </w:pPr>
            <w:r>
              <w:rPr>
                <w:rFonts w:hint="default"/>
                <w:color w:val="auto"/>
                <w:highlight w:val="none"/>
              </w:rPr>
              <w:t>《工业企业厂界环境噪声排放标准》（GB12348-2008）</w:t>
            </w:r>
            <w:r>
              <w:rPr>
                <w:rFonts w:hint="eastAsia"/>
                <w:color w:val="auto"/>
                <w:highlight w:val="none"/>
              </w:rPr>
              <w:t>3类</w:t>
            </w:r>
            <w:r>
              <w:rPr>
                <w:rFonts w:hint="default"/>
                <w:color w:val="auto"/>
                <w:highlight w:val="none"/>
              </w:rPr>
              <w:t>标准</w:t>
            </w:r>
          </w:p>
        </w:tc>
      </w:tr>
      <w:tr w14:paraId="757360D0">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687" w:hRule="atLeast"/>
          <w:jc w:val="center"/>
        </w:trPr>
        <w:tc>
          <w:tcPr>
            <w:tcW w:w="1112" w:type="dxa"/>
            <w:tcBorders>
              <w:top w:val="single" w:color="auto" w:sz="4" w:space="0"/>
              <w:left w:val="single" w:color="auto" w:sz="4" w:space="0"/>
              <w:bottom w:val="single" w:color="auto" w:sz="4" w:space="0"/>
              <w:right w:val="single" w:color="auto" w:sz="4" w:space="0"/>
            </w:tcBorders>
            <w:noWrap w:val="0"/>
            <w:vAlign w:val="center"/>
          </w:tcPr>
          <w:p w14:paraId="4A7DC873">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电磁辐射</w:t>
            </w:r>
          </w:p>
        </w:tc>
        <w:tc>
          <w:tcPr>
            <w:tcW w:w="8021" w:type="dxa"/>
            <w:gridSpan w:val="4"/>
            <w:tcBorders>
              <w:top w:val="single" w:color="auto" w:sz="4" w:space="0"/>
              <w:left w:val="single" w:color="auto" w:sz="4" w:space="0"/>
              <w:bottom w:val="single" w:color="auto" w:sz="4" w:space="0"/>
              <w:right w:val="single" w:color="auto" w:sz="4" w:space="0"/>
            </w:tcBorders>
            <w:noWrap w:val="0"/>
            <w:vAlign w:val="center"/>
          </w:tcPr>
          <w:p w14:paraId="253391E8">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无</w:t>
            </w:r>
          </w:p>
        </w:tc>
      </w:tr>
      <w:tr w14:paraId="261A66E1">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220" w:hRule="atLeast"/>
          <w:jc w:val="center"/>
        </w:trPr>
        <w:tc>
          <w:tcPr>
            <w:tcW w:w="1112" w:type="dxa"/>
            <w:tcBorders>
              <w:top w:val="single" w:color="auto" w:sz="4" w:space="0"/>
              <w:left w:val="single" w:color="auto" w:sz="4" w:space="0"/>
              <w:bottom w:val="single" w:color="auto" w:sz="4" w:space="0"/>
              <w:right w:val="single" w:color="auto" w:sz="4" w:space="0"/>
            </w:tcBorders>
            <w:noWrap w:val="0"/>
            <w:vAlign w:val="center"/>
          </w:tcPr>
          <w:p w14:paraId="04A056A9">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固体废物</w:t>
            </w:r>
          </w:p>
        </w:tc>
        <w:tc>
          <w:tcPr>
            <w:tcW w:w="8021" w:type="dxa"/>
            <w:gridSpan w:val="4"/>
            <w:tcBorders>
              <w:top w:val="single" w:color="auto" w:sz="4" w:space="0"/>
              <w:left w:val="single" w:color="auto" w:sz="4" w:space="0"/>
              <w:bottom w:val="single" w:color="auto" w:sz="4" w:space="0"/>
              <w:right w:val="single" w:color="auto" w:sz="4" w:space="0"/>
            </w:tcBorders>
            <w:noWrap w:val="0"/>
            <w:vAlign w:val="center"/>
          </w:tcPr>
          <w:p w14:paraId="178E1D5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生活垃圾统一收集后环卫部门定期清运</w:t>
            </w:r>
            <w:r>
              <w:rPr>
                <w:rFonts w:hint="eastAsia"/>
                <w:color w:val="auto"/>
                <w:highlight w:val="none"/>
              </w:rPr>
              <w:t>，</w:t>
            </w:r>
            <w:r>
              <w:rPr>
                <w:rFonts w:hint="eastAsia"/>
                <w:color w:val="auto"/>
                <w:highlight w:val="none"/>
                <w:lang w:val="en-US" w:eastAsia="zh-CN"/>
              </w:rPr>
              <w:t>沉淀池沉渣、</w:t>
            </w:r>
            <w:r>
              <w:rPr>
                <w:rFonts w:hint="eastAsia" w:cs="Times New Roman"/>
                <w:color w:val="auto"/>
                <w:highlight w:val="none"/>
                <w:lang w:val="en-US" w:eastAsia="zh-CN"/>
              </w:rPr>
              <w:t>收集粉尘</w:t>
            </w:r>
            <w:r>
              <w:rPr>
                <w:rFonts w:hint="eastAsia"/>
                <w:color w:val="auto"/>
                <w:highlight w:val="none"/>
                <w:lang w:val="en-US" w:eastAsia="zh-CN"/>
              </w:rPr>
              <w:t>回用于生产，</w:t>
            </w:r>
            <w:r>
              <w:rPr>
                <w:rFonts w:hint="eastAsia"/>
                <w:color w:val="auto"/>
                <w:highlight w:val="none"/>
              </w:rPr>
              <w:t>废包装材袋、废布袋</w:t>
            </w:r>
            <w:r>
              <w:rPr>
                <w:rFonts w:hint="eastAsia"/>
                <w:color w:val="auto"/>
                <w:highlight w:val="none"/>
                <w:lang w:eastAsia="zh-CN"/>
              </w:rPr>
              <w:t>、</w:t>
            </w:r>
            <w:r>
              <w:rPr>
                <w:rFonts w:hint="eastAsia"/>
                <w:color w:val="auto"/>
                <w:highlight w:val="none"/>
                <w:lang w:val="en-US" w:eastAsia="zh-CN"/>
              </w:rPr>
              <w:t>不合格品</w:t>
            </w:r>
            <w:r>
              <w:rPr>
                <w:rFonts w:hint="eastAsia"/>
                <w:color w:val="auto"/>
                <w:highlight w:val="none"/>
              </w:rPr>
              <w:t>外售综合利用，废</w:t>
            </w:r>
            <w:r>
              <w:rPr>
                <w:rFonts w:hint="eastAsia"/>
                <w:color w:val="auto"/>
                <w:highlight w:val="none"/>
                <w:lang w:eastAsia="zh-CN"/>
              </w:rPr>
              <w:t>机</w:t>
            </w:r>
            <w:r>
              <w:rPr>
                <w:rFonts w:hint="eastAsia"/>
                <w:color w:val="auto"/>
                <w:highlight w:val="none"/>
              </w:rPr>
              <w:t>油、废</w:t>
            </w:r>
            <w:r>
              <w:rPr>
                <w:rFonts w:hint="eastAsia"/>
                <w:color w:val="auto"/>
                <w:highlight w:val="none"/>
                <w:lang w:eastAsia="zh-CN"/>
              </w:rPr>
              <w:t>机</w:t>
            </w:r>
            <w:r>
              <w:rPr>
                <w:rFonts w:hint="eastAsia"/>
                <w:color w:val="auto"/>
                <w:highlight w:val="none"/>
              </w:rPr>
              <w:t>油桶</w:t>
            </w:r>
            <w:r>
              <w:rPr>
                <w:rFonts w:hint="eastAsia"/>
                <w:color w:val="auto"/>
                <w:highlight w:val="none"/>
                <w:lang w:eastAsia="zh-CN"/>
              </w:rPr>
              <w:t>、</w:t>
            </w:r>
            <w:r>
              <w:rPr>
                <w:rFonts w:hint="eastAsia"/>
                <w:color w:val="auto"/>
                <w:highlight w:val="none"/>
              </w:rPr>
              <w:t>废含油抹布及</w:t>
            </w:r>
            <w:r>
              <w:rPr>
                <w:rFonts w:hint="eastAsia"/>
                <w:color w:val="auto"/>
                <w:highlight w:val="none"/>
                <w:lang w:eastAsia="zh-CN"/>
              </w:rPr>
              <w:t>劳保用品</w:t>
            </w:r>
            <w:r>
              <w:rPr>
                <w:rFonts w:hint="eastAsia"/>
                <w:color w:val="auto"/>
                <w:highlight w:val="none"/>
              </w:rPr>
              <w:t>暂存危废</w:t>
            </w:r>
            <w:r>
              <w:rPr>
                <w:rFonts w:hint="eastAsia"/>
                <w:color w:val="auto"/>
                <w:highlight w:val="none"/>
                <w:lang w:val="en-US" w:eastAsia="zh-CN"/>
              </w:rPr>
              <w:t>暂存间</w:t>
            </w:r>
            <w:r>
              <w:rPr>
                <w:rFonts w:hint="eastAsia"/>
                <w:color w:val="auto"/>
                <w:highlight w:val="none"/>
              </w:rPr>
              <w:t>，</w:t>
            </w:r>
            <w:r>
              <w:rPr>
                <w:rFonts w:hint="eastAsia"/>
                <w:color w:val="auto"/>
                <w:highlight w:val="none"/>
                <w:lang w:val="en-US" w:eastAsia="zh-CN"/>
              </w:rPr>
              <w:t>一般固废暂存间</w:t>
            </w:r>
            <w:r>
              <w:rPr>
                <w:rFonts w:hint="eastAsia"/>
                <w:color w:val="auto"/>
                <w:highlight w:val="none"/>
              </w:rPr>
              <w:t>面积为</w:t>
            </w:r>
            <w:r>
              <w:rPr>
                <w:rFonts w:hint="eastAsia"/>
                <w:color w:val="auto"/>
                <w:highlight w:val="none"/>
                <w:lang w:val="en-US" w:eastAsia="zh-CN"/>
              </w:rPr>
              <w:t>30</w:t>
            </w:r>
            <w:r>
              <w:rPr>
                <w:rFonts w:hint="eastAsia"/>
                <w:color w:val="auto"/>
                <w:highlight w:val="none"/>
              </w:rPr>
              <w:t>m</w:t>
            </w:r>
            <w:r>
              <w:rPr>
                <w:rFonts w:hint="eastAsia"/>
                <w:color w:val="auto"/>
                <w:highlight w:val="none"/>
                <w:vertAlign w:val="superscript"/>
              </w:rPr>
              <w:t>2</w:t>
            </w:r>
            <w:r>
              <w:rPr>
                <w:rFonts w:hint="eastAsia"/>
                <w:color w:val="auto"/>
                <w:highlight w:val="none"/>
                <w:lang w:eastAsia="zh-CN"/>
              </w:rPr>
              <w:t>，</w:t>
            </w:r>
            <w:r>
              <w:rPr>
                <w:rFonts w:hint="eastAsia"/>
                <w:color w:val="auto"/>
                <w:highlight w:val="none"/>
              </w:rPr>
              <w:t>危废间面积为</w:t>
            </w:r>
            <w:r>
              <w:rPr>
                <w:rFonts w:hint="eastAsia"/>
                <w:color w:val="auto"/>
                <w:highlight w:val="none"/>
                <w:lang w:val="en-US" w:eastAsia="zh-CN"/>
              </w:rPr>
              <w:t>30</w:t>
            </w:r>
            <w:r>
              <w:rPr>
                <w:rFonts w:hint="eastAsia"/>
                <w:color w:val="auto"/>
                <w:highlight w:val="none"/>
              </w:rPr>
              <w:t>m</w:t>
            </w:r>
            <w:r>
              <w:rPr>
                <w:rFonts w:hint="eastAsia"/>
                <w:color w:val="auto"/>
                <w:highlight w:val="none"/>
                <w:vertAlign w:val="superscript"/>
              </w:rPr>
              <w:t>2</w:t>
            </w:r>
            <w:r>
              <w:rPr>
                <w:rFonts w:hint="default"/>
                <w:color w:val="auto"/>
                <w:highlight w:val="none"/>
              </w:rPr>
              <w:t>。</w:t>
            </w:r>
          </w:p>
        </w:tc>
      </w:tr>
      <w:tr w14:paraId="73ABCE1D">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1454" w:hRule="atLeast"/>
          <w:jc w:val="center"/>
        </w:trPr>
        <w:tc>
          <w:tcPr>
            <w:tcW w:w="1112" w:type="dxa"/>
            <w:tcBorders>
              <w:top w:val="single" w:color="auto" w:sz="4" w:space="0"/>
              <w:left w:val="single" w:color="auto" w:sz="4" w:space="0"/>
              <w:bottom w:val="single" w:color="auto" w:sz="4" w:space="0"/>
              <w:right w:val="single" w:color="auto" w:sz="4" w:space="0"/>
            </w:tcBorders>
            <w:noWrap w:val="0"/>
            <w:vAlign w:val="center"/>
          </w:tcPr>
          <w:p w14:paraId="258A8F5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土壤及地下水污染防治措施</w:t>
            </w:r>
          </w:p>
        </w:tc>
        <w:tc>
          <w:tcPr>
            <w:tcW w:w="8021" w:type="dxa"/>
            <w:gridSpan w:val="4"/>
            <w:tcBorders>
              <w:top w:val="single" w:color="auto" w:sz="4" w:space="0"/>
              <w:left w:val="single" w:color="auto" w:sz="4" w:space="0"/>
              <w:bottom w:val="single" w:color="auto" w:sz="4" w:space="0"/>
              <w:right w:val="single" w:color="auto" w:sz="4" w:space="0"/>
            </w:tcBorders>
            <w:noWrap w:val="0"/>
            <w:vAlign w:val="center"/>
          </w:tcPr>
          <w:p w14:paraId="610885B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按源头控制、分区防渗要求做好防护措施</w:t>
            </w:r>
            <w:r>
              <w:rPr>
                <w:rFonts w:hint="eastAsia"/>
                <w:color w:val="auto"/>
                <w:highlight w:val="none"/>
              </w:rPr>
              <w:t>。</w:t>
            </w:r>
            <w:r>
              <w:rPr>
                <w:rFonts w:hint="eastAsia" w:ascii="宋体" w:hAnsi="宋体" w:cs="宋体"/>
                <w:color w:val="auto"/>
                <w:highlight w:val="none"/>
                <w:lang w:bidi="ar"/>
              </w:rPr>
              <w:t>设置分区防渗：</w:t>
            </w:r>
            <w:r>
              <w:rPr>
                <w:rFonts w:hint="eastAsia"/>
                <w:color w:val="auto"/>
                <w:highlight w:val="none"/>
                <w:lang w:val="en-US" w:eastAsia="zh-CN"/>
              </w:rPr>
              <w:t>渗滤液池、沉淀池、初期雨水池、</w:t>
            </w:r>
            <w:r>
              <w:rPr>
                <w:rFonts w:hint="default"/>
                <w:color w:val="auto"/>
                <w:highlight w:val="none"/>
              </w:rPr>
              <w:t>危废暂存间</w:t>
            </w:r>
            <w:r>
              <w:rPr>
                <w:rFonts w:hint="eastAsia" w:ascii="宋体" w:hAnsi="宋体" w:cs="宋体"/>
                <w:color w:val="auto"/>
                <w:highlight w:val="none"/>
                <w:lang w:bidi="ar"/>
              </w:rPr>
              <w:t>为重点防渗区，</w:t>
            </w:r>
            <w:r>
              <w:rPr>
                <w:rFonts w:hint="default"/>
                <w:color w:val="auto"/>
                <w:highlight w:val="none"/>
              </w:rPr>
              <w:t>一般固废暂存间、</w:t>
            </w:r>
            <w:r>
              <w:rPr>
                <w:rFonts w:hint="eastAsia"/>
                <w:color w:val="auto"/>
                <w:highlight w:val="none"/>
                <w:lang w:eastAsia="zh-CN"/>
              </w:rPr>
              <w:t>原料区</w:t>
            </w:r>
            <w:r>
              <w:rPr>
                <w:rFonts w:hint="default"/>
                <w:color w:val="auto"/>
                <w:highlight w:val="none"/>
              </w:rPr>
              <w:t>、生产区</w:t>
            </w:r>
            <w:r>
              <w:rPr>
                <w:rFonts w:hint="eastAsia"/>
                <w:color w:val="auto"/>
                <w:highlight w:val="none"/>
                <w:lang w:eastAsia="zh-CN"/>
              </w:rPr>
              <w:t>、成品区</w:t>
            </w:r>
            <w:r>
              <w:rPr>
                <w:rFonts w:hint="eastAsia" w:ascii="宋体" w:hAnsi="宋体" w:cs="宋体"/>
                <w:color w:val="auto"/>
                <w:highlight w:val="none"/>
                <w:lang w:bidi="ar"/>
              </w:rPr>
              <w:t>为一般防渗区；</w:t>
            </w:r>
            <w:r>
              <w:rPr>
                <w:rFonts w:hint="eastAsia" w:ascii="宋体" w:hAnsi="宋体" w:cs="宋体"/>
                <w:color w:val="auto"/>
                <w:highlight w:val="none"/>
                <w:lang w:eastAsia="zh-CN" w:bidi="ar"/>
              </w:rPr>
              <w:t>办公室及</w:t>
            </w:r>
            <w:r>
              <w:rPr>
                <w:rFonts w:hint="eastAsia" w:ascii="宋体" w:hAnsi="宋体" w:cs="宋体"/>
                <w:color w:val="auto"/>
                <w:highlight w:val="none"/>
                <w:lang w:bidi="ar"/>
              </w:rPr>
              <w:t>其他区域为简单防渗区</w:t>
            </w:r>
          </w:p>
        </w:tc>
      </w:tr>
      <w:tr w14:paraId="52076E04">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112" w:type="dxa"/>
            <w:tcBorders>
              <w:top w:val="single" w:color="auto" w:sz="4" w:space="0"/>
              <w:left w:val="single" w:color="auto" w:sz="4" w:space="0"/>
              <w:bottom w:val="single" w:color="auto" w:sz="4" w:space="0"/>
              <w:right w:val="single" w:color="auto" w:sz="4" w:space="0"/>
            </w:tcBorders>
            <w:noWrap w:val="0"/>
            <w:vAlign w:val="center"/>
          </w:tcPr>
          <w:p w14:paraId="555E0F3A">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生态保护措施</w:t>
            </w:r>
          </w:p>
        </w:tc>
        <w:tc>
          <w:tcPr>
            <w:tcW w:w="8021" w:type="dxa"/>
            <w:gridSpan w:val="4"/>
            <w:tcBorders>
              <w:top w:val="single" w:color="auto" w:sz="4" w:space="0"/>
              <w:left w:val="single" w:color="auto" w:sz="4" w:space="0"/>
              <w:bottom w:val="single" w:color="auto" w:sz="4" w:space="0"/>
              <w:right w:val="single" w:color="auto" w:sz="4" w:space="0"/>
            </w:tcBorders>
            <w:noWrap w:val="0"/>
            <w:vAlign w:val="center"/>
          </w:tcPr>
          <w:p w14:paraId="427A6C34">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color w:val="auto"/>
                <w:highlight w:val="none"/>
              </w:rPr>
              <w:t>/</w:t>
            </w:r>
          </w:p>
        </w:tc>
      </w:tr>
      <w:tr w14:paraId="0DA703EC">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680" w:hRule="atLeast"/>
          <w:jc w:val="center"/>
        </w:trPr>
        <w:tc>
          <w:tcPr>
            <w:tcW w:w="1112" w:type="dxa"/>
            <w:tcBorders>
              <w:top w:val="single" w:color="auto" w:sz="4" w:space="0"/>
              <w:left w:val="single" w:color="auto" w:sz="4" w:space="0"/>
              <w:bottom w:val="single" w:color="auto" w:sz="4" w:space="0"/>
              <w:right w:val="single" w:color="auto" w:sz="4" w:space="0"/>
            </w:tcBorders>
            <w:noWrap w:val="0"/>
            <w:vAlign w:val="center"/>
          </w:tcPr>
          <w:p w14:paraId="5299F9D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环境风险</w:t>
            </w:r>
          </w:p>
          <w:p w14:paraId="56908BB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防范措施</w:t>
            </w:r>
          </w:p>
        </w:tc>
        <w:tc>
          <w:tcPr>
            <w:tcW w:w="8021" w:type="dxa"/>
            <w:gridSpan w:val="4"/>
            <w:tcBorders>
              <w:top w:val="single" w:color="auto" w:sz="4" w:space="0"/>
              <w:left w:val="single" w:color="auto" w:sz="4" w:space="0"/>
              <w:bottom w:val="single" w:color="auto" w:sz="4" w:space="0"/>
              <w:right w:val="single" w:color="auto" w:sz="4" w:space="0"/>
            </w:tcBorders>
            <w:noWrap w:val="0"/>
            <w:vAlign w:val="center"/>
          </w:tcPr>
          <w:p w14:paraId="6DD94D7B">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eastAsia" w:ascii="宋体" w:hAnsi="宋体" w:cs="宋体"/>
                <w:color w:val="auto"/>
                <w:highlight w:val="none"/>
                <w:lang w:bidi="ar"/>
              </w:rPr>
              <w:t>制定管理措施，有效防范风险事故的发生，配备的事故应急设施、材料能保证有效的事故应急，降低事故环境风险</w:t>
            </w:r>
          </w:p>
        </w:tc>
      </w:tr>
      <w:tr w14:paraId="5B0AE14E">
        <w:tblPrEx>
          <w:tblBorders>
            <w:top w:val="single" w:color="auto" w:sz="8" w:space="0"/>
            <w:left w:val="single" w:color="auto" w:sz="8" w:space="0"/>
            <w:bottom w:val="single" w:color="auto" w:sz="8" w:space="0"/>
            <w:right w:val="single" w:color="auto" w:sz="8" w:space="0"/>
            <w:insideH w:val="single" w:color="auto" w:sz="8" w:space="0"/>
            <w:insideV w:val="single" w:color="auto" w:sz="4" w:space="0"/>
          </w:tblBorders>
          <w:tblCellMar>
            <w:top w:w="0" w:type="dxa"/>
            <w:left w:w="108" w:type="dxa"/>
            <w:bottom w:w="0" w:type="dxa"/>
            <w:right w:w="108" w:type="dxa"/>
          </w:tblCellMar>
        </w:tblPrEx>
        <w:trPr>
          <w:trHeight w:val="397" w:hRule="atLeast"/>
          <w:jc w:val="center"/>
        </w:trPr>
        <w:tc>
          <w:tcPr>
            <w:tcW w:w="1112" w:type="dxa"/>
            <w:tcBorders>
              <w:top w:val="single" w:color="auto" w:sz="4" w:space="0"/>
            </w:tcBorders>
            <w:noWrap w:val="0"/>
            <w:vAlign w:val="center"/>
          </w:tcPr>
          <w:p w14:paraId="73718EDC">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其他环境</w:t>
            </w:r>
          </w:p>
          <w:p w14:paraId="4E047DCD">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color w:val="auto"/>
                <w:highlight w:val="none"/>
              </w:rPr>
            </w:pPr>
            <w:r>
              <w:rPr>
                <w:rFonts w:hint="default"/>
                <w:color w:val="auto"/>
                <w:highlight w:val="none"/>
              </w:rPr>
              <w:t>管理要求</w:t>
            </w:r>
          </w:p>
        </w:tc>
        <w:tc>
          <w:tcPr>
            <w:tcW w:w="8021" w:type="dxa"/>
            <w:gridSpan w:val="4"/>
            <w:tcBorders>
              <w:top w:val="single" w:color="auto" w:sz="4" w:space="0"/>
            </w:tcBorders>
            <w:noWrap w:val="0"/>
            <w:vAlign w:val="center"/>
          </w:tcPr>
          <w:p w14:paraId="27434E59">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1）根据排污许可证申请与核发技术规范等文件规定的要求建立完善的环境管理制度、台账制度，设立专门环境管理机构，建立完善的环境监测制度，加强各项环保措施的运行管理，确保各项污染物稳定达标排放。</w:t>
            </w:r>
          </w:p>
          <w:p w14:paraId="1E1EAF4D">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（2）根据《排污许可管理条例》，项目建成后及时</w:t>
            </w:r>
            <w:r>
              <w:rPr>
                <w:rFonts w:hint="default" w:ascii="Times New Roman" w:hAnsi="Times New Roman" w:cs="Times New Roman"/>
                <w:color w:val="auto"/>
                <w:highlight w:val="none"/>
                <w:lang w:eastAsia="zh-CN" w:bidi="ar"/>
              </w:rPr>
              <w:t>变更</w:t>
            </w:r>
            <w:r>
              <w:rPr>
                <w:rFonts w:hint="default" w:ascii="Times New Roman" w:hAnsi="Times New Roman" w:cs="Times New Roman"/>
                <w:color w:val="auto"/>
                <w:highlight w:val="none"/>
                <w:lang w:bidi="ar"/>
              </w:rPr>
              <w:t>排污许可证；</w:t>
            </w:r>
          </w:p>
          <w:p w14:paraId="678B1C3A">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（3）按照环境监测计划对项目废气</w:t>
            </w:r>
            <w:r>
              <w:rPr>
                <w:rFonts w:hint="default" w:ascii="Times New Roman" w:hAnsi="Times New Roman" w:cs="Times New Roman"/>
                <w:color w:val="auto"/>
                <w:highlight w:val="none"/>
                <w:lang w:eastAsia="zh-CN" w:bidi="ar"/>
              </w:rPr>
              <w:t>、</w:t>
            </w:r>
            <w:r>
              <w:rPr>
                <w:rFonts w:hint="default" w:ascii="Times New Roman" w:hAnsi="Times New Roman" w:cs="Times New Roman"/>
                <w:color w:val="auto"/>
                <w:highlight w:val="none"/>
                <w:lang w:val="en-US" w:eastAsia="zh-CN" w:bidi="ar"/>
              </w:rPr>
              <w:t>废水、</w:t>
            </w:r>
            <w:r>
              <w:rPr>
                <w:rFonts w:hint="default" w:ascii="Times New Roman" w:hAnsi="Times New Roman" w:cs="Times New Roman"/>
                <w:color w:val="auto"/>
                <w:highlight w:val="none"/>
                <w:lang w:bidi="ar"/>
              </w:rPr>
              <w:t>厂界噪声等定期进行监测；</w:t>
            </w:r>
          </w:p>
          <w:p w14:paraId="602A455C">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（4）依照《建设项目环境保护管理条例》《建设项目竣工环境保护验收暂行办法》</w:t>
            </w:r>
          </w:p>
          <w:p w14:paraId="26AFCC90">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的相关要求，尽快完成竣工环保验收。</w:t>
            </w:r>
          </w:p>
          <w:p w14:paraId="093C7A93">
            <w:pPr>
              <w:pStyle w:val="84"/>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ind w:left="0" w:right="0"/>
              <w:jc w:val="left"/>
              <w:textAlignment w:val="auto"/>
              <w:rPr>
                <w:rFonts w:hint="default" w:ascii="Times New Roman" w:hAnsi="Times New Roman" w:cs="Times New Roman"/>
                <w:color w:val="auto"/>
                <w:highlight w:val="none"/>
                <w:lang w:bidi="ar"/>
              </w:rPr>
            </w:pPr>
            <w:r>
              <w:rPr>
                <w:rFonts w:hint="default" w:ascii="Times New Roman" w:hAnsi="Times New Roman" w:cs="Times New Roman"/>
                <w:color w:val="auto"/>
                <w:highlight w:val="none"/>
                <w:lang w:bidi="ar"/>
              </w:rPr>
              <w:t>（5）建设单位应在排污口处设立较明显的环境保护图形标志牌，其上应注明主要排放污染物的名称。排污口标志牌由国家环保部统一定点监制，标志牌设置应符合GB15562.1-1995、GB15562.2-1995《环境保护图形标志》相关规定。</w:t>
            </w:r>
          </w:p>
          <w:p w14:paraId="6F5D9E77">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宋体" w:hAnsi="宋体" w:cs="宋体"/>
                <w:color w:val="auto"/>
                <w:highlight w:val="none"/>
              </w:rPr>
            </w:pPr>
          </w:p>
          <w:p w14:paraId="72417C62">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宋体" w:hAnsi="宋体" w:cs="宋体"/>
                <w:color w:val="auto"/>
                <w:highlight w:val="none"/>
              </w:rPr>
            </w:pPr>
          </w:p>
          <w:p w14:paraId="2D436F82">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宋体" w:hAnsi="宋体" w:cs="宋体"/>
                <w:color w:val="auto"/>
                <w:highlight w:val="none"/>
              </w:rPr>
            </w:pPr>
          </w:p>
          <w:p w14:paraId="11F73FC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宋体" w:hAnsi="宋体" w:cs="宋体"/>
                <w:color w:val="auto"/>
                <w:highlight w:val="none"/>
              </w:rPr>
            </w:pPr>
          </w:p>
          <w:p w14:paraId="1238668E">
            <w:pPr>
              <w:keepNext w:val="0"/>
              <w:keepLines w:val="0"/>
              <w:suppressLineNumbers w:val="0"/>
              <w:spacing w:before="0" w:beforeAutospacing="0" w:after="0" w:afterAutospacing="0"/>
              <w:ind w:left="0" w:right="0"/>
              <w:rPr>
                <w:rFonts w:hint="default" w:ascii="宋体" w:hAnsi="宋体" w:cs="宋体"/>
                <w:color w:val="auto"/>
                <w:highlight w:val="none"/>
              </w:rPr>
            </w:pPr>
          </w:p>
          <w:p w14:paraId="1389ACA3">
            <w:pPr>
              <w:keepNext w:val="0"/>
              <w:keepLines w:val="0"/>
              <w:suppressLineNumbers w:val="0"/>
              <w:spacing w:before="0" w:beforeAutospacing="0" w:after="0" w:afterAutospacing="0"/>
              <w:ind w:left="0" w:right="0"/>
              <w:rPr>
                <w:rFonts w:hint="default" w:ascii="宋体" w:hAnsi="宋体" w:cs="宋体"/>
                <w:color w:val="auto"/>
                <w:highlight w:val="none"/>
              </w:rPr>
            </w:pPr>
          </w:p>
          <w:p w14:paraId="1591D3A6">
            <w:pPr>
              <w:keepNext w:val="0"/>
              <w:keepLines w:val="0"/>
              <w:suppressLineNumbers w:val="0"/>
              <w:spacing w:before="0" w:beforeAutospacing="0" w:after="0" w:afterAutospacing="0"/>
              <w:ind w:left="0" w:right="0"/>
              <w:rPr>
                <w:rFonts w:hint="default" w:ascii="宋体" w:hAnsi="宋体" w:cs="宋体"/>
                <w:color w:val="auto"/>
                <w:highlight w:val="none"/>
              </w:rPr>
            </w:pPr>
          </w:p>
          <w:p w14:paraId="7FEF8A02">
            <w:pPr>
              <w:keepNext w:val="0"/>
              <w:keepLines w:val="0"/>
              <w:suppressLineNumbers w:val="0"/>
              <w:spacing w:before="0" w:beforeAutospacing="0" w:after="0" w:afterAutospacing="0"/>
              <w:ind w:left="0" w:right="0"/>
              <w:rPr>
                <w:rFonts w:hint="default" w:ascii="宋体" w:hAnsi="宋体" w:cs="宋体"/>
                <w:color w:val="auto"/>
                <w:highlight w:val="none"/>
              </w:rPr>
            </w:pPr>
          </w:p>
          <w:p w14:paraId="7DAFF17F">
            <w:pPr>
              <w:keepNext w:val="0"/>
              <w:keepLines w:val="0"/>
              <w:suppressLineNumbers w:val="0"/>
              <w:spacing w:before="0" w:beforeAutospacing="0" w:after="0" w:afterAutospacing="0"/>
              <w:ind w:left="0" w:right="0"/>
              <w:rPr>
                <w:rFonts w:hint="default" w:ascii="宋体" w:hAnsi="宋体" w:cs="宋体"/>
                <w:color w:val="auto"/>
                <w:highlight w:val="none"/>
              </w:rPr>
            </w:pPr>
          </w:p>
          <w:p w14:paraId="7F32605B">
            <w:pPr>
              <w:keepNext w:val="0"/>
              <w:keepLines w:val="0"/>
              <w:suppressLineNumbers w:val="0"/>
              <w:spacing w:before="0" w:beforeAutospacing="0" w:after="0" w:afterAutospacing="0"/>
              <w:ind w:left="0" w:right="0"/>
              <w:rPr>
                <w:rFonts w:hint="default" w:ascii="宋体" w:hAnsi="宋体" w:cs="宋体"/>
                <w:color w:val="auto"/>
                <w:highlight w:val="none"/>
              </w:rPr>
            </w:pPr>
          </w:p>
          <w:p w14:paraId="23AE5896">
            <w:pPr>
              <w:keepNext w:val="0"/>
              <w:keepLines w:val="0"/>
              <w:suppressLineNumbers w:val="0"/>
              <w:spacing w:before="0" w:beforeAutospacing="0" w:after="0" w:afterAutospacing="0"/>
              <w:ind w:left="0" w:right="0"/>
              <w:rPr>
                <w:rFonts w:hint="default" w:ascii="宋体" w:hAnsi="宋体" w:cs="宋体"/>
                <w:color w:val="auto"/>
                <w:highlight w:val="none"/>
              </w:rPr>
            </w:pPr>
          </w:p>
          <w:p w14:paraId="14B90071">
            <w:pPr>
              <w:keepNext w:val="0"/>
              <w:keepLines w:val="0"/>
              <w:suppressLineNumbers w:val="0"/>
              <w:spacing w:before="0" w:beforeAutospacing="0" w:after="0" w:afterAutospacing="0"/>
              <w:ind w:left="0" w:right="0"/>
              <w:rPr>
                <w:rFonts w:hint="default" w:ascii="宋体" w:hAnsi="宋体" w:cs="宋体"/>
                <w:color w:val="auto"/>
                <w:highlight w:val="none"/>
              </w:rPr>
            </w:pPr>
          </w:p>
          <w:p w14:paraId="5A12F804">
            <w:pPr>
              <w:keepNext w:val="0"/>
              <w:keepLines w:val="0"/>
              <w:suppressLineNumbers w:val="0"/>
              <w:spacing w:before="0" w:beforeAutospacing="0" w:after="0" w:afterAutospacing="0"/>
              <w:ind w:left="0" w:right="0"/>
              <w:rPr>
                <w:rFonts w:hint="default" w:ascii="宋体" w:hAnsi="宋体" w:cs="宋体"/>
                <w:color w:val="auto"/>
                <w:highlight w:val="none"/>
              </w:rPr>
            </w:pPr>
          </w:p>
          <w:p w14:paraId="1BD1305A">
            <w:pPr>
              <w:keepNext w:val="0"/>
              <w:keepLines w:val="0"/>
              <w:suppressLineNumbers w:val="0"/>
              <w:spacing w:before="0" w:beforeAutospacing="0" w:after="0" w:afterAutospacing="0"/>
              <w:ind w:left="0" w:right="0"/>
              <w:rPr>
                <w:rFonts w:hint="default" w:ascii="宋体" w:hAnsi="宋体" w:cs="宋体"/>
                <w:color w:val="auto"/>
                <w:highlight w:val="none"/>
              </w:rPr>
            </w:pPr>
          </w:p>
          <w:p w14:paraId="0B5E1986">
            <w:pPr>
              <w:keepNext w:val="0"/>
              <w:keepLines w:val="0"/>
              <w:suppressLineNumbers w:val="0"/>
              <w:spacing w:before="0" w:beforeAutospacing="0" w:after="0" w:afterAutospacing="0"/>
              <w:ind w:left="0" w:right="0"/>
              <w:rPr>
                <w:rFonts w:hint="default" w:ascii="宋体" w:hAnsi="宋体" w:cs="宋体"/>
                <w:color w:val="auto"/>
                <w:highlight w:val="none"/>
              </w:rPr>
            </w:pPr>
          </w:p>
          <w:p w14:paraId="79E889ED">
            <w:pPr>
              <w:keepNext w:val="0"/>
              <w:keepLines w:val="0"/>
              <w:suppressLineNumbers w:val="0"/>
              <w:spacing w:before="0" w:beforeAutospacing="0" w:after="0" w:afterAutospacing="0"/>
              <w:ind w:left="0" w:right="0"/>
              <w:rPr>
                <w:rFonts w:hint="default" w:ascii="宋体" w:hAnsi="宋体" w:cs="宋体"/>
                <w:color w:val="auto"/>
                <w:highlight w:val="none"/>
              </w:rPr>
            </w:pPr>
          </w:p>
          <w:p w14:paraId="656D8774">
            <w:pPr>
              <w:keepNext w:val="0"/>
              <w:keepLines w:val="0"/>
              <w:suppressLineNumbers w:val="0"/>
              <w:spacing w:before="0" w:beforeAutospacing="0" w:after="0" w:afterAutospacing="0"/>
              <w:ind w:left="0" w:right="0"/>
              <w:rPr>
                <w:rFonts w:hint="default" w:ascii="宋体" w:hAnsi="宋体" w:cs="宋体"/>
                <w:color w:val="auto"/>
                <w:highlight w:val="none"/>
              </w:rPr>
            </w:pPr>
          </w:p>
          <w:p w14:paraId="295D7D7C">
            <w:pPr>
              <w:keepNext w:val="0"/>
              <w:keepLines w:val="0"/>
              <w:suppressLineNumbers w:val="0"/>
              <w:spacing w:before="0" w:beforeAutospacing="0" w:after="0" w:afterAutospacing="0"/>
              <w:ind w:left="0" w:right="0"/>
              <w:rPr>
                <w:rFonts w:hint="default" w:ascii="宋体" w:hAnsi="宋体" w:cs="宋体"/>
                <w:color w:val="auto"/>
                <w:highlight w:val="none"/>
              </w:rPr>
            </w:pPr>
          </w:p>
          <w:p w14:paraId="189F5BC2">
            <w:pPr>
              <w:keepNext w:val="0"/>
              <w:keepLines w:val="0"/>
              <w:suppressLineNumbers w:val="0"/>
              <w:spacing w:before="0" w:beforeAutospacing="0" w:after="0" w:afterAutospacing="0"/>
              <w:ind w:left="0" w:right="0"/>
              <w:rPr>
                <w:rFonts w:hint="default" w:ascii="宋体" w:hAnsi="宋体" w:cs="宋体"/>
                <w:color w:val="auto"/>
                <w:highlight w:val="none"/>
              </w:rPr>
            </w:pPr>
          </w:p>
          <w:p w14:paraId="054F16D6">
            <w:pPr>
              <w:pStyle w:val="84"/>
              <w:keepNext w:val="0"/>
              <w:keepLines w:val="0"/>
              <w:pageBreakBefore w:val="0"/>
              <w:widowControl w:val="0"/>
              <w:suppressLineNumbers w:val="0"/>
              <w:wordWrap/>
              <w:topLinePunct w:val="0"/>
              <w:autoSpaceDE/>
              <w:autoSpaceDN/>
              <w:bidi w:val="0"/>
              <w:adjustRightInd w:val="0"/>
              <w:snapToGrid w:val="0"/>
              <w:spacing w:before="0" w:beforeAutospacing="0" w:after="0" w:afterAutospacing="0"/>
              <w:ind w:left="0" w:right="0"/>
              <w:textAlignment w:val="auto"/>
              <w:rPr>
                <w:rFonts w:hint="default" w:ascii="宋体" w:hAnsi="宋体" w:cs="宋体"/>
                <w:color w:val="auto"/>
                <w:highlight w:val="none"/>
              </w:rPr>
            </w:pPr>
          </w:p>
        </w:tc>
      </w:tr>
    </w:tbl>
    <w:p w14:paraId="3EA1FC60">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FD40D9D">
      <w:pPr>
        <w:pStyle w:val="22"/>
        <w:spacing w:before="0" w:beforeAutospacing="0" w:after="0" w:afterAutospacing="0"/>
        <w:ind w:firstLine="480"/>
        <w:jc w:val="center"/>
        <w:outlineLvl w:val="0"/>
        <w:rPr>
          <w:rFonts w:ascii="黑体" w:hAnsi="黑体" w:eastAsia="黑体"/>
          <w:snapToGrid w:val="0"/>
          <w:color w:val="auto"/>
          <w:sz w:val="30"/>
          <w:szCs w:val="30"/>
          <w:highlight w:val="none"/>
        </w:rPr>
      </w:pPr>
      <w:bookmarkStart w:id="446" w:name="_Toc13023"/>
      <w:bookmarkStart w:id="447" w:name="_Toc7187"/>
      <w:bookmarkStart w:id="448" w:name="_Toc31057"/>
      <w:r>
        <w:rPr>
          <w:rFonts w:hint="eastAsia" w:ascii="黑体" w:hAnsi="黑体" w:eastAsia="黑体"/>
          <w:snapToGrid w:val="0"/>
          <w:color w:val="auto"/>
          <w:sz w:val="30"/>
          <w:szCs w:val="30"/>
          <w:highlight w:val="none"/>
        </w:rPr>
        <w:t>六、结论</w:t>
      </w:r>
      <w:bookmarkEnd w:id="446"/>
      <w:bookmarkEnd w:id="447"/>
      <w:bookmarkEnd w:id="448"/>
    </w:p>
    <w:tbl>
      <w:tblPr>
        <w:tblStyle w:val="25"/>
        <w:tblW w:w="913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133"/>
      </w:tblGrid>
      <w:tr w14:paraId="0C025F7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5000" w:type="pct"/>
            <w:noWrap w:val="0"/>
            <w:vAlign w:val="center"/>
          </w:tcPr>
          <w:p w14:paraId="248E1288">
            <w:pPr>
              <w:keepNext w:val="0"/>
              <w:keepLines w:val="0"/>
              <w:suppressLineNumbers w:val="0"/>
              <w:autoSpaceDE w:val="0"/>
              <w:autoSpaceDN w:val="0"/>
              <w:spacing w:before="0" w:beforeAutospacing="0" w:after="0" w:afterAutospacing="0"/>
              <w:ind w:left="0" w:right="0" w:firstLine="480"/>
              <w:rPr>
                <w:rFonts w:hint="default"/>
                <w:b/>
                <w:color w:val="auto"/>
                <w:kern w:val="0"/>
                <w:highlight w:val="none"/>
              </w:rPr>
            </w:pPr>
            <w:r>
              <w:rPr>
                <w:rFonts w:hint="default"/>
                <w:color w:val="auto"/>
                <w:kern w:val="0"/>
                <w:highlight w:val="none"/>
              </w:rPr>
              <w:t>综上所述，该项目符合国家产业政策，选址合理。只要保证在营运期间加强设备检修及维护，确保各环保处理设施稳定运行，可做到对周边环境基本无影响。同时，建设单位应按照环境保护的原则，认真执行“三同时”政策，落实各项污染防治措施，并切实保证污染治理设施正常稳定的运行，在此基础上，本项目的环境影响可得到有效控制。从环境保护的角度来看，本项目建设是可行的。</w:t>
            </w:r>
          </w:p>
          <w:p w14:paraId="0D28C056">
            <w:pPr>
              <w:keepNext w:val="0"/>
              <w:keepLines w:val="0"/>
              <w:suppressLineNumbers w:val="0"/>
              <w:spacing w:before="0" w:beforeAutospacing="0" w:after="0" w:afterAutospacing="0"/>
              <w:ind w:left="0" w:right="0" w:firstLine="361"/>
              <w:rPr>
                <w:rFonts w:hint="default"/>
                <w:b/>
                <w:color w:val="auto"/>
                <w:kern w:val="0"/>
                <w:sz w:val="18"/>
                <w:szCs w:val="18"/>
                <w:highlight w:val="none"/>
              </w:rPr>
            </w:pPr>
            <w:r>
              <w:rPr>
                <w:rFonts w:hint="default"/>
                <w:b/>
                <w:color w:val="auto"/>
                <w:kern w:val="0"/>
                <w:sz w:val="18"/>
                <w:szCs w:val="18"/>
                <w:highlight w:val="none"/>
              </w:rPr>
              <w:t>注：项目基础资料均由建设单位提供，并对其准确性和有效性负责。建设单位未来如需增加本报告表所涉及之外的污染源或对其功能进行调整，则应按要求向有关</w:t>
            </w:r>
            <w:r>
              <w:rPr>
                <w:rFonts w:hint="eastAsia"/>
                <w:b/>
                <w:color w:val="FF0000"/>
                <w:kern w:val="0"/>
                <w:sz w:val="18"/>
                <w:szCs w:val="18"/>
                <w:highlight w:val="none"/>
                <w:lang w:eastAsia="zh-CN"/>
              </w:rPr>
              <w:t>生态环境</w:t>
            </w:r>
            <w:r>
              <w:rPr>
                <w:rFonts w:hint="default"/>
                <w:b/>
                <w:color w:val="auto"/>
                <w:kern w:val="0"/>
                <w:sz w:val="18"/>
                <w:szCs w:val="18"/>
                <w:highlight w:val="none"/>
              </w:rPr>
              <w:t>部门进行申报，并按污染控制目标采取相应的污染治理措施。</w:t>
            </w:r>
          </w:p>
          <w:p w14:paraId="4E445513">
            <w:pPr>
              <w:pStyle w:val="30"/>
              <w:keepNext w:val="0"/>
              <w:keepLines w:val="0"/>
              <w:suppressLineNumbers w:val="0"/>
              <w:adjustRightInd w:val="0"/>
              <w:snapToGrid w:val="0"/>
              <w:spacing w:before="0" w:beforeAutospacing="0" w:after="0" w:afterAutospacing="0"/>
              <w:ind w:left="0" w:right="0"/>
              <w:rPr>
                <w:rFonts w:hint="default" w:ascii="Times New Roman" w:cs="Times New Roman"/>
                <w:b/>
                <w:color w:val="auto"/>
                <w:kern w:val="0"/>
                <w:highlight w:val="none"/>
              </w:rPr>
            </w:pPr>
          </w:p>
          <w:p w14:paraId="25221BEF">
            <w:pPr>
              <w:keepNext w:val="0"/>
              <w:keepLines w:val="0"/>
              <w:suppressLineNumbers w:val="0"/>
              <w:spacing w:before="0" w:beforeAutospacing="0" w:after="0" w:afterAutospacing="0"/>
              <w:ind w:left="0" w:right="0" w:firstLine="480"/>
              <w:rPr>
                <w:rFonts w:hint="default"/>
                <w:color w:val="auto"/>
                <w:kern w:val="0"/>
                <w:highlight w:val="none"/>
              </w:rPr>
            </w:pPr>
          </w:p>
          <w:p w14:paraId="7D436AFD">
            <w:pPr>
              <w:pStyle w:val="11"/>
              <w:keepNext w:val="0"/>
              <w:keepLines w:val="0"/>
              <w:suppressLineNumbers w:val="0"/>
              <w:spacing w:before="0" w:beforeAutospacing="0" w:after="0" w:afterAutospacing="0"/>
              <w:ind w:left="0" w:right="0" w:firstLine="360"/>
              <w:rPr>
                <w:rFonts w:hint="default"/>
                <w:color w:val="auto"/>
                <w:highlight w:val="none"/>
              </w:rPr>
            </w:pPr>
          </w:p>
          <w:p w14:paraId="085A935F">
            <w:pPr>
              <w:pStyle w:val="11"/>
              <w:keepNext w:val="0"/>
              <w:keepLines w:val="0"/>
              <w:suppressLineNumbers w:val="0"/>
              <w:spacing w:before="0" w:beforeAutospacing="0" w:after="0" w:afterAutospacing="0"/>
              <w:ind w:left="0" w:right="0" w:firstLine="360"/>
              <w:rPr>
                <w:rFonts w:hint="default"/>
                <w:color w:val="auto"/>
                <w:highlight w:val="none"/>
              </w:rPr>
            </w:pPr>
          </w:p>
          <w:p w14:paraId="1F6877D2">
            <w:pPr>
              <w:pStyle w:val="11"/>
              <w:keepNext w:val="0"/>
              <w:keepLines w:val="0"/>
              <w:suppressLineNumbers w:val="0"/>
              <w:spacing w:before="0" w:beforeAutospacing="0" w:after="0" w:afterAutospacing="0"/>
              <w:ind w:left="0" w:right="0" w:firstLine="360"/>
              <w:rPr>
                <w:rFonts w:hint="default"/>
                <w:color w:val="auto"/>
                <w:highlight w:val="none"/>
              </w:rPr>
            </w:pPr>
          </w:p>
          <w:p w14:paraId="5CE52AD6">
            <w:pPr>
              <w:pStyle w:val="11"/>
              <w:keepNext w:val="0"/>
              <w:keepLines w:val="0"/>
              <w:suppressLineNumbers w:val="0"/>
              <w:spacing w:before="0" w:beforeAutospacing="0" w:after="0" w:afterAutospacing="0"/>
              <w:ind w:left="0" w:right="0" w:firstLine="360"/>
              <w:rPr>
                <w:rFonts w:hint="default"/>
                <w:color w:val="auto"/>
                <w:highlight w:val="none"/>
              </w:rPr>
            </w:pPr>
          </w:p>
          <w:p w14:paraId="4ECAA6DF">
            <w:pPr>
              <w:pStyle w:val="11"/>
              <w:keepNext w:val="0"/>
              <w:keepLines w:val="0"/>
              <w:suppressLineNumbers w:val="0"/>
              <w:spacing w:before="0" w:beforeAutospacing="0" w:after="0" w:afterAutospacing="0"/>
              <w:ind w:left="0" w:right="0" w:firstLine="360"/>
              <w:rPr>
                <w:rFonts w:hint="default"/>
                <w:color w:val="auto"/>
                <w:highlight w:val="none"/>
              </w:rPr>
            </w:pPr>
          </w:p>
          <w:p w14:paraId="59C541B1">
            <w:pPr>
              <w:pStyle w:val="11"/>
              <w:keepNext w:val="0"/>
              <w:keepLines w:val="0"/>
              <w:suppressLineNumbers w:val="0"/>
              <w:spacing w:before="0" w:beforeAutospacing="0" w:after="0" w:afterAutospacing="0"/>
              <w:ind w:left="0" w:right="0" w:firstLine="360"/>
              <w:rPr>
                <w:rFonts w:hint="default"/>
                <w:color w:val="auto"/>
                <w:highlight w:val="none"/>
              </w:rPr>
            </w:pPr>
          </w:p>
          <w:p w14:paraId="0333D07C">
            <w:pPr>
              <w:pStyle w:val="11"/>
              <w:keepNext w:val="0"/>
              <w:keepLines w:val="0"/>
              <w:suppressLineNumbers w:val="0"/>
              <w:spacing w:before="0" w:beforeAutospacing="0" w:after="0" w:afterAutospacing="0"/>
              <w:ind w:left="0" w:right="0" w:firstLine="360"/>
              <w:rPr>
                <w:rFonts w:hint="default"/>
                <w:color w:val="auto"/>
                <w:highlight w:val="none"/>
              </w:rPr>
            </w:pPr>
          </w:p>
          <w:p w14:paraId="52A7B739">
            <w:pPr>
              <w:pStyle w:val="11"/>
              <w:keepNext w:val="0"/>
              <w:keepLines w:val="0"/>
              <w:suppressLineNumbers w:val="0"/>
              <w:spacing w:before="0" w:beforeAutospacing="0" w:after="0" w:afterAutospacing="0"/>
              <w:ind w:left="0" w:right="0" w:firstLine="360"/>
              <w:rPr>
                <w:rFonts w:hint="default"/>
                <w:color w:val="auto"/>
                <w:highlight w:val="none"/>
              </w:rPr>
            </w:pPr>
          </w:p>
          <w:p w14:paraId="6A68ED53">
            <w:pPr>
              <w:pStyle w:val="11"/>
              <w:keepNext w:val="0"/>
              <w:keepLines w:val="0"/>
              <w:suppressLineNumbers w:val="0"/>
              <w:spacing w:before="0" w:beforeAutospacing="0" w:after="0" w:afterAutospacing="0"/>
              <w:ind w:left="0" w:right="0" w:firstLine="360"/>
              <w:rPr>
                <w:rFonts w:hint="default"/>
                <w:color w:val="auto"/>
                <w:highlight w:val="none"/>
              </w:rPr>
            </w:pPr>
          </w:p>
          <w:p w14:paraId="7E567354">
            <w:pPr>
              <w:pStyle w:val="11"/>
              <w:keepNext w:val="0"/>
              <w:keepLines w:val="0"/>
              <w:suppressLineNumbers w:val="0"/>
              <w:spacing w:before="0" w:beforeAutospacing="0" w:after="0" w:afterAutospacing="0"/>
              <w:ind w:left="0" w:right="0" w:firstLine="360"/>
              <w:rPr>
                <w:rFonts w:hint="default"/>
                <w:color w:val="auto"/>
                <w:highlight w:val="none"/>
              </w:rPr>
            </w:pPr>
          </w:p>
          <w:p w14:paraId="01398C32">
            <w:pPr>
              <w:pStyle w:val="11"/>
              <w:keepNext w:val="0"/>
              <w:keepLines w:val="0"/>
              <w:suppressLineNumbers w:val="0"/>
              <w:spacing w:before="0" w:beforeAutospacing="0" w:after="0" w:afterAutospacing="0"/>
              <w:ind w:left="0" w:right="0" w:firstLine="360"/>
              <w:rPr>
                <w:rFonts w:hint="default"/>
                <w:color w:val="auto"/>
                <w:highlight w:val="none"/>
              </w:rPr>
            </w:pPr>
          </w:p>
          <w:p w14:paraId="2BBCF6B5">
            <w:pPr>
              <w:pStyle w:val="11"/>
              <w:keepNext w:val="0"/>
              <w:keepLines w:val="0"/>
              <w:suppressLineNumbers w:val="0"/>
              <w:spacing w:before="0" w:beforeAutospacing="0" w:after="0" w:afterAutospacing="0"/>
              <w:ind w:left="0" w:right="0" w:firstLine="360"/>
              <w:rPr>
                <w:rFonts w:hint="default"/>
                <w:color w:val="auto"/>
                <w:highlight w:val="none"/>
              </w:rPr>
            </w:pPr>
          </w:p>
          <w:p w14:paraId="3CF31230">
            <w:pPr>
              <w:pStyle w:val="5"/>
              <w:suppressLineNumbers w:val="0"/>
              <w:spacing w:beforeAutospacing="0" w:afterAutospacing="0"/>
              <w:ind w:left="0" w:right="0" w:firstLine="482"/>
              <w:outlineLvl w:val="3"/>
              <w:rPr>
                <w:rFonts w:hint="eastAsia"/>
                <w:b/>
                <w:color w:val="auto"/>
                <w:kern w:val="0"/>
                <w:sz w:val="24"/>
                <w:highlight w:val="none"/>
              </w:rPr>
            </w:pPr>
          </w:p>
          <w:p w14:paraId="2CD16AC4">
            <w:pPr>
              <w:keepNext w:val="0"/>
              <w:keepLines w:val="0"/>
              <w:suppressLineNumbers w:val="0"/>
              <w:spacing w:before="0" w:beforeAutospacing="0" w:after="0" w:afterAutospacing="0"/>
              <w:ind w:left="0" w:right="0" w:firstLine="482"/>
              <w:rPr>
                <w:rFonts w:hint="default"/>
                <w:b/>
                <w:color w:val="auto"/>
                <w:kern w:val="0"/>
                <w:highlight w:val="none"/>
              </w:rPr>
            </w:pPr>
          </w:p>
          <w:p w14:paraId="1CA88D59">
            <w:pPr>
              <w:pStyle w:val="5"/>
              <w:suppressLineNumbers w:val="0"/>
              <w:spacing w:beforeAutospacing="0" w:afterAutospacing="0"/>
              <w:ind w:left="0" w:right="0" w:firstLine="482"/>
              <w:outlineLvl w:val="3"/>
              <w:rPr>
                <w:rFonts w:hint="default"/>
                <w:b/>
                <w:color w:val="auto"/>
                <w:kern w:val="0"/>
                <w:sz w:val="24"/>
                <w:highlight w:val="none"/>
              </w:rPr>
            </w:pPr>
          </w:p>
          <w:p w14:paraId="4EBA1768">
            <w:pPr>
              <w:keepNext w:val="0"/>
              <w:keepLines w:val="0"/>
              <w:suppressLineNumbers w:val="0"/>
              <w:spacing w:before="0" w:beforeAutospacing="0" w:after="0" w:afterAutospacing="0"/>
              <w:ind w:left="0" w:right="0" w:firstLine="482"/>
              <w:rPr>
                <w:rFonts w:hint="default"/>
                <w:b/>
                <w:color w:val="auto"/>
                <w:kern w:val="0"/>
                <w:highlight w:val="none"/>
              </w:rPr>
            </w:pPr>
          </w:p>
          <w:p w14:paraId="3288796D">
            <w:pPr>
              <w:pStyle w:val="5"/>
              <w:suppressLineNumbers w:val="0"/>
              <w:spacing w:beforeAutospacing="0" w:afterAutospacing="0"/>
              <w:ind w:left="0" w:right="0" w:firstLine="482"/>
              <w:outlineLvl w:val="3"/>
              <w:rPr>
                <w:rFonts w:hint="default"/>
                <w:b/>
                <w:color w:val="auto"/>
                <w:kern w:val="0"/>
                <w:sz w:val="24"/>
                <w:highlight w:val="none"/>
              </w:rPr>
            </w:pPr>
          </w:p>
          <w:p w14:paraId="02F65A38">
            <w:pPr>
              <w:keepNext w:val="0"/>
              <w:keepLines w:val="0"/>
              <w:suppressLineNumbers w:val="0"/>
              <w:spacing w:before="0" w:beforeAutospacing="0" w:after="0" w:afterAutospacing="0"/>
              <w:ind w:left="0" w:right="0" w:firstLine="482"/>
              <w:rPr>
                <w:rFonts w:hint="default"/>
                <w:b/>
                <w:color w:val="auto"/>
                <w:kern w:val="0"/>
                <w:highlight w:val="none"/>
              </w:rPr>
            </w:pPr>
          </w:p>
          <w:p w14:paraId="2C599BAE">
            <w:pPr>
              <w:keepNext w:val="0"/>
              <w:keepLines w:val="0"/>
              <w:suppressLineNumbers w:val="0"/>
              <w:spacing w:before="0" w:beforeAutospacing="0" w:after="0" w:afterAutospacing="0"/>
              <w:ind w:left="0" w:right="0" w:firstLine="480"/>
              <w:rPr>
                <w:rFonts w:hint="default" w:ascii="宋体" w:cs="宋体"/>
                <w:color w:val="auto"/>
                <w:kern w:val="0"/>
                <w:highlight w:val="none"/>
              </w:rPr>
            </w:pPr>
          </w:p>
        </w:tc>
      </w:tr>
    </w:tbl>
    <w:p w14:paraId="4B02855A">
      <w:pPr>
        <w:pStyle w:val="76"/>
        <w:bidi w:val="0"/>
        <w:ind w:left="0" w:leftChars="0" w:firstLine="0" w:firstLineChars="0"/>
        <w:rPr>
          <w:rFonts w:hint="eastAsia"/>
          <w:color w:val="auto"/>
          <w:highlight w:val="none"/>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F4F788B">
      <w:pPr>
        <w:pStyle w:val="22"/>
        <w:spacing w:before="0" w:beforeAutospacing="0" w:after="0" w:afterAutospacing="0"/>
        <w:ind w:firstLine="640"/>
        <w:outlineLvl w:val="0"/>
        <w:rPr>
          <w:rFonts w:hint="eastAsia" w:ascii="黑体" w:hAnsi="黑体" w:eastAsia="黑体"/>
          <w:snapToGrid w:val="0"/>
          <w:color w:val="auto"/>
          <w:sz w:val="32"/>
          <w:szCs w:val="32"/>
          <w:highlight w:val="none"/>
          <w:lang w:eastAsia="zh-CN"/>
        </w:rPr>
      </w:pPr>
      <w:bookmarkStart w:id="449" w:name="_Toc28628"/>
      <w:bookmarkStart w:id="450" w:name="_Toc22188"/>
      <w:bookmarkStart w:id="451" w:name="_Toc4403"/>
      <w:r>
        <w:rPr>
          <w:rFonts w:hint="eastAsia" w:ascii="黑体" w:hAnsi="黑体" w:eastAsia="黑体"/>
          <w:snapToGrid w:val="0"/>
          <w:color w:val="auto"/>
          <w:sz w:val="32"/>
          <w:szCs w:val="32"/>
          <w:highlight w:val="none"/>
        </w:rPr>
        <w:t>附表</w:t>
      </w:r>
      <w:bookmarkEnd w:id="449"/>
      <w:r>
        <w:rPr>
          <w:rFonts w:hint="eastAsia" w:ascii="黑体" w:hAnsi="黑体" w:eastAsia="黑体"/>
          <w:snapToGrid w:val="0"/>
          <w:color w:val="auto"/>
          <w:sz w:val="32"/>
          <w:szCs w:val="32"/>
          <w:highlight w:val="none"/>
          <w:lang w:eastAsia="zh-CN"/>
        </w:rPr>
        <w:t>：</w:t>
      </w:r>
      <w:bookmarkEnd w:id="450"/>
      <w:bookmarkEnd w:id="451"/>
    </w:p>
    <w:p w14:paraId="2F88C15C">
      <w:pPr>
        <w:pStyle w:val="22"/>
        <w:keepNext w:val="0"/>
        <w:keepLines w:val="0"/>
        <w:pageBreakBefore w:val="0"/>
        <w:widowControl/>
        <w:kinsoku/>
        <w:wordWrap/>
        <w:overflowPunct/>
        <w:topLinePunct w:val="0"/>
        <w:autoSpaceDE/>
        <w:autoSpaceDN/>
        <w:bidi w:val="0"/>
        <w:adjustRightInd w:val="0"/>
        <w:snapToGrid w:val="0"/>
        <w:spacing w:before="0" w:beforeAutospacing="0" w:after="0" w:afterAutospacing="0" w:line="240" w:lineRule="auto"/>
        <w:ind w:firstLine="0" w:firstLineChars="0"/>
        <w:jc w:val="center"/>
        <w:textAlignment w:val="auto"/>
        <w:outlineLvl w:val="0"/>
        <w:rPr>
          <w:rFonts w:ascii="方正小标宋_GBK" w:hAnsi="黑体" w:eastAsia="方正小标宋_GBK"/>
          <w:snapToGrid w:val="0"/>
          <w:color w:val="auto"/>
          <w:sz w:val="28"/>
          <w:szCs w:val="28"/>
          <w:highlight w:val="none"/>
        </w:rPr>
      </w:pPr>
      <w:bookmarkStart w:id="452" w:name="_Toc3446"/>
      <w:bookmarkStart w:id="453" w:name="_Toc14333"/>
      <w:bookmarkStart w:id="454" w:name="_Toc11443"/>
      <w:r>
        <w:rPr>
          <w:rFonts w:hint="eastAsia" w:ascii="方正小标宋_GBK" w:hAnsi="黑体" w:eastAsia="方正小标宋_GBK"/>
          <w:snapToGrid w:val="0"/>
          <w:color w:val="auto"/>
          <w:sz w:val="28"/>
          <w:szCs w:val="28"/>
          <w:highlight w:val="none"/>
        </w:rPr>
        <w:t>建设项目污染物排放量汇总表</w:t>
      </w:r>
      <w:bookmarkEnd w:id="452"/>
      <w:r>
        <w:rPr>
          <w:rFonts w:hint="eastAsia" w:ascii="方正小标宋_GBK" w:hAnsi="黑体" w:eastAsia="方正小标宋_GBK"/>
          <w:snapToGrid w:val="0"/>
          <w:color w:val="auto"/>
          <w:sz w:val="28"/>
          <w:szCs w:val="28"/>
          <w:highlight w:val="none"/>
        </w:rPr>
        <w:t>单位：（t/a）</w:t>
      </w:r>
      <w:bookmarkEnd w:id="453"/>
      <w:bookmarkEnd w:id="454"/>
    </w:p>
    <w:tbl>
      <w:tblPr>
        <w:tblStyle w:val="25"/>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12"/>
        <w:gridCol w:w="2305"/>
        <w:gridCol w:w="1632"/>
        <w:gridCol w:w="1281"/>
        <w:gridCol w:w="1374"/>
        <w:gridCol w:w="1421"/>
        <w:gridCol w:w="1453"/>
        <w:gridCol w:w="1760"/>
        <w:gridCol w:w="1154"/>
      </w:tblGrid>
      <w:tr w14:paraId="7C9DE3E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jc w:val="center"/>
        </w:trPr>
        <w:tc>
          <w:tcPr>
            <w:tcW w:w="1112" w:type="dxa"/>
            <w:noWrap w:val="0"/>
            <w:tcMar>
              <w:left w:w="28" w:type="dxa"/>
              <w:right w:w="28" w:type="dxa"/>
            </w:tcMar>
            <w:vAlign w:val="center"/>
          </w:tcPr>
          <w:p w14:paraId="69DF99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-11430</wp:posOffset>
                      </wp:positionV>
                      <wp:extent cx="708025" cy="510540"/>
                      <wp:effectExtent l="2540" t="3810" r="13335" b="19050"/>
                      <wp:wrapNone/>
                      <wp:docPr id="23" name="直接连接符 23"/>
                      <wp:cNvGraphicFramePr/>
                      <a:graphic xmlns:a="http://schemas.openxmlformats.org/drawingml/2006/main">
                        <a:graphicData uri="http://schemas.microsoft.com/office/word/2010/wordprocessingShape">
                          <wps:wsp>
                            <wps:cNvCnPr/>
                            <wps:spPr>
                              <a:xfrm>
                                <a:off x="0" y="0"/>
                                <a:ext cx="708025" cy="51054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25pt;margin-top:-0.9pt;height:40.2pt;width:55.75pt;z-index:251661312;mso-width-relative:page;mso-height-relative:page;" filled="f" stroked="t" coordsize="21600,21600" o:gfxdata="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NRm2tYAAAAIAQAADwAAAAAAAAABACAAAAAiAAAAZHJzL2Rvd25yZXYueG1s&#10;UEsBAhQAFAAAAAgAh07iQKzjJ6j6AQAA6gMAAA4AAAAAAAAAAQAgAAAAJQEAAGRycy9lMm9Eb2Mu&#10;eG1sUEsFBgAAAAAGAAYAWQEAAJEFAAAAAA==&#10;">
                      <v:fill on="f" focussize="0,0"/>
                      <v:stroke color="#000000" joinstyle="round"/>
                      <v:imagedata o:title=""/>
                      <o:lock v:ext="edit" aspectratio="f"/>
                    </v:line>
                  </w:pict>
                </mc:Fallback>
              </mc:AlternateContent>
            </w:r>
            <w:r>
              <w:rPr>
                <w:rFonts w:hint="eastAsia"/>
                <w:color w:val="auto"/>
                <w:highlight w:val="none"/>
              </w:rPr>
              <w:t xml:space="preserve"> </w:t>
            </w:r>
            <w:r>
              <w:rPr>
                <w:rFonts w:hint="default"/>
                <w:color w:val="auto"/>
                <w:highlight w:val="none"/>
              </w:rPr>
              <w:t xml:space="preserve">   项目</w:t>
            </w:r>
          </w:p>
          <w:p w14:paraId="67566A4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p w14:paraId="102FA68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分类</w:t>
            </w:r>
          </w:p>
        </w:tc>
        <w:tc>
          <w:tcPr>
            <w:tcW w:w="2305" w:type="dxa"/>
            <w:noWrap w:val="0"/>
            <w:tcMar>
              <w:left w:w="28" w:type="dxa"/>
              <w:right w:w="28" w:type="dxa"/>
            </w:tcMar>
            <w:vAlign w:val="center"/>
          </w:tcPr>
          <w:p w14:paraId="4FCB850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污染物名称</w:t>
            </w:r>
          </w:p>
        </w:tc>
        <w:tc>
          <w:tcPr>
            <w:tcW w:w="1632" w:type="dxa"/>
            <w:noWrap w:val="0"/>
            <w:tcMar>
              <w:left w:w="28" w:type="dxa"/>
              <w:right w:w="28" w:type="dxa"/>
            </w:tcMar>
            <w:vAlign w:val="center"/>
          </w:tcPr>
          <w:p w14:paraId="042BC7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现有工程排放量（固体废物产生量）</w:t>
            </w:r>
            <w:r>
              <w:rPr>
                <w:rFonts w:hint="default"/>
                <w:color w:val="auto"/>
                <w:highlight w:val="none"/>
              </w:rPr>
              <w:fldChar w:fldCharType="begin"/>
            </w:r>
            <w:r>
              <w:rPr>
                <w:rFonts w:hint="default"/>
                <w:color w:val="auto"/>
                <w:highlight w:val="none"/>
              </w:rPr>
              <w:instrText xml:space="preserve"> = 1 \* GB3 \* MERGEFORMAT </w:instrText>
            </w:r>
            <w:r>
              <w:rPr>
                <w:rFonts w:hint="default"/>
                <w:color w:val="auto"/>
                <w:highlight w:val="none"/>
              </w:rPr>
              <w:fldChar w:fldCharType="separate"/>
            </w:r>
            <w:r>
              <w:rPr>
                <w:rFonts w:hint="eastAsia"/>
                <w:color w:val="auto"/>
                <w:highlight w:val="none"/>
              </w:rPr>
              <w:t>①</w:t>
            </w:r>
            <w:r>
              <w:rPr>
                <w:rFonts w:hint="default"/>
                <w:color w:val="auto"/>
                <w:highlight w:val="none"/>
              </w:rPr>
              <w:fldChar w:fldCharType="end"/>
            </w:r>
          </w:p>
        </w:tc>
        <w:tc>
          <w:tcPr>
            <w:tcW w:w="1281" w:type="dxa"/>
            <w:noWrap w:val="0"/>
            <w:tcMar>
              <w:left w:w="28" w:type="dxa"/>
              <w:right w:w="28" w:type="dxa"/>
            </w:tcMar>
            <w:vAlign w:val="center"/>
          </w:tcPr>
          <w:p w14:paraId="4585E6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现有工程许可排放量</w:t>
            </w:r>
            <w:r>
              <w:rPr>
                <w:rFonts w:hint="default"/>
                <w:color w:val="auto"/>
                <w:highlight w:val="none"/>
              </w:rPr>
              <w:fldChar w:fldCharType="begin"/>
            </w:r>
            <w:r>
              <w:rPr>
                <w:rFonts w:hint="default"/>
                <w:color w:val="auto"/>
                <w:highlight w:val="none"/>
              </w:rPr>
              <w:instrText xml:space="preserve"> = 2 \* GB3 \* MERGEFORMAT </w:instrText>
            </w:r>
            <w:r>
              <w:rPr>
                <w:rFonts w:hint="default"/>
                <w:color w:val="auto"/>
                <w:highlight w:val="none"/>
              </w:rPr>
              <w:fldChar w:fldCharType="separate"/>
            </w:r>
            <w:r>
              <w:rPr>
                <w:rFonts w:hint="eastAsia"/>
                <w:color w:val="auto"/>
                <w:highlight w:val="none"/>
              </w:rPr>
              <w:t>②</w:t>
            </w:r>
            <w:r>
              <w:rPr>
                <w:rFonts w:hint="default"/>
                <w:color w:val="auto"/>
                <w:highlight w:val="none"/>
              </w:rPr>
              <w:fldChar w:fldCharType="end"/>
            </w:r>
          </w:p>
        </w:tc>
        <w:tc>
          <w:tcPr>
            <w:tcW w:w="1374" w:type="dxa"/>
            <w:noWrap w:val="0"/>
            <w:tcMar>
              <w:left w:w="28" w:type="dxa"/>
              <w:right w:w="28" w:type="dxa"/>
            </w:tcMar>
            <w:vAlign w:val="center"/>
          </w:tcPr>
          <w:p w14:paraId="27F2A9B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在建工程排放量（固体废物产生量）</w:t>
            </w:r>
            <w:r>
              <w:rPr>
                <w:rFonts w:hint="default"/>
                <w:color w:val="auto"/>
                <w:highlight w:val="none"/>
              </w:rPr>
              <w:fldChar w:fldCharType="begin"/>
            </w:r>
            <w:r>
              <w:rPr>
                <w:rFonts w:hint="default"/>
                <w:color w:val="auto"/>
                <w:highlight w:val="none"/>
              </w:rPr>
              <w:instrText xml:space="preserve"> = 3 \* GB3 \* MERGEFORMAT </w:instrText>
            </w:r>
            <w:r>
              <w:rPr>
                <w:rFonts w:hint="default"/>
                <w:color w:val="auto"/>
                <w:highlight w:val="none"/>
              </w:rPr>
              <w:fldChar w:fldCharType="separate"/>
            </w:r>
            <w:r>
              <w:rPr>
                <w:rFonts w:hint="eastAsia"/>
                <w:color w:val="auto"/>
                <w:highlight w:val="none"/>
              </w:rPr>
              <w:t>③</w:t>
            </w:r>
            <w:r>
              <w:rPr>
                <w:rFonts w:hint="default"/>
                <w:color w:val="auto"/>
                <w:highlight w:val="none"/>
              </w:rPr>
              <w:fldChar w:fldCharType="end"/>
            </w:r>
          </w:p>
        </w:tc>
        <w:tc>
          <w:tcPr>
            <w:tcW w:w="1421" w:type="dxa"/>
            <w:noWrap w:val="0"/>
            <w:tcMar>
              <w:left w:w="28" w:type="dxa"/>
              <w:right w:w="28" w:type="dxa"/>
            </w:tcMar>
            <w:vAlign w:val="center"/>
          </w:tcPr>
          <w:p w14:paraId="2DF845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default"/>
                <w:color w:val="auto"/>
                <w:highlight w:val="none"/>
              </w:rPr>
              <w:t>本项目排放量（固体废物产生量）</w:t>
            </w:r>
            <w:r>
              <w:rPr>
                <w:rFonts w:hint="default"/>
                <w:color w:val="auto"/>
                <w:highlight w:val="none"/>
              </w:rPr>
              <w:fldChar w:fldCharType="begin"/>
            </w:r>
            <w:r>
              <w:rPr>
                <w:rFonts w:hint="default"/>
                <w:color w:val="auto"/>
                <w:highlight w:val="none"/>
              </w:rPr>
              <w:instrText xml:space="preserve"> = 4 \* GB3 \* MERGEFORMAT </w:instrText>
            </w:r>
            <w:r>
              <w:rPr>
                <w:rFonts w:hint="default"/>
                <w:color w:val="auto"/>
                <w:highlight w:val="none"/>
              </w:rPr>
              <w:fldChar w:fldCharType="separate"/>
            </w:r>
            <w:r>
              <w:rPr>
                <w:rFonts w:hint="eastAsia"/>
                <w:color w:val="auto"/>
                <w:highlight w:val="none"/>
              </w:rPr>
              <w:t>④</w:t>
            </w:r>
            <w:r>
              <w:rPr>
                <w:rFonts w:hint="default"/>
                <w:color w:val="auto"/>
                <w:highlight w:val="none"/>
              </w:rPr>
              <w:fldChar w:fldCharType="end"/>
            </w:r>
            <w:r>
              <w:rPr>
                <w:rFonts w:hint="eastAsia"/>
                <w:color w:val="auto"/>
                <w:highlight w:val="none"/>
                <w:lang w:eastAsia="zh-CN"/>
              </w:rPr>
              <w:t>（</w:t>
            </w:r>
            <w:r>
              <w:rPr>
                <w:rFonts w:hint="eastAsia"/>
                <w:color w:val="auto"/>
                <w:highlight w:val="none"/>
                <w:lang w:val="en-US" w:eastAsia="zh-CN"/>
              </w:rPr>
              <w:t>t/a</w:t>
            </w:r>
            <w:r>
              <w:rPr>
                <w:rFonts w:hint="eastAsia"/>
                <w:color w:val="auto"/>
                <w:highlight w:val="none"/>
                <w:lang w:eastAsia="zh-CN"/>
              </w:rPr>
              <w:t>）</w:t>
            </w:r>
          </w:p>
        </w:tc>
        <w:tc>
          <w:tcPr>
            <w:tcW w:w="1453" w:type="dxa"/>
            <w:noWrap w:val="0"/>
            <w:tcMar>
              <w:left w:w="28" w:type="dxa"/>
              <w:right w:w="28" w:type="dxa"/>
            </w:tcMar>
            <w:vAlign w:val="center"/>
          </w:tcPr>
          <w:p w14:paraId="512D4E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以新带老削减量（新建项目不填）</w:t>
            </w:r>
            <w:r>
              <w:rPr>
                <w:rFonts w:hint="default"/>
                <w:color w:val="auto"/>
                <w:highlight w:val="none"/>
              </w:rPr>
              <w:fldChar w:fldCharType="begin"/>
            </w:r>
            <w:r>
              <w:rPr>
                <w:rFonts w:hint="default"/>
                <w:color w:val="auto"/>
                <w:highlight w:val="none"/>
              </w:rPr>
              <w:instrText xml:space="preserve"> = 5 \* GB3 \* MERGEFORMAT </w:instrText>
            </w:r>
            <w:r>
              <w:rPr>
                <w:rFonts w:hint="default"/>
                <w:color w:val="auto"/>
                <w:highlight w:val="none"/>
              </w:rPr>
              <w:fldChar w:fldCharType="separate"/>
            </w:r>
            <w:r>
              <w:rPr>
                <w:rFonts w:hint="eastAsia"/>
                <w:color w:val="auto"/>
                <w:highlight w:val="none"/>
              </w:rPr>
              <w:t>⑤</w:t>
            </w:r>
            <w:r>
              <w:rPr>
                <w:rFonts w:hint="default"/>
                <w:color w:val="auto"/>
                <w:highlight w:val="none"/>
              </w:rPr>
              <w:fldChar w:fldCharType="end"/>
            </w:r>
          </w:p>
        </w:tc>
        <w:tc>
          <w:tcPr>
            <w:tcW w:w="1760" w:type="dxa"/>
            <w:noWrap w:val="0"/>
            <w:tcMar>
              <w:left w:w="28" w:type="dxa"/>
              <w:right w:w="28" w:type="dxa"/>
            </w:tcMar>
            <w:vAlign w:val="center"/>
          </w:tcPr>
          <w:p w14:paraId="0C78A0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本项目建成后全厂排放量（固体废物产生量）</w:t>
            </w:r>
            <w:r>
              <w:rPr>
                <w:rFonts w:hint="default"/>
                <w:color w:val="auto"/>
                <w:highlight w:val="none"/>
              </w:rPr>
              <w:fldChar w:fldCharType="begin"/>
            </w:r>
            <w:r>
              <w:rPr>
                <w:rFonts w:hint="default"/>
                <w:color w:val="auto"/>
                <w:highlight w:val="none"/>
              </w:rPr>
              <w:instrText xml:space="preserve"> = 6 \* GB3 \* MERGEFORMAT </w:instrText>
            </w:r>
            <w:r>
              <w:rPr>
                <w:rFonts w:hint="default"/>
                <w:color w:val="auto"/>
                <w:highlight w:val="none"/>
              </w:rPr>
              <w:fldChar w:fldCharType="separate"/>
            </w:r>
            <w:r>
              <w:rPr>
                <w:rFonts w:hint="eastAsia"/>
                <w:color w:val="auto"/>
                <w:highlight w:val="none"/>
              </w:rPr>
              <w:t>⑥</w:t>
            </w:r>
            <w:r>
              <w:rPr>
                <w:rFonts w:hint="default"/>
                <w:color w:val="auto"/>
                <w:highlight w:val="none"/>
              </w:rPr>
              <w:fldChar w:fldCharType="end"/>
            </w:r>
            <w:r>
              <w:rPr>
                <w:rFonts w:hint="eastAsia"/>
                <w:color w:val="auto"/>
                <w:highlight w:val="none"/>
                <w:lang w:eastAsia="zh-CN"/>
              </w:rPr>
              <w:t>（</w:t>
            </w:r>
            <w:r>
              <w:rPr>
                <w:rFonts w:hint="eastAsia"/>
                <w:color w:val="auto"/>
                <w:highlight w:val="none"/>
                <w:lang w:val="en-US" w:eastAsia="zh-CN"/>
              </w:rPr>
              <w:t>t/a</w:t>
            </w:r>
            <w:r>
              <w:rPr>
                <w:rFonts w:hint="eastAsia"/>
                <w:color w:val="auto"/>
                <w:highlight w:val="none"/>
                <w:lang w:eastAsia="zh-CN"/>
              </w:rPr>
              <w:t>）</w:t>
            </w:r>
          </w:p>
        </w:tc>
        <w:tc>
          <w:tcPr>
            <w:tcW w:w="1154" w:type="dxa"/>
            <w:noWrap w:val="0"/>
            <w:tcMar>
              <w:left w:w="28" w:type="dxa"/>
              <w:right w:w="28" w:type="dxa"/>
            </w:tcMar>
            <w:vAlign w:val="center"/>
          </w:tcPr>
          <w:p w14:paraId="5B0C543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变化量</w:t>
            </w:r>
          </w:p>
          <w:p w14:paraId="67DBCF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fldChar w:fldCharType="begin"/>
            </w:r>
            <w:r>
              <w:rPr>
                <w:rFonts w:hint="default"/>
                <w:color w:val="auto"/>
                <w:highlight w:val="none"/>
              </w:rPr>
              <w:instrText xml:space="preserve"> = 7 \* GB3 \* MERGEFORMAT </w:instrText>
            </w:r>
            <w:r>
              <w:rPr>
                <w:rFonts w:hint="default"/>
                <w:color w:val="auto"/>
                <w:highlight w:val="none"/>
              </w:rPr>
              <w:fldChar w:fldCharType="separate"/>
            </w:r>
            <w:r>
              <w:rPr>
                <w:rFonts w:hint="eastAsia"/>
                <w:color w:val="auto"/>
                <w:highlight w:val="none"/>
              </w:rPr>
              <w:t>⑦</w:t>
            </w:r>
            <w:r>
              <w:rPr>
                <w:rFonts w:hint="default"/>
                <w:color w:val="auto"/>
                <w:highlight w:val="none"/>
              </w:rPr>
              <w:fldChar w:fldCharType="end"/>
            </w:r>
            <w:r>
              <w:rPr>
                <w:rFonts w:hint="eastAsia"/>
                <w:color w:val="auto"/>
                <w:highlight w:val="none"/>
                <w:lang w:eastAsia="zh-CN"/>
              </w:rPr>
              <w:t>（</w:t>
            </w:r>
            <w:r>
              <w:rPr>
                <w:rFonts w:hint="eastAsia"/>
                <w:color w:val="auto"/>
                <w:highlight w:val="none"/>
                <w:lang w:val="en-US" w:eastAsia="zh-CN"/>
              </w:rPr>
              <w:t>t/a</w:t>
            </w:r>
            <w:r>
              <w:rPr>
                <w:rFonts w:hint="eastAsia"/>
                <w:color w:val="auto"/>
                <w:highlight w:val="none"/>
                <w:lang w:eastAsia="zh-CN"/>
              </w:rPr>
              <w:t>）</w:t>
            </w:r>
          </w:p>
        </w:tc>
      </w:tr>
      <w:tr w14:paraId="20D180D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restart"/>
            <w:noWrap w:val="0"/>
            <w:vAlign w:val="center"/>
          </w:tcPr>
          <w:p w14:paraId="22EF03F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bookmarkStart w:id="455" w:name="OLE_LINK10" w:colFirst="7" w:colLast="7"/>
            <w:r>
              <w:rPr>
                <w:rFonts w:hint="default"/>
                <w:color w:val="auto"/>
                <w:highlight w:val="none"/>
              </w:rPr>
              <w:t>废气</w:t>
            </w:r>
          </w:p>
        </w:tc>
        <w:tc>
          <w:tcPr>
            <w:tcW w:w="2305" w:type="dxa"/>
            <w:tcBorders>
              <w:bottom w:val="single" w:color="auto" w:sz="4" w:space="0"/>
            </w:tcBorders>
            <w:noWrap w:val="0"/>
            <w:vAlign w:val="center"/>
          </w:tcPr>
          <w:p w14:paraId="1E39DF2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olor w:val="auto"/>
                <w:highlight w:val="none"/>
              </w:rPr>
              <w:t>颗粒物</w:t>
            </w:r>
          </w:p>
        </w:tc>
        <w:tc>
          <w:tcPr>
            <w:tcW w:w="1632" w:type="dxa"/>
            <w:tcBorders>
              <w:bottom w:val="single" w:color="auto" w:sz="4" w:space="0"/>
            </w:tcBorders>
            <w:noWrap w:val="0"/>
            <w:vAlign w:val="center"/>
          </w:tcPr>
          <w:p w14:paraId="53C4C90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9.94</w:t>
            </w:r>
          </w:p>
        </w:tc>
        <w:tc>
          <w:tcPr>
            <w:tcW w:w="1281" w:type="dxa"/>
            <w:tcBorders>
              <w:bottom w:val="single" w:color="auto" w:sz="4" w:space="0"/>
            </w:tcBorders>
            <w:noWrap w:val="0"/>
            <w:vAlign w:val="center"/>
          </w:tcPr>
          <w:p w14:paraId="261D059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tcBorders>
              <w:bottom w:val="single" w:color="auto" w:sz="4" w:space="0"/>
            </w:tcBorders>
            <w:noWrap w:val="0"/>
            <w:vAlign w:val="center"/>
          </w:tcPr>
          <w:p w14:paraId="176058A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tcBorders>
              <w:bottom w:val="single" w:color="auto" w:sz="4" w:space="0"/>
            </w:tcBorders>
            <w:shd w:val="clear" w:color="auto" w:fill="auto"/>
            <w:noWrap w:val="0"/>
            <w:vAlign w:val="center"/>
          </w:tcPr>
          <w:p w14:paraId="57C231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3.381</w:t>
            </w:r>
          </w:p>
        </w:tc>
        <w:tc>
          <w:tcPr>
            <w:tcW w:w="1453" w:type="dxa"/>
            <w:tcBorders>
              <w:bottom w:val="single" w:color="auto" w:sz="4" w:space="0"/>
            </w:tcBorders>
            <w:noWrap w:val="0"/>
            <w:vAlign w:val="center"/>
          </w:tcPr>
          <w:p w14:paraId="682A31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tcBorders>
              <w:bottom w:val="single" w:color="auto" w:sz="4" w:space="0"/>
            </w:tcBorders>
            <w:shd w:val="clear" w:color="auto" w:fill="auto"/>
            <w:noWrap w:val="0"/>
            <w:vAlign w:val="center"/>
          </w:tcPr>
          <w:p w14:paraId="04B4FB2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i w:val="0"/>
                <w:iCs w:val="0"/>
                <w:color w:val="auto"/>
                <w:kern w:val="0"/>
                <w:sz w:val="21"/>
                <w:szCs w:val="21"/>
                <w:highlight w:val="none"/>
                <w:u w:val="none"/>
                <w:lang w:val="en-US" w:eastAsia="zh-CN" w:bidi="ar"/>
              </w:rPr>
              <w:t>13.321</w:t>
            </w:r>
          </w:p>
        </w:tc>
        <w:tc>
          <w:tcPr>
            <w:tcW w:w="1154" w:type="dxa"/>
            <w:tcBorders>
              <w:bottom w:val="single" w:color="auto" w:sz="4" w:space="0"/>
            </w:tcBorders>
            <w:shd w:val="clear" w:color="auto" w:fill="auto"/>
            <w:noWrap w:val="0"/>
            <w:vAlign w:val="center"/>
          </w:tcPr>
          <w:p w14:paraId="089B777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+3.381</w:t>
            </w:r>
          </w:p>
        </w:tc>
      </w:tr>
      <w:tr w14:paraId="13BC3BC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15B8C3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shd w:val="clear" w:color="auto" w:fill="auto"/>
            <w:noWrap w:val="0"/>
            <w:vAlign w:val="center"/>
          </w:tcPr>
          <w:p w14:paraId="7B3254C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SO</w:t>
            </w:r>
            <w:r>
              <w:rPr>
                <w:rFonts w:hint="eastAsia"/>
                <w:color w:val="auto"/>
                <w:highlight w:val="none"/>
                <w:vertAlign w:val="subscript"/>
                <w:lang w:val="en-US" w:eastAsia="zh-CN"/>
              </w:rPr>
              <w:t>2</w:t>
            </w:r>
          </w:p>
        </w:tc>
        <w:tc>
          <w:tcPr>
            <w:tcW w:w="1632" w:type="dxa"/>
            <w:tcBorders>
              <w:bottom w:val="single" w:color="auto" w:sz="4" w:space="0"/>
            </w:tcBorders>
            <w:shd w:val="clear" w:color="auto" w:fill="auto"/>
            <w:noWrap w:val="0"/>
            <w:vAlign w:val="center"/>
          </w:tcPr>
          <w:p w14:paraId="22FCB58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0.27</w:t>
            </w:r>
          </w:p>
        </w:tc>
        <w:tc>
          <w:tcPr>
            <w:tcW w:w="1281" w:type="dxa"/>
            <w:tcBorders>
              <w:bottom w:val="single" w:color="auto" w:sz="4" w:space="0"/>
            </w:tcBorders>
            <w:shd w:val="clear" w:color="auto" w:fill="auto"/>
            <w:noWrap w:val="0"/>
            <w:vAlign w:val="center"/>
          </w:tcPr>
          <w:p w14:paraId="28966CC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374" w:type="dxa"/>
            <w:tcBorders>
              <w:bottom w:val="single" w:color="auto" w:sz="4" w:space="0"/>
            </w:tcBorders>
            <w:shd w:val="clear" w:color="auto" w:fill="auto"/>
            <w:noWrap w:val="0"/>
            <w:vAlign w:val="center"/>
          </w:tcPr>
          <w:p w14:paraId="3418BB8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421" w:type="dxa"/>
            <w:tcBorders>
              <w:bottom w:val="single" w:color="auto" w:sz="4" w:space="0"/>
            </w:tcBorders>
            <w:shd w:val="clear" w:color="auto" w:fill="auto"/>
            <w:noWrap w:val="0"/>
            <w:vAlign w:val="center"/>
          </w:tcPr>
          <w:p w14:paraId="4AC3C8C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w:t>
            </w:r>
          </w:p>
        </w:tc>
        <w:tc>
          <w:tcPr>
            <w:tcW w:w="1453" w:type="dxa"/>
            <w:tcBorders>
              <w:bottom w:val="single" w:color="auto" w:sz="4" w:space="0"/>
            </w:tcBorders>
            <w:shd w:val="clear" w:color="auto" w:fill="auto"/>
            <w:noWrap w:val="0"/>
            <w:vAlign w:val="center"/>
          </w:tcPr>
          <w:p w14:paraId="366ED1E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760" w:type="dxa"/>
            <w:tcBorders>
              <w:bottom w:val="single" w:color="auto" w:sz="4" w:space="0"/>
            </w:tcBorders>
            <w:shd w:val="clear" w:color="auto" w:fill="auto"/>
            <w:noWrap w:val="0"/>
            <w:vAlign w:val="center"/>
          </w:tcPr>
          <w:p w14:paraId="07E1335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0.27</w:t>
            </w:r>
          </w:p>
        </w:tc>
        <w:tc>
          <w:tcPr>
            <w:tcW w:w="1154" w:type="dxa"/>
            <w:tcBorders>
              <w:bottom w:val="single" w:color="auto" w:sz="4" w:space="0"/>
            </w:tcBorders>
            <w:shd w:val="clear" w:color="auto" w:fill="auto"/>
            <w:noWrap w:val="0"/>
            <w:vAlign w:val="center"/>
          </w:tcPr>
          <w:p w14:paraId="045C496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r>
      <w:tr w14:paraId="45A234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01F37B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shd w:val="clear" w:color="auto" w:fill="auto"/>
            <w:noWrap w:val="0"/>
            <w:vAlign w:val="center"/>
          </w:tcPr>
          <w:p w14:paraId="310272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NO</w:t>
            </w:r>
            <w:r>
              <w:rPr>
                <w:rFonts w:hint="eastAsia"/>
                <w:color w:val="auto"/>
                <w:highlight w:val="none"/>
                <w:vertAlign w:val="subscript"/>
                <w:lang w:val="en-US" w:eastAsia="zh-CN"/>
              </w:rPr>
              <w:t>x</w:t>
            </w:r>
          </w:p>
        </w:tc>
        <w:tc>
          <w:tcPr>
            <w:tcW w:w="1632" w:type="dxa"/>
            <w:tcBorders>
              <w:bottom w:val="single" w:color="auto" w:sz="4" w:space="0"/>
            </w:tcBorders>
            <w:shd w:val="clear" w:color="auto" w:fill="auto"/>
            <w:noWrap w:val="0"/>
            <w:vAlign w:val="center"/>
          </w:tcPr>
          <w:p w14:paraId="3854F3B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2.55</w:t>
            </w:r>
          </w:p>
        </w:tc>
        <w:tc>
          <w:tcPr>
            <w:tcW w:w="1281" w:type="dxa"/>
            <w:tcBorders>
              <w:bottom w:val="single" w:color="auto" w:sz="4" w:space="0"/>
            </w:tcBorders>
            <w:shd w:val="clear" w:color="auto" w:fill="auto"/>
            <w:noWrap w:val="0"/>
            <w:vAlign w:val="center"/>
          </w:tcPr>
          <w:p w14:paraId="6F181D8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374" w:type="dxa"/>
            <w:tcBorders>
              <w:bottom w:val="single" w:color="auto" w:sz="4" w:space="0"/>
            </w:tcBorders>
            <w:shd w:val="clear" w:color="auto" w:fill="auto"/>
            <w:noWrap w:val="0"/>
            <w:vAlign w:val="center"/>
          </w:tcPr>
          <w:p w14:paraId="1251ACF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421" w:type="dxa"/>
            <w:tcBorders>
              <w:bottom w:val="single" w:color="auto" w:sz="4" w:space="0"/>
            </w:tcBorders>
            <w:shd w:val="clear" w:color="auto" w:fill="auto"/>
            <w:noWrap w:val="0"/>
            <w:vAlign w:val="center"/>
          </w:tcPr>
          <w:p w14:paraId="65C0A72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w:t>
            </w:r>
          </w:p>
        </w:tc>
        <w:tc>
          <w:tcPr>
            <w:tcW w:w="1453" w:type="dxa"/>
            <w:tcBorders>
              <w:bottom w:val="single" w:color="auto" w:sz="4" w:space="0"/>
            </w:tcBorders>
            <w:shd w:val="clear" w:color="auto" w:fill="auto"/>
            <w:noWrap w:val="0"/>
            <w:vAlign w:val="center"/>
          </w:tcPr>
          <w:p w14:paraId="50FF581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760" w:type="dxa"/>
            <w:tcBorders>
              <w:bottom w:val="single" w:color="auto" w:sz="4" w:space="0"/>
            </w:tcBorders>
            <w:shd w:val="clear" w:color="auto" w:fill="auto"/>
            <w:noWrap w:val="0"/>
            <w:vAlign w:val="center"/>
          </w:tcPr>
          <w:p w14:paraId="6515868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2.55</w:t>
            </w:r>
          </w:p>
        </w:tc>
        <w:tc>
          <w:tcPr>
            <w:tcW w:w="1154" w:type="dxa"/>
            <w:tcBorders>
              <w:bottom w:val="single" w:color="auto" w:sz="4" w:space="0"/>
            </w:tcBorders>
            <w:shd w:val="clear" w:color="auto" w:fill="auto"/>
            <w:noWrap w:val="0"/>
            <w:vAlign w:val="center"/>
          </w:tcPr>
          <w:p w14:paraId="5724B5F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r>
      <w:tr w14:paraId="1607AB4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0A03C07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288387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lang w:val="en-US" w:eastAsia="zh-CN"/>
              </w:rPr>
            </w:pPr>
            <w:r>
              <w:rPr>
                <w:rFonts w:hint="eastAsia"/>
                <w:color w:val="auto"/>
                <w:highlight w:val="none"/>
                <w:lang w:val="en-US" w:eastAsia="zh-CN"/>
              </w:rPr>
              <w:t>铊及其化合物</w:t>
            </w:r>
          </w:p>
        </w:tc>
        <w:tc>
          <w:tcPr>
            <w:tcW w:w="1632" w:type="dxa"/>
            <w:tcBorders>
              <w:bottom w:val="single" w:color="auto" w:sz="4" w:space="0"/>
            </w:tcBorders>
            <w:noWrap w:val="0"/>
            <w:vAlign w:val="center"/>
          </w:tcPr>
          <w:p w14:paraId="40EAEF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w:t>
            </w:r>
          </w:p>
        </w:tc>
        <w:tc>
          <w:tcPr>
            <w:tcW w:w="1281" w:type="dxa"/>
            <w:tcBorders>
              <w:bottom w:val="single" w:color="auto" w:sz="4" w:space="0"/>
            </w:tcBorders>
            <w:noWrap w:val="0"/>
            <w:vAlign w:val="center"/>
          </w:tcPr>
          <w:p w14:paraId="7B1C71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tcBorders>
              <w:bottom w:val="single" w:color="auto" w:sz="4" w:space="0"/>
            </w:tcBorders>
            <w:noWrap w:val="0"/>
            <w:vAlign w:val="center"/>
          </w:tcPr>
          <w:p w14:paraId="1D8D9E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tcBorders>
              <w:bottom w:val="single" w:color="auto" w:sz="4" w:space="0"/>
            </w:tcBorders>
            <w:shd w:val="clear" w:color="auto" w:fill="auto"/>
            <w:noWrap w:val="0"/>
            <w:vAlign w:val="center"/>
          </w:tcPr>
          <w:p w14:paraId="29C0B13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0.000032</w:t>
            </w:r>
          </w:p>
        </w:tc>
        <w:tc>
          <w:tcPr>
            <w:tcW w:w="1453" w:type="dxa"/>
            <w:tcBorders>
              <w:bottom w:val="single" w:color="auto" w:sz="4" w:space="0"/>
            </w:tcBorders>
            <w:noWrap w:val="0"/>
            <w:vAlign w:val="center"/>
          </w:tcPr>
          <w:p w14:paraId="0540A26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tcBorders>
              <w:bottom w:val="single" w:color="auto" w:sz="4" w:space="0"/>
            </w:tcBorders>
            <w:shd w:val="clear" w:color="auto" w:fill="auto"/>
            <w:noWrap w:val="0"/>
            <w:vAlign w:val="center"/>
          </w:tcPr>
          <w:p w14:paraId="1232AA8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0.0000</w:t>
            </w:r>
            <w:r>
              <w:rPr>
                <w:rFonts w:hint="eastAsia" w:cs="Times New Roman"/>
                <w:i w:val="0"/>
                <w:iCs w:val="0"/>
                <w:color w:val="auto"/>
                <w:kern w:val="0"/>
                <w:sz w:val="21"/>
                <w:szCs w:val="21"/>
                <w:highlight w:val="none"/>
                <w:u w:val="none"/>
                <w:lang w:val="en-US" w:eastAsia="zh-CN" w:bidi="ar"/>
              </w:rPr>
              <w:t>32</w:t>
            </w:r>
          </w:p>
        </w:tc>
        <w:tc>
          <w:tcPr>
            <w:tcW w:w="1154" w:type="dxa"/>
            <w:tcBorders>
              <w:bottom w:val="single" w:color="auto" w:sz="4" w:space="0"/>
            </w:tcBorders>
            <w:shd w:val="clear" w:color="auto" w:fill="auto"/>
            <w:noWrap w:val="0"/>
            <w:vAlign w:val="center"/>
          </w:tcPr>
          <w:p w14:paraId="2B69C1E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color w:val="auto"/>
                <w:highlight w:val="none"/>
                <w:lang w:val="en-US" w:eastAsia="zh-CN"/>
              </w:rPr>
              <w:t>+0.000032</w:t>
            </w:r>
          </w:p>
        </w:tc>
      </w:tr>
      <w:tr w14:paraId="767AA31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7DB7999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2CADE6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氟化物</w:t>
            </w:r>
          </w:p>
        </w:tc>
        <w:tc>
          <w:tcPr>
            <w:tcW w:w="1632" w:type="dxa"/>
            <w:tcBorders>
              <w:bottom w:val="single" w:color="auto" w:sz="4" w:space="0"/>
            </w:tcBorders>
            <w:noWrap w:val="0"/>
            <w:vAlign w:val="center"/>
          </w:tcPr>
          <w:p w14:paraId="530A130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0.38</w:t>
            </w:r>
          </w:p>
        </w:tc>
        <w:tc>
          <w:tcPr>
            <w:tcW w:w="1281" w:type="dxa"/>
            <w:tcBorders>
              <w:bottom w:val="single" w:color="auto" w:sz="4" w:space="0"/>
            </w:tcBorders>
            <w:noWrap w:val="0"/>
            <w:vAlign w:val="center"/>
          </w:tcPr>
          <w:p w14:paraId="0E51167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tcBorders>
              <w:bottom w:val="single" w:color="auto" w:sz="4" w:space="0"/>
            </w:tcBorders>
            <w:noWrap w:val="0"/>
            <w:vAlign w:val="center"/>
          </w:tcPr>
          <w:p w14:paraId="239B94E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tcBorders>
              <w:bottom w:val="single" w:color="auto" w:sz="4" w:space="0"/>
            </w:tcBorders>
            <w:shd w:val="clear" w:color="auto" w:fill="auto"/>
            <w:noWrap w:val="0"/>
            <w:vAlign w:val="center"/>
          </w:tcPr>
          <w:p w14:paraId="0D3723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0.0632</w:t>
            </w:r>
          </w:p>
        </w:tc>
        <w:tc>
          <w:tcPr>
            <w:tcW w:w="1453" w:type="dxa"/>
            <w:tcBorders>
              <w:bottom w:val="single" w:color="auto" w:sz="4" w:space="0"/>
            </w:tcBorders>
            <w:noWrap w:val="0"/>
            <w:vAlign w:val="center"/>
          </w:tcPr>
          <w:p w14:paraId="6E669E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tcBorders>
              <w:bottom w:val="single" w:color="auto" w:sz="4" w:space="0"/>
            </w:tcBorders>
            <w:shd w:val="clear" w:color="auto" w:fill="auto"/>
            <w:noWrap w:val="0"/>
            <w:vAlign w:val="center"/>
          </w:tcPr>
          <w:p w14:paraId="017EED17">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r>
              <w:rPr>
                <w:rFonts w:hint="eastAsia" w:cs="Times New Roman"/>
                <w:i w:val="0"/>
                <w:iCs w:val="0"/>
                <w:color w:val="auto"/>
                <w:kern w:val="0"/>
                <w:sz w:val="21"/>
                <w:szCs w:val="21"/>
                <w:highlight w:val="none"/>
                <w:u w:val="none"/>
                <w:lang w:val="en-US" w:eastAsia="zh-CN" w:bidi="ar"/>
              </w:rPr>
              <w:t>4432</w:t>
            </w:r>
          </w:p>
        </w:tc>
        <w:tc>
          <w:tcPr>
            <w:tcW w:w="1154" w:type="dxa"/>
            <w:tcBorders>
              <w:bottom w:val="single" w:color="auto" w:sz="4" w:space="0"/>
            </w:tcBorders>
            <w:shd w:val="clear" w:color="auto" w:fill="auto"/>
            <w:noWrap w:val="0"/>
            <w:vAlign w:val="center"/>
          </w:tcPr>
          <w:p w14:paraId="5E2C571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+0.0632</w:t>
            </w:r>
          </w:p>
        </w:tc>
      </w:tr>
      <w:tr w14:paraId="353E30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restart"/>
            <w:noWrap w:val="0"/>
            <w:vAlign w:val="center"/>
          </w:tcPr>
          <w:p w14:paraId="3C9085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废水</w:t>
            </w:r>
          </w:p>
        </w:tc>
        <w:tc>
          <w:tcPr>
            <w:tcW w:w="2305" w:type="dxa"/>
            <w:noWrap w:val="0"/>
            <w:vAlign w:val="center"/>
          </w:tcPr>
          <w:p w14:paraId="6811E0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COD</w:t>
            </w:r>
            <w:r>
              <w:rPr>
                <w:rFonts w:hint="eastAsia"/>
                <w:color w:val="auto"/>
                <w:highlight w:val="none"/>
                <w:vertAlign w:val="subscript"/>
                <w:lang w:val="en-US" w:eastAsia="zh-CN"/>
              </w:rPr>
              <w:t>C</w:t>
            </w:r>
            <w:r>
              <w:rPr>
                <w:rFonts w:hint="default"/>
                <w:color w:val="auto"/>
                <w:highlight w:val="none"/>
                <w:vertAlign w:val="subscript"/>
              </w:rPr>
              <w:t>r</w:t>
            </w:r>
          </w:p>
        </w:tc>
        <w:tc>
          <w:tcPr>
            <w:tcW w:w="1632" w:type="dxa"/>
            <w:shd w:val="clear" w:color="auto" w:fill="auto"/>
            <w:noWrap w:val="0"/>
            <w:vAlign w:val="center"/>
          </w:tcPr>
          <w:p w14:paraId="4C83041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0.13</w:t>
            </w:r>
          </w:p>
        </w:tc>
        <w:tc>
          <w:tcPr>
            <w:tcW w:w="1281" w:type="dxa"/>
            <w:noWrap w:val="0"/>
            <w:vAlign w:val="center"/>
          </w:tcPr>
          <w:p w14:paraId="24CD649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3388B2D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shd w:val="clear" w:color="auto" w:fill="auto"/>
            <w:noWrap w:val="0"/>
            <w:vAlign w:val="center"/>
          </w:tcPr>
          <w:p w14:paraId="00F2D0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0.0816</w:t>
            </w:r>
          </w:p>
        </w:tc>
        <w:tc>
          <w:tcPr>
            <w:tcW w:w="1453" w:type="dxa"/>
            <w:noWrap w:val="0"/>
            <w:vAlign w:val="center"/>
          </w:tcPr>
          <w:p w14:paraId="6912F77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25BBAB0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w:t>
            </w:r>
            <w:r>
              <w:rPr>
                <w:rFonts w:hint="eastAsia" w:cs="Times New Roman"/>
                <w:i w:val="0"/>
                <w:iCs w:val="0"/>
                <w:color w:val="FF0000"/>
                <w:kern w:val="0"/>
                <w:sz w:val="21"/>
                <w:szCs w:val="21"/>
                <w:highlight w:val="none"/>
                <w:u w:val="none"/>
                <w:lang w:val="en-US" w:eastAsia="zh-CN" w:bidi="ar"/>
              </w:rPr>
              <w:t>2116</w:t>
            </w:r>
          </w:p>
        </w:tc>
        <w:tc>
          <w:tcPr>
            <w:tcW w:w="1154" w:type="dxa"/>
            <w:shd w:val="clear" w:color="auto" w:fill="auto"/>
            <w:noWrap w:val="0"/>
            <w:vAlign w:val="center"/>
          </w:tcPr>
          <w:p w14:paraId="378DF7C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w:t>
            </w:r>
            <w:r>
              <w:rPr>
                <w:rFonts w:hint="eastAsia"/>
                <w:color w:val="FF0000"/>
                <w:highlight w:val="none"/>
                <w:lang w:val="en-US" w:eastAsia="zh-CN"/>
              </w:rPr>
              <w:t>816</w:t>
            </w:r>
          </w:p>
        </w:tc>
      </w:tr>
      <w:tr w14:paraId="78C27F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7A7B982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0CC4767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BOD</w:t>
            </w:r>
            <w:r>
              <w:rPr>
                <w:rFonts w:hint="eastAsia"/>
                <w:color w:val="auto"/>
                <w:highlight w:val="none"/>
                <w:vertAlign w:val="subscript"/>
              </w:rPr>
              <w:t>5</w:t>
            </w:r>
          </w:p>
        </w:tc>
        <w:tc>
          <w:tcPr>
            <w:tcW w:w="1632" w:type="dxa"/>
            <w:shd w:val="clear" w:color="auto" w:fill="auto"/>
            <w:noWrap w:val="0"/>
            <w:vAlign w:val="center"/>
          </w:tcPr>
          <w:p w14:paraId="0985882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0.08</w:t>
            </w:r>
          </w:p>
        </w:tc>
        <w:tc>
          <w:tcPr>
            <w:tcW w:w="1281" w:type="dxa"/>
            <w:noWrap w:val="0"/>
            <w:vAlign w:val="center"/>
          </w:tcPr>
          <w:p w14:paraId="7524C7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027542A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shd w:val="clear" w:color="auto" w:fill="auto"/>
            <w:noWrap w:val="0"/>
            <w:vAlign w:val="center"/>
          </w:tcPr>
          <w:p w14:paraId="55275D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0.035</w:t>
            </w:r>
          </w:p>
        </w:tc>
        <w:tc>
          <w:tcPr>
            <w:tcW w:w="1453" w:type="dxa"/>
            <w:noWrap w:val="0"/>
            <w:vAlign w:val="center"/>
          </w:tcPr>
          <w:p w14:paraId="00F15C8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389A2B9F">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r>
              <w:rPr>
                <w:rFonts w:hint="eastAsia" w:cs="Times New Roman"/>
                <w:i w:val="0"/>
                <w:iCs w:val="0"/>
                <w:color w:val="FF0000"/>
                <w:kern w:val="0"/>
                <w:sz w:val="21"/>
                <w:szCs w:val="21"/>
                <w:highlight w:val="none"/>
                <w:u w:val="none"/>
                <w:lang w:val="en-US" w:eastAsia="zh-CN" w:bidi="ar"/>
              </w:rPr>
              <w:t>1</w:t>
            </w:r>
            <w:r>
              <w:rPr>
                <w:rFonts w:hint="default" w:ascii="Times New Roman" w:hAnsi="Times New Roman" w:eastAsia="宋体" w:cs="Times New Roman"/>
                <w:i w:val="0"/>
                <w:iCs w:val="0"/>
                <w:color w:val="FF0000"/>
                <w:kern w:val="0"/>
                <w:sz w:val="21"/>
                <w:szCs w:val="21"/>
                <w:highlight w:val="none"/>
                <w:u w:val="none"/>
                <w:lang w:val="en-US" w:eastAsia="zh-CN" w:bidi="ar"/>
              </w:rPr>
              <w:t>5</w:t>
            </w:r>
          </w:p>
        </w:tc>
        <w:tc>
          <w:tcPr>
            <w:tcW w:w="1154" w:type="dxa"/>
            <w:shd w:val="clear" w:color="auto" w:fill="auto"/>
            <w:noWrap w:val="0"/>
            <w:vAlign w:val="center"/>
          </w:tcPr>
          <w:p w14:paraId="5C27C2D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w:t>
            </w:r>
            <w:r>
              <w:rPr>
                <w:rFonts w:hint="eastAsia"/>
                <w:color w:val="FF0000"/>
                <w:highlight w:val="none"/>
                <w:lang w:val="en-US" w:eastAsia="zh-CN"/>
              </w:rPr>
              <w:t>35</w:t>
            </w:r>
          </w:p>
        </w:tc>
      </w:tr>
      <w:tr w14:paraId="3705C57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0A2AAE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50AD38C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SS</w:t>
            </w:r>
          </w:p>
        </w:tc>
        <w:tc>
          <w:tcPr>
            <w:tcW w:w="1632" w:type="dxa"/>
            <w:shd w:val="clear" w:color="auto" w:fill="auto"/>
            <w:noWrap w:val="0"/>
            <w:vAlign w:val="center"/>
          </w:tcPr>
          <w:p w14:paraId="0588BB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0.11</w:t>
            </w:r>
          </w:p>
        </w:tc>
        <w:tc>
          <w:tcPr>
            <w:tcW w:w="1281" w:type="dxa"/>
            <w:noWrap w:val="0"/>
            <w:vAlign w:val="center"/>
          </w:tcPr>
          <w:p w14:paraId="4E6BB6C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53D7F9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shd w:val="clear" w:color="auto" w:fill="auto"/>
            <w:noWrap w:val="0"/>
            <w:vAlign w:val="center"/>
          </w:tcPr>
          <w:p w14:paraId="5B8A4AC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0.0403</w:t>
            </w:r>
          </w:p>
        </w:tc>
        <w:tc>
          <w:tcPr>
            <w:tcW w:w="1453" w:type="dxa"/>
            <w:noWrap w:val="0"/>
            <w:vAlign w:val="center"/>
          </w:tcPr>
          <w:p w14:paraId="67DE3BD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64006E7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r>
              <w:rPr>
                <w:rFonts w:hint="eastAsia" w:cs="Times New Roman"/>
                <w:i w:val="0"/>
                <w:iCs w:val="0"/>
                <w:color w:val="FF0000"/>
                <w:kern w:val="0"/>
                <w:sz w:val="21"/>
                <w:szCs w:val="21"/>
                <w:highlight w:val="none"/>
                <w:u w:val="none"/>
                <w:lang w:val="en-US" w:eastAsia="zh-CN" w:bidi="ar"/>
              </w:rPr>
              <w:t>503</w:t>
            </w:r>
          </w:p>
        </w:tc>
        <w:tc>
          <w:tcPr>
            <w:tcW w:w="1154" w:type="dxa"/>
            <w:shd w:val="clear" w:color="auto" w:fill="auto"/>
            <w:noWrap w:val="0"/>
            <w:vAlign w:val="center"/>
          </w:tcPr>
          <w:p w14:paraId="67CF4E9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w:t>
            </w:r>
            <w:r>
              <w:rPr>
                <w:rFonts w:hint="eastAsia"/>
                <w:color w:val="FF0000"/>
                <w:highlight w:val="none"/>
                <w:lang w:val="en-US" w:eastAsia="zh-CN"/>
              </w:rPr>
              <w:t>0403</w:t>
            </w:r>
          </w:p>
        </w:tc>
      </w:tr>
      <w:tr w14:paraId="665F04E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698310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6C235B8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NH</w:t>
            </w:r>
            <w:r>
              <w:rPr>
                <w:rFonts w:hint="eastAsia"/>
                <w:color w:val="auto"/>
                <w:highlight w:val="none"/>
                <w:vertAlign w:val="subscript"/>
              </w:rPr>
              <w:t>3</w:t>
            </w:r>
            <w:r>
              <w:rPr>
                <w:rFonts w:hint="eastAsia"/>
                <w:color w:val="auto"/>
                <w:highlight w:val="none"/>
              </w:rPr>
              <w:t>-N</w:t>
            </w:r>
          </w:p>
        </w:tc>
        <w:tc>
          <w:tcPr>
            <w:tcW w:w="1632" w:type="dxa"/>
            <w:shd w:val="clear" w:color="auto" w:fill="auto"/>
            <w:noWrap w:val="0"/>
            <w:vAlign w:val="center"/>
          </w:tcPr>
          <w:p w14:paraId="296A20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0.019</w:t>
            </w:r>
          </w:p>
        </w:tc>
        <w:tc>
          <w:tcPr>
            <w:tcW w:w="1281" w:type="dxa"/>
            <w:noWrap w:val="0"/>
            <w:vAlign w:val="center"/>
          </w:tcPr>
          <w:p w14:paraId="18BA07C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3B6BFA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shd w:val="clear" w:color="auto" w:fill="auto"/>
            <w:noWrap w:val="0"/>
            <w:vAlign w:val="center"/>
          </w:tcPr>
          <w:p w14:paraId="3A15B6A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0.0093</w:t>
            </w:r>
          </w:p>
        </w:tc>
        <w:tc>
          <w:tcPr>
            <w:tcW w:w="1453" w:type="dxa"/>
            <w:noWrap w:val="0"/>
            <w:vAlign w:val="center"/>
          </w:tcPr>
          <w:p w14:paraId="3041D73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2CA409C0">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w:t>
            </w:r>
            <w:r>
              <w:rPr>
                <w:rFonts w:hint="eastAsia" w:cs="Times New Roman"/>
                <w:i w:val="0"/>
                <w:iCs w:val="0"/>
                <w:color w:val="FF0000"/>
                <w:kern w:val="0"/>
                <w:sz w:val="21"/>
                <w:szCs w:val="21"/>
                <w:highlight w:val="none"/>
                <w:u w:val="none"/>
                <w:lang w:val="en-US" w:eastAsia="zh-CN" w:bidi="ar"/>
              </w:rPr>
              <w:t>283</w:t>
            </w:r>
          </w:p>
        </w:tc>
        <w:tc>
          <w:tcPr>
            <w:tcW w:w="1154" w:type="dxa"/>
            <w:shd w:val="clear" w:color="auto" w:fill="auto"/>
            <w:noWrap w:val="0"/>
            <w:vAlign w:val="center"/>
          </w:tcPr>
          <w:p w14:paraId="60DB8F6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w:t>
            </w:r>
            <w:r>
              <w:rPr>
                <w:rFonts w:hint="eastAsia"/>
                <w:color w:val="FF0000"/>
                <w:highlight w:val="none"/>
                <w:lang w:val="en-US" w:eastAsia="zh-CN"/>
              </w:rPr>
              <w:t>093</w:t>
            </w:r>
          </w:p>
        </w:tc>
      </w:tr>
      <w:tr w14:paraId="5CA2AD9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6865231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75DF69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ascii="Times New Roman" w:eastAsia="宋体"/>
                <w:color w:val="auto"/>
                <w:highlight w:val="none"/>
                <w:lang w:val="en-US" w:eastAsia="zh-CN"/>
              </w:rPr>
              <w:t>TN</w:t>
            </w:r>
          </w:p>
        </w:tc>
        <w:tc>
          <w:tcPr>
            <w:tcW w:w="1632" w:type="dxa"/>
            <w:shd w:val="clear" w:color="auto" w:fill="auto"/>
            <w:noWrap w:val="0"/>
            <w:vAlign w:val="center"/>
          </w:tcPr>
          <w:p w14:paraId="7AA7568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0.023</w:t>
            </w:r>
          </w:p>
        </w:tc>
        <w:tc>
          <w:tcPr>
            <w:tcW w:w="1281" w:type="dxa"/>
            <w:noWrap w:val="0"/>
            <w:vAlign w:val="center"/>
          </w:tcPr>
          <w:p w14:paraId="68C3AF2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7373403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29CEF2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highlight w:val="none"/>
                <w:lang w:val="en-US"/>
              </w:rPr>
            </w:pPr>
            <w:r>
              <w:rPr>
                <w:rFonts w:hint="eastAsia"/>
                <w:color w:val="FF0000"/>
                <w:highlight w:val="none"/>
                <w:lang w:val="en-US" w:eastAsia="zh-CN"/>
              </w:rPr>
              <w:t>0.0124</w:t>
            </w:r>
          </w:p>
        </w:tc>
        <w:tc>
          <w:tcPr>
            <w:tcW w:w="1453" w:type="dxa"/>
            <w:noWrap w:val="0"/>
            <w:vAlign w:val="center"/>
          </w:tcPr>
          <w:p w14:paraId="0294377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62917A28">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w:t>
            </w:r>
            <w:r>
              <w:rPr>
                <w:rFonts w:hint="eastAsia" w:cs="Times New Roman"/>
                <w:i w:val="0"/>
                <w:iCs w:val="0"/>
                <w:color w:val="FF0000"/>
                <w:kern w:val="0"/>
                <w:sz w:val="21"/>
                <w:szCs w:val="21"/>
                <w:highlight w:val="none"/>
                <w:u w:val="none"/>
                <w:lang w:val="en-US" w:eastAsia="zh-CN" w:bidi="ar"/>
              </w:rPr>
              <w:t>354</w:t>
            </w:r>
          </w:p>
        </w:tc>
        <w:tc>
          <w:tcPr>
            <w:tcW w:w="1154" w:type="dxa"/>
            <w:shd w:val="clear" w:color="auto" w:fill="auto"/>
            <w:noWrap w:val="0"/>
            <w:vAlign w:val="center"/>
          </w:tcPr>
          <w:p w14:paraId="0A4AC7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w:t>
            </w:r>
            <w:r>
              <w:rPr>
                <w:rFonts w:hint="eastAsia"/>
                <w:color w:val="FF0000"/>
                <w:highlight w:val="none"/>
                <w:lang w:val="en-US" w:eastAsia="zh-CN"/>
              </w:rPr>
              <w:t>124</w:t>
            </w:r>
          </w:p>
        </w:tc>
      </w:tr>
      <w:tr w14:paraId="409E30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15487C54">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shd w:val="clear" w:color="auto" w:fill="auto"/>
            <w:noWrap w:val="0"/>
            <w:vAlign w:val="center"/>
          </w:tcPr>
          <w:p w14:paraId="75970F4C">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rPr>
              <w:t>T</w:t>
            </w:r>
            <w:r>
              <w:rPr>
                <w:rFonts w:hint="default"/>
                <w:color w:val="auto"/>
                <w:highlight w:val="none"/>
              </w:rPr>
              <w:t>P</w:t>
            </w:r>
          </w:p>
        </w:tc>
        <w:tc>
          <w:tcPr>
            <w:tcW w:w="1632" w:type="dxa"/>
            <w:shd w:val="clear" w:color="auto" w:fill="auto"/>
            <w:noWrap w:val="0"/>
            <w:vAlign w:val="center"/>
          </w:tcPr>
          <w:p w14:paraId="4625FFC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0.0008</w:t>
            </w:r>
          </w:p>
        </w:tc>
        <w:tc>
          <w:tcPr>
            <w:tcW w:w="1281" w:type="dxa"/>
            <w:shd w:val="clear" w:color="auto" w:fill="auto"/>
            <w:noWrap w:val="0"/>
            <w:vAlign w:val="center"/>
          </w:tcPr>
          <w:p w14:paraId="3AD802D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374" w:type="dxa"/>
            <w:shd w:val="clear" w:color="auto" w:fill="auto"/>
            <w:noWrap w:val="0"/>
            <w:vAlign w:val="center"/>
          </w:tcPr>
          <w:p w14:paraId="3C7D471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w:t>
            </w:r>
          </w:p>
        </w:tc>
        <w:tc>
          <w:tcPr>
            <w:tcW w:w="1421" w:type="dxa"/>
            <w:shd w:val="clear" w:color="auto" w:fill="auto"/>
            <w:noWrap w:val="0"/>
            <w:vAlign w:val="center"/>
          </w:tcPr>
          <w:p w14:paraId="72084BC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default"/>
                <w:color w:val="FF0000"/>
                <w:highlight w:val="none"/>
                <w:lang w:val="en-US" w:eastAsia="zh-CN"/>
              </w:rPr>
              <w:t>0.00</w:t>
            </w:r>
            <w:r>
              <w:rPr>
                <w:rFonts w:hint="eastAsia"/>
                <w:color w:val="FF0000"/>
                <w:highlight w:val="none"/>
                <w:lang w:val="en-US" w:eastAsia="zh-CN"/>
              </w:rPr>
              <w:t>0714</w:t>
            </w:r>
          </w:p>
        </w:tc>
        <w:tc>
          <w:tcPr>
            <w:tcW w:w="1453" w:type="dxa"/>
            <w:shd w:val="clear" w:color="auto" w:fill="auto"/>
            <w:noWrap w:val="0"/>
            <w:vAlign w:val="center"/>
          </w:tcPr>
          <w:p w14:paraId="6F11020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3FB2626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w:t>
            </w:r>
            <w:r>
              <w:rPr>
                <w:rFonts w:hint="eastAsia" w:cs="Times New Roman"/>
                <w:i w:val="0"/>
                <w:iCs w:val="0"/>
                <w:color w:val="FF0000"/>
                <w:kern w:val="0"/>
                <w:sz w:val="21"/>
                <w:szCs w:val="21"/>
                <w:highlight w:val="none"/>
                <w:u w:val="none"/>
                <w:lang w:val="en-US" w:eastAsia="zh-CN" w:bidi="ar"/>
              </w:rPr>
              <w:t>01514</w:t>
            </w:r>
          </w:p>
        </w:tc>
        <w:tc>
          <w:tcPr>
            <w:tcW w:w="1154" w:type="dxa"/>
            <w:shd w:val="clear" w:color="auto" w:fill="auto"/>
            <w:noWrap w:val="0"/>
            <w:vAlign w:val="center"/>
          </w:tcPr>
          <w:p w14:paraId="5158472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0.00</w:t>
            </w:r>
            <w:r>
              <w:rPr>
                <w:rFonts w:hint="eastAsia"/>
                <w:color w:val="FF0000"/>
                <w:highlight w:val="none"/>
                <w:lang w:val="en-US" w:eastAsia="zh-CN"/>
              </w:rPr>
              <w:t>7</w:t>
            </w:r>
            <w:r>
              <w:rPr>
                <w:rFonts w:hint="default"/>
                <w:color w:val="FF0000"/>
                <w:highlight w:val="none"/>
                <w:lang w:val="en-US" w:eastAsia="zh-CN"/>
              </w:rPr>
              <w:t>14</w:t>
            </w:r>
          </w:p>
        </w:tc>
      </w:tr>
      <w:tr w14:paraId="640D53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075D9B1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366781B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动植物油</w:t>
            </w:r>
          </w:p>
        </w:tc>
        <w:tc>
          <w:tcPr>
            <w:tcW w:w="1632" w:type="dxa"/>
            <w:shd w:val="clear" w:color="auto" w:fill="auto"/>
            <w:noWrap w:val="0"/>
            <w:vAlign w:val="center"/>
          </w:tcPr>
          <w:p w14:paraId="235C93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0.038</w:t>
            </w:r>
          </w:p>
        </w:tc>
        <w:tc>
          <w:tcPr>
            <w:tcW w:w="1281" w:type="dxa"/>
            <w:noWrap w:val="0"/>
            <w:vAlign w:val="center"/>
          </w:tcPr>
          <w:p w14:paraId="1777DC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536AD0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1B77FB1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FF0000"/>
                <w:highlight w:val="none"/>
                <w:lang w:val="en-US"/>
              </w:rPr>
            </w:pPr>
            <w:r>
              <w:rPr>
                <w:rFonts w:hint="default"/>
                <w:color w:val="FF0000"/>
                <w:highlight w:val="none"/>
                <w:lang w:val="en-US" w:eastAsia="zh-CN"/>
              </w:rPr>
              <w:t>0.0</w:t>
            </w:r>
            <w:r>
              <w:rPr>
                <w:rFonts w:hint="eastAsia"/>
                <w:color w:val="FF0000"/>
                <w:highlight w:val="none"/>
                <w:lang w:val="en-US" w:eastAsia="zh-CN"/>
              </w:rPr>
              <w:t>046</w:t>
            </w:r>
          </w:p>
        </w:tc>
        <w:tc>
          <w:tcPr>
            <w:tcW w:w="1453" w:type="dxa"/>
            <w:noWrap w:val="0"/>
            <w:vAlign w:val="center"/>
          </w:tcPr>
          <w:p w14:paraId="4D14121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2BEC6F3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w:t>
            </w:r>
            <w:r>
              <w:rPr>
                <w:rFonts w:hint="eastAsia" w:cs="Times New Roman"/>
                <w:i w:val="0"/>
                <w:iCs w:val="0"/>
                <w:color w:val="FF0000"/>
                <w:kern w:val="0"/>
                <w:sz w:val="21"/>
                <w:szCs w:val="21"/>
                <w:highlight w:val="none"/>
                <w:u w:val="none"/>
                <w:lang w:val="en-US" w:eastAsia="zh-CN" w:bidi="ar"/>
              </w:rPr>
              <w:t>426</w:t>
            </w:r>
          </w:p>
        </w:tc>
        <w:tc>
          <w:tcPr>
            <w:tcW w:w="1154" w:type="dxa"/>
            <w:shd w:val="clear" w:color="auto" w:fill="auto"/>
            <w:noWrap w:val="0"/>
            <w:vAlign w:val="center"/>
          </w:tcPr>
          <w:p w14:paraId="59770B8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highlight w:val="none"/>
                <w:lang w:val="en-US" w:eastAsia="zh-CN"/>
              </w:rPr>
              <w:t>+</w:t>
            </w:r>
            <w:r>
              <w:rPr>
                <w:rFonts w:hint="default"/>
                <w:color w:val="FF0000"/>
                <w:highlight w:val="none"/>
                <w:lang w:val="en-US" w:eastAsia="zh-CN"/>
              </w:rPr>
              <w:t>0.0</w:t>
            </w:r>
            <w:r>
              <w:rPr>
                <w:rFonts w:hint="eastAsia"/>
                <w:color w:val="FF0000"/>
                <w:highlight w:val="none"/>
                <w:lang w:val="en-US" w:eastAsia="zh-CN"/>
              </w:rPr>
              <w:t>046</w:t>
            </w:r>
          </w:p>
        </w:tc>
      </w:tr>
      <w:bookmarkEnd w:id="455"/>
      <w:tr w14:paraId="443AF5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restart"/>
            <w:noWrap w:val="0"/>
            <w:vAlign w:val="center"/>
          </w:tcPr>
          <w:p w14:paraId="2A41F2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一般工业</w:t>
            </w:r>
          </w:p>
          <w:p w14:paraId="45BF92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固体废物</w:t>
            </w:r>
          </w:p>
        </w:tc>
        <w:tc>
          <w:tcPr>
            <w:tcW w:w="2305" w:type="dxa"/>
            <w:noWrap w:val="0"/>
            <w:vAlign w:val="center"/>
          </w:tcPr>
          <w:p w14:paraId="12748CF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废布袋</w:t>
            </w:r>
          </w:p>
        </w:tc>
        <w:tc>
          <w:tcPr>
            <w:tcW w:w="1632" w:type="dxa"/>
            <w:noWrap w:val="0"/>
            <w:vAlign w:val="center"/>
          </w:tcPr>
          <w:p w14:paraId="6C96CF0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0.1</w:t>
            </w:r>
          </w:p>
        </w:tc>
        <w:tc>
          <w:tcPr>
            <w:tcW w:w="1281" w:type="dxa"/>
            <w:noWrap w:val="0"/>
            <w:vAlign w:val="center"/>
          </w:tcPr>
          <w:p w14:paraId="1BBDA30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500F22A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1C784C6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0.1</w:t>
            </w:r>
          </w:p>
        </w:tc>
        <w:tc>
          <w:tcPr>
            <w:tcW w:w="1453" w:type="dxa"/>
            <w:noWrap w:val="0"/>
            <w:vAlign w:val="center"/>
          </w:tcPr>
          <w:p w14:paraId="2B0D916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378D58C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1154" w:type="dxa"/>
            <w:shd w:val="clear" w:color="auto" w:fill="auto"/>
            <w:noWrap w:val="0"/>
            <w:vAlign w:val="center"/>
          </w:tcPr>
          <w:p w14:paraId="54C150F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+0.1</w:t>
            </w:r>
          </w:p>
        </w:tc>
      </w:tr>
      <w:tr w14:paraId="24D649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2392168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1C7287E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Times New Roman"/>
                <w:color w:val="auto"/>
                <w:highlight w:val="none"/>
                <w:lang w:val="en-US" w:eastAsia="zh-CN"/>
              </w:rPr>
            </w:pPr>
            <w:r>
              <w:rPr>
                <w:rFonts w:hint="eastAsia" w:cs="Times New Roman"/>
                <w:color w:val="auto"/>
                <w:highlight w:val="none"/>
                <w:lang w:val="en-US" w:eastAsia="zh-CN"/>
              </w:rPr>
              <w:t>废包装材料</w:t>
            </w:r>
          </w:p>
        </w:tc>
        <w:tc>
          <w:tcPr>
            <w:tcW w:w="1632" w:type="dxa"/>
            <w:noWrap w:val="0"/>
            <w:vAlign w:val="center"/>
          </w:tcPr>
          <w:p w14:paraId="46761B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1</w:t>
            </w:r>
          </w:p>
        </w:tc>
        <w:tc>
          <w:tcPr>
            <w:tcW w:w="1281" w:type="dxa"/>
            <w:noWrap w:val="0"/>
            <w:vAlign w:val="center"/>
          </w:tcPr>
          <w:p w14:paraId="6ECCDB9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700EF8B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3162FF6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0.5</w:t>
            </w:r>
          </w:p>
        </w:tc>
        <w:tc>
          <w:tcPr>
            <w:tcW w:w="1453" w:type="dxa"/>
            <w:noWrap w:val="0"/>
            <w:vAlign w:val="center"/>
          </w:tcPr>
          <w:p w14:paraId="7409E28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4793630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1154" w:type="dxa"/>
            <w:shd w:val="clear" w:color="auto" w:fill="auto"/>
            <w:noWrap w:val="0"/>
            <w:vAlign w:val="center"/>
          </w:tcPr>
          <w:p w14:paraId="333CD54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color w:val="auto"/>
                <w:highlight w:val="none"/>
                <w:lang w:val="en-US" w:eastAsia="zh-CN"/>
              </w:rPr>
            </w:pPr>
            <w:r>
              <w:rPr>
                <w:rFonts w:hint="eastAsia"/>
                <w:color w:val="auto"/>
                <w:highlight w:val="none"/>
                <w:lang w:val="en-US" w:eastAsia="zh-CN"/>
              </w:rPr>
              <w:t>+0.5</w:t>
            </w:r>
          </w:p>
        </w:tc>
      </w:tr>
      <w:tr w14:paraId="47389E5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377E064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2A6EC3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s="Times New Roman"/>
                <w:color w:val="auto"/>
                <w:highlight w:val="none"/>
                <w:lang w:val="en-US" w:eastAsia="zh-CN"/>
              </w:rPr>
            </w:pPr>
            <w:r>
              <w:rPr>
                <w:rFonts w:hint="eastAsia" w:cs="Times New Roman"/>
                <w:color w:val="auto"/>
                <w:highlight w:val="none"/>
                <w:lang w:val="en-US" w:eastAsia="zh-CN"/>
              </w:rPr>
              <w:t>废滤布</w:t>
            </w:r>
          </w:p>
        </w:tc>
        <w:tc>
          <w:tcPr>
            <w:tcW w:w="1632" w:type="dxa"/>
            <w:noWrap w:val="0"/>
            <w:vAlign w:val="center"/>
          </w:tcPr>
          <w:p w14:paraId="36DDD8D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1.5</w:t>
            </w:r>
          </w:p>
        </w:tc>
        <w:tc>
          <w:tcPr>
            <w:tcW w:w="1281" w:type="dxa"/>
            <w:noWrap w:val="0"/>
            <w:vAlign w:val="center"/>
          </w:tcPr>
          <w:p w14:paraId="2619FF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061EC70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2D52CE5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w:t>
            </w:r>
          </w:p>
        </w:tc>
        <w:tc>
          <w:tcPr>
            <w:tcW w:w="1453" w:type="dxa"/>
            <w:noWrap w:val="0"/>
            <w:vAlign w:val="center"/>
          </w:tcPr>
          <w:p w14:paraId="1A7D62D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308449C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1154" w:type="dxa"/>
            <w:shd w:val="clear" w:color="auto" w:fill="auto"/>
            <w:noWrap w:val="0"/>
            <w:vAlign w:val="center"/>
          </w:tcPr>
          <w:p w14:paraId="6D3DBFD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color w:val="auto"/>
                <w:highlight w:val="none"/>
                <w:lang w:val="en-US" w:eastAsia="zh-CN"/>
              </w:rPr>
              <w:t>+0</w:t>
            </w:r>
          </w:p>
        </w:tc>
      </w:tr>
      <w:tr w14:paraId="3CA13B5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7A93AFD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3143F74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s="Times New Roman"/>
                <w:color w:val="auto"/>
                <w:highlight w:val="none"/>
                <w:lang w:val="en-US" w:eastAsia="zh-CN"/>
              </w:rPr>
              <w:t>不合格品</w:t>
            </w:r>
          </w:p>
        </w:tc>
        <w:tc>
          <w:tcPr>
            <w:tcW w:w="1632" w:type="dxa"/>
            <w:noWrap w:val="0"/>
            <w:vAlign w:val="center"/>
          </w:tcPr>
          <w:p w14:paraId="3FEF72F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w:t>
            </w:r>
          </w:p>
        </w:tc>
        <w:tc>
          <w:tcPr>
            <w:tcW w:w="1281" w:type="dxa"/>
            <w:noWrap w:val="0"/>
            <w:vAlign w:val="center"/>
          </w:tcPr>
          <w:p w14:paraId="1B9A3A5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22E1EF0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22ECF4F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50</w:t>
            </w:r>
          </w:p>
        </w:tc>
        <w:tc>
          <w:tcPr>
            <w:tcW w:w="1453" w:type="dxa"/>
            <w:noWrap w:val="0"/>
            <w:vAlign w:val="center"/>
          </w:tcPr>
          <w:p w14:paraId="13A6DFB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742AFEC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50</w:t>
            </w:r>
          </w:p>
        </w:tc>
        <w:tc>
          <w:tcPr>
            <w:tcW w:w="1154" w:type="dxa"/>
            <w:shd w:val="clear" w:color="auto" w:fill="auto"/>
            <w:noWrap w:val="0"/>
            <w:vAlign w:val="center"/>
          </w:tcPr>
          <w:p w14:paraId="1713DF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+50</w:t>
            </w:r>
          </w:p>
        </w:tc>
      </w:tr>
      <w:tr w14:paraId="1DF47C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5175AF4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763437B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color w:val="auto"/>
                <w:highlight w:val="none"/>
              </w:rPr>
            </w:pPr>
            <w:r>
              <w:rPr>
                <w:rFonts w:hint="eastAsia" w:cs="Times New Roman"/>
                <w:color w:val="auto"/>
                <w:highlight w:val="none"/>
                <w:lang w:val="en-US" w:eastAsia="zh-CN"/>
              </w:rPr>
              <w:t>收集粉尘</w:t>
            </w:r>
          </w:p>
        </w:tc>
        <w:tc>
          <w:tcPr>
            <w:tcW w:w="1632" w:type="dxa"/>
            <w:noWrap w:val="0"/>
            <w:vAlign w:val="center"/>
          </w:tcPr>
          <w:p w14:paraId="5EBBADDA">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176.13</w:t>
            </w:r>
          </w:p>
        </w:tc>
        <w:tc>
          <w:tcPr>
            <w:tcW w:w="1281" w:type="dxa"/>
            <w:noWrap w:val="0"/>
            <w:vAlign w:val="center"/>
          </w:tcPr>
          <w:p w14:paraId="5EDB6AD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6A2FDF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139CBF0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223.4</w:t>
            </w:r>
          </w:p>
        </w:tc>
        <w:tc>
          <w:tcPr>
            <w:tcW w:w="1453" w:type="dxa"/>
            <w:noWrap w:val="0"/>
            <w:vAlign w:val="center"/>
          </w:tcPr>
          <w:p w14:paraId="16E9A21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18A96B9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399.53</w:t>
            </w:r>
          </w:p>
        </w:tc>
        <w:tc>
          <w:tcPr>
            <w:tcW w:w="1154" w:type="dxa"/>
            <w:shd w:val="clear" w:color="auto" w:fill="auto"/>
            <w:noWrap w:val="0"/>
            <w:vAlign w:val="center"/>
          </w:tcPr>
          <w:p w14:paraId="48B88B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+223.4</w:t>
            </w:r>
          </w:p>
        </w:tc>
      </w:tr>
      <w:tr w14:paraId="7AF4A9E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41DF39D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bottom w:val="single" w:color="auto" w:sz="4" w:space="0"/>
            </w:tcBorders>
            <w:noWrap w:val="0"/>
            <w:vAlign w:val="center"/>
          </w:tcPr>
          <w:p w14:paraId="32A3EF4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s="Times New Roman"/>
                <w:color w:val="auto"/>
                <w:highlight w:val="none"/>
                <w:lang w:val="en-US" w:eastAsia="zh-CN"/>
              </w:rPr>
            </w:pPr>
            <w:r>
              <w:rPr>
                <w:rFonts w:hint="eastAsia" w:cs="Times New Roman"/>
                <w:color w:val="auto"/>
                <w:highlight w:val="none"/>
                <w:lang w:val="en-US" w:eastAsia="zh-CN"/>
              </w:rPr>
              <w:t>沉淀池沉渣</w:t>
            </w:r>
          </w:p>
        </w:tc>
        <w:tc>
          <w:tcPr>
            <w:tcW w:w="1632" w:type="dxa"/>
            <w:noWrap w:val="0"/>
            <w:vAlign w:val="center"/>
          </w:tcPr>
          <w:p w14:paraId="4769AE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w:t>
            </w:r>
          </w:p>
        </w:tc>
        <w:tc>
          <w:tcPr>
            <w:tcW w:w="1281" w:type="dxa"/>
            <w:noWrap w:val="0"/>
            <w:vAlign w:val="center"/>
          </w:tcPr>
          <w:p w14:paraId="226AD4A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521858A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FF0000"/>
                <w:highlight w:val="none"/>
              </w:rPr>
            </w:pPr>
            <w:r>
              <w:rPr>
                <w:rFonts w:hint="eastAsia" w:cs="Times New Roman"/>
                <w:color w:val="FF0000"/>
                <w:kern w:val="2"/>
                <w:sz w:val="21"/>
                <w:szCs w:val="21"/>
                <w:highlight w:val="none"/>
                <w:lang w:val="en-US" w:eastAsia="zh-CN" w:bidi="ar-SA"/>
              </w:rPr>
              <w:t>/</w:t>
            </w:r>
          </w:p>
        </w:tc>
        <w:tc>
          <w:tcPr>
            <w:tcW w:w="1421" w:type="dxa"/>
            <w:noWrap w:val="0"/>
            <w:vAlign w:val="center"/>
          </w:tcPr>
          <w:p w14:paraId="394466C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FF0000"/>
                <w:highlight w:val="none"/>
                <w:lang w:val="en-US" w:eastAsia="zh-CN"/>
              </w:rPr>
            </w:pPr>
            <w:r>
              <w:rPr>
                <w:rFonts w:hint="eastAsia"/>
                <w:color w:val="FF0000"/>
                <w:highlight w:val="none"/>
                <w:lang w:val="en-US" w:eastAsia="zh-CN"/>
              </w:rPr>
              <w:t>10.9</w:t>
            </w:r>
          </w:p>
        </w:tc>
        <w:tc>
          <w:tcPr>
            <w:tcW w:w="1453" w:type="dxa"/>
            <w:noWrap w:val="0"/>
            <w:vAlign w:val="center"/>
          </w:tcPr>
          <w:p w14:paraId="0A38EFC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FF0000"/>
                <w:highlight w:val="none"/>
              </w:rPr>
            </w:pPr>
            <w:r>
              <w:rPr>
                <w:rFonts w:hint="eastAsia" w:cs="Times New Roman"/>
                <w:color w:val="FF0000"/>
                <w:kern w:val="2"/>
                <w:sz w:val="21"/>
                <w:szCs w:val="21"/>
                <w:highlight w:val="none"/>
                <w:lang w:val="en-US" w:eastAsia="zh-CN" w:bidi="ar-SA"/>
              </w:rPr>
              <w:t>/</w:t>
            </w:r>
          </w:p>
        </w:tc>
        <w:tc>
          <w:tcPr>
            <w:tcW w:w="1760" w:type="dxa"/>
            <w:shd w:val="clear" w:color="auto" w:fill="auto"/>
            <w:noWrap w:val="0"/>
            <w:vAlign w:val="center"/>
          </w:tcPr>
          <w:p w14:paraId="66A57F23">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10.9</w:t>
            </w:r>
          </w:p>
        </w:tc>
        <w:tc>
          <w:tcPr>
            <w:tcW w:w="1154" w:type="dxa"/>
            <w:shd w:val="clear" w:color="auto" w:fill="auto"/>
            <w:noWrap w:val="0"/>
            <w:vAlign w:val="center"/>
          </w:tcPr>
          <w:p w14:paraId="77E06D0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FF0000"/>
                <w:kern w:val="2"/>
                <w:sz w:val="21"/>
                <w:szCs w:val="21"/>
                <w:highlight w:val="none"/>
                <w:lang w:val="en-US" w:eastAsia="zh-CN" w:bidi="ar-SA"/>
              </w:rPr>
            </w:pPr>
            <w:r>
              <w:rPr>
                <w:rFonts w:hint="eastAsia"/>
                <w:color w:val="FF0000"/>
                <w:sz w:val="21"/>
                <w:szCs w:val="21"/>
                <w:highlight w:val="none"/>
                <w:lang w:val="en-US" w:eastAsia="zh-CN"/>
              </w:rPr>
              <w:t>+10.9</w:t>
            </w:r>
          </w:p>
        </w:tc>
      </w:tr>
      <w:tr w14:paraId="71CFA4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tcBorders>
              <w:bottom w:val="single" w:color="auto" w:sz="4" w:space="0"/>
            </w:tcBorders>
            <w:noWrap w:val="0"/>
            <w:vAlign w:val="center"/>
          </w:tcPr>
          <w:p w14:paraId="71025AB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tcBorders>
              <w:top w:val="single" w:color="auto" w:sz="4" w:space="0"/>
            </w:tcBorders>
            <w:noWrap w:val="0"/>
            <w:vAlign w:val="center"/>
          </w:tcPr>
          <w:p w14:paraId="3ADC6FA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生活垃圾</w:t>
            </w:r>
          </w:p>
        </w:tc>
        <w:tc>
          <w:tcPr>
            <w:tcW w:w="1632" w:type="dxa"/>
            <w:noWrap w:val="0"/>
            <w:vAlign w:val="center"/>
          </w:tcPr>
          <w:p w14:paraId="6333C602">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3</w:t>
            </w:r>
          </w:p>
        </w:tc>
        <w:tc>
          <w:tcPr>
            <w:tcW w:w="1281" w:type="dxa"/>
            <w:noWrap w:val="0"/>
            <w:vAlign w:val="center"/>
          </w:tcPr>
          <w:p w14:paraId="10C1C6D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436C57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012E6CA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1.5</w:t>
            </w:r>
          </w:p>
        </w:tc>
        <w:tc>
          <w:tcPr>
            <w:tcW w:w="1453" w:type="dxa"/>
            <w:noWrap w:val="0"/>
            <w:vAlign w:val="center"/>
          </w:tcPr>
          <w:p w14:paraId="74212F6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494DD104">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4.5</w:t>
            </w:r>
          </w:p>
        </w:tc>
        <w:tc>
          <w:tcPr>
            <w:tcW w:w="1154" w:type="dxa"/>
            <w:shd w:val="clear" w:color="auto" w:fill="auto"/>
            <w:noWrap w:val="0"/>
            <w:vAlign w:val="center"/>
          </w:tcPr>
          <w:p w14:paraId="68CCA8FE">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+1.5</w:t>
            </w:r>
          </w:p>
        </w:tc>
      </w:tr>
      <w:tr w14:paraId="134536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restart"/>
            <w:tcBorders>
              <w:top w:val="single" w:color="auto" w:sz="4" w:space="0"/>
            </w:tcBorders>
            <w:noWrap w:val="0"/>
            <w:vAlign w:val="center"/>
          </w:tcPr>
          <w:p w14:paraId="49151F0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default"/>
                <w:color w:val="auto"/>
                <w:highlight w:val="none"/>
              </w:rPr>
              <w:t>危险废物</w:t>
            </w:r>
          </w:p>
        </w:tc>
        <w:tc>
          <w:tcPr>
            <w:tcW w:w="2305" w:type="dxa"/>
            <w:noWrap w:val="0"/>
            <w:vAlign w:val="center"/>
          </w:tcPr>
          <w:p w14:paraId="26B8C3B8">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w:t>
            </w:r>
            <w:r>
              <w:rPr>
                <w:rFonts w:hint="eastAsia"/>
                <w:color w:val="auto"/>
                <w:highlight w:val="none"/>
                <w:lang w:eastAsia="zh-CN"/>
              </w:rPr>
              <w:t>机</w:t>
            </w:r>
            <w:r>
              <w:rPr>
                <w:rFonts w:hint="eastAsia"/>
                <w:color w:val="auto"/>
                <w:highlight w:val="none"/>
              </w:rPr>
              <w:t>油</w:t>
            </w:r>
          </w:p>
        </w:tc>
        <w:tc>
          <w:tcPr>
            <w:tcW w:w="1632" w:type="dxa"/>
            <w:noWrap w:val="0"/>
            <w:vAlign w:val="center"/>
          </w:tcPr>
          <w:p w14:paraId="16B7A53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0.6</w:t>
            </w:r>
          </w:p>
        </w:tc>
        <w:tc>
          <w:tcPr>
            <w:tcW w:w="1281" w:type="dxa"/>
            <w:noWrap w:val="0"/>
            <w:vAlign w:val="center"/>
          </w:tcPr>
          <w:p w14:paraId="3A67F7A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6D9BBCB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43ECDBD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0.4</w:t>
            </w:r>
          </w:p>
        </w:tc>
        <w:tc>
          <w:tcPr>
            <w:tcW w:w="1453" w:type="dxa"/>
            <w:noWrap w:val="0"/>
            <w:vAlign w:val="center"/>
          </w:tcPr>
          <w:p w14:paraId="665F4E4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35E5879B">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1154" w:type="dxa"/>
            <w:shd w:val="clear" w:color="auto" w:fill="auto"/>
            <w:noWrap w:val="0"/>
            <w:vAlign w:val="center"/>
          </w:tcPr>
          <w:p w14:paraId="525B0793">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+0.4</w:t>
            </w:r>
          </w:p>
        </w:tc>
      </w:tr>
      <w:tr w14:paraId="3BA22A7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7C95EAF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3B20167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r>
              <w:rPr>
                <w:rFonts w:hint="eastAsia"/>
                <w:color w:val="auto"/>
                <w:highlight w:val="none"/>
              </w:rPr>
              <w:t>废</w:t>
            </w:r>
            <w:r>
              <w:rPr>
                <w:rFonts w:hint="eastAsia"/>
                <w:color w:val="auto"/>
                <w:highlight w:val="none"/>
                <w:lang w:eastAsia="zh-CN"/>
              </w:rPr>
              <w:t>机油</w:t>
            </w:r>
            <w:r>
              <w:rPr>
                <w:rFonts w:hint="eastAsia"/>
                <w:color w:val="auto"/>
                <w:highlight w:val="none"/>
              </w:rPr>
              <w:t>桶</w:t>
            </w:r>
          </w:p>
        </w:tc>
        <w:tc>
          <w:tcPr>
            <w:tcW w:w="1632" w:type="dxa"/>
            <w:noWrap w:val="0"/>
            <w:vAlign w:val="center"/>
          </w:tcPr>
          <w:p w14:paraId="6CA269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val="en-US" w:eastAsia="zh-CN"/>
              </w:rPr>
            </w:pPr>
            <w:r>
              <w:rPr>
                <w:rFonts w:hint="eastAsia"/>
                <w:color w:val="auto"/>
                <w:highlight w:val="none"/>
                <w:lang w:val="en-US" w:eastAsia="zh-CN"/>
              </w:rPr>
              <w:t>/</w:t>
            </w:r>
          </w:p>
        </w:tc>
        <w:tc>
          <w:tcPr>
            <w:tcW w:w="1281" w:type="dxa"/>
            <w:noWrap w:val="0"/>
            <w:vAlign w:val="center"/>
          </w:tcPr>
          <w:p w14:paraId="650A53A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138833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6F93A8D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0.02</w:t>
            </w:r>
          </w:p>
        </w:tc>
        <w:tc>
          <w:tcPr>
            <w:tcW w:w="1453" w:type="dxa"/>
            <w:noWrap w:val="0"/>
            <w:vAlign w:val="center"/>
          </w:tcPr>
          <w:p w14:paraId="45EEC1B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60700916">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0.02</w:t>
            </w:r>
          </w:p>
        </w:tc>
        <w:tc>
          <w:tcPr>
            <w:tcW w:w="1154" w:type="dxa"/>
            <w:shd w:val="clear" w:color="auto" w:fill="auto"/>
            <w:noWrap w:val="0"/>
            <w:vAlign w:val="center"/>
          </w:tcPr>
          <w:p w14:paraId="14AAAE01">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+0.02</w:t>
            </w:r>
          </w:p>
        </w:tc>
      </w:tr>
      <w:tr w14:paraId="50348FE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782B256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1D31F120">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沉淀池污泥</w:t>
            </w:r>
          </w:p>
        </w:tc>
        <w:tc>
          <w:tcPr>
            <w:tcW w:w="1632" w:type="dxa"/>
            <w:noWrap w:val="0"/>
            <w:vAlign w:val="center"/>
          </w:tcPr>
          <w:p w14:paraId="4A06D25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4182.95</w:t>
            </w:r>
          </w:p>
        </w:tc>
        <w:tc>
          <w:tcPr>
            <w:tcW w:w="1281" w:type="dxa"/>
            <w:noWrap w:val="0"/>
            <w:vAlign w:val="center"/>
          </w:tcPr>
          <w:p w14:paraId="0AB7DD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28BA0C7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3BCE2B5B">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w:t>
            </w:r>
          </w:p>
        </w:tc>
        <w:tc>
          <w:tcPr>
            <w:tcW w:w="1453" w:type="dxa"/>
            <w:noWrap w:val="0"/>
            <w:vAlign w:val="center"/>
          </w:tcPr>
          <w:p w14:paraId="7574B72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2AD87ECE">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4182.95</w:t>
            </w:r>
          </w:p>
        </w:tc>
        <w:tc>
          <w:tcPr>
            <w:tcW w:w="1154" w:type="dxa"/>
            <w:shd w:val="clear" w:color="auto" w:fill="auto"/>
            <w:noWrap w:val="0"/>
            <w:vAlign w:val="center"/>
          </w:tcPr>
          <w:p w14:paraId="07040D8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color w:val="auto"/>
                <w:highlight w:val="none"/>
                <w:lang w:val="en-US" w:eastAsia="zh-CN"/>
              </w:rPr>
              <w:t>+0</w:t>
            </w:r>
          </w:p>
        </w:tc>
      </w:tr>
      <w:tr w14:paraId="5C3B2F8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noWrap w:val="0"/>
            <w:vAlign w:val="center"/>
          </w:tcPr>
          <w:p w14:paraId="184361F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6F0996A5">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rPr>
              <w:t>废含油抹布及</w:t>
            </w:r>
            <w:r>
              <w:rPr>
                <w:rFonts w:hint="eastAsia"/>
                <w:color w:val="auto"/>
                <w:highlight w:val="none"/>
                <w:lang w:eastAsia="zh-CN"/>
              </w:rPr>
              <w:t>劳保用品</w:t>
            </w:r>
          </w:p>
        </w:tc>
        <w:tc>
          <w:tcPr>
            <w:tcW w:w="1632" w:type="dxa"/>
            <w:noWrap w:val="0"/>
            <w:vAlign w:val="center"/>
          </w:tcPr>
          <w:p w14:paraId="46C8DC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0.2</w:t>
            </w:r>
          </w:p>
        </w:tc>
        <w:tc>
          <w:tcPr>
            <w:tcW w:w="1281" w:type="dxa"/>
            <w:noWrap w:val="0"/>
            <w:vAlign w:val="center"/>
          </w:tcPr>
          <w:p w14:paraId="228A993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289548E7">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2E14C787">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0.01</w:t>
            </w:r>
          </w:p>
        </w:tc>
        <w:tc>
          <w:tcPr>
            <w:tcW w:w="1453" w:type="dxa"/>
            <w:noWrap w:val="0"/>
            <w:vAlign w:val="center"/>
          </w:tcPr>
          <w:p w14:paraId="2D40221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35DCEF62">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0.21</w:t>
            </w:r>
          </w:p>
        </w:tc>
        <w:tc>
          <w:tcPr>
            <w:tcW w:w="1154" w:type="dxa"/>
            <w:shd w:val="clear" w:color="auto" w:fill="auto"/>
            <w:noWrap w:val="0"/>
            <w:vAlign w:val="center"/>
          </w:tcPr>
          <w:p w14:paraId="42C4F21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eastAsia" w:ascii="Times New Roman" w:hAnsi="Times New Roman" w:eastAsia="宋体" w:cs="Times New Roman"/>
                <w:color w:val="auto"/>
                <w:kern w:val="2"/>
                <w:sz w:val="21"/>
                <w:szCs w:val="21"/>
                <w:highlight w:val="none"/>
                <w:lang w:val="en-US" w:eastAsia="zh-CN" w:bidi="ar-SA"/>
              </w:rPr>
            </w:pPr>
            <w:r>
              <w:rPr>
                <w:rFonts w:hint="eastAsia"/>
                <w:color w:val="auto"/>
                <w:highlight w:val="none"/>
                <w:lang w:val="en-US" w:eastAsia="zh-CN"/>
              </w:rPr>
              <w:t>+0.01</w:t>
            </w:r>
          </w:p>
        </w:tc>
      </w:tr>
      <w:tr w14:paraId="1822A34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1112" w:type="dxa"/>
            <w:vMerge w:val="continue"/>
            <w:tcBorders>
              <w:bottom w:val="single" w:color="auto" w:sz="4" w:space="0"/>
            </w:tcBorders>
            <w:noWrap w:val="0"/>
            <w:vAlign w:val="center"/>
          </w:tcPr>
          <w:p w14:paraId="79F1D19F">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rPr>
            </w:pPr>
          </w:p>
        </w:tc>
        <w:tc>
          <w:tcPr>
            <w:tcW w:w="2305" w:type="dxa"/>
            <w:noWrap w:val="0"/>
            <w:vAlign w:val="center"/>
          </w:tcPr>
          <w:p w14:paraId="0E07CE3D">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eastAsia" w:eastAsia="宋体"/>
                <w:color w:val="auto"/>
                <w:highlight w:val="none"/>
                <w:lang w:eastAsia="zh-CN"/>
              </w:rPr>
            </w:pPr>
            <w:r>
              <w:rPr>
                <w:rFonts w:hint="eastAsia"/>
                <w:color w:val="auto"/>
                <w:highlight w:val="none"/>
                <w:lang w:eastAsia="zh-CN"/>
              </w:rPr>
              <w:t>除杂渣</w:t>
            </w:r>
          </w:p>
        </w:tc>
        <w:tc>
          <w:tcPr>
            <w:tcW w:w="1632" w:type="dxa"/>
            <w:noWrap w:val="0"/>
            <w:vAlign w:val="center"/>
          </w:tcPr>
          <w:p w14:paraId="38E79979">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eastAsia="宋体"/>
                <w:color w:val="auto"/>
                <w:highlight w:val="none"/>
                <w:lang w:val="en-US" w:eastAsia="zh-CN"/>
              </w:rPr>
            </w:pPr>
            <w:r>
              <w:rPr>
                <w:rFonts w:hint="eastAsia"/>
                <w:color w:val="auto"/>
                <w:highlight w:val="none"/>
                <w:lang w:val="en-US" w:eastAsia="zh-CN"/>
              </w:rPr>
              <w:t>10</w:t>
            </w:r>
          </w:p>
        </w:tc>
        <w:tc>
          <w:tcPr>
            <w:tcW w:w="1281" w:type="dxa"/>
            <w:noWrap w:val="0"/>
            <w:vAlign w:val="center"/>
          </w:tcPr>
          <w:p w14:paraId="62D9C2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374" w:type="dxa"/>
            <w:noWrap w:val="0"/>
            <w:vAlign w:val="center"/>
          </w:tcPr>
          <w:p w14:paraId="7D70C68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eastAsia"/>
                <w:color w:val="auto"/>
                <w:highlight w:val="none"/>
              </w:rPr>
            </w:pPr>
            <w:r>
              <w:rPr>
                <w:rFonts w:hint="eastAsia" w:cs="Times New Roman"/>
                <w:color w:val="auto"/>
                <w:kern w:val="2"/>
                <w:sz w:val="21"/>
                <w:szCs w:val="21"/>
                <w:highlight w:val="none"/>
                <w:lang w:val="en-US" w:eastAsia="zh-CN" w:bidi="ar-SA"/>
              </w:rPr>
              <w:t>/</w:t>
            </w:r>
          </w:p>
        </w:tc>
        <w:tc>
          <w:tcPr>
            <w:tcW w:w="1421" w:type="dxa"/>
            <w:noWrap w:val="0"/>
            <w:vAlign w:val="center"/>
          </w:tcPr>
          <w:p w14:paraId="59E8039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right="0"/>
              <w:textAlignment w:val="auto"/>
              <w:rPr>
                <w:rFonts w:hint="default"/>
                <w:color w:val="auto"/>
                <w:highlight w:val="none"/>
                <w:lang w:val="en-US" w:eastAsia="zh-CN"/>
              </w:rPr>
            </w:pPr>
            <w:r>
              <w:rPr>
                <w:rFonts w:hint="eastAsia"/>
                <w:color w:val="auto"/>
                <w:highlight w:val="none"/>
                <w:lang w:val="en-US" w:eastAsia="zh-CN"/>
              </w:rPr>
              <w:t>/</w:t>
            </w:r>
          </w:p>
        </w:tc>
        <w:tc>
          <w:tcPr>
            <w:tcW w:w="1453" w:type="dxa"/>
            <w:noWrap w:val="0"/>
            <w:vAlign w:val="center"/>
          </w:tcPr>
          <w:p w14:paraId="0B4036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center"/>
              <w:textAlignment w:val="auto"/>
              <w:rPr>
                <w:rFonts w:hint="default"/>
                <w:color w:val="auto"/>
                <w:highlight w:val="none"/>
              </w:rPr>
            </w:pPr>
            <w:r>
              <w:rPr>
                <w:rFonts w:hint="eastAsia" w:cs="Times New Roman"/>
                <w:color w:val="auto"/>
                <w:kern w:val="2"/>
                <w:sz w:val="21"/>
                <w:szCs w:val="21"/>
                <w:highlight w:val="none"/>
                <w:lang w:val="en-US" w:eastAsia="zh-CN" w:bidi="ar-SA"/>
              </w:rPr>
              <w:t>/</w:t>
            </w:r>
          </w:p>
        </w:tc>
        <w:tc>
          <w:tcPr>
            <w:tcW w:w="1760" w:type="dxa"/>
            <w:shd w:val="clear" w:color="auto" w:fill="auto"/>
            <w:noWrap w:val="0"/>
            <w:vAlign w:val="center"/>
          </w:tcPr>
          <w:p w14:paraId="0D675B6D">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center"/>
              <w:rPr>
                <w:rFonts w:hint="eastAsia"/>
                <w:color w:val="auto"/>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1154" w:type="dxa"/>
            <w:shd w:val="clear" w:color="auto" w:fill="auto"/>
            <w:noWrap w:val="0"/>
            <w:vAlign w:val="center"/>
          </w:tcPr>
          <w:p w14:paraId="7E8CD076">
            <w:pPr>
              <w:pStyle w:val="78"/>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Autospacing="0"/>
              <w:ind w:left="0" w:leftChars="0" w:right="0" w:rightChars="0"/>
              <w:textAlignment w:val="auto"/>
              <w:rPr>
                <w:rFonts w:hint="default"/>
                <w:color w:val="auto"/>
                <w:highlight w:val="none"/>
                <w:lang w:val="en-US" w:eastAsia="zh-CN"/>
              </w:rPr>
            </w:pPr>
            <w:r>
              <w:rPr>
                <w:rFonts w:hint="eastAsia"/>
                <w:color w:val="auto"/>
                <w:highlight w:val="none"/>
                <w:lang w:val="en-US" w:eastAsia="zh-CN"/>
              </w:rPr>
              <w:t>+0</w:t>
            </w:r>
          </w:p>
        </w:tc>
      </w:tr>
    </w:tbl>
    <w:p w14:paraId="1EB0533C">
      <w:pPr>
        <w:pStyle w:val="43"/>
        <w:spacing w:beforeLines="0" w:afterLines="0" w:line="260" w:lineRule="auto"/>
        <w:ind w:firstLine="480"/>
        <w:jc w:val="left"/>
        <w:rPr>
          <w:rFonts w:hAnsi="宋体"/>
          <w:snapToGrid w:val="0"/>
          <w:color w:val="auto"/>
          <w:szCs w:val="21"/>
          <w:highlight w:val="none"/>
        </w:rPr>
      </w:pPr>
      <w:r>
        <w:rPr>
          <w:rFonts w:hAnsi="宋体"/>
          <w:snapToGrid w:val="0"/>
          <w:color w:val="auto"/>
          <w:szCs w:val="21"/>
          <w:highlight w:val="none"/>
        </w:rPr>
        <w:t>注：</w:t>
      </w:r>
      <w:r>
        <w:rPr>
          <w:rFonts w:hAnsi="宋体"/>
          <w:snapToGrid w:val="0"/>
          <w:color w:val="auto"/>
          <w:szCs w:val="21"/>
          <w:highlight w:val="none"/>
        </w:rPr>
        <w:fldChar w:fldCharType="begin"/>
      </w:r>
      <w:r>
        <w:rPr>
          <w:rFonts w:hAnsi="宋体"/>
          <w:snapToGrid w:val="0"/>
          <w:color w:val="auto"/>
          <w:szCs w:val="21"/>
          <w:highlight w:val="none"/>
        </w:rPr>
        <w:instrText xml:space="preserve"> = 6 \* GB3 \* MERGEFORMAT </w:instrText>
      </w:r>
      <w:r>
        <w:rPr>
          <w:rFonts w:hAnsi="宋体"/>
          <w:snapToGrid w:val="0"/>
          <w:color w:val="auto"/>
          <w:szCs w:val="21"/>
          <w:highlight w:val="none"/>
        </w:rPr>
        <w:fldChar w:fldCharType="separate"/>
      </w:r>
      <w:r>
        <w:rPr>
          <w:rFonts w:hAnsi="宋体"/>
          <w:color w:val="auto"/>
          <w:szCs w:val="21"/>
          <w:highlight w:val="none"/>
        </w:rPr>
        <w:t>⑥</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1 \* GB3 \* MERGEFORMAT </w:instrText>
      </w:r>
      <w:r>
        <w:rPr>
          <w:rFonts w:hAnsi="宋体"/>
          <w:snapToGrid w:val="0"/>
          <w:color w:val="auto"/>
          <w:szCs w:val="21"/>
          <w:highlight w:val="none"/>
        </w:rPr>
        <w:fldChar w:fldCharType="separate"/>
      </w:r>
      <w:r>
        <w:rPr>
          <w:rFonts w:hAnsi="宋体"/>
          <w:color w:val="auto"/>
          <w:szCs w:val="21"/>
          <w:highlight w:val="none"/>
        </w:rPr>
        <w:t>①</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3 \* GB3 \* MERGEFORMAT </w:instrText>
      </w:r>
      <w:r>
        <w:rPr>
          <w:rFonts w:hAnsi="宋体"/>
          <w:snapToGrid w:val="0"/>
          <w:color w:val="auto"/>
          <w:szCs w:val="21"/>
          <w:highlight w:val="none"/>
        </w:rPr>
        <w:fldChar w:fldCharType="separate"/>
      </w:r>
      <w:r>
        <w:rPr>
          <w:rFonts w:hAnsi="宋体"/>
          <w:color w:val="auto"/>
          <w:szCs w:val="21"/>
          <w:highlight w:val="none"/>
        </w:rPr>
        <w:t>③</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4 \* GB3 \* MERGEFORMAT </w:instrText>
      </w:r>
      <w:r>
        <w:rPr>
          <w:rFonts w:hAnsi="宋体"/>
          <w:snapToGrid w:val="0"/>
          <w:color w:val="auto"/>
          <w:szCs w:val="21"/>
          <w:highlight w:val="none"/>
        </w:rPr>
        <w:fldChar w:fldCharType="separate"/>
      </w:r>
      <w:r>
        <w:rPr>
          <w:rFonts w:hAnsi="宋体"/>
          <w:color w:val="auto"/>
          <w:szCs w:val="21"/>
          <w:highlight w:val="none"/>
        </w:rPr>
        <w:t>④</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5 \* GB3 \* MERGEFORMAT </w:instrText>
      </w:r>
      <w:r>
        <w:rPr>
          <w:rFonts w:hAnsi="宋体"/>
          <w:snapToGrid w:val="0"/>
          <w:color w:val="auto"/>
          <w:szCs w:val="21"/>
          <w:highlight w:val="none"/>
        </w:rPr>
        <w:fldChar w:fldCharType="separate"/>
      </w:r>
      <w:r>
        <w:rPr>
          <w:rFonts w:hAnsi="宋体"/>
          <w:color w:val="auto"/>
          <w:szCs w:val="21"/>
          <w:highlight w:val="none"/>
        </w:rPr>
        <w:t>⑤</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7 \* GB3 \* MERGEFORMAT </w:instrText>
      </w:r>
      <w:r>
        <w:rPr>
          <w:rFonts w:hAnsi="宋体"/>
          <w:snapToGrid w:val="0"/>
          <w:color w:val="auto"/>
          <w:szCs w:val="21"/>
          <w:highlight w:val="none"/>
        </w:rPr>
        <w:fldChar w:fldCharType="separate"/>
      </w:r>
      <w:r>
        <w:rPr>
          <w:rFonts w:hAnsi="宋体"/>
          <w:color w:val="auto"/>
          <w:szCs w:val="21"/>
          <w:highlight w:val="none"/>
        </w:rPr>
        <w:t>⑦</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6 \* GB3 \* MERGEFORMAT </w:instrText>
      </w:r>
      <w:r>
        <w:rPr>
          <w:rFonts w:hAnsi="宋体"/>
          <w:snapToGrid w:val="0"/>
          <w:color w:val="auto"/>
          <w:szCs w:val="21"/>
          <w:highlight w:val="none"/>
        </w:rPr>
        <w:fldChar w:fldCharType="separate"/>
      </w:r>
      <w:r>
        <w:rPr>
          <w:rFonts w:hAnsi="宋体"/>
          <w:color w:val="auto"/>
          <w:szCs w:val="21"/>
          <w:highlight w:val="none"/>
        </w:rPr>
        <w:t>⑥</w:t>
      </w:r>
      <w:r>
        <w:rPr>
          <w:rFonts w:hAnsi="宋体"/>
          <w:snapToGrid w:val="0"/>
          <w:color w:val="auto"/>
          <w:szCs w:val="21"/>
          <w:highlight w:val="none"/>
        </w:rPr>
        <w:fldChar w:fldCharType="end"/>
      </w:r>
      <w:r>
        <w:rPr>
          <w:rFonts w:hAnsi="宋体"/>
          <w:snapToGrid w:val="0"/>
          <w:color w:val="auto"/>
          <w:szCs w:val="21"/>
          <w:highlight w:val="none"/>
        </w:rPr>
        <w:t>-</w:t>
      </w:r>
      <w:r>
        <w:rPr>
          <w:rFonts w:hAnsi="宋体"/>
          <w:snapToGrid w:val="0"/>
          <w:color w:val="auto"/>
          <w:szCs w:val="21"/>
          <w:highlight w:val="none"/>
        </w:rPr>
        <w:fldChar w:fldCharType="begin"/>
      </w:r>
      <w:r>
        <w:rPr>
          <w:rFonts w:hAnsi="宋体"/>
          <w:snapToGrid w:val="0"/>
          <w:color w:val="auto"/>
          <w:szCs w:val="21"/>
          <w:highlight w:val="none"/>
        </w:rPr>
        <w:instrText xml:space="preserve"> = 1 \* GB3 \* MERGEFORMAT </w:instrText>
      </w:r>
      <w:r>
        <w:rPr>
          <w:rFonts w:hAnsi="宋体"/>
          <w:snapToGrid w:val="0"/>
          <w:color w:val="auto"/>
          <w:szCs w:val="21"/>
          <w:highlight w:val="none"/>
        </w:rPr>
        <w:fldChar w:fldCharType="separate"/>
      </w:r>
      <w:r>
        <w:rPr>
          <w:rFonts w:hAnsi="宋体"/>
          <w:color w:val="auto"/>
          <w:szCs w:val="21"/>
          <w:highlight w:val="none"/>
        </w:rPr>
        <w:t>①</w:t>
      </w:r>
      <w:r>
        <w:rPr>
          <w:rFonts w:hAnsi="宋体"/>
          <w:snapToGrid w:val="0"/>
          <w:color w:val="auto"/>
          <w:szCs w:val="21"/>
          <w:highlight w:val="none"/>
        </w:rPr>
        <w:fldChar w:fldCharType="end"/>
      </w:r>
    </w:p>
    <w:p w14:paraId="5974086D">
      <w:pPr>
        <w:pStyle w:val="76"/>
        <w:bidi w:val="0"/>
        <w:ind w:left="0" w:leftChars="0" w:firstLine="0" w:firstLineChars="0"/>
        <w:rPr>
          <w:rFonts w:hint="eastAsia"/>
          <w:color w:val="auto"/>
          <w:highlight w:val="none"/>
        </w:rPr>
      </w:pPr>
    </w:p>
    <w:sectPr>
      <w:footerReference r:id="rId8" w:type="default"/>
      <w:pgSz w:w="16838" w:h="11906" w:orient="landscape"/>
      <w:pgMar w:top="1531" w:right="1701" w:bottom="1531"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0"/>
    <w:family w:val="auto"/>
    <w:pitch w:val="default"/>
    <w:sig w:usb0="00000000" w:usb1="00000000" w:usb2="00000009" w:usb3="00000000" w:csb0="400001FF" w:csb1="FFFF0000"/>
  </w:font>
  <w:font w:name="宋体">
    <w:altName w:val="方正书宋_GBK"/>
    <w:panose1 w:val="02010600030101010101"/>
    <w:charset w:val="81"/>
    <w:family w:val="auto"/>
    <w:pitch w:val="default"/>
    <w:sig w:usb0="00000000" w:usb1="0000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等线 Light">
    <w:altName w:val="华文仿宋"/>
    <w:panose1 w:val="02010600030101010101"/>
    <w:charset w:val="86"/>
    <w:family w:val="auto"/>
    <w:pitch w:val="default"/>
    <w:sig w:usb0="00000000" w:usb1="00000000" w:usb2="00000016" w:usb3="00000000" w:csb0="0004000F" w:csb1="00000000"/>
  </w:font>
  <w:font w:name="华文仿宋">
    <w:panose1 w:val="02010600040101010101"/>
    <w:charset w:val="86"/>
    <w:family w:val="auto"/>
    <w:pitch w:val="default"/>
    <w:sig w:usb0="00000287" w:usb1="080F0000" w:usb2="00000000" w:usb3="00000000" w:csb0="0004009F" w:csb1="DFD7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Arial Unicode MS">
    <w:altName w:val="DejaVu Sans"/>
    <w:panose1 w:val="020B0604020202020204"/>
    <w:charset w:val="86"/>
    <w:family w:val="auto"/>
    <w:pitch w:val="default"/>
    <w:sig w:usb0="00000000" w:usb1="00000000" w:usb2="0000003F" w:usb3="00000000" w:csb0="603F01FF" w:csb1="FFFF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等线">
    <w:altName w:val="华文仿宋"/>
    <w:panose1 w:val="02010600030101010101"/>
    <w:charset w:val="86"/>
    <w:family w:val="auto"/>
    <w:pitch w:val="default"/>
    <w:sig w:usb0="00000000" w:usb1="00000000" w:usb2="00000016" w:usb3="00000000" w:csb0="0004000F" w:csb1="00000000"/>
  </w:font>
  <w:font w:name="方正小标宋_GBK">
    <w:panose1 w:val="02000000000000000000"/>
    <w:charset w:val="86"/>
    <w:family w:val="script"/>
    <w:pitch w:val="default"/>
    <w:sig w:usb0="00000001" w:usb1="08000000" w:usb2="00000000" w:usb3="00000000" w:csb0="00040000" w:csb1="00000000"/>
  </w:font>
  <w:font w:name="Wingdings 2">
    <w:altName w:val="MathJax_Vector"/>
    <w:panose1 w:val="05020102010507070707"/>
    <w:charset w:val="02"/>
    <w:family w:val="auto"/>
    <w:pitch w:val="default"/>
    <w:sig w:usb0="00000000" w:usb1="00000000" w:usb2="00000000" w:usb3="00000000" w:csb0="80000000" w:csb1="00000000"/>
  </w:font>
  <w:font w:name="MathJax_Vector">
    <w:panose1 w:val="02000603000000000000"/>
    <w:charset w:val="00"/>
    <w:family w:val="auto"/>
    <w:pitch w:val="default"/>
    <w:sig w:usb0="00000001" w:usb1="00000020" w:usb2="00000000" w:usb3="00000000" w:csb0="00000001" w:csb1="00000000"/>
  </w:font>
  <w:font w:name="微软雅黑">
    <w:altName w:val="方正黑体_GBK"/>
    <w:panose1 w:val="020B0503020204020204"/>
    <w:charset w:val="86"/>
    <w:family w:val="auto"/>
    <w:pitch w:val="default"/>
    <w:sig w:usb0="00000000" w:usb1="00000000" w:usb2="00000016" w:usb3="00000000" w:csb0="0004001F" w:csb1="00000000"/>
  </w:font>
  <w:font w:name="Cambria Math">
    <w:altName w:val="DejaVu Math TeX Gyre"/>
    <w:panose1 w:val="02040503050406030204"/>
    <w:charset w:val="00"/>
    <w:family w:val="roman"/>
    <w:pitch w:val="default"/>
    <w:sig w:usb0="00000000" w:usb1="00000000" w:usb2="00000000" w:usb3="00000000" w:csb0="2000019F" w:csb1="00000000"/>
  </w:font>
  <w:font w:name="DejaVu Math TeX Gyre">
    <w:panose1 w:val="02000503000000000000"/>
    <w:charset w:val="00"/>
    <w:family w:val="auto"/>
    <w:pitch w:val="default"/>
    <w:sig w:usb0="A10000EF" w:usb1="4201F9EE" w:usb2="02000000" w:usb3="00000000" w:csb0="60000193" w:csb1="0DD40000"/>
  </w:font>
  <w:font w:name="Liberation Serif">
    <w:panose1 w:val="02020603050405020304"/>
    <w:charset w:val="00"/>
    <w:family w:val="auto"/>
    <w:pitch w:val="default"/>
    <w:sig w:usb0="A00002AF" w:usb1="500078FB" w:usb2="00000000" w:usb3="00000000" w:csb0="6000009F" w:csb1="DFD70000"/>
  </w:font>
  <w:font w:name="Kingsoft UE">
    <w:panose1 w:val="02000100010000000000"/>
    <w:charset w:val="00"/>
    <w:family w:val="auto"/>
    <w:pitch w:val="default"/>
    <w:sig w:usb0="00000001" w:usb1="00004000" w:usb2="00000000" w:usb3="00000000" w:csb0="00000001" w:csb1="00000000"/>
  </w:font>
  <w:font w:name="国标仿宋">
    <w:panose1 w:val="02000500000000000000"/>
    <w:charset w:val="86"/>
    <w:family w:val="auto"/>
    <w:pitch w:val="default"/>
    <w:sig w:usb0="A00002BF" w:usb1="38C7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29918C">
    <w:pPr>
      <w:pStyle w:val="15"/>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0FBD7">
    <w:pPr>
      <w:pStyle w:val="15"/>
      <w:framePr w:wrap="around" w:vAnchor="text" w:hAnchor="margin" w:xAlign="center" w:y="1"/>
      <w:rPr>
        <w:rStyle w:val="29"/>
      </w:rPr>
    </w:pPr>
    <w:r>
      <w:fldChar w:fldCharType="begin"/>
    </w:r>
    <w:r>
      <w:rPr>
        <w:rStyle w:val="29"/>
      </w:rPr>
      <w:instrText xml:space="preserve">PAGE  </w:instrText>
    </w:r>
    <w:r>
      <w:fldChar w:fldCharType="end"/>
    </w:r>
  </w:p>
  <w:p w14:paraId="6C654B53">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9DCEB">
    <w:pPr>
      <w:pStyle w:val="15"/>
      <w:ind w:right="360" w:firstLine="360"/>
      <w:jc w:val="center"/>
      <w:rPr>
        <w:rFonts w:hint="eastAsia"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B92DE4C">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ApX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MClfjICAABjBAAADgAAAAAAAAABACAAAAAfAQAAZHJzL2Uyb0RvYy54bWxQSwUG&#10;AAAAAAYABgBZAQAAwwUAAAAA&#10;">
              <v:fill on="f" focussize="0,0"/>
              <v:stroke on="f" weight="0.5pt"/>
              <v:imagedata o:title=""/>
              <o:lock v:ext="edit" aspectratio="f"/>
              <v:textbox inset="0mm,0mm,0mm,0mm" style="mso-fit-shape-to-text:t;">
                <w:txbxContent>
                  <w:p w14:paraId="6B92DE4C">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C8A0D">
    <w:pPr>
      <w:pStyle w:val="15"/>
      <w:ind w:right="360" w:firstLine="360"/>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66658E">
                          <w:pPr>
                            <w:pStyle w:val="15"/>
                          </w:pPr>
                          <w:r>
                            <w:fldChar w:fldCharType="begin"/>
                          </w:r>
                          <w:r>
                            <w:instrText xml:space="preserve"> PAGE  \* MERGEFORMAT </w:instrText>
                          </w:r>
                          <w:r>
                            <w:fldChar w:fldCharType="separate"/>
                          </w:r>
                          <w:r>
                            <w:t>107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IJoMpEzAgAAYwQAAA4AAAAAAAAAAQAgAAAAHwEAAGRycy9lMm9Eb2MueG1sUEsF&#10;BgAAAAAGAAYAWQEAAMQFAAAAAA==&#10;">
              <v:fill on="f" focussize="0,0"/>
              <v:stroke on="f" weight="0.5pt"/>
              <v:imagedata o:title=""/>
              <o:lock v:ext="edit" aspectratio="f"/>
              <v:textbox inset="0mm,0mm,0mm,0mm" style="mso-fit-shape-to-text:t;">
                <w:txbxContent>
                  <w:p w14:paraId="0766658E">
                    <w:pPr>
                      <w:pStyle w:val="15"/>
                    </w:pPr>
                    <w:r>
                      <w:fldChar w:fldCharType="begin"/>
                    </w:r>
                    <w:r>
                      <w:instrText xml:space="preserve"> PAGE  \* MERGEFORMAT </w:instrText>
                    </w:r>
                    <w:r>
                      <w:fldChar w:fldCharType="separate"/>
                    </w:r>
                    <w:r>
                      <w:t>107</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FF9714"/>
    <w:multiLevelType w:val="singleLevel"/>
    <w:tmpl w:val="8BFF9714"/>
    <w:lvl w:ilvl="0" w:tentative="0">
      <w:start w:val="1"/>
      <w:numFmt w:val="decimal"/>
      <w:pStyle w:val="126"/>
      <w:suff w:val="nothing"/>
      <w:lvlText w:val="表1-%1　"/>
      <w:lvlJc w:val="left"/>
      <w:pPr>
        <w:ind w:left="0" w:firstLine="403"/>
      </w:pPr>
      <w:rPr>
        <w:rFonts w:hint="default"/>
        <w:sz w:val="21"/>
        <w:szCs w:val="21"/>
      </w:rPr>
    </w:lvl>
  </w:abstractNum>
  <w:abstractNum w:abstractNumId="1">
    <w:nsid w:val="8EC63A89"/>
    <w:multiLevelType w:val="singleLevel"/>
    <w:tmpl w:val="8EC63A89"/>
    <w:lvl w:ilvl="0" w:tentative="0">
      <w:start w:val="14"/>
      <w:numFmt w:val="decimal"/>
      <w:suff w:val="nothing"/>
      <w:lvlText w:val="%1、"/>
      <w:lvlJc w:val="left"/>
    </w:lvl>
  </w:abstractNum>
  <w:abstractNum w:abstractNumId="2">
    <w:nsid w:val="A4000937"/>
    <w:multiLevelType w:val="singleLevel"/>
    <w:tmpl w:val="A4000937"/>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3">
    <w:nsid w:val="B5085A06"/>
    <w:multiLevelType w:val="singleLevel"/>
    <w:tmpl w:val="B5085A06"/>
    <w:lvl w:ilvl="0" w:tentative="0">
      <w:start w:val="4"/>
      <w:numFmt w:val="chineseCounting"/>
      <w:suff w:val="nothing"/>
      <w:lvlText w:val="%1、"/>
      <w:lvlJc w:val="left"/>
      <w:rPr>
        <w:rFonts w:hint="eastAsia"/>
      </w:rPr>
    </w:lvl>
  </w:abstractNum>
  <w:abstractNum w:abstractNumId="4">
    <w:nsid w:val="CA6BCE17"/>
    <w:multiLevelType w:val="singleLevel"/>
    <w:tmpl w:val="CA6BCE17"/>
    <w:lvl w:ilvl="0" w:tentative="0">
      <w:start w:val="1"/>
      <w:numFmt w:val="decimal"/>
      <w:suff w:val="nothing"/>
      <w:lvlText w:val="%1、"/>
      <w:lvlJc w:val="left"/>
    </w:lvl>
  </w:abstractNum>
  <w:abstractNum w:abstractNumId="5">
    <w:nsid w:val="CB4CEDD9"/>
    <w:multiLevelType w:val="singleLevel"/>
    <w:tmpl w:val="CB4CEDD9"/>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6">
    <w:nsid w:val="CB8A551B"/>
    <w:multiLevelType w:val="multilevel"/>
    <w:tmpl w:val="CB8A551B"/>
    <w:lvl w:ilvl="0" w:tentative="0">
      <w:start w:val="1"/>
      <w:numFmt w:val="chineseCounting"/>
      <w:suff w:val="space"/>
      <w:lvlText w:val="%1、"/>
      <w:lvlJc w:val="left"/>
      <w:pPr>
        <w:tabs>
          <w:tab w:val="left" w:pos="0"/>
        </w:tabs>
        <w:ind w:left="0" w:firstLine="0"/>
      </w:pPr>
      <w:rPr>
        <w:rFonts w:hint="eastAsia" w:ascii="Times New Roman" w:hAnsi="Times New Roman" w:eastAsia="宋体" w:cs="宋体"/>
        <w:b/>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tabs>
          <w:tab w:val="left" w:pos="420"/>
        </w:tabs>
        <w:ind w:left="567" w:hanging="567"/>
      </w:pPr>
      <w:rPr>
        <w:rFonts w:hint="eastAsia" w:ascii="宋体" w:hAnsi="宋体" w:eastAsia="宋体" w:cs="宋体"/>
        <w:i w:val="0"/>
        <w:iCs w:val="0"/>
        <w:caps w:val="0"/>
        <w:smallCaps w:val="0"/>
        <w:strike w:val="0"/>
        <w:dstrike w:val="0"/>
        <w:vanish w:val="0"/>
        <w:color w:val="000000"/>
        <w:spacing w:val="0"/>
        <w:position w:val="0"/>
        <w:u w:val="none"/>
        <w:vertAlign w:val="baseline"/>
      </w:rPr>
    </w:lvl>
    <w:lvl w:ilvl="2" w:tentative="0">
      <w:start w:val="1"/>
      <w:numFmt w:val="decimal"/>
      <w:isLgl/>
      <w:suff w:val="space"/>
      <w:lvlText w:val="%1.%2.%3"/>
      <w:lvlJc w:val="left"/>
      <w:pPr>
        <w:ind w:left="567" w:hanging="567"/>
      </w:pPr>
      <w:rPr>
        <w:rFonts w:hint="eastAsia" w:ascii="宋体" w:hAnsi="宋体" w:eastAsia="宋体" w:cs="宋体"/>
      </w:rPr>
    </w:lvl>
    <w:lvl w:ilvl="3" w:tentative="0">
      <w:start w:val="1"/>
      <w:numFmt w:val="decimal"/>
      <w:isLgl/>
      <w:suff w:val="space"/>
      <w:lvlText w:val="%1.%2.%3.%4"/>
      <w:lvlJc w:val="left"/>
      <w:pPr>
        <w:ind w:left="567" w:hanging="567"/>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4" w:tentative="0">
      <w:start w:val="1"/>
      <w:numFmt w:val="decimal"/>
      <w:isLgl/>
      <w:suff w:val="space"/>
      <w:lvlText w:val="%1.%2.%3.%4.%5"/>
      <w:lvlJc w:val="left"/>
      <w:pPr>
        <w:ind w:left="1134" w:hanging="567"/>
      </w:pPr>
      <w:rPr>
        <w:rFonts w:hint="eastAsia" w:ascii="宋体" w:hAnsi="宋体" w:eastAsia="宋体" w:cs="宋体"/>
      </w:rPr>
    </w:lvl>
    <w:lvl w:ilvl="5" w:tentative="0">
      <w:start w:val="1"/>
      <w:numFmt w:val="decimal"/>
      <w:lvlRestart w:val="1"/>
      <w:pStyle w:val="87"/>
      <w:isLgl/>
      <w:suff w:val="space"/>
      <w:lvlText w:val="表%1-%6"/>
      <w:lvlJc w:val="center"/>
      <w:pPr>
        <w:tabs>
          <w:tab w:val="left" w:pos="0"/>
        </w:tabs>
        <w:ind w:left="0" w:firstLine="0"/>
      </w:pPr>
      <w:rPr>
        <w:rFonts w:hint="eastAsia" w:ascii="Times New Roman" w:hAnsi="Times New Roman" w:eastAsia="宋体" w:cs="Times New Roman"/>
        <w:b/>
        <w:bCs w:val="0"/>
        <w:i w:val="0"/>
        <w:iCs w:val="0"/>
        <w:caps w:val="0"/>
        <w:smallCaps w:val="0"/>
        <w:strike w:val="0"/>
        <w:dstrike w:val="0"/>
        <w:vanish w:val="0"/>
        <w:color w:val="000000"/>
        <w:spacing w:val="0"/>
        <w:position w:val="0"/>
        <w:sz w:val="21"/>
        <w:szCs w:val="21"/>
        <w:u w:val="none"/>
        <w:vertAlign w:val="baseline"/>
      </w:rPr>
    </w:lvl>
    <w:lvl w:ilvl="6" w:tentative="0">
      <w:start w:val="1"/>
      <w:numFmt w:val="decimal"/>
      <w:lvlRestart w:val="1"/>
      <w:isLgl/>
      <w:suff w:val="space"/>
      <w:lvlText w:val="图%1.%2-%7"/>
      <w:lvlJc w:val="center"/>
      <w:pPr>
        <w:ind w:left="0" w:firstLine="0"/>
      </w:pPr>
      <w:rPr>
        <w:rFonts w:hint="eastAsia" w:ascii="宋体" w:hAnsi="宋体" w:eastAsia="宋体" w:cs="宋体"/>
        <w:b/>
        <w:bCs w:val="0"/>
        <w:i w:val="0"/>
        <w:iCs w:val="0"/>
        <w:caps w:val="0"/>
        <w:smallCaps w:val="0"/>
        <w:strike w:val="0"/>
        <w:dstrike w:val="0"/>
        <w:vanish w:val="0"/>
        <w:color w:val="000000"/>
        <w:spacing w:val="0"/>
        <w:position w:val="0"/>
        <w:u w:val="none"/>
        <w:vertAlign w:val="baseline"/>
      </w:rPr>
    </w:lvl>
    <w:lvl w:ilvl="7" w:tentative="0">
      <w:start w:val="1"/>
      <w:numFmt w:val="none"/>
      <w:lvlRestart w:val="2"/>
      <w:isLgl/>
      <w:suff w:val="nothing"/>
      <w:lvlText w:val=""/>
      <w:lvlJc w:val="left"/>
      <w:pPr>
        <w:ind w:left="283" w:firstLine="0"/>
      </w:pPr>
      <w:rPr>
        <w:rFonts w:hint="eastAsia" w:cs="仿宋_GB2312"/>
        <w:b w:val="0"/>
        <w:bCs w:val="0"/>
        <w:i w:val="0"/>
        <w:iCs w:val="0"/>
        <w:caps w:val="0"/>
        <w:smallCaps w:val="0"/>
        <w:strike w:val="0"/>
        <w:dstrike w:val="0"/>
        <w:vanish w:val="0"/>
        <w:color w:val="000000"/>
        <w:spacing w:val="0"/>
        <w:position w:val="0"/>
        <w:u w:val="none"/>
        <w:vertAlign w:val="baseline"/>
      </w:rPr>
    </w:lvl>
    <w:lvl w:ilvl="8" w:tentative="0">
      <w:start w:val="1"/>
      <w:numFmt w:val="none"/>
      <w:isLgl/>
      <w:lvlText w:val=""/>
      <w:lvlJc w:val="left"/>
      <w:pPr>
        <w:ind w:left="1559" w:hanging="1559"/>
      </w:pPr>
      <w:rPr>
        <w:rFonts w:hint="eastAsia"/>
      </w:rPr>
    </w:lvl>
  </w:abstractNum>
  <w:abstractNum w:abstractNumId="7">
    <w:nsid w:val="D0AAAE18"/>
    <w:multiLevelType w:val="singleLevel"/>
    <w:tmpl w:val="D0AAAE18"/>
    <w:lvl w:ilvl="0" w:tentative="0">
      <w:start w:val="20"/>
      <w:numFmt w:val="decimal"/>
      <w:suff w:val="nothing"/>
      <w:lvlText w:val="%1、"/>
      <w:lvlJc w:val="left"/>
    </w:lvl>
  </w:abstractNum>
  <w:abstractNum w:abstractNumId="8">
    <w:nsid w:val="D9CF3A10"/>
    <w:multiLevelType w:val="singleLevel"/>
    <w:tmpl w:val="D9CF3A10"/>
    <w:lvl w:ilvl="0" w:tentative="0">
      <w:start w:val="1"/>
      <w:numFmt w:val="decimal"/>
      <w:suff w:val="nothing"/>
      <w:lvlText w:val="%1、"/>
      <w:lvlJc w:val="left"/>
    </w:lvl>
  </w:abstractNum>
  <w:abstractNum w:abstractNumId="9">
    <w:nsid w:val="E82E2ABD"/>
    <w:multiLevelType w:val="singleLevel"/>
    <w:tmpl w:val="E82E2ABD"/>
    <w:lvl w:ilvl="0" w:tentative="0">
      <w:start w:val="5"/>
      <w:numFmt w:val="decimal"/>
      <w:suff w:val="nothing"/>
      <w:lvlText w:val="%1、"/>
      <w:lvlJc w:val="left"/>
    </w:lvl>
  </w:abstractNum>
  <w:abstractNum w:abstractNumId="10">
    <w:nsid w:val="12EF1EE4"/>
    <w:multiLevelType w:val="singleLevel"/>
    <w:tmpl w:val="12EF1EE4"/>
    <w:lvl w:ilvl="0" w:tentative="0">
      <w:start w:val="1"/>
      <w:numFmt w:val="decimal"/>
      <w:suff w:val="nothing"/>
      <w:lvlText w:val="%1、"/>
      <w:lvlJc w:val="left"/>
    </w:lvl>
  </w:abstractNum>
  <w:abstractNum w:abstractNumId="11">
    <w:nsid w:val="15500E31"/>
    <w:multiLevelType w:val="singleLevel"/>
    <w:tmpl w:val="15500E31"/>
    <w:lvl w:ilvl="0" w:tentative="0">
      <w:start w:val="1"/>
      <w:numFmt w:val="decimal"/>
      <w:pStyle w:val="124"/>
      <w:suff w:val="nothing"/>
      <w:lvlText w:val="表4-%1　"/>
      <w:lvlJc w:val="left"/>
      <w:pPr>
        <w:ind w:left="0" w:firstLine="397"/>
      </w:pPr>
      <w:rPr>
        <w:rFonts w:hint="default"/>
        <w:sz w:val="21"/>
        <w:szCs w:val="21"/>
      </w:rPr>
    </w:lvl>
  </w:abstractNum>
  <w:abstractNum w:abstractNumId="12">
    <w:nsid w:val="15F9F958"/>
    <w:multiLevelType w:val="singleLevel"/>
    <w:tmpl w:val="15F9F958"/>
    <w:lvl w:ilvl="0" w:tentative="0">
      <w:start w:val="1"/>
      <w:numFmt w:val="decimal"/>
      <w:pStyle w:val="116"/>
      <w:suff w:val="nothing"/>
      <w:lvlText w:val="表2-%1"/>
      <w:lvlJc w:val="left"/>
      <w:pPr>
        <w:ind w:left="0" w:firstLine="403"/>
      </w:pPr>
      <w:rPr>
        <w:rFonts w:hint="default" w:ascii="Times New Roman" w:hAnsi="Times New Roman" w:cs="Times New Roman"/>
        <w:b/>
        <w:bCs/>
      </w:rPr>
    </w:lvl>
  </w:abstractNum>
  <w:abstractNum w:abstractNumId="13">
    <w:nsid w:val="1CFE7D73"/>
    <w:multiLevelType w:val="singleLevel"/>
    <w:tmpl w:val="1CFE7D73"/>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14">
    <w:nsid w:val="2D1F4EBD"/>
    <w:multiLevelType w:val="singleLevel"/>
    <w:tmpl w:val="2D1F4EBD"/>
    <w:lvl w:ilvl="0" w:tentative="0">
      <w:start w:val="1"/>
      <w:numFmt w:val="decimal"/>
      <w:pStyle w:val="123"/>
      <w:suff w:val="space"/>
      <w:lvlText w:val="表2-%1"/>
      <w:lvlJc w:val="left"/>
      <w:pPr>
        <w:tabs>
          <w:tab w:val="left" w:pos="0"/>
        </w:tabs>
        <w:ind w:left="5460" w:firstLine="0"/>
      </w:pPr>
      <w:rPr>
        <w:rFonts w:hint="default" w:ascii="Times New Roman" w:hAnsi="Times New Roman" w:eastAsia="宋体" w:cs="等线"/>
        <w:b/>
        <w:bCs/>
        <w:sz w:val="21"/>
        <w:szCs w:val="21"/>
      </w:rPr>
    </w:lvl>
  </w:abstractNum>
  <w:abstractNum w:abstractNumId="15">
    <w:nsid w:val="36970A70"/>
    <w:multiLevelType w:val="multilevel"/>
    <w:tmpl w:val="36970A70"/>
    <w:lvl w:ilvl="0" w:tentative="0">
      <w:start w:val="1"/>
      <w:numFmt w:val="decimal"/>
      <w:pStyle w:val="85"/>
      <w:lvlText w:val="表%1 "/>
      <w:lvlJc w:val="left"/>
      <w:pPr>
        <w:ind w:left="3680" w:hanging="420"/>
      </w:pPr>
      <w:rPr>
        <w:rFonts w:hint="default"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501F3ED0"/>
    <w:multiLevelType w:val="singleLevel"/>
    <w:tmpl w:val="501F3ED0"/>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17">
    <w:nsid w:val="6821E761"/>
    <w:multiLevelType w:val="singleLevel"/>
    <w:tmpl w:val="6821E761"/>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18">
    <w:nsid w:val="797ADA7D"/>
    <w:multiLevelType w:val="singleLevel"/>
    <w:tmpl w:val="797ADA7D"/>
    <w:lvl w:ilvl="0" w:tentative="0">
      <w:start w:val="1"/>
      <w:numFmt w:val="decimal"/>
      <w:suff w:val="nothing"/>
      <w:lvlText w:val="%1"/>
      <w:lvlJc w:val="center"/>
      <w:pPr>
        <w:tabs>
          <w:tab w:val="left" w:pos="0"/>
        </w:tabs>
        <w:ind w:left="0" w:leftChars="0" w:firstLine="0" w:firstLineChars="0"/>
      </w:pPr>
      <w:rPr>
        <w:rFonts w:hint="default"/>
      </w:rPr>
    </w:lvl>
  </w:abstractNum>
  <w:abstractNum w:abstractNumId="19">
    <w:nsid w:val="7B83C94D"/>
    <w:multiLevelType w:val="singleLevel"/>
    <w:tmpl w:val="7B83C94D"/>
    <w:lvl w:ilvl="0" w:tentative="0">
      <w:start w:val="3"/>
      <w:numFmt w:val="decimal"/>
      <w:suff w:val="nothing"/>
      <w:lvlText w:val="（%1）"/>
      <w:lvlJc w:val="left"/>
    </w:lvl>
  </w:abstractNum>
  <w:num w:numId="1">
    <w:abstractNumId w:val="15"/>
  </w:num>
  <w:num w:numId="2">
    <w:abstractNumId w:val="6"/>
  </w:num>
  <w:num w:numId="3">
    <w:abstractNumId w:val="12"/>
  </w:num>
  <w:num w:numId="4">
    <w:abstractNumId w:val="14"/>
  </w:num>
  <w:num w:numId="5">
    <w:abstractNumId w:val="11"/>
  </w:num>
  <w:num w:numId="6">
    <w:abstractNumId w:val="0"/>
  </w:num>
  <w:num w:numId="7">
    <w:abstractNumId w:val="9"/>
  </w:num>
  <w:num w:numId="8">
    <w:abstractNumId w:val="1"/>
  </w:num>
  <w:num w:numId="9">
    <w:abstractNumId w:val="7"/>
  </w:num>
  <w:num w:numId="10">
    <w:abstractNumId w:val="8"/>
  </w:num>
  <w:num w:numId="11">
    <w:abstractNumId w:val="16"/>
  </w:num>
  <w:num w:numId="12">
    <w:abstractNumId w:val="18"/>
  </w:num>
  <w:num w:numId="13">
    <w:abstractNumId w:val="13"/>
  </w:num>
  <w:num w:numId="14">
    <w:abstractNumId w:val="5"/>
  </w:num>
  <w:num w:numId="15">
    <w:abstractNumId w:val="4"/>
  </w:num>
  <w:num w:numId="16">
    <w:abstractNumId w:val="10"/>
  </w:num>
  <w:num w:numId="17">
    <w:abstractNumId w:val="3"/>
  </w:num>
  <w:num w:numId="18">
    <w:abstractNumId w:val="17"/>
  </w:num>
  <w:num w:numId="19">
    <w:abstractNumId w:val="2"/>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1B39FA"/>
    <w:rsid w:val="00076791"/>
    <w:rsid w:val="00135135"/>
    <w:rsid w:val="004277C9"/>
    <w:rsid w:val="00473031"/>
    <w:rsid w:val="00640557"/>
    <w:rsid w:val="008B32D6"/>
    <w:rsid w:val="00B561ED"/>
    <w:rsid w:val="00BA3803"/>
    <w:rsid w:val="00D64002"/>
    <w:rsid w:val="00F705B3"/>
    <w:rsid w:val="010827C0"/>
    <w:rsid w:val="012E79FA"/>
    <w:rsid w:val="0136108C"/>
    <w:rsid w:val="013C06BC"/>
    <w:rsid w:val="0160084E"/>
    <w:rsid w:val="017A7263"/>
    <w:rsid w:val="01851CDB"/>
    <w:rsid w:val="01A3073B"/>
    <w:rsid w:val="01AE15BA"/>
    <w:rsid w:val="01DB6104"/>
    <w:rsid w:val="02313F99"/>
    <w:rsid w:val="02317AF5"/>
    <w:rsid w:val="025308AD"/>
    <w:rsid w:val="028B5457"/>
    <w:rsid w:val="02BE582C"/>
    <w:rsid w:val="02CE011D"/>
    <w:rsid w:val="02EE3C38"/>
    <w:rsid w:val="02F84BAB"/>
    <w:rsid w:val="030D6D3A"/>
    <w:rsid w:val="031C07A5"/>
    <w:rsid w:val="033A0B8B"/>
    <w:rsid w:val="035E700F"/>
    <w:rsid w:val="038F0F77"/>
    <w:rsid w:val="03936CB9"/>
    <w:rsid w:val="03993BA4"/>
    <w:rsid w:val="039A0CDF"/>
    <w:rsid w:val="039D18E6"/>
    <w:rsid w:val="03B41B21"/>
    <w:rsid w:val="03BC4BD4"/>
    <w:rsid w:val="03EA7E28"/>
    <w:rsid w:val="03F1578E"/>
    <w:rsid w:val="03F37758"/>
    <w:rsid w:val="03F4702C"/>
    <w:rsid w:val="04090D29"/>
    <w:rsid w:val="040E79E3"/>
    <w:rsid w:val="04425FE9"/>
    <w:rsid w:val="0451614A"/>
    <w:rsid w:val="047A5783"/>
    <w:rsid w:val="04874344"/>
    <w:rsid w:val="048A6A6A"/>
    <w:rsid w:val="04AB1DE0"/>
    <w:rsid w:val="04AC701F"/>
    <w:rsid w:val="04C0022C"/>
    <w:rsid w:val="04C31E27"/>
    <w:rsid w:val="04C335CE"/>
    <w:rsid w:val="0516342C"/>
    <w:rsid w:val="05393890"/>
    <w:rsid w:val="0543026B"/>
    <w:rsid w:val="054B365B"/>
    <w:rsid w:val="054E4CF3"/>
    <w:rsid w:val="055E085F"/>
    <w:rsid w:val="05707EF4"/>
    <w:rsid w:val="05962A91"/>
    <w:rsid w:val="05A351AD"/>
    <w:rsid w:val="061340E1"/>
    <w:rsid w:val="06175254"/>
    <w:rsid w:val="06532730"/>
    <w:rsid w:val="06606BFB"/>
    <w:rsid w:val="0673214A"/>
    <w:rsid w:val="06AF51E5"/>
    <w:rsid w:val="06B34F7C"/>
    <w:rsid w:val="06C929F2"/>
    <w:rsid w:val="06CF7A92"/>
    <w:rsid w:val="06D3561E"/>
    <w:rsid w:val="06E72E78"/>
    <w:rsid w:val="072B7208"/>
    <w:rsid w:val="07410048"/>
    <w:rsid w:val="076602B1"/>
    <w:rsid w:val="076F5347"/>
    <w:rsid w:val="07743210"/>
    <w:rsid w:val="07794418"/>
    <w:rsid w:val="077E1A2E"/>
    <w:rsid w:val="079052BE"/>
    <w:rsid w:val="07A10E4E"/>
    <w:rsid w:val="07A46156"/>
    <w:rsid w:val="07C95D62"/>
    <w:rsid w:val="07E61381"/>
    <w:rsid w:val="07EF46DA"/>
    <w:rsid w:val="08002443"/>
    <w:rsid w:val="080F08D8"/>
    <w:rsid w:val="083139D3"/>
    <w:rsid w:val="08324A39"/>
    <w:rsid w:val="083F680F"/>
    <w:rsid w:val="08574D94"/>
    <w:rsid w:val="0858227F"/>
    <w:rsid w:val="085D1644"/>
    <w:rsid w:val="08670714"/>
    <w:rsid w:val="08687FE8"/>
    <w:rsid w:val="08716E9D"/>
    <w:rsid w:val="088458B2"/>
    <w:rsid w:val="08856DEC"/>
    <w:rsid w:val="08872B64"/>
    <w:rsid w:val="088A61B1"/>
    <w:rsid w:val="08962DA7"/>
    <w:rsid w:val="08C86477"/>
    <w:rsid w:val="08C96CD9"/>
    <w:rsid w:val="08F66058"/>
    <w:rsid w:val="08F875BE"/>
    <w:rsid w:val="09044B9E"/>
    <w:rsid w:val="09124EC1"/>
    <w:rsid w:val="093920B1"/>
    <w:rsid w:val="094648A7"/>
    <w:rsid w:val="09476961"/>
    <w:rsid w:val="095567BF"/>
    <w:rsid w:val="098B0432"/>
    <w:rsid w:val="099B68C7"/>
    <w:rsid w:val="099C619C"/>
    <w:rsid w:val="09A67019"/>
    <w:rsid w:val="09B63701"/>
    <w:rsid w:val="09B94F9F"/>
    <w:rsid w:val="09BB51C1"/>
    <w:rsid w:val="09D74664"/>
    <w:rsid w:val="09E162A4"/>
    <w:rsid w:val="0A2543E3"/>
    <w:rsid w:val="0A2763AD"/>
    <w:rsid w:val="0A3260C9"/>
    <w:rsid w:val="0A430D19"/>
    <w:rsid w:val="0A5C1147"/>
    <w:rsid w:val="0A60541B"/>
    <w:rsid w:val="0A8B33E3"/>
    <w:rsid w:val="0AA01CBB"/>
    <w:rsid w:val="0AAA2912"/>
    <w:rsid w:val="0ABB7EB7"/>
    <w:rsid w:val="0AC47DDC"/>
    <w:rsid w:val="0AD94540"/>
    <w:rsid w:val="0B09160F"/>
    <w:rsid w:val="0B226B74"/>
    <w:rsid w:val="0B2A0461"/>
    <w:rsid w:val="0B48482D"/>
    <w:rsid w:val="0B512FB6"/>
    <w:rsid w:val="0B6251C3"/>
    <w:rsid w:val="0B776EC0"/>
    <w:rsid w:val="0B8C1261"/>
    <w:rsid w:val="0BA46483"/>
    <w:rsid w:val="0BD240F7"/>
    <w:rsid w:val="0BED2CDE"/>
    <w:rsid w:val="0BF42AA3"/>
    <w:rsid w:val="0C452B1A"/>
    <w:rsid w:val="0C7E7DDA"/>
    <w:rsid w:val="0C9B273A"/>
    <w:rsid w:val="0CAA5073"/>
    <w:rsid w:val="0CB877EC"/>
    <w:rsid w:val="0CC31C91"/>
    <w:rsid w:val="0CC51EAD"/>
    <w:rsid w:val="0D1D75F3"/>
    <w:rsid w:val="0D2B7F62"/>
    <w:rsid w:val="0D2C7836"/>
    <w:rsid w:val="0D3D37F2"/>
    <w:rsid w:val="0D531267"/>
    <w:rsid w:val="0D5605EF"/>
    <w:rsid w:val="0D584ACF"/>
    <w:rsid w:val="0D674D12"/>
    <w:rsid w:val="0D701E19"/>
    <w:rsid w:val="0D7B06C2"/>
    <w:rsid w:val="0D817B82"/>
    <w:rsid w:val="0DA25D4B"/>
    <w:rsid w:val="0DA45CC7"/>
    <w:rsid w:val="0DD8176C"/>
    <w:rsid w:val="0DFD0975"/>
    <w:rsid w:val="0E2B3F92"/>
    <w:rsid w:val="0E3015A8"/>
    <w:rsid w:val="0E407A3D"/>
    <w:rsid w:val="0E4D3F08"/>
    <w:rsid w:val="0E511C4A"/>
    <w:rsid w:val="0E74112A"/>
    <w:rsid w:val="0E7771D7"/>
    <w:rsid w:val="0E795140"/>
    <w:rsid w:val="0E912047"/>
    <w:rsid w:val="0EA16002"/>
    <w:rsid w:val="0EAD49A7"/>
    <w:rsid w:val="0ED87C76"/>
    <w:rsid w:val="0EED1247"/>
    <w:rsid w:val="0EF552DA"/>
    <w:rsid w:val="0EFE5203"/>
    <w:rsid w:val="0F0C791F"/>
    <w:rsid w:val="0F2F1860"/>
    <w:rsid w:val="0F372E00"/>
    <w:rsid w:val="0F436172"/>
    <w:rsid w:val="0F563291"/>
    <w:rsid w:val="0F7658A1"/>
    <w:rsid w:val="0F8F2CA6"/>
    <w:rsid w:val="0F9242C9"/>
    <w:rsid w:val="0F931DEF"/>
    <w:rsid w:val="0FC93A62"/>
    <w:rsid w:val="0FDD12BC"/>
    <w:rsid w:val="0FED14FF"/>
    <w:rsid w:val="10282537"/>
    <w:rsid w:val="104B091B"/>
    <w:rsid w:val="105552F6"/>
    <w:rsid w:val="10563548"/>
    <w:rsid w:val="105C48D7"/>
    <w:rsid w:val="10664B5E"/>
    <w:rsid w:val="106B68C8"/>
    <w:rsid w:val="10802373"/>
    <w:rsid w:val="10AD5132"/>
    <w:rsid w:val="10CA5CE4"/>
    <w:rsid w:val="10DD77C5"/>
    <w:rsid w:val="10E87F18"/>
    <w:rsid w:val="10EE1DD4"/>
    <w:rsid w:val="1109680C"/>
    <w:rsid w:val="110D7FF4"/>
    <w:rsid w:val="112C42A9"/>
    <w:rsid w:val="11360C84"/>
    <w:rsid w:val="11365128"/>
    <w:rsid w:val="11551A52"/>
    <w:rsid w:val="115B06EA"/>
    <w:rsid w:val="115B0FB9"/>
    <w:rsid w:val="11691059"/>
    <w:rsid w:val="118045F5"/>
    <w:rsid w:val="11812847"/>
    <w:rsid w:val="118934A9"/>
    <w:rsid w:val="11963E18"/>
    <w:rsid w:val="11987B90"/>
    <w:rsid w:val="119A56B6"/>
    <w:rsid w:val="11D861DF"/>
    <w:rsid w:val="11F72B09"/>
    <w:rsid w:val="120F0221"/>
    <w:rsid w:val="125156A2"/>
    <w:rsid w:val="125910CE"/>
    <w:rsid w:val="126B1F8B"/>
    <w:rsid w:val="127317A1"/>
    <w:rsid w:val="12771554"/>
    <w:rsid w:val="12891287"/>
    <w:rsid w:val="128D6FC9"/>
    <w:rsid w:val="129903ED"/>
    <w:rsid w:val="12D81D45"/>
    <w:rsid w:val="131F1A87"/>
    <w:rsid w:val="132316DC"/>
    <w:rsid w:val="139F5206"/>
    <w:rsid w:val="13C36177"/>
    <w:rsid w:val="13D92A72"/>
    <w:rsid w:val="13F54E26"/>
    <w:rsid w:val="13F60B9E"/>
    <w:rsid w:val="13FA5B20"/>
    <w:rsid w:val="13FA68E0"/>
    <w:rsid w:val="140C2170"/>
    <w:rsid w:val="14423DE3"/>
    <w:rsid w:val="14467430"/>
    <w:rsid w:val="145E0C1D"/>
    <w:rsid w:val="14613537"/>
    <w:rsid w:val="14757D15"/>
    <w:rsid w:val="147E306D"/>
    <w:rsid w:val="14847F58"/>
    <w:rsid w:val="14983A03"/>
    <w:rsid w:val="14B051F1"/>
    <w:rsid w:val="14BB5EB3"/>
    <w:rsid w:val="14D0319D"/>
    <w:rsid w:val="14DC5FE6"/>
    <w:rsid w:val="14DC7D94"/>
    <w:rsid w:val="14DF0DB5"/>
    <w:rsid w:val="14EC447B"/>
    <w:rsid w:val="14EF7AC7"/>
    <w:rsid w:val="15082937"/>
    <w:rsid w:val="151E215B"/>
    <w:rsid w:val="154F0566"/>
    <w:rsid w:val="15531C8B"/>
    <w:rsid w:val="155838BF"/>
    <w:rsid w:val="1568787A"/>
    <w:rsid w:val="157E7260"/>
    <w:rsid w:val="159B19FD"/>
    <w:rsid w:val="159E329B"/>
    <w:rsid w:val="15B35A11"/>
    <w:rsid w:val="15C2342E"/>
    <w:rsid w:val="15CC7E09"/>
    <w:rsid w:val="15FA6724"/>
    <w:rsid w:val="16016036"/>
    <w:rsid w:val="161641F9"/>
    <w:rsid w:val="16312655"/>
    <w:rsid w:val="163C4F8E"/>
    <w:rsid w:val="1666025D"/>
    <w:rsid w:val="167F7E45"/>
    <w:rsid w:val="168D57EA"/>
    <w:rsid w:val="16B32D77"/>
    <w:rsid w:val="16BF796D"/>
    <w:rsid w:val="16E27AAA"/>
    <w:rsid w:val="16F05C47"/>
    <w:rsid w:val="16F245DB"/>
    <w:rsid w:val="17150479"/>
    <w:rsid w:val="171750B3"/>
    <w:rsid w:val="17215F32"/>
    <w:rsid w:val="1743234C"/>
    <w:rsid w:val="17591B70"/>
    <w:rsid w:val="178833B6"/>
    <w:rsid w:val="179E3A27"/>
    <w:rsid w:val="17AF353E"/>
    <w:rsid w:val="17B648CC"/>
    <w:rsid w:val="17C27715"/>
    <w:rsid w:val="17D86F39"/>
    <w:rsid w:val="17E07B9B"/>
    <w:rsid w:val="17EA27C8"/>
    <w:rsid w:val="17F13EFA"/>
    <w:rsid w:val="17F43647"/>
    <w:rsid w:val="180715CC"/>
    <w:rsid w:val="1823089A"/>
    <w:rsid w:val="182C2DE0"/>
    <w:rsid w:val="183B471B"/>
    <w:rsid w:val="1844012A"/>
    <w:rsid w:val="1853147D"/>
    <w:rsid w:val="18761375"/>
    <w:rsid w:val="188A6C13"/>
    <w:rsid w:val="188C387F"/>
    <w:rsid w:val="18B711B2"/>
    <w:rsid w:val="18C809B6"/>
    <w:rsid w:val="18F57676"/>
    <w:rsid w:val="190F698A"/>
    <w:rsid w:val="19197D1B"/>
    <w:rsid w:val="19404D95"/>
    <w:rsid w:val="19466124"/>
    <w:rsid w:val="19470B8B"/>
    <w:rsid w:val="196F11D7"/>
    <w:rsid w:val="196F7429"/>
    <w:rsid w:val="197E766C"/>
    <w:rsid w:val="199B021E"/>
    <w:rsid w:val="199E57CD"/>
    <w:rsid w:val="19A76BC3"/>
    <w:rsid w:val="19DF45AE"/>
    <w:rsid w:val="1A004525"/>
    <w:rsid w:val="1A143B2C"/>
    <w:rsid w:val="1A18361C"/>
    <w:rsid w:val="1A1F0E4F"/>
    <w:rsid w:val="1A231FC1"/>
    <w:rsid w:val="1A390616"/>
    <w:rsid w:val="1A3D7527"/>
    <w:rsid w:val="1A4C59BC"/>
    <w:rsid w:val="1A5A3133"/>
    <w:rsid w:val="1A8A3DEE"/>
    <w:rsid w:val="1A9D6217"/>
    <w:rsid w:val="1AAD527B"/>
    <w:rsid w:val="1AB62E35"/>
    <w:rsid w:val="1ABC044C"/>
    <w:rsid w:val="1ACD2659"/>
    <w:rsid w:val="1AD96E52"/>
    <w:rsid w:val="1ADD03C2"/>
    <w:rsid w:val="1AFE48C4"/>
    <w:rsid w:val="1B27473A"/>
    <w:rsid w:val="1B304996"/>
    <w:rsid w:val="1B351FAC"/>
    <w:rsid w:val="1B5C578B"/>
    <w:rsid w:val="1B762CF0"/>
    <w:rsid w:val="1B80591D"/>
    <w:rsid w:val="1BB34C01"/>
    <w:rsid w:val="1C136791"/>
    <w:rsid w:val="1C2F10F1"/>
    <w:rsid w:val="1C316C17"/>
    <w:rsid w:val="1C420E24"/>
    <w:rsid w:val="1C4306F9"/>
    <w:rsid w:val="1C485D0F"/>
    <w:rsid w:val="1C5C3B8C"/>
    <w:rsid w:val="1C744D56"/>
    <w:rsid w:val="1C7D00AF"/>
    <w:rsid w:val="1C827473"/>
    <w:rsid w:val="1C850D11"/>
    <w:rsid w:val="1CA218C3"/>
    <w:rsid w:val="1CA95859"/>
    <w:rsid w:val="1CBF6A46"/>
    <w:rsid w:val="1CC61A56"/>
    <w:rsid w:val="1CE43C8A"/>
    <w:rsid w:val="1CE67A02"/>
    <w:rsid w:val="1CEE2D5A"/>
    <w:rsid w:val="1D20134B"/>
    <w:rsid w:val="1D24677C"/>
    <w:rsid w:val="1D497F91"/>
    <w:rsid w:val="1D5111FE"/>
    <w:rsid w:val="1D76522A"/>
    <w:rsid w:val="1D9143EC"/>
    <w:rsid w:val="1DAB47A7"/>
    <w:rsid w:val="1DC15D79"/>
    <w:rsid w:val="1DD957B9"/>
    <w:rsid w:val="1DF47EFC"/>
    <w:rsid w:val="1E1B39FA"/>
    <w:rsid w:val="1E4C7F89"/>
    <w:rsid w:val="1E681F2F"/>
    <w:rsid w:val="1E6F24FC"/>
    <w:rsid w:val="1E8A260F"/>
    <w:rsid w:val="1E944404"/>
    <w:rsid w:val="1E9D2342"/>
    <w:rsid w:val="1EC91389"/>
    <w:rsid w:val="1ED3045A"/>
    <w:rsid w:val="1ED33FB6"/>
    <w:rsid w:val="1EDF295B"/>
    <w:rsid w:val="1EED121D"/>
    <w:rsid w:val="1EF3668B"/>
    <w:rsid w:val="1EF74C48"/>
    <w:rsid w:val="1F0B7BF4"/>
    <w:rsid w:val="1F0E3240"/>
    <w:rsid w:val="1F226CEB"/>
    <w:rsid w:val="1F50506D"/>
    <w:rsid w:val="1F58270D"/>
    <w:rsid w:val="1F5D724A"/>
    <w:rsid w:val="1F5F30C4"/>
    <w:rsid w:val="1F5F550C"/>
    <w:rsid w:val="1F6E1F30"/>
    <w:rsid w:val="1F7E4C34"/>
    <w:rsid w:val="1F8507F5"/>
    <w:rsid w:val="1F903C55"/>
    <w:rsid w:val="1F941997"/>
    <w:rsid w:val="1FAA7DBE"/>
    <w:rsid w:val="1FAE057F"/>
    <w:rsid w:val="1FD60202"/>
    <w:rsid w:val="1FD71884"/>
    <w:rsid w:val="1FDC7DEF"/>
    <w:rsid w:val="1FDE7F6F"/>
    <w:rsid w:val="1FDF56B7"/>
    <w:rsid w:val="20082AB7"/>
    <w:rsid w:val="201B3E66"/>
    <w:rsid w:val="20315438"/>
    <w:rsid w:val="205E1FA5"/>
    <w:rsid w:val="206511DF"/>
    <w:rsid w:val="207E61A3"/>
    <w:rsid w:val="20825C93"/>
    <w:rsid w:val="208C08C0"/>
    <w:rsid w:val="20924AF0"/>
    <w:rsid w:val="209B0B03"/>
    <w:rsid w:val="20A0436C"/>
    <w:rsid w:val="20AE6A88"/>
    <w:rsid w:val="20B56069"/>
    <w:rsid w:val="20BD316F"/>
    <w:rsid w:val="20DE4D4E"/>
    <w:rsid w:val="210303E4"/>
    <w:rsid w:val="21035A46"/>
    <w:rsid w:val="21091A1E"/>
    <w:rsid w:val="21254871"/>
    <w:rsid w:val="21262AC3"/>
    <w:rsid w:val="212B00D9"/>
    <w:rsid w:val="2134365C"/>
    <w:rsid w:val="213A031C"/>
    <w:rsid w:val="213A47C0"/>
    <w:rsid w:val="213D7E0C"/>
    <w:rsid w:val="214178FD"/>
    <w:rsid w:val="21570ECE"/>
    <w:rsid w:val="215D225D"/>
    <w:rsid w:val="21635AC5"/>
    <w:rsid w:val="21751354"/>
    <w:rsid w:val="2179144A"/>
    <w:rsid w:val="2197751D"/>
    <w:rsid w:val="21A223BE"/>
    <w:rsid w:val="21E14C3C"/>
    <w:rsid w:val="21E169EA"/>
    <w:rsid w:val="21E85FCA"/>
    <w:rsid w:val="21F01157"/>
    <w:rsid w:val="21FF7B7F"/>
    <w:rsid w:val="2201708C"/>
    <w:rsid w:val="22105521"/>
    <w:rsid w:val="22360EA4"/>
    <w:rsid w:val="22631AF5"/>
    <w:rsid w:val="22767B2E"/>
    <w:rsid w:val="227930C6"/>
    <w:rsid w:val="22813D29"/>
    <w:rsid w:val="229661A2"/>
    <w:rsid w:val="22972D6A"/>
    <w:rsid w:val="2297354C"/>
    <w:rsid w:val="22C56B3B"/>
    <w:rsid w:val="22CE1645"/>
    <w:rsid w:val="22D402FC"/>
    <w:rsid w:val="22D71F89"/>
    <w:rsid w:val="22EE2E34"/>
    <w:rsid w:val="22EE5862"/>
    <w:rsid w:val="22FF35CB"/>
    <w:rsid w:val="23056BE4"/>
    <w:rsid w:val="23201794"/>
    <w:rsid w:val="233A4603"/>
    <w:rsid w:val="233A65B6"/>
    <w:rsid w:val="233E722E"/>
    <w:rsid w:val="23C14D25"/>
    <w:rsid w:val="23CD7E83"/>
    <w:rsid w:val="23E3039C"/>
    <w:rsid w:val="23E46C65"/>
    <w:rsid w:val="24392B0D"/>
    <w:rsid w:val="24612064"/>
    <w:rsid w:val="246833F2"/>
    <w:rsid w:val="246D27B7"/>
    <w:rsid w:val="247B526A"/>
    <w:rsid w:val="248865C2"/>
    <w:rsid w:val="249F150A"/>
    <w:rsid w:val="24A00DDE"/>
    <w:rsid w:val="24EE17FE"/>
    <w:rsid w:val="24FD7FDE"/>
    <w:rsid w:val="250824DF"/>
    <w:rsid w:val="25090731"/>
    <w:rsid w:val="25145328"/>
    <w:rsid w:val="251E4C9E"/>
    <w:rsid w:val="2536529E"/>
    <w:rsid w:val="253B27E5"/>
    <w:rsid w:val="25453733"/>
    <w:rsid w:val="25486220"/>
    <w:rsid w:val="254E5A36"/>
    <w:rsid w:val="254E75C1"/>
    <w:rsid w:val="25B52667"/>
    <w:rsid w:val="25C66622"/>
    <w:rsid w:val="25C92017"/>
    <w:rsid w:val="25D0124F"/>
    <w:rsid w:val="25E81A23"/>
    <w:rsid w:val="25F807A6"/>
    <w:rsid w:val="2604714B"/>
    <w:rsid w:val="260B04D9"/>
    <w:rsid w:val="262256BF"/>
    <w:rsid w:val="26BD4B1C"/>
    <w:rsid w:val="26BE294D"/>
    <w:rsid w:val="26C61EB7"/>
    <w:rsid w:val="26DB2738"/>
    <w:rsid w:val="26EE3321"/>
    <w:rsid w:val="270311B0"/>
    <w:rsid w:val="270D0281"/>
    <w:rsid w:val="270F7B55"/>
    <w:rsid w:val="27133AE9"/>
    <w:rsid w:val="271909D4"/>
    <w:rsid w:val="27196C26"/>
    <w:rsid w:val="271B0BF0"/>
    <w:rsid w:val="2734580E"/>
    <w:rsid w:val="27684462"/>
    <w:rsid w:val="277E119E"/>
    <w:rsid w:val="27A03689"/>
    <w:rsid w:val="27A504B9"/>
    <w:rsid w:val="27D112AE"/>
    <w:rsid w:val="27FA0805"/>
    <w:rsid w:val="280136B2"/>
    <w:rsid w:val="282C063D"/>
    <w:rsid w:val="283D06F2"/>
    <w:rsid w:val="284D4DD9"/>
    <w:rsid w:val="285C326E"/>
    <w:rsid w:val="28616AD6"/>
    <w:rsid w:val="28767CDC"/>
    <w:rsid w:val="28956780"/>
    <w:rsid w:val="28AB7D51"/>
    <w:rsid w:val="28B5314E"/>
    <w:rsid w:val="28BB2C12"/>
    <w:rsid w:val="28C055AB"/>
    <w:rsid w:val="28CF57EE"/>
    <w:rsid w:val="28D70B46"/>
    <w:rsid w:val="28EE37C1"/>
    <w:rsid w:val="28FE4325"/>
    <w:rsid w:val="2903193C"/>
    <w:rsid w:val="290A574F"/>
    <w:rsid w:val="291222D3"/>
    <w:rsid w:val="291C47AB"/>
    <w:rsid w:val="292D2375"/>
    <w:rsid w:val="29332221"/>
    <w:rsid w:val="29373393"/>
    <w:rsid w:val="29412447"/>
    <w:rsid w:val="295217CA"/>
    <w:rsid w:val="2959155B"/>
    <w:rsid w:val="296A5517"/>
    <w:rsid w:val="296C74E1"/>
    <w:rsid w:val="2984482A"/>
    <w:rsid w:val="299243DF"/>
    <w:rsid w:val="2996455E"/>
    <w:rsid w:val="299B7DC6"/>
    <w:rsid w:val="29A9603F"/>
    <w:rsid w:val="29C235A5"/>
    <w:rsid w:val="29C9386D"/>
    <w:rsid w:val="29D12FF5"/>
    <w:rsid w:val="29D3655E"/>
    <w:rsid w:val="29D55086"/>
    <w:rsid w:val="29D62BAC"/>
    <w:rsid w:val="29D6626A"/>
    <w:rsid w:val="29E05655"/>
    <w:rsid w:val="29E11C7D"/>
    <w:rsid w:val="29FA0F90"/>
    <w:rsid w:val="29FB3D33"/>
    <w:rsid w:val="2A17569E"/>
    <w:rsid w:val="2A3C6EB3"/>
    <w:rsid w:val="2A5266D7"/>
    <w:rsid w:val="2A6D6041"/>
    <w:rsid w:val="2A77613D"/>
    <w:rsid w:val="2A81612B"/>
    <w:rsid w:val="2A8C37E9"/>
    <w:rsid w:val="2A9A007E"/>
    <w:rsid w:val="2AB24F59"/>
    <w:rsid w:val="2AC31382"/>
    <w:rsid w:val="2B035C23"/>
    <w:rsid w:val="2B0A5203"/>
    <w:rsid w:val="2B326508"/>
    <w:rsid w:val="2B373B1E"/>
    <w:rsid w:val="2B3E30FF"/>
    <w:rsid w:val="2B45448D"/>
    <w:rsid w:val="2B577D1D"/>
    <w:rsid w:val="2B5A778C"/>
    <w:rsid w:val="2B60429D"/>
    <w:rsid w:val="2B620B9B"/>
    <w:rsid w:val="2B7E52A9"/>
    <w:rsid w:val="2B836D64"/>
    <w:rsid w:val="2B866FDE"/>
    <w:rsid w:val="2B8962E2"/>
    <w:rsid w:val="2B956461"/>
    <w:rsid w:val="2BA74800"/>
    <w:rsid w:val="2BA90283"/>
    <w:rsid w:val="2BC51EC5"/>
    <w:rsid w:val="2BCC24B9"/>
    <w:rsid w:val="2BDD0222"/>
    <w:rsid w:val="2BE21CDC"/>
    <w:rsid w:val="2BE315B0"/>
    <w:rsid w:val="2BE42462"/>
    <w:rsid w:val="2BFF071B"/>
    <w:rsid w:val="2C163734"/>
    <w:rsid w:val="2C2422F5"/>
    <w:rsid w:val="2C293467"/>
    <w:rsid w:val="2C34400B"/>
    <w:rsid w:val="2C820DC9"/>
    <w:rsid w:val="2C8965FC"/>
    <w:rsid w:val="2CAB57ED"/>
    <w:rsid w:val="2CF0667B"/>
    <w:rsid w:val="2D1759B5"/>
    <w:rsid w:val="2D19172E"/>
    <w:rsid w:val="2D1E4F96"/>
    <w:rsid w:val="2D4F514F"/>
    <w:rsid w:val="2D5C3496"/>
    <w:rsid w:val="2D602A06"/>
    <w:rsid w:val="2D8A262B"/>
    <w:rsid w:val="2DB74208"/>
    <w:rsid w:val="2DBB0A37"/>
    <w:rsid w:val="2E426687"/>
    <w:rsid w:val="2E5A19F4"/>
    <w:rsid w:val="2E876B6B"/>
    <w:rsid w:val="2E8B77F8"/>
    <w:rsid w:val="2ED753FC"/>
    <w:rsid w:val="2EDD678B"/>
    <w:rsid w:val="2EE45D6B"/>
    <w:rsid w:val="2EF835C5"/>
    <w:rsid w:val="2F032695"/>
    <w:rsid w:val="2F1523C9"/>
    <w:rsid w:val="2F1D79A9"/>
    <w:rsid w:val="2F2B399A"/>
    <w:rsid w:val="2F2B5748"/>
    <w:rsid w:val="2F452CAE"/>
    <w:rsid w:val="2F45590C"/>
    <w:rsid w:val="2F4A2072"/>
    <w:rsid w:val="2F603644"/>
    <w:rsid w:val="2F6824F8"/>
    <w:rsid w:val="2F6D3FB3"/>
    <w:rsid w:val="2F7C0313"/>
    <w:rsid w:val="2FB1665C"/>
    <w:rsid w:val="2FD61B58"/>
    <w:rsid w:val="2FDE6C5E"/>
    <w:rsid w:val="2FEA5603"/>
    <w:rsid w:val="2FF95F12"/>
    <w:rsid w:val="3015041B"/>
    <w:rsid w:val="30274161"/>
    <w:rsid w:val="302F6703"/>
    <w:rsid w:val="303F594F"/>
    <w:rsid w:val="30590093"/>
    <w:rsid w:val="30703D5A"/>
    <w:rsid w:val="308E5F8F"/>
    <w:rsid w:val="30AC4667"/>
    <w:rsid w:val="30E81B43"/>
    <w:rsid w:val="30FD043D"/>
    <w:rsid w:val="310D15A9"/>
    <w:rsid w:val="310E0E7D"/>
    <w:rsid w:val="312132A7"/>
    <w:rsid w:val="3138414C"/>
    <w:rsid w:val="31572824"/>
    <w:rsid w:val="3159659D"/>
    <w:rsid w:val="316D3DF6"/>
    <w:rsid w:val="31B859B9"/>
    <w:rsid w:val="31CA1248"/>
    <w:rsid w:val="31DD71CE"/>
    <w:rsid w:val="31DE2F46"/>
    <w:rsid w:val="31EA18EB"/>
    <w:rsid w:val="31FD1727"/>
    <w:rsid w:val="32146967"/>
    <w:rsid w:val="321C75CA"/>
    <w:rsid w:val="324C448C"/>
    <w:rsid w:val="326D5DDC"/>
    <w:rsid w:val="328F5FEE"/>
    <w:rsid w:val="32A36F3E"/>
    <w:rsid w:val="32A41A99"/>
    <w:rsid w:val="32B759A1"/>
    <w:rsid w:val="32D80268"/>
    <w:rsid w:val="32E97DF4"/>
    <w:rsid w:val="33011FBF"/>
    <w:rsid w:val="33264BA4"/>
    <w:rsid w:val="332819AF"/>
    <w:rsid w:val="33585B94"/>
    <w:rsid w:val="335A2AA0"/>
    <w:rsid w:val="335C2374"/>
    <w:rsid w:val="33923FE8"/>
    <w:rsid w:val="33C45B35"/>
    <w:rsid w:val="33CB2D20"/>
    <w:rsid w:val="33EB78D5"/>
    <w:rsid w:val="33F64577"/>
    <w:rsid w:val="344F0136"/>
    <w:rsid w:val="345612C7"/>
    <w:rsid w:val="345E036E"/>
    <w:rsid w:val="346C65E7"/>
    <w:rsid w:val="346F4329"/>
    <w:rsid w:val="347F27BE"/>
    <w:rsid w:val="34CE1050"/>
    <w:rsid w:val="34DB19BE"/>
    <w:rsid w:val="34F5482E"/>
    <w:rsid w:val="35305866"/>
    <w:rsid w:val="353C420B"/>
    <w:rsid w:val="35400B5E"/>
    <w:rsid w:val="35507AD8"/>
    <w:rsid w:val="356A2E86"/>
    <w:rsid w:val="357C6CFE"/>
    <w:rsid w:val="358160C2"/>
    <w:rsid w:val="358B5193"/>
    <w:rsid w:val="359009FB"/>
    <w:rsid w:val="35B423F0"/>
    <w:rsid w:val="35D72D4F"/>
    <w:rsid w:val="35DE52C2"/>
    <w:rsid w:val="35DF103A"/>
    <w:rsid w:val="35E52AF5"/>
    <w:rsid w:val="360B0081"/>
    <w:rsid w:val="361A48B6"/>
    <w:rsid w:val="362829E1"/>
    <w:rsid w:val="362A675A"/>
    <w:rsid w:val="36356EAC"/>
    <w:rsid w:val="366C6D72"/>
    <w:rsid w:val="369462C9"/>
    <w:rsid w:val="36A209E6"/>
    <w:rsid w:val="36B349A1"/>
    <w:rsid w:val="36B9188B"/>
    <w:rsid w:val="36C56482"/>
    <w:rsid w:val="36D42162"/>
    <w:rsid w:val="36E665EF"/>
    <w:rsid w:val="36EE7787"/>
    <w:rsid w:val="36F17277"/>
    <w:rsid w:val="36F62AE0"/>
    <w:rsid w:val="3729700D"/>
    <w:rsid w:val="373A6E70"/>
    <w:rsid w:val="375515B4"/>
    <w:rsid w:val="376D2DA2"/>
    <w:rsid w:val="377D0B0B"/>
    <w:rsid w:val="37953B5B"/>
    <w:rsid w:val="37A97B52"/>
    <w:rsid w:val="37B6349C"/>
    <w:rsid w:val="37D83F93"/>
    <w:rsid w:val="383C3143"/>
    <w:rsid w:val="38407654"/>
    <w:rsid w:val="384D2BD3"/>
    <w:rsid w:val="384D4981"/>
    <w:rsid w:val="387E2D8D"/>
    <w:rsid w:val="388F6676"/>
    <w:rsid w:val="389A1267"/>
    <w:rsid w:val="38A00F55"/>
    <w:rsid w:val="38AC5B4C"/>
    <w:rsid w:val="38CC7FAC"/>
    <w:rsid w:val="38D66725"/>
    <w:rsid w:val="390570E6"/>
    <w:rsid w:val="39072D82"/>
    <w:rsid w:val="390908A8"/>
    <w:rsid w:val="39201A7E"/>
    <w:rsid w:val="39331DC9"/>
    <w:rsid w:val="39410733"/>
    <w:rsid w:val="39496958"/>
    <w:rsid w:val="395444FA"/>
    <w:rsid w:val="396850A0"/>
    <w:rsid w:val="39904B26"/>
    <w:rsid w:val="39A64349"/>
    <w:rsid w:val="39C80763"/>
    <w:rsid w:val="39DC07CC"/>
    <w:rsid w:val="39F0038E"/>
    <w:rsid w:val="39F2063F"/>
    <w:rsid w:val="39FF0D34"/>
    <w:rsid w:val="3A044E6C"/>
    <w:rsid w:val="3A064DE8"/>
    <w:rsid w:val="3A0D261A"/>
    <w:rsid w:val="3A1C0AAF"/>
    <w:rsid w:val="3A231E3E"/>
    <w:rsid w:val="3A2E433E"/>
    <w:rsid w:val="3A2F07E2"/>
    <w:rsid w:val="3A4122C4"/>
    <w:rsid w:val="3A5169AB"/>
    <w:rsid w:val="3A8B353F"/>
    <w:rsid w:val="3A95616C"/>
    <w:rsid w:val="3AA7481D"/>
    <w:rsid w:val="3AB807D8"/>
    <w:rsid w:val="3AB900AC"/>
    <w:rsid w:val="3ABE3914"/>
    <w:rsid w:val="3ADC2868"/>
    <w:rsid w:val="3AFD268F"/>
    <w:rsid w:val="3AFD61EB"/>
    <w:rsid w:val="3B0C28D2"/>
    <w:rsid w:val="3B381919"/>
    <w:rsid w:val="3B4E4C98"/>
    <w:rsid w:val="3B561D9F"/>
    <w:rsid w:val="3B5847E9"/>
    <w:rsid w:val="3B5B5607"/>
    <w:rsid w:val="3B5F6EA5"/>
    <w:rsid w:val="3B6F4C0F"/>
    <w:rsid w:val="3B7641EF"/>
    <w:rsid w:val="3B7C7A57"/>
    <w:rsid w:val="3B81045E"/>
    <w:rsid w:val="3B894E1E"/>
    <w:rsid w:val="3B8C75C1"/>
    <w:rsid w:val="3B9052B1"/>
    <w:rsid w:val="3B95432B"/>
    <w:rsid w:val="3B954675"/>
    <w:rsid w:val="3BC136BC"/>
    <w:rsid w:val="3BC96A15"/>
    <w:rsid w:val="3BE376CF"/>
    <w:rsid w:val="3C1D2287"/>
    <w:rsid w:val="3C215F09"/>
    <w:rsid w:val="3C28373B"/>
    <w:rsid w:val="3C604984"/>
    <w:rsid w:val="3C65673D"/>
    <w:rsid w:val="3C7249B6"/>
    <w:rsid w:val="3C746980"/>
    <w:rsid w:val="3C920BB5"/>
    <w:rsid w:val="3C97441D"/>
    <w:rsid w:val="3C9E05D8"/>
    <w:rsid w:val="3CA01523"/>
    <w:rsid w:val="3CA43E5C"/>
    <w:rsid w:val="3CB60D47"/>
    <w:rsid w:val="3CB90837"/>
    <w:rsid w:val="3CC03974"/>
    <w:rsid w:val="3D344362"/>
    <w:rsid w:val="3D393726"/>
    <w:rsid w:val="3D4A148F"/>
    <w:rsid w:val="3D567704"/>
    <w:rsid w:val="3D766728"/>
    <w:rsid w:val="3D78424E"/>
    <w:rsid w:val="3D995F73"/>
    <w:rsid w:val="3DA4074B"/>
    <w:rsid w:val="3DBE142F"/>
    <w:rsid w:val="3DC1368C"/>
    <w:rsid w:val="3DC90D6A"/>
    <w:rsid w:val="3DD516A1"/>
    <w:rsid w:val="3DE34AC4"/>
    <w:rsid w:val="3E045AE2"/>
    <w:rsid w:val="3E1A3557"/>
    <w:rsid w:val="3E5500EC"/>
    <w:rsid w:val="3E630A5B"/>
    <w:rsid w:val="3E9055C8"/>
    <w:rsid w:val="3EAD1CD6"/>
    <w:rsid w:val="3EAD266D"/>
    <w:rsid w:val="3EB412B6"/>
    <w:rsid w:val="3EDC080D"/>
    <w:rsid w:val="3EE85404"/>
    <w:rsid w:val="3F0264C5"/>
    <w:rsid w:val="3F165ACD"/>
    <w:rsid w:val="3F4050D9"/>
    <w:rsid w:val="3F4940F4"/>
    <w:rsid w:val="3F514D57"/>
    <w:rsid w:val="3F527034"/>
    <w:rsid w:val="3F5860E5"/>
    <w:rsid w:val="3F6C0C0E"/>
    <w:rsid w:val="3F7171A7"/>
    <w:rsid w:val="3F966C0E"/>
    <w:rsid w:val="3F9B06C8"/>
    <w:rsid w:val="3FA0183A"/>
    <w:rsid w:val="3FA05CDE"/>
    <w:rsid w:val="3FA70E1B"/>
    <w:rsid w:val="3FB377C0"/>
    <w:rsid w:val="3FC61FCB"/>
    <w:rsid w:val="3FD832AA"/>
    <w:rsid w:val="3FDF2363"/>
    <w:rsid w:val="40026051"/>
    <w:rsid w:val="40191C22"/>
    <w:rsid w:val="402136A6"/>
    <w:rsid w:val="40354679"/>
    <w:rsid w:val="40676D01"/>
    <w:rsid w:val="40786313"/>
    <w:rsid w:val="407A02DD"/>
    <w:rsid w:val="409A272E"/>
    <w:rsid w:val="40CE2F1F"/>
    <w:rsid w:val="40D6427E"/>
    <w:rsid w:val="40E37C31"/>
    <w:rsid w:val="4108086F"/>
    <w:rsid w:val="410858E9"/>
    <w:rsid w:val="412406AA"/>
    <w:rsid w:val="41406E31"/>
    <w:rsid w:val="414803DC"/>
    <w:rsid w:val="4151103E"/>
    <w:rsid w:val="415D1A21"/>
    <w:rsid w:val="417279D1"/>
    <w:rsid w:val="4182744A"/>
    <w:rsid w:val="41847666"/>
    <w:rsid w:val="418B7E6D"/>
    <w:rsid w:val="419378A9"/>
    <w:rsid w:val="41962EF5"/>
    <w:rsid w:val="41C537DA"/>
    <w:rsid w:val="41C95079"/>
    <w:rsid w:val="41CE0543"/>
    <w:rsid w:val="41CE369A"/>
    <w:rsid w:val="41D81760"/>
    <w:rsid w:val="41EC5C9A"/>
    <w:rsid w:val="421107CE"/>
    <w:rsid w:val="42156510"/>
    <w:rsid w:val="4235270E"/>
    <w:rsid w:val="42462B6D"/>
    <w:rsid w:val="42554B5E"/>
    <w:rsid w:val="42613AF4"/>
    <w:rsid w:val="42B07FE6"/>
    <w:rsid w:val="42B45D29"/>
    <w:rsid w:val="42B702D9"/>
    <w:rsid w:val="42BC2E2F"/>
    <w:rsid w:val="42C13FA2"/>
    <w:rsid w:val="42C35F6C"/>
    <w:rsid w:val="42C66C41"/>
    <w:rsid w:val="42CB4E20"/>
    <w:rsid w:val="42D20E8E"/>
    <w:rsid w:val="42D95797"/>
    <w:rsid w:val="42DE2DA6"/>
    <w:rsid w:val="42F73E67"/>
    <w:rsid w:val="42F9198D"/>
    <w:rsid w:val="43075F59"/>
    <w:rsid w:val="434846C3"/>
    <w:rsid w:val="43675BC8"/>
    <w:rsid w:val="43686B13"/>
    <w:rsid w:val="436A63E7"/>
    <w:rsid w:val="43860D47"/>
    <w:rsid w:val="439478BC"/>
    <w:rsid w:val="4396542E"/>
    <w:rsid w:val="43B75827"/>
    <w:rsid w:val="43B92ECB"/>
    <w:rsid w:val="43CD6976"/>
    <w:rsid w:val="43CF0940"/>
    <w:rsid w:val="43DF63AB"/>
    <w:rsid w:val="43FC44AD"/>
    <w:rsid w:val="441427F7"/>
    <w:rsid w:val="441A7E0D"/>
    <w:rsid w:val="4447497A"/>
    <w:rsid w:val="444F55DD"/>
    <w:rsid w:val="44557097"/>
    <w:rsid w:val="44564BBE"/>
    <w:rsid w:val="446A082D"/>
    <w:rsid w:val="446C618F"/>
    <w:rsid w:val="446E0159"/>
    <w:rsid w:val="44C766E4"/>
    <w:rsid w:val="44C935E1"/>
    <w:rsid w:val="44E26451"/>
    <w:rsid w:val="44EC561F"/>
    <w:rsid w:val="45062140"/>
    <w:rsid w:val="451C7BB5"/>
    <w:rsid w:val="45415272"/>
    <w:rsid w:val="456450B8"/>
    <w:rsid w:val="45A62C2E"/>
    <w:rsid w:val="45AC0035"/>
    <w:rsid w:val="45B46040"/>
    <w:rsid w:val="45B83A6E"/>
    <w:rsid w:val="45BB0696"/>
    <w:rsid w:val="45E30755"/>
    <w:rsid w:val="46042B88"/>
    <w:rsid w:val="46104F68"/>
    <w:rsid w:val="46127566"/>
    <w:rsid w:val="461F5BAF"/>
    <w:rsid w:val="462431C5"/>
    <w:rsid w:val="46276812"/>
    <w:rsid w:val="463B22BD"/>
    <w:rsid w:val="466F1F67"/>
    <w:rsid w:val="46706C69"/>
    <w:rsid w:val="467A2DE5"/>
    <w:rsid w:val="469B0FAE"/>
    <w:rsid w:val="46AB5C98"/>
    <w:rsid w:val="46B1432D"/>
    <w:rsid w:val="46C87FF5"/>
    <w:rsid w:val="46DA1AD6"/>
    <w:rsid w:val="46EB783F"/>
    <w:rsid w:val="47022DDB"/>
    <w:rsid w:val="470566F4"/>
    <w:rsid w:val="470D1EAB"/>
    <w:rsid w:val="470F1C3F"/>
    <w:rsid w:val="472D42FC"/>
    <w:rsid w:val="473531B0"/>
    <w:rsid w:val="475E062D"/>
    <w:rsid w:val="47777325"/>
    <w:rsid w:val="47850DED"/>
    <w:rsid w:val="478657BA"/>
    <w:rsid w:val="47953AA9"/>
    <w:rsid w:val="479A3013"/>
    <w:rsid w:val="47A25306"/>
    <w:rsid w:val="47AD0F98"/>
    <w:rsid w:val="47BB1907"/>
    <w:rsid w:val="47C440FC"/>
    <w:rsid w:val="47D471F9"/>
    <w:rsid w:val="47E744AA"/>
    <w:rsid w:val="47F40975"/>
    <w:rsid w:val="47FB1D04"/>
    <w:rsid w:val="480B174B"/>
    <w:rsid w:val="480C3F11"/>
    <w:rsid w:val="480C4F12"/>
    <w:rsid w:val="482A0151"/>
    <w:rsid w:val="482C6361"/>
    <w:rsid w:val="48384D06"/>
    <w:rsid w:val="483D231C"/>
    <w:rsid w:val="48425B85"/>
    <w:rsid w:val="48783354"/>
    <w:rsid w:val="487A531F"/>
    <w:rsid w:val="489A151D"/>
    <w:rsid w:val="48A57EC2"/>
    <w:rsid w:val="48A759E8"/>
    <w:rsid w:val="48B85E47"/>
    <w:rsid w:val="48BF2D31"/>
    <w:rsid w:val="48C7608A"/>
    <w:rsid w:val="48C91E02"/>
    <w:rsid w:val="48DF6083"/>
    <w:rsid w:val="48FE6E78"/>
    <w:rsid w:val="4901159C"/>
    <w:rsid w:val="490966A2"/>
    <w:rsid w:val="49115557"/>
    <w:rsid w:val="492D2391"/>
    <w:rsid w:val="493D00FA"/>
    <w:rsid w:val="495D254A"/>
    <w:rsid w:val="497A73F4"/>
    <w:rsid w:val="49843F7B"/>
    <w:rsid w:val="49AB775A"/>
    <w:rsid w:val="49C820BA"/>
    <w:rsid w:val="4A2A4B22"/>
    <w:rsid w:val="4A391C37"/>
    <w:rsid w:val="4A4C4A99"/>
    <w:rsid w:val="4A712751"/>
    <w:rsid w:val="4A8776AA"/>
    <w:rsid w:val="4A9621B8"/>
    <w:rsid w:val="4A9D6986"/>
    <w:rsid w:val="4AAC5537"/>
    <w:rsid w:val="4AB03279"/>
    <w:rsid w:val="4AE72472"/>
    <w:rsid w:val="4AEA5EE3"/>
    <w:rsid w:val="4B115364"/>
    <w:rsid w:val="4B125CE2"/>
    <w:rsid w:val="4B1B26BD"/>
    <w:rsid w:val="4B1D6F30"/>
    <w:rsid w:val="4B1E2B9D"/>
    <w:rsid w:val="4B2652EA"/>
    <w:rsid w:val="4B3043BA"/>
    <w:rsid w:val="4B337A07"/>
    <w:rsid w:val="4B5A31E5"/>
    <w:rsid w:val="4B9C6C85"/>
    <w:rsid w:val="4BE93B94"/>
    <w:rsid w:val="4C1C66ED"/>
    <w:rsid w:val="4C3E46A8"/>
    <w:rsid w:val="4C43522A"/>
    <w:rsid w:val="4C4A42B7"/>
    <w:rsid w:val="4C4F0870"/>
    <w:rsid w:val="4C6A76CD"/>
    <w:rsid w:val="4C6B24D1"/>
    <w:rsid w:val="4C9A06F0"/>
    <w:rsid w:val="4C9E5354"/>
    <w:rsid w:val="4CB212A9"/>
    <w:rsid w:val="4CB571EA"/>
    <w:rsid w:val="4CBB7CB4"/>
    <w:rsid w:val="4CC2070E"/>
    <w:rsid w:val="4CDD40CE"/>
    <w:rsid w:val="4D277778"/>
    <w:rsid w:val="4D2B4E39"/>
    <w:rsid w:val="4D4759EB"/>
    <w:rsid w:val="4D541D52"/>
    <w:rsid w:val="4D752558"/>
    <w:rsid w:val="4D807DB7"/>
    <w:rsid w:val="4DCA6198"/>
    <w:rsid w:val="4DD11D11"/>
    <w:rsid w:val="4DE60D60"/>
    <w:rsid w:val="4DFA480C"/>
    <w:rsid w:val="4E08517B"/>
    <w:rsid w:val="4E160E1B"/>
    <w:rsid w:val="4E1B3100"/>
    <w:rsid w:val="4E233D62"/>
    <w:rsid w:val="4E3C4E24"/>
    <w:rsid w:val="4E824879"/>
    <w:rsid w:val="4ED70257"/>
    <w:rsid w:val="4EDA4E1D"/>
    <w:rsid w:val="4EF61477"/>
    <w:rsid w:val="4F0A0A7E"/>
    <w:rsid w:val="4F1418FD"/>
    <w:rsid w:val="4F2E6E63"/>
    <w:rsid w:val="4F367AC5"/>
    <w:rsid w:val="4F4E3061"/>
    <w:rsid w:val="4F560168"/>
    <w:rsid w:val="4F6E54B1"/>
    <w:rsid w:val="4F7071EF"/>
    <w:rsid w:val="4FAE3B00"/>
    <w:rsid w:val="4FB05ACA"/>
    <w:rsid w:val="4FC64589"/>
    <w:rsid w:val="4FC74BC1"/>
    <w:rsid w:val="4FD6164A"/>
    <w:rsid w:val="4FDA48F5"/>
    <w:rsid w:val="4FE70DC0"/>
    <w:rsid w:val="500876B4"/>
    <w:rsid w:val="500D6A78"/>
    <w:rsid w:val="500F0A42"/>
    <w:rsid w:val="50371D47"/>
    <w:rsid w:val="504B57F2"/>
    <w:rsid w:val="5052092F"/>
    <w:rsid w:val="505C355C"/>
    <w:rsid w:val="50606074"/>
    <w:rsid w:val="506A5C79"/>
    <w:rsid w:val="508605D9"/>
    <w:rsid w:val="508B3E41"/>
    <w:rsid w:val="508D5E0B"/>
    <w:rsid w:val="50AD394D"/>
    <w:rsid w:val="50B60EBE"/>
    <w:rsid w:val="50C03AEB"/>
    <w:rsid w:val="50C17863"/>
    <w:rsid w:val="50C7131D"/>
    <w:rsid w:val="50CA4969"/>
    <w:rsid w:val="510421EE"/>
    <w:rsid w:val="510460CD"/>
    <w:rsid w:val="513444D8"/>
    <w:rsid w:val="514F30C0"/>
    <w:rsid w:val="515E3049"/>
    <w:rsid w:val="516923D4"/>
    <w:rsid w:val="51984B0C"/>
    <w:rsid w:val="519F2F14"/>
    <w:rsid w:val="51BE40D2"/>
    <w:rsid w:val="51BF3DA2"/>
    <w:rsid w:val="51C413B8"/>
    <w:rsid w:val="51D05FAF"/>
    <w:rsid w:val="51D615F6"/>
    <w:rsid w:val="51ED6B61"/>
    <w:rsid w:val="51FA74D0"/>
    <w:rsid w:val="52040CA1"/>
    <w:rsid w:val="5246536A"/>
    <w:rsid w:val="527252B8"/>
    <w:rsid w:val="5281374D"/>
    <w:rsid w:val="52860D64"/>
    <w:rsid w:val="528A2602"/>
    <w:rsid w:val="52A92354"/>
    <w:rsid w:val="52BF7DD2"/>
    <w:rsid w:val="52E34394"/>
    <w:rsid w:val="52F21F55"/>
    <w:rsid w:val="52F757BE"/>
    <w:rsid w:val="532A5B93"/>
    <w:rsid w:val="5334256E"/>
    <w:rsid w:val="533A056A"/>
    <w:rsid w:val="534A39D1"/>
    <w:rsid w:val="535449BE"/>
    <w:rsid w:val="535F4EF9"/>
    <w:rsid w:val="536761A4"/>
    <w:rsid w:val="5385101B"/>
    <w:rsid w:val="539E0D4B"/>
    <w:rsid w:val="53B35B89"/>
    <w:rsid w:val="53E144A4"/>
    <w:rsid w:val="540264B2"/>
    <w:rsid w:val="540C7047"/>
    <w:rsid w:val="541128AF"/>
    <w:rsid w:val="54183C3E"/>
    <w:rsid w:val="542A07E4"/>
    <w:rsid w:val="54324CFF"/>
    <w:rsid w:val="54387E3C"/>
    <w:rsid w:val="543A3BB4"/>
    <w:rsid w:val="54527524"/>
    <w:rsid w:val="54532EC8"/>
    <w:rsid w:val="5458228C"/>
    <w:rsid w:val="5474391D"/>
    <w:rsid w:val="54757138"/>
    <w:rsid w:val="547831B7"/>
    <w:rsid w:val="549F610D"/>
    <w:rsid w:val="54A61249"/>
    <w:rsid w:val="54C16083"/>
    <w:rsid w:val="54C3004D"/>
    <w:rsid w:val="54CA13DC"/>
    <w:rsid w:val="54D35ECB"/>
    <w:rsid w:val="550D12C8"/>
    <w:rsid w:val="55132319"/>
    <w:rsid w:val="55291B4D"/>
    <w:rsid w:val="553E5926"/>
    <w:rsid w:val="55652EB2"/>
    <w:rsid w:val="55717AA9"/>
    <w:rsid w:val="55735652"/>
    <w:rsid w:val="557D7931"/>
    <w:rsid w:val="55A55431"/>
    <w:rsid w:val="55D60C2C"/>
    <w:rsid w:val="55DA73FC"/>
    <w:rsid w:val="55DF2C65"/>
    <w:rsid w:val="56073D33"/>
    <w:rsid w:val="56097CE2"/>
    <w:rsid w:val="561641AD"/>
    <w:rsid w:val="56250239"/>
    <w:rsid w:val="564402EF"/>
    <w:rsid w:val="56505911"/>
    <w:rsid w:val="56576C9F"/>
    <w:rsid w:val="565D3B8A"/>
    <w:rsid w:val="56617B1E"/>
    <w:rsid w:val="566273F2"/>
    <w:rsid w:val="56725252"/>
    <w:rsid w:val="56757125"/>
    <w:rsid w:val="56FB3ACE"/>
    <w:rsid w:val="5705494D"/>
    <w:rsid w:val="573174F0"/>
    <w:rsid w:val="573B0994"/>
    <w:rsid w:val="574134AB"/>
    <w:rsid w:val="574F3E1A"/>
    <w:rsid w:val="575651A9"/>
    <w:rsid w:val="575D5981"/>
    <w:rsid w:val="575D6537"/>
    <w:rsid w:val="576D42A0"/>
    <w:rsid w:val="576D4D98"/>
    <w:rsid w:val="577675F9"/>
    <w:rsid w:val="578735B4"/>
    <w:rsid w:val="5789732C"/>
    <w:rsid w:val="57931D8B"/>
    <w:rsid w:val="57B43C7D"/>
    <w:rsid w:val="57D8375C"/>
    <w:rsid w:val="57EC3417"/>
    <w:rsid w:val="580F5357"/>
    <w:rsid w:val="58146B79"/>
    <w:rsid w:val="58225931"/>
    <w:rsid w:val="582462F3"/>
    <w:rsid w:val="58496ABB"/>
    <w:rsid w:val="584B45E2"/>
    <w:rsid w:val="58515970"/>
    <w:rsid w:val="585B059D"/>
    <w:rsid w:val="58690F0C"/>
    <w:rsid w:val="58704048"/>
    <w:rsid w:val="58726012"/>
    <w:rsid w:val="587C29ED"/>
    <w:rsid w:val="58831FCD"/>
    <w:rsid w:val="588B0E82"/>
    <w:rsid w:val="588E2720"/>
    <w:rsid w:val="58937D37"/>
    <w:rsid w:val="589C308F"/>
    <w:rsid w:val="58A935DF"/>
    <w:rsid w:val="58B42919"/>
    <w:rsid w:val="58F702C5"/>
    <w:rsid w:val="59172716"/>
    <w:rsid w:val="59396B30"/>
    <w:rsid w:val="595E0345"/>
    <w:rsid w:val="596B480F"/>
    <w:rsid w:val="597C6A1D"/>
    <w:rsid w:val="59853B23"/>
    <w:rsid w:val="59965D30"/>
    <w:rsid w:val="59B63CDD"/>
    <w:rsid w:val="59C12681"/>
    <w:rsid w:val="59D21CE2"/>
    <w:rsid w:val="5A1530F9"/>
    <w:rsid w:val="5A1D5B0A"/>
    <w:rsid w:val="5A250E62"/>
    <w:rsid w:val="5A364E1D"/>
    <w:rsid w:val="5A376192"/>
    <w:rsid w:val="5A4532B2"/>
    <w:rsid w:val="5A581238"/>
    <w:rsid w:val="5A7F67C4"/>
    <w:rsid w:val="5A90452E"/>
    <w:rsid w:val="5AA04A12"/>
    <w:rsid w:val="5AB75F5E"/>
    <w:rsid w:val="5AC226A1"/>
    <w:rsid w:val="5AE14D89"/>
    <w:rsid w:val="5AE605F2"/>
    <w:rsid w:val="5AE900E2"/>
    <w:rsid w:val="5AF0321E"/>
    <w:rsid w:val="5AF32D0E"/>
    <w:rsid w:val="5B092532"/>
    <w:rsid w:val="5B61411C"/>
    <w:rsid w:val="5B8B2F47"/>
    <w:rsid w:val="5BB47799"/>
    <w:rsid w:val="5BD963A8"/>
    <w:rsid w:val="5BE508A9"/>
    <w:rsid w:val="5C0276AD"/>
    <w:rsid w:val="5C05719D"/>
    <w:rsid w:val="5C4557EC"/>
    <w:rsid w:val="5C4E46A0"/>
    <w:rsid w:val="5C651D4C"/>
    <w:rsid w:val="5C7F2AAC"/>
    <w:rsid w:val="5C813653"/>
    <w:rsid w:val="5C875E04"/>
    <w:rsid w:val="5C905CA4"/>
    <w:rsid w:val="5C9D73D6"/>
    <w:rsid w:val="5CA2378B"/>
    <w:rsid w:val="5CAE3391"/>
    <w:rsid w:val="5CBF734C"/>
    <w:rsid w:val="5CC051CE"/>
    <w:rsid w:val="5CC974E3"/>
    <w:rsid w:val="5CCE2189"/>
    <w:rsid w:val="5CCE7744"/>
    <w:rsid w:val="5CD1185B"/>
    <w:rsid w:val="5CDA4186"/>
    <w:rsid w:val="5CE366FE"/>
    <w:rsid w:val="5D0D6309"/>
    <w:rsid w:val="5D216C29"/>
    <w:rsid w:val="5D363A5E"/>
    <w:rsid w:val="5D514C25"/>
    <w:rsid w:val="5D7874FB"/>
    <w:rsid w:val="5DA16A52"/>
    <w:rsid w:val="5DB449D7"/>
    <w:rsid w:val="5DB744C7"/>
    <w:rsid w:val="5DD05545"/>
    <w:rsid w:val="5DD07337"/>
    <w:rsid w:val="5DF179D9"/>
    <w:rsid w:val="5E191167"/>
    <w:rsid w:val="5E3873B6"/>
    <w:rsid w:val="5E3D49CC"/>
    <w:rsid w:val="5E457D25"/>
    <w:rsid w:val="5E5D0BCB"/>
    <w:rsid w:val="5E60690D"/>
    <w:rsid w:val="5E9D546B"/>
    <w:rsid w:val="5EB97A0B"/>
    <w:rsid w:val="5ECE1AC8"/>
    <w:rsid w:val="5EF57055"/>
    <w:rsid w:val="5F1328E1"/>
    <w:rsid w:val="5F245B8C"/>
    <w:rsid w:val="5F2913F5"/>
    <w:rsid w:val="5F2E2567"/>
    <w:rsid w:val="5F2E35DE"/>
    <w:rsid w:val="5F323C87"/>
    <w:rsid w:val="5F36446E"/>
    <w:rsid w:val="5F622211"/>
    <w:rsid w:val="5F7638D8"/>
    <w:rsid w:val="5F7C1524"/>
    <w:rsid w:val="5F887EC9"/>
    <w:rsid w:val="5F8D3732"/>
    <w:rsid w:val="5FA8056B"/>
    <w:rsid w:val="5FBF7663"/>
    <w:rsid w:val="5FCF49FC"/>
    <w:rsid w:val="5FD70E51"/>
    <w:rsid w:val="5FD924D3"/>
    <w:rsid w:val="5FE86BBA"/>
    <w:rsid w:val="5FF4730D"/>
    <w:rsid w:val="60123C37"/>
    <w:rsid w:val="602F6597"/>
    <w:rsid w:val="60420252"/>
    <w:rsid w:val="6042451C"/>
    <w:rsid w:val="604D7C8C"/>
    <w:rsid w:val="605A7EA2"/>
    <w:rsid w:val="608A7C71"/>
    <w:rsid w:val="60A14985"/>
    <w:rsid w:val="60B13450"/>
    <w:rsid w:val="60C95281"/>
    <w:rsid w:val="60D61108"/>
    <w:rsid w:val="60ED1182"/>
    <w:rsid w:val="60FD0443"/>
    <w:rsid w:val="610A7BD3"/>
    <w:rsid w:val="611A5FC9"/>
    <w:rsid w:val="611D0AE5"/>
    <w:rsid w:val="612105D5"/>
    <w:rsid w:val="613025C6"/>
    <w:rsid w:val="61406582"/>
    <w:rsid w:val="61475B62"/>
    <w:rsid w:val="61477910"/>
    <w:rsid w:val="6151253D"/>
    <w:rsid w:val="615C586D"/>
    <w:rsid w:val="615F4C5A"/>
    <w:rsid w:val="61695AD8"/>
    <w:rsid w:val="616C4DE5"/>
    <w:rsid w:val="6171498D"/>
    <w:rsid w:val="617C3A5E"/>
    <w:rsid w:val="618943CD"/>
    <w:rsid w:val="61AC733C"/>
    <w:rsid w:val="61D94A0C"/>
    <w:rsid w:val="61E41603"/>
    <w:rsid w:val="61F77588"/>
    <w:rsid w:val="62165C60"/>
    <w:rsid w:val="621872A1"/>
    <w:rsid w:val="62375BD7"/>
    <w:rsid w:val="62570027"/>
    <w:rsid w:val="625E3532"/>
    <w:rsid w:val="62791D4B"/>
    <w:rsid w:val="628C5F22"/>
    <w:rsid w:val="6290252A"/>
    <w:rsid w:val="629F21F1"/>
    <w:rsid w:val="62A0377C"/>
    <w:rsid w:val="62C1241C"/>
    <w:rsid w:val="62D376AD"/>
    <w:rsid w:val="62DE1443"/>
    <w:rsid w:val="62E0626E"/>
    <w:rsid w:val="62FB4E56"/>
    <w:rsid w:val="63163A3E"/>
    <w:rsid w:val="632B573B"/>
    <w:rsid w:val="633F11E7"/>
    <w:rsid w:val="63464323"/>
    <w:rsid w:val="635F7193"/>
    <w:rsid w:val="63666773"/>
    <w:rsid w:val="636C629A"/>
    <w:rsid w:val="639826A5"/>
    <w:rsid w:val="639C03E7"/>
    <w:rsid w:val="639F3A33"/>
    <w:rsid w:val="63AF1575"/>
    <w:rsid w:val="63B23767"/>
    <w:rsid w:val="63BD210C"/>
    <w:rsid w:val="63EB0A27"/>
    <w:rsid w:val="63F549F8"/>
    <w:rsid w:val="64267CB1"/>
    <w:rsid w:val="64305CB5"/>
    <w:rsid w:val="644974D8"/>
    <w:rsid w:val="644F5459"/>
    <w:rsid w:val="645C36D2"/>
    <w:rsid w:val="645E569D"/>
    <w:rsid w:val="6477050C"/>
    <w:rsid w:val="64A70DF2"/>
    <w:rsid w:val="64A86918"/>
    <w:rsid w:val="64B21544"/>
    <w:rsid w:val="64B4350F"/>
    <w:rsid w:val="64D4770D"/>
    <w:rsid w:val="650A75D2"/>
    <w:rsid w:val="65206DF6"/>
    <w:rsid w:val="6536434F"/>
    <w:rsid w:val="654900FB"/>
    <w:rsid w:val="65501489"/>
    <w:rsid w:val="65530F79"/>
    <w:rsid w:val="655D3BA6"/>
    <w:rsid w:val="657D1B52"/>
    <w:rsid w:val="659836EC"/>
    <w:rsid w:val="65A4015C"/>
    <w:rsid w:val="65B561A8"/>
    <w:rsid w:val="65BF660F"/>
    <w:rsid w:val="65DA6FA5"/>
    <w:rsid w:val="65EF1956"/>
    <w:rsid w:val="662E729C"/>
    <w:rsid w:val="663A0636"/>
    <w:rsid w:val="664408C2"/>
    <w:rsid w:val="665203CB"/>
    <w:rsid w:val="66546D57"/>
    <w:rsid w:val="665E72B8"/>
    <w:rsid w:val="666176C6"/>
    <w:rsid w:val="66A852F5"/>
    <w:rsid w:val="66CB4B3F"/>
    <w:rsid w:val="66CD2666"/>
    <w:rsid w:val="66CD6B09"/>
    <w:rsid w:val="66E142AB"/>
    <w:rsid w:val="66E77BCB"/>
    <w:rsid w:val="67140294"/>
    <w:rsid w:val="671D35ED"/>
    <w:rsid w:val="672C3830"/>
    <w:rsid w:val="674072DB"/>
    <w:rsid w:val="674E7C4A"/>
    <w:rsid w:val="679C6C08"/>
    <w:rsid w:val="67A474A4"/>
    <w:rsid w:val="67B850C4"/>
    <w:rsid w:val="67C05B1A"/>
    <w:rsid w:val="67CD5013"/>
    <w:rsid w:val="67F56318"/>
    <w:rsid w:val="67FA56DC"/>
    <w:rsid w:val="680E1188"/>
    <w:rsid w:val="681F5143"/>
    <w:rsid w:val="682E182A"/>
    <w:rsid w:val="6864524C"/>
    <w:rsid w:val="686E4F90"/>
    <w:rsid w:val="6874556F"/>
    <w:rsid w:val="687C07E7"/>
    <w:rsid w:val="68923B67"/>
    <w:rsid w:val="689B6EBF"/>
    <w:rsid w:val="68BA0A96"/>
    <w:rsid w:val="68C0661E"/>
    <w:rsid w:val="68CF4DBB"/>
    <w:rsid w:val="68D91796"/>
    <w:rsid w:val="68DC1286"/>
    <w:rsid w:val="692A0243"/>
    <w:rsid w:val="694D7A8E"/>
    <w:rsid w:val="69521FDD"/>
    <w:rsid w:val="6958404F"/>
    <w:rsid w:val="697B45FB"/>
    <w:rsid w:val="69A73642"/>
    <w:rsid w:val="69C935B8"/>
    <w:rsid w:val="6A222CC8"/>
    <w:rsid w:val="6A246A40"/>
    <w:rsid w:val="6A266C5C"/>
    <w:rsid w:val="6A2B230C"/>
    <w:rsid w:val="6A2F784C"/>
    <w:rsid w:val="6A5C267E"/>
    <w:rsid w:val="6A5E63F6"/>
    <w:rsid w:val="6A6424BD"/>
    <w:rsid w:val="6A723C50"/>
    <w:rsid w:val="6ABE6E95"/>
    <w:rsid w:val="6AC87FE6"/>
    <w:rsid w:val="6AED777A"/>
    <w:rsid w:val="6AF64881"/>
    <w:rsid w:val="6B032BD7"/>
    <w:rsid w:val="6B0D193D"/>
    <w:rsid w:val="6B1A3CA8"/>
    <w:rsid w:val="6B1B7E43"/>
    <w:rsid w:val="6B39651C"/>
    <w:rsid w:val="6B57393D"/>
    <w:rsid w:val="6B5A0B7F"/>
    <w:rsid w:val="6B621F16"/>
    <w:rsid w:val="6B92354B"/>
    <w:rsid w:val="6B9A5333"/>
    <w:rsid w:val="6BA918F3"/>
    <w:rsid w:val="6BB169FA"/>
    <w:rsid w:val="6BB65DBE"/>
    <w:rsid w:val="6BDB75D3"/>
    <w:rsid w:val="6C2C42D2"/>
    <w:rsid w:val="6C3311BD"/>
    <w:rsid w:val="6C4038DA"/>
    <w:rsid w:val="6C5D5536"/>
    <w:rsid w:val="6C5E0930"/>
    <w:rsid w:val="6C663340"/>
    <w:rsid w:val="6C875DE6"/>
    <w:rsid w:val="6CA426C9"/>
    <w:rsid w:val="6CBD4F2A"/>
    <w:rsid w:val="6CBE317C"/>
    <w:rsid w:val="6CE81FA7"/>
    <w:rsid w:val="6CF05300"/>
    <w:rsid w:val="6D056FFD"/>
    <w:rsid w:val="6D162FB8"/>
    <w:rsid w:val="6D2C27DC"/>
    <w:rsid w:val="6D8D0DA1"/>
    <w:rsid w:val="6D9B526C"/>
    <w:rsid w:val="6DA560EA"/>
    <w:rsid w:val="6DCA5B51"/>
    <w:rsid w:val="6DD469CF"/>
    <w:rsid w:val="6DE85FD7"/>
    <w:rsid w:val="6E0A419F"/>
    <w:rsid w:val="6E0B4071"/>
    <w:rsid w:val="6E153270"/>
    <w:rsid w:val="6E1F7C4B"/>
    <w:rsid w:val="6E274D51"/>
    <w:rsid w:val="6E37015C"/>
    <w:rsid w:val="6E4F6056"/>
    <w:rsid w:val="6E5D0773"/>
    <w:rsid w:val="6E600263"/>
    <w:rsid w:val="6E657628"/>
    <w:rsid w:val="6E9F0D8B"/>
    <w:rsid w:val="6F141779"/>
    <w:rsid w:val="6F1C23DC"/>
    <w:rsid w:val="6F2A2D4B"/>
    <w:rsid w:val="6F3911E0"/>
    <w:rsid w:val="6F4A592B"/>
    <w:rsid w:val="6F6A1399"/>
    <w:rsid w:val="6F8D6E36"/>
    <w:rsid w:val="6F990372"/>
    <w:rsid w:val="6FA7614A"/>
    <w:rsid w:val="6FA94D33"/>
    <w:rsid w:val="6FAE004D"/>
    <w:rsid w:val="6FD9737C"/>
    <w:rsid w:val="6FDD600F"/>
    <w:rsid w:val="6FFD3FBC"/>
    <w:rsid w:val="700E2A65"/>
    <w:rsid w:val="70187047"/>
    <w:rsid w:val="701B2694"/>
    <w:rsid w:val="701C75B8"/>
    <w:rsid w:val="7056191E"/>
    <w:rsid w:val="70952446"/>
    <w:rsid w:val="70BF07BB"/>
    <w:rsid w:val="70C94FA3"/>
    <w:rsid w:val="70D77694"/>
    <w:rsid w:val="71105F71"/>
    <w:rsid w:val="712465C0"/>
    <w:rsid w:val="714F6A99"/>
    <w:rsid w:val="7166670A"/>
    <w:rsid w:val="7185070D"/>
    <w:rsid w:val="71902C0D"/>
    <w:rsid w:val="71997D14"/>
    <w:rsid w:val="719B7F30"/>
    <w:rsid w:val="719E532A"/>
    <w:rsid w:val="71AD7C63"/>
    <w:rsid w:val="71D92806"/>
    <w:rsid w:val="71E52F59"/>
    <w:rsid w:val="71FE401B"/>
    <w:rsid w:val="71FF0242"/>
    <w:rsid w:val="720D15DB"/>
    <w:rsid w:val="72213E66"/>
    <w:rsid w:val="723637B5"/>
    <w:rsid w:val="72440855"/>
    <w:rsid w:val="72780A82"/>
    <w:rsid w:val="72952BD1"/>
    <w:rsid w:val="72A921D9"/>
    <w:rsid w:val="72C2329A"/>
    <w:rsid w:val="72CE1C3F"/>
    <w:rsid w:val="72F83160"/>
    <w:rsid w:val="72FC20FC"/>
    <w:rsid w:val="72FF44EF"/>
    <w:rsid w:val="7329331A"/>
    <w:rsid w:val="7363394A"/>
    <w:rsid w:val="73683E42"/>
    <w:rsid w:val="736B3932"/>
    <w:rsid w:val="736B56E0"/>
    <w:rsid w:val="737C169B"/>
    <w:rsid w:val="737F118B"/>
    <w:rsid w:val="738E13CF"/>
    <w:rsid w:val="73937A05"/>
    <w:rsid w:val="73A11102"/>
    <w:rsid w:val="73C406FD"/>
    <w:rsid w:val="73C66DBA"/>
    <w:rsid w:val="73E55492"/>
    <w:rsid w:val="73EF4563"/>
    <w:rsid w:val="73F456D6"/>
    <w:rsid w:val="73F90F3E"/>
    <w:rsid w:val="741B0EB4"/>
    <w:rsid w:val="742C4C1E"/>
    <w:rsid w:val="742D0BE7"/>
    <w:rsid w:val="742D5592"/>
    <w:rsid w:val="74341F76"/>
    <w:rsid w:val="74AB354D"/>
    <w:rsid w:val="74B530B7"/>
    <w:rsid w:val="74B82BA7"/>
    <w:rsid w:val="74BB4445"/>
    <w:rsid w:val="74BF3F35"/>
    <w:rsid w:val="74E514C2"/>
    <w:rsid w:val="74E97204"/>
    <w:rsid w:val="74EB69B4"/>
    <w:rsid w:val="752B3379"/>
    <w:rsid w:val="755E1015"/>
    <w:rsid w:val="755F1275"/>
    <w:rsid w:val="757545C0"/>
    <w:rsid w:val="7579692F"/>
    <w:rsid w:val="759233F8"/>
    <w:rsid w:val="75A629FF"/>
    <w:rsid w:val="75B23A9A"/>
    <w:rsid w:val="75B710B1"/>
    <w:rsid w:val="75B82733"/>
    <w:rsid w:val="75D752AF"/>
    <w:rsid w:val="75D91027"/>
    <w:rsid w:val="75EB2B08"/>
    <w:rsid w:val="75F61BD9"/>
    <w:rsid w:val="7614205F"/>
    <w:rsid w:val="7625601A"/>
    <w:rsid w:val="762E43CA"/>
    <w:rsid w:val="7638547C"/>
    <w:rsid w:val="76432944"/>
    <w:rsid w:val="765E32DA"/>
    <w:rsid w:val="765F224D"/>
    <w:rsid w:val="768216BE"/>
    <w:rsid w:val="7691545E"/>
    <w:rsid w:val="76944F4E"/>
    <w:rsid w:val="76E00193"/>
    <w:rsid w:val="76EA1941"/>
    <w:rsid w:val="76F3008E"/>
    <w:rsid w:val="770B7C5E"/>
    <w:rsid w:val="772A4F3B"/>
    <w:rsid w:val="773329B9"/>
    <w:rsid w:val="774921DC"/>
    <w:rsid w:val="77512E3F"/>
    <w:rsid w:val="77606A9B"/>
    <w:rsid w:val="77844FC2"/>
    <w:rsid w:val="778623A6"/>
    <w:rsid w:val="778D031B"/>
    <w:rsid w:val="77925931"/>
    <w:rsid w:val="77A35F59"/>
    <w:rsid w:val="77A6318B"/>
    <w:rsid w:val="77AE203F"/>
    <w:rsid w:val="77B230C1"/>
    <w:rsid w:val="77E37F3B"/>
    <w:rsid w:val="781166C5"/>
    <w:rsid w:val="78511348"/>
    <w:rsid w:val="788D3F5E"/>
    <w:rsid w:val="789E20B4"/>
    <w:rsid w:val="78AB0D85"/>
    <w:rsid w:val="78CF7DD8"/>
    <w:rsid w:val="78D930EC"/>
    <w:rsid w:val="78DA7590"/>
    <w:rsid w:val="78F41CD4"/>
    <w:rsid w:val="7900255B"/>
    <w:rsid w:val="790463BB"/>
    <w:rsid w:val="790A7749"/>
    <w:rsid w:val="79112886"/>
    <w:rsid w:val="791D4BEC"/>
    <w:rsid w:val="79435553"/>
    <w:rsid w:val="79442C5B"/>
    <w:rsid w:val="794E5888"/>
    <w:rsid w:val="795F1843"/>
    <w:rsid w:val="796706F8"/>
    <w:rsid w:val="796E5F2A"/>
    <w:rsid w:val="798E2128"/>
    <w:rsid w:val="79A67472"/>
    <w:rsid w:val="79AE4579"/>
    <w:rsid w:val="79B002F1"/>
    <w:rsid w:val="79B44528"/>
    <w:rsid w:val="79B546B0"/>
    <w:rsid w:val="79CE69C9"/>
    <w:rsid w:val="79F3642F"/>
    <w:rsid w:val="79FE105C"/>
    <w:rsid w:val="7A0423EA"/>
    <w:rsid w:val="7A044199"/>
    <w:rsid w:val="7A0D57EA"/>
    <w:rsid w:val="7A1C7E08"/>
    <w:rsid w:val="7A1E525A"/>
    <w:rsid w:val="7A293BFF"/>
    <w:rsid w:val="7A37624F"/>
    <w:rsid w:val="7A5E5F9F"/>
    <w:rsid w:val="7A682979"/>
    <w:rsid w:val="7AC202DC"/>
    <w:rsid w:val="7AC35E88"/>
    <w:rsid w:val="7AEF6BF7"/>
    <w:rsid w:val="7AFD1314"/>
    <w:rsid w:val="7B0A32EB"/>
    <w:rsid w:val="7B17528C"/>
    <w:rsid w:val="7B2E5971"/>
    <w:rsid w:val="7B6C0247"/>
    <w:rsid w:val="7BC9569A"/>
    <w:rsid w:val="7BE14791"/>
    <w:rsid w:val="7BFF10BB"/>
    <w:rsid w:val="7C583E35"/>
    <w:rsid w:val="7C684EB3"/>
    <w:rsid w:val="7C6A0C2B"/>
    <w:rsid w:val="7C884CA5"/>
    <w:rsid w:val="7C9061B7"/>
    <w:rsid w:val="7C991510"/>
    <w:rsid w:val="7C9E6B26"/>
    <w:rsid w:val="7CB00608"/>
    <w:rsid w:val="7CB4634A"/>
    <w:rsid w:val="7CD12A58"/>
    <w:rsid w:val="7CF84488"/>
    <w:rsid w:val="7CFB1883"/>
    <w:rsid w:val="7D52346D"/>
    <w:rsid w:val="7D5F5825"/>
    <w:rsid w:val="7D843E8E"/>
    <w:rsid w:val="7D9D6DDE"/>
    <w:rsid w:val="7DA755C3"/>
    <w:rsid w:val="7DAE2D99"/>
    <w:rsid w:val="7DC91981"/>
    <w:rsid w:val="7DD66F00"/>
    <w:rsid w:val="7DE642E1"/>
    <w:rsid w:val="7DE71E07"/>
    <w:rsid w:val="7DE95B7F"/>
    <w:rsid w:val="7DEC51A7"/>
    <w:rsid w:val="7DFA753A"/>
    <w:rsid w:val="7DFD162B"/>
    <w:rsid w:val="7E064983"/>
    <w:rsid w:val="7E086B45"/>
    <w:rsid w:val="7E2117BD"/>
    <w:rsid w:val="7E461224"/>
    <w:rsid w:val="7E6873EC"/>
    <w:rsid w:val="7E713588"/>
    <w:rsid w:val="7E733883"/>
    <w:rsid w:val="7E896C87"/>
    <w:rsid w:val="7E933D3D"/>
    <w:rsid w:val="7ED05532"/>
    <w:rsid w:val="7ED93E46"/>
    <w:rsid w:val="7EDC1B88"/>
    <w:rsid w:val="7EF96296"/>
    <w:rsid w:val="7F0013D2"/>
    <w:rsid w:val="7F280929"/>
    <w:rsid w:val="7F2E5979"/>
    <w:rsid w:val="7F572FBC"/>
    <w:rsid w:val="7F963AE5"/>
    <w:rsid w:val="7F986465"/>
    <w:rsid w:val="7F9B559F"/>
    <w:rsid w:val="7FA45D79"/>
    <w:rsid w:val="7FA51F7A"/>
    <w:rsid w:val="7FAD6C39"/>
    <w:rsid w:val="7FB57F93"/>
    <w:rsid w:val="7FE74340"/>
    <w:rsid w:val="BEBE92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qFormat/>
    <w:uiPriority w:val="0"/>
    <w:pPr>
      <w:keepNext/>
      <w:keepLines/>
      <w:spacing w:before="260" w:after="260" w:line="416"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spacing w:before="280" w:after="290" w:line="376" w:lineRule="auto"/>
      <w:outlineLvl w:val="3"/>
    </w:pPr>
    <w:rPr>
      <w:rFonts w:ascii="等线 Light" w:hAnsi="等线 Light" w:eastAsia="等线 Light"/>
      <w:b/>
      <w:bCs/>
      <w:sz w:val="28"/>
      <w:szCs w:val="28"/>
    </w:rPr>
  </w:style>
  <w:style w:type="character" w:default="1" w:styleId="27">
    <w:name w:val="Default Paragraph Font"/>
    <w:semiHidden/>
    <w:qFormat/>
    <w:uiPriority w:val="0"/>
  </w:style>
  <w:style w:type="table" w:default="1" w:styleId="2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6">
    <w:name w:val="toc 7"/>
    <w:basedOn w:val="1"/>
    <w:next w:val="1"/>
    <w:qFormat/>
    <w:uiPriority w:val="39"/>
    <w:pPr>
      <w:spacing w:line="240" w:lineRule="auto"/>
      <w:ind w:firstLine="0" w:firstLineChars="0"/>
      <w:jc w:val="center"/>
    </w:pPr>
    <w:rPr>
      <w:sz w:val="21"/>
    </w:rPr>
  </w:style>
  <w:style w:type="paragraph" w:styleId="7">
    <w:name w:val="Normal Indent"/>
    <w:basedOn w:val="1"/>
    <w:next w:val="1"/>
    <w:qFormat/>
    <w:uiPriority w:val="0"/>
    <w:pPr>
      <w:ind w:firstLine="420"/>
    </w:pPr>
  </w:style>
  <w:style w:type="paragraph" w:styleId="8">
    <w:name w:val="caption"/>
    <w:basedOn w:val="1"/>
    <w:next w:val="1"/>
    <w:qFormat/>
    <w:uiPriority w:val="0"/>
    <w:pPr>
      <w:spacing w:line="360" w:lineRule="auto"/>
      <w:jc w:val="center"/>
    </w:pPr>
    <w:rPr>
      <w:rFonts w:ascii="Times New Roman" w:hAnsi="Times New Roman" w:eastAsia="宋体" w:cs="Times New Roman"/>
      <w:b/>
      <w:szCs w:val="21"/>
    </w:rPr>
  </w:style>
  <w:style w:type="paragraph" w:styleId="9">
    <w:name w:val="annotation text"/>
    <w:basedOn w:val="1"/>
    <w:qFormat/>
    <w:uiPriority w:val="0"/>
    <w:pPr>
      <w:jc w:val="left"/>
    </w:pPr>
  </w:style>
  <w:style w:type="paragraph" w:styleId="10">
    <w:name w:val="Salutation"/>
    <w:basedOn w:val="1"/>
    <w:next w:val="1"/>
    <w:unhideWhenUsed/>
    <w:qFormat/>
    <w:uiPriority w:val="0"/>
    <w:rPr>
      <w:rFonts w:eastAsia="宋体"/>
      <w:szCs w:val="22"/>
      <w:lang w:val="zh-CN"/>
    </w:rPr>
  </w:style>
  <w:style w:type="paragraph" w:styleId="11">
    <w:name w:val="Body Text"/>
    <w:basedOn w:val="1"/>
    <w:next w:val="1"/>
    <w:qFormat/>
    <w:uiPriority w:val="99"/>
    <w:pPr>
      <w:widowControl/>
      <w:snapToGrid w:val="0"/>
      <w:spacing w:before="60" w:after="160" w:line="259" w:lineRule="auto"/>
      <w:ind w:right="113"/>
    </w:pPr>
    <w:rPr>
      <w:kern w:val="0"/>
      <w:sz w:val="18"/>
      <w:szCs w:val="20"/>
    </w:rPr>
  </w:style>
  <w:style w:type="paragraph" w:styleId="12">
    <w:name w:val="Body Text Indent"/>
    <w:basedOn w:val="1"/>
    <w:next w:val="1"/>
    <w:qFormat/>
    <w:uiPriority w:val="0"/>
    <w:pPr>
      <w:spacing w:after="120"/>
      <w:ind w:left="420" w:leftChars="200"/>
    </w:pPr>
    <w:rPr>
      <w:kern w:val="0"/>
      <w:sz w:val="24"/>
      <w:szCs w:val="20"/>
    </w:rPr>
  </w:style>
  <w:style w:type="paragraph" w:styleId="13">
    <w:name w:val="Block Text"/>
    <w:basedOn w:val="1"/>
    <w:next w:val="1"/>
    <w:qFormat/>
    <w:uiPriority w:val="0"/>
    <w:pPr>
      <w:adjustRightInd w:val="0"/>
      <w:spacing w:line="500" w:lineRule="exact"/>
      <w:ind w:left="54" w:right="113"/>
      <w:textAlignment w:val="baseline"/>
    </w:pPr>
    <w:rPr>
      <w:rFonts w:ascii="楷体_GB2312" w:eastAsia="楷体_GB2312"/>
      <w:kern w:val="0"/>
      <w:sz w:val="28"/>
      <w:szCs w:val="20"/>
    </w:rPr>
  </w:style>
  <w:style w:type="paragraph" w:styleId="14">
    <w:name w:val="Plain Text"/>
    <w:basedOn w:val="1"/>
    <w:qFormat/>
    <w:uiPriority w:val="99"/>
    <w:rPr>
      <w:rFonts w:ascii="宋体" w:hAnsi="Courier New"/>
      <w:szCs w:val="20"/>
    </w:rPr>
  </w:style>
  <w:style w:type="paragraph" w:styleId="15">
    <w:name w:val="footer"/>
    <w:basedOn w:val="1"/>
    <w:qFormat/>
    <w:uiPriority w:val="99"/>
    <w:pPr>
      <w:tabs>
        <w:tab w:val="center" w:pos="4153"/>
        <w:tab w:val="right" w:pos="8306"/>
      </w:tabs>
      <w:snapToGrid w:val="0"/>
      <w:jc w:val="left"/>
    </w:pPr>
    <w:rPr>
      <w:kern w:val="0"/>
      <w:sz w:val="18"/>
      <w:szCs w:val="20"/>
    </w:rPr>
  </w:style>
  <w:style w:type="paragraph" w:styleId="16">
    <w:name w:val="header"/>
    <w:basedOn w:val="1"/>
    <w:next w:val="17"/>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17">
    <w:name w:val="样式5"/>
    <w:basedOn w:val="18"/>
    <w:qFormat/>
    <w:uiPriority w:val="0"/>
    <w:pPr>
      <w:autoSpaceDE w:val="0"/>
      <w:autoSpaceDN w:val="0"/>
      <w:adjustRightInd w:val="0"/>
      <w:spacing w:line="340" w:lineRule="exact"/>
      <w:jc w:val="center"/>
    </w:pPr>
    <w:rPr>
      <w:rFonts w:ascii="Times New Roman" w:hAnsi="Times New Roman"/>
      <w:bCs/>
      <w:kern w:val="0"/>
      <w:sz w:val="24"/>
      <w:szCs w:val="20"/>
    </w:rPr>
  </w:style>
  <w:style w:type="paragraph" w:customStyle="1" w:styleId="18">
    <w:name w:val="font5"/>
    <w:basedOn w:val="1"/>
    <w:qFormat/>
    <w:uiPriority w:val="0"/>
    <w:pPr>
      <w:widowControl/>
      <w:adjustRightInd w:val="0"/>
      <w:snapToGrid w:val="0"/>
      <w:spacing w:before="100" w:beforeAutospacing="1" w:after="100" w:afterAutospacing="1" w:line="520" w:lineRule="atLeast"/>
      <w:jc w:val="left"/>
    </w:pPr>
    <w:rPr>
      <w:rFonts w:hint="eastAsia" w:ascii="宋体" w:hAnsi="宋体" w:cs="Arial Unicode MS"/>
      <w:kern w:val="0"/>
      <w:sz w:val="18"/>
      <w:szCs w:val="18"/>
    </w:rPr>
  </w:style>
  <w:style w:type="paragraph" w:styleId="19">
    <w:name w:val="toc 1"/>
    <w:basedOn w:val="1"/>
    <w:next w:val="1"/>
    <w:qFormat/>
    <w:uiPriority w:val="0"/>
  </w:style>
  <w:style w:type="paragraph" w:styleId="20">
    <w:name w:val="List"/>
    <w:basedOn w:val="1"/>
    <w:next w:val="1"/>
    <w:unhideWhenUsed/>
    <w:qFormat/>
    <w:uiPriority w:val="99"/>
    <w:pPr>
      <w:adjustRightInd w:val="0"/>
      <w:spacing w:line="360" w:lineRule="auto"/>
      <w:ind w:firstLine="576" w:firstLineChars="200"/>
      <w:jc w:val="center"/>
    </w:pPr>
    <w:rPr>
      <w:rFonts w:ascii="仿宋_GB2312" w:eastAsia="仿宋_GB2312"/>
      <w:spacing w:val="4"/>
      <w:kern w:val="18"/>
      <w:sz w:val="28"/>
      <w:szCs w:val="21"/>
    </w:rPr>
  </w:style>
  <w:style w:type="paragraph" w:styleId="21">
    <w:name w:val="toc 2"/>
    <w:next w:val="1"/>
    <w:unhideWhenUsed/>
    <w:qFormat/>
    <w:uiPriority w:val="39"/>
    <w:pPr>
      <w:widowControl w:val="0"/>
      <w:ind w:left="420" w:leftChars="200"/>
      <w:jc w:val="both"/>
    </w:pPr>
    <w:rPr>
      <w:rFonts w:ascii="Calibri" w:hAnsi="Calibri" w:eastAsia="宋体" w:cs="Times New Roman"/>
      <w:kern w:val="2"/>
      <w:sz w:val="21"/>
      <w:szCs w:val="24"/>
      <w:lang w:val="en-US" w:eastAsia="zh-CN" w:bidi="ar-SA"/>
    </w:rPr>
  </w:style>
  <w:style w:type="paragraph" w:styleId="22">
    <w:name w:val="Normal (Web)"/>
    <w:basedOn w:val="1"/>
    <w:qFormat/>
    <w:uiPriority w:val="0"/>
    <w:pPr>
      <w:widowControl/>
      <w:spacing w:before="100" w:beforeAutospacing="1" w:after="100" w:afterAutospacing="1"/>
      <w:jc w:val="left"/>
    </w:pPr>
    <w:rPr>
      <w:rFonts w:ascii="宋体" w:hAnsi="宋体"/>
      <w:kern w:val="0"/>
      <w:sz w:val="24"/>
      <w:szCs w:val="20"/>
    </w:rPr>
  </w:style>
  <w:style w:type="paragraph" w:styleId="23">
    <w:name w:val="Body Text First Indent"/>
    <w:basedOn w:val="11"/>
    <w:next w:val="1"/>
    <w:qFormat/>
    <w:uiPriority w:val="0"/>
    <w:pPr>
      <w:widowControl w:val="0"/>
      <w:adjustRightInd w:val="0"/>
      <w:snapToGrid w:val="0"/>
      <w:spacing w:after="120" w:line="360" w:lineRule="auto"/>
      <w:ind w:firstLine="420" w:firstLineChars="100"/>
      <w:jc w:val="both"/>
    </w:pPr>
    <w:rPr>
      <w:rFonts w:ascii="Times New Roman" w:hAnsi="Times New Roman" w:eastAsia="宋体" w:cs="Times New Roman"/>
      <w:kern w:val="2"/>
      <w:sz w:val="24"/>
      <w:lang w:val="zh-CN" w:eastAsia="zh-CN" w:bidi="ar-SA"/>
    </w:rPr>
  </w:style>
  <w:style w:type="paragraph" w:styleId="24">
    <w:name w:val="Body Text First Indent 2"/>
    <w:basedOn w:val="12"/>
    <w:next w:val="23"/>
    <w:qFormat/>
    <w:uiPriority w:val="0"/>
    <w:pPr>
      <w:widowControl/>
      <w:snapToGrid/>
      <w:spacing w:after="120" w:line="240" w:lineRule="auto"/>
      <w:ind w:left="420" w:leftChars="200" w:firstLine="420"/>
      <w:jc w:val="left"/>
    </w:pPr>
    <w:rPr>
      <w:kern w:val="0"/>
      <w:sz w:val="28"/>
      <w:szCs w:val="20"/>
    </w:rPr>
  </w:style>
  <w:style w:type="table" w:styleId="26">
    <w:name w:val="Table Grid"/>
    <w:basedOn w:val="25"/>
    <w:qFormat/>
    <w:uiPriority w:val="0"/>
    <w:rPr>
      <w:lang w:val="en-US" w:eastAsia="zh-CN" w:bidi="ar-SA"/>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Strong"/>
    <w:basedOn w:val="27"/>
    <w:qFormat/>
    <w:uiPriority w:val="0"/>
    <w:rPr>
      <w:b/>
    </w:rPr>
  </w:style>
  <w:style w:type="character" w:styleId="29">
    <w:name w:val="page number"/>
    <w:basedOn w:val="27"/>
    <w:qFormat/>
    <w:uiPriority w:val="0"/>
  </w:style>
  <w:style w:type="paragraph" w:customStyle="1" w:styleId="30">
    <w:name w:val="Default"/>
    <w:basedOn w:val="31"/>
    <w:qFormat/>
    <w:uiPriority w:val="0"/>
    <w:pPr>
      <w:autoSpaceDE w:val="0"/>
      <w:autoSpaceDN w:val="0"/>
      <w:adjustRightInd w:val="0"/>
    </w:pPr>
    <w:rPr>
      <w:rFonts w:ascii="宋体" w:cs="宋体"/>
      <w:sz w:val="24"/>
    </w:rPr>
  </w:style>
  <w:style w:type="paragraph" w:customStyle="1" w:styleId="31">
    <w:name w:val="纯文本1"/>
    <w:basedOn w:val="1"/>
    <w:qFormat/>
    <w:uiPriority w:val="0"/>
    <w:pPr>
      <w:adjustRightInd w:val="0"/>
      <w:spacing w:line="480" w:lineRule="exact"/>
      <w:ind w:firstLine="510" w:firstLineChars="0"/>
      <w:textAlignment w:val="baseline"/>
    </w:pPr>
    <w:rPr>
      <w:rFonts w:ascii="宋体" w:hAnsi="Courier New"/>
      <w:sz w:val="28"/>
      <w:szCs w:val="20"/>
    </w:rPr>
  </w:style>
  <w:style w:type="paragraph" w:customStyle="1" w:styleId="32">
    <w:name w:val="正本"/>
    <w:basedOn w:val="1"/>
    <w:unhideWhenUsed/>
    <w:qFormat/>
    <w:uiPriority w:val="0"/>
    <w:pPr>
      <w:adjustRightInd w:val="0"/>
      <w:snapToGrid w:val="0"/>
      <w:spacing w:beforeLines="0" w:afterLines="0" w:line="360" w:lineRule="auto"/>
      <w:ind w:firstLine="200" w:firstLineChars="200"/>
    </w:pPr>
    <w:rPr>
      <w:rFonts w:hint="eastAsia" w:ascii="宋体" w:hAnsi="Times New Roman" w:eastAsia="宋体"/>
      <w:sz w:val="24"/>
      <w:szCs w:val="24"/>
    </w:rPr>
  </w:style>
  <w:style w:type="paragraph" w:customStyle="1" w:styleId="33">
    <w:name w:val="批注文字1"/>
    <w:qFormat/>
    <w:uiPriority w:val="0"/>
    <w:pPr>
      <w:widowControl w:val="0"/>
    </w:pPr>
    <w:rPr>
      <w:rFonts w:ascii="Times New Roman" w:hAnsi="Times New Roman" w:eastAsia="Times New Roman" w:cs="Times New Roman"/>
      <w:color w:val="000000"/>
      <w:kern w:val="2"/>
      <w:sz w:val="21"/>
      <w:szCs w:val="24"/>
      <w:lang w:val="en-US" w:eastAsia="zh-CN" w:bidi="ar-SA"/>
    </w:rPr>
  </w:style>
  <w:style w:type="paragraph" w:customStyle="1" w:styleId="34">
    <w:name w:val="样式35"/>
    <w:next w:val="1"/>
    <w:unhideWhenUsed/>
    <w:qFormat/>
    <w:uiPriority w:val="0"/>
    <w:pPr>
      <w:widowControl w:val="0"/>
      <w:adjustRightInd w:val="0"/>
      <w:spacing w:line="312" w:lineRule="auto"/>
      <w:ind w:firstLine="567"/>
      <w:jc w:val="both"/>
    </w:pPr>
    <w:rPr>
      <w:rFonts w:hint="eastAsia" w:ascii="宋体" w:hAnsi="Calibri" w:eastAsia="宋体" w:cs="Times New Roman"/>
      <w:kern w:val="0"/>
      <w:sz w:val="28"/>
      <w:szCs w:val="20"/>
      <w:lang w:val="en-US" w:eastAsia="zh-CN" w:bidi="ar-SA"/>
    </w:rPr>
  </w:style>
  <w:style w:type="paragraph" w:customStyle="1" w:styleId="35">
    <w:name w:val="font6"/>
    <w:next w:val="21"/>
    <w:unhideWhenUsed/>
    <w:qFormat/>
    <w:uiPriority w:val="0"/>
    <w:pPr>
      <w:widowControl/>
      <w:spacing w:before="100" w:beforeAutospacing="1" w:after="100" w:afterAutospacing="1"/>
      <w:jc w:val="left"/>
    </w:pPr>
    <w:rPr>
      <w:rFonts w:hint="eastAsia" w:ascii="宋体" w:hAnsi="宋体" w:eastAsia="宋体" w:cs="Times New Roman"/>
      <w:b/>
      <w:kern w:val="0"/>
      <w:sz w:val="28"/>
      <w:szCs w:val="28"/>
      <w:lang w:val="en-US" w:eastAsia="zh-CN" w:bidi="ar-SA"/>
    </w:rPr>
  </w:style>
  <w:style w:type="paragraph" w:customStyle="1" w:styleId="36">
    <w:name w:val="a-文本缩2"/>
    <w:next w:val="1"/>
    <w:qFormat/>
    <w:uiPriority w:val="0"/>
    <w:pPr>
      <w:spacing w:line="360" w:lineRule="auto"/>
      <w:ind w:left="200" w:firstLine="4296"/>
      <w:jc w:val="both"/>
    </w:pPr>
    <w:rPr>
      <w:rFonts w:ascii="Times New Roman" w:hAnsi="Times New Roman" w:eastAsia="宋体" w:cs="Times New Roman"/>
      <w:lang w:val="en-US" w:eastAsia="zh-CN" w:bidi="ar-SA"/>
    </w:rPr>
  </w:style>
  <w:style w:type="paragraph" w:customStyle="1" w:styleId="37">
    <w:name w:val="表内字体"/>
    <w:basedOn w:val="1"/>
    <w:qFormat/>
    <w:uiPriority w:val="0"/>
    <w:pPr>
      <w:spacing w:line="240" w:lineRule="auto"/>
      <w:ind w:firstLine="0" w:firstLineChars="0"/>
      <w:jc w:val="center"/>
    </w:pPr>
    <w:rPr>
      <w:sz w:val="21"/>
      <w:szCs w:val="21"/>
    </w:rPr>
  </w:style>
  <w:style w:type="paragraph" w:customStyle="1" w:styleId="38">
    <w:name w:val="样式 正文文本缩进 + 行距: 1.5 倍行距"/>
    <w:basedOn w:val="12"/>
    <w:qFormat/>
    <w:uiPriority w:val="0"/>
    <w:pPr>
      <w:snapToGrid/>
      <w:spacing w:before="0" w:after="120" w:line="360" w:lineRule="auto"/>
      <w:ind w:left="90" w:leftChars="32" w:firstLine="560" w:firstLineChars="200"/>
    </w:pPr>
    <w:rPr>
      <w:rFonts w:ascii="Times New Roman" w:eastAsia="宋体" w:cs="宋体"/>
    </w:rPr>
  </w:style>
  <w:style w:type="paragraph" w:customStyle="1" w:styleId="39">
    <w:name w:val="表头ck"/>
    <w:qFormat/>
    <w:uiPriority w:val="0"/>
    <w:pPr>
      <w:widowControl w:val="0"/>
      <w:autoSpaceDE/>
      <w:autoSpaceDN/>
      <w:adjustRightInd/>
      <w:jc w:val="center"/>
    </w:pPr>
    <w:rPr>
      <w:rFonts w:ascii="Times New Roman" w:hAnsi="Times New Roman" w:eastAsia="宋体" w:cs="宋体"/>
      <w:b/>
      <w:color w:val="000000"/>
      <w:sz w:val="24"/>
      <w:szCs w:val="24"/>
      <w:lang w:val="en-US" w:eastAsia="zh-CN" w:bidi="ar-SA"/>
    </w:rPr>
  </w:style>
  <w:style w:type="paragraph" w:customStyle="1" w:styleId="40">
    <w:name w:val="A表内"/>
    <w:basedOn w:val="1"/>
    <w:qFormat/>
    <w:uiPriority w:val="0"/>
    <w:pPr>
      <w:spacing w:line="240" w:lineRule="auto"/>
      <w:ind w:firstLine="0" w:firstLineChars="0"/>
      <w:jc w:val="center"/>
    </w:pPr>
    <w:rPr>
      <w:rFonts w:ascii="Times New Roman" w:hAnsi="Times New Roman" w:eastAsia="宋体" w:cs="宋体"/>
      <w:sz w:val="21"/>
      <w:szCs w:val="20"/>
    </w:rPr>
  </w:style>
  <w:style w:type="paragraph" w:customStyle="1" w:styleId="41">
    <w:name w:val="正文123"/>
    <w:basedOn w:val="1"/>
    <w:next w:val="14"/>
    <w:qFormat/>
    <w:uiPriority w:val="0"/>
    <w:pPr>
      <w:snapToGrid/>
      <w:spacing w:line="360" w:lineRule="auto"/>
      <w:ind w:firstLine="480" w:firstLineChars="200"/>
    </w:pPr>
    <w:rPr>
      <w:rFonts w:ascii="Times New Roman" w:hAnsi="Times New Roman" w:eastAsia="宋体"/>
      <w:sz w:val="24"/>
    </w:rPr>
  </w:style>
  <w:style w:type="paragraph" w:customStyle="1" w:styleId="42">
    <w:name w:val="W  正文"/>
    <w:basedOn w:val="1"/>
    <w:qFormat/>
    <w:uiPriority w:val="0"/>
    <w:pPr>
      <w:snapToGrid/>
      <w:spacing w:line="360" w:lineRule="auto"/>
      <w:ind w:firstLine="480" w:firstLineChars="200"/>
    </w:pPr>
    <w:rPr>
      <w:rFonts w:ascii="Times New Roman" w:hAnsi="Times New Roman" w:eastAsia="宋体" w:cs="Times New Roman"/>
      <w:sz w:val="24"/>
    </w:rPr>
  </w:style>
  <w:style w:type="paragraph" w:customStyle="1" w:styleId="43">
    <w:name w:val="表格"/>
    <w:basedOn w:val="14"/>
    <w:next w:val="1"/>
    <w:qFormat/>
    <w:uiPriority w:val="0"/>
    <w:pPr>
      <w:adjustRightInd w:val="0"/>
      <w:snapToGrid w:val="0"/>
      <w:spacing w:beforeLines="10" w:afterLines="10" w:line="259" w:lineRule="auto"/>
      <w:jc w:val="center"/>
    </w:pPr>
    <w:rPr>
      <w:rFonts w:ascii="宋体"/>
      <w:kern w:val="0"/>
      <w:szCs w:val="20"/>
    </w:rPr>
  </w:style>
  <w:style w:type="paragraph" w:customStyle="1" w:styleId="44">
    <w:name w:val="表格内表格正文"/>
    <w:basedOn w:val="1"/>
    <w:unhideWhenUsed/>
    <w:qFormat/>
    <w:uiPriority w:val="0"/>
    <w:pPr>
      <w:jc w:val="center"/>
    </w:pPr>
    <w:rPr>
      <w:rFonts w:hint="eastAsia"/>
      <w:szCs w:val="21"/>
    </w:rPr>
  </w:style>
  <w:style w:type="paragraph" w:customStyle="1" w:styleId="45">
    <w:name w:val="表格内容"/>
    <w:basedOn w:val="14"/>
    <w:qFormat/>
    <w:uiPriority w:val="0"/>
    <w:pPr>
      <w:adjustRightInd w:val="0"/>
      <w:spacing w:line="400" w:lineRule="atLeast"/>
      <w:jc w:val="center"/>
    </w:pPr>
    <w:rPr>
      <w:kern w:val="0"/>
      <w:sz w:val="24"/>
      <w:szCs w:val="20"/>
    </w:rPr>
  </w:style>
  <w:style w:type="paragraph" w:customStyle="1" w:styleId="46">
    <w:name w:val="表格标题"/>
    <w:basedOn w:val="23"/>
    <w:qFormat/>
    <w:uiPriority w:val="0"/>
    <w:pPr>
      <w:autoSpaceDE w:val="0"/>
      <w:autoSpaceDN w:val="0"/>
      <w:adjustRightInd w:val="0"/>
      <w:spacing w:beforeLines="50" w:afterLines="50"/>
      <w:jc w:val="center"/>
    </w:pPr>
    <w:rPr>
      <w:rFonts w:ascii="黑体" w:eastAsia="黑体"/>
      <w:color w:val="000000"/>
      <w:kern w:val="0"/>
      <w:sz w:val="28"/>
      <w:szCs w:val="28"/>
    </w:rPr>
  </w:style>
  <w:style w:type="paragraph" w:customStyle="1" w:styleId="47">
    <w:name w:val="ck的表格内容"/>
    <w:basedOn w:val="1"/>
    <w:qFormat/>
    <w:uiPriority w:val="0"/>
    <w:pPr>
      <w:overflowPunct w:val="0"/>
      <w:adjustRightInd w:val="0"/>
      <w:spacing w:line="240" w:lineRule="auto"/>
      <w:ind w:firstLine="0" w:firstLineChars="0"/>
      <w:jc w:val="center"/>
      <w:textAlignment w:val="baseline"/>
    </w:pPr>
    <w:rPr>
      <w:rFonts w:ascii="Times New Roman" w:hAnsi="Times New Roman" w:eastAsia="宋体" w:cs="Times New Roman"/>
      <w:sz w:val="21"/>
      <w:szCs w:val="20"/>
    </w:rPr>
  </w:style>
  <w:style w:type="paragraph" w:customStyle="1" w:styleId="48">
    <w:name w:val="样式 小四 行距: 1.5 倍行距"/>
    <w:basedOn w:val="1"/>
    <w:qFormat/>
    <w:uiPriority w:val="0"/>
    <w:pPr>
      <w:ind w:firstLine="480"/>
    </w:pPr>
    <w:rPr>
      <w:rFonts w:cs="宋体"/>
      <w:szCs w:val="24"/>
    </w:rPr>
  </w:style>
  <w:style w:type="paragraph" w:customStyle="1" w:styleId="49">
    <w:name w:val="a正文"/>
    <w:basedOn w:val="1"/>
    <w:autoRedefine/>
    <w:qFormat/>
    <w:uiPriority w:val="0"/>
    <w:pPr>
      <w:spacing w:line="360" w:lineRule="auto"/>
      <w:ind w:firstLine="480" w:firstLineChars="200"/>
      <w:jc w:val="left"/>
    </w:pPr>
    <w:rPr>
      <w:bCs/>
      <w:snapToGrid w:val="0"/>
      <w:color w:val="ED0000"/>
      <w:sz w:val="24"/>
    </w:rPr>
  </w:style>
  <w:style w:type="paragraph" w:customStyle="1" w:styleId="50">
    <w:name w:val="表内文字"/>
    <w:basedOn w:val="1"/>
    <w:autoRedefine/>
    <w:qFormat/>
    <w:uiPriority w:val="0"/>
    <w:pPr>
      <w:widowControl/>
      <w:spacing w:line="240" w:lineRule="auto"/>
      <w:ind w:firstLine="0" w:firstLineChars="0"/>
      <w:jc w:val="left"/>
    </w:pPr>
    <w:rPr>
      <w:rFonts w:cs="宋体"/>
      <w:color w:val="000000"/>
      <w:kern w:val="0"/>
      <w:sz w:val="21"/>
      <w:szCs w:val="21"/>
    </w:rPr>
  </w:style>
  <w:style w:type="paragraph" w:customStyle="1" w:styleId="51">
    <w:name w:val="表头、图名"/>
    <w:basedOn w:val="52"/>
    <w:autoRedefine/>
    <w:qFormat/>
    <w:uiPriority w:val="0"/>
    <w:pPr>
      <w:widowControl w:val="0"/>
      <w:ind w:firstLine="62"/>
      <w:jc w:val="center"/>
    </w:pPr>
    <w:rPr>
      <w:rFonts w:cstheme="minorBidi"/>
      <w:b/>
      <w:sz w:val="24"/>
      <w:szCs w:val="22"/>
    </w:rPr>
  </w:style>
  <w:style w:type="paragraph" w:customStyle="1" w:styleId="52">
    <w:name w:val="正文1"/>
    <w:autoRedefine/>
    <w:qFormat/>
    <w:uiPriority w:val="0"/>
    <w:pPr>
      <w:jc w:val="both"/>
    </w:pPr>
    <w:rPr>
      <w:rFonts w:ascii="Times New Roman" w:hAnsi="Times New Roman" w:eastAsia="宋体" w:cs="Times New Roman"/>
      <w:kern w:val="2"/>
      <w:sz w:val="21"/>
      <w:szCs w:val="21"/>
      <w:lang w:val="en-US" w:eastAsia="zh-CN" w:bidi="ar-SA"/>
    </w:rPr>
  </w:style>
  <w:style w:type="paragraph" w:customStyle="1" w:styleId="53">
    <w:name w:val="标题一"/>
    <w:basedOn w:val="1"/>
    <w:autoRedefine/>
    <w:qFormat/>
    <w:uiPriority w:val="0"/>
    <w:pPr>
      <w:spacing w:line="360" w:lineRule="auto"/>
      <w:ind w:firstLine="200" w:firstLineChars="200"/>
      <w:outlineLvl w:val="0"/>
    </w:pPr>
    <w:rPr>
      <w:b/>
      <w:sz w:val="24"/>
    </w:rPr>
  </w:style>
  <w:style w:type="paragraph" w:customStyle="1" w:styleId="54">
    <w:name w:val="正文样式2"/>
    <w:basedOn w:val="1"/>
    <w:autoRedefine/>
    <w:qFormat/>
    <w:uiPriority w:val="0"/>
    <w:pPr>
      <w:spacing w:line="360" w:lineRule="auto"/>
      <w:ind w:firstLine="480" w:firstLineChars="200"/>
    </w:pPr>
    <w:rPr>
      <w:color w:val="000000"/>
      <w:sz w:val="24"/>
    </w:rPr>
  </w:style>
  <w:style w:type="paragraph" w:customStyle="1" w:styleId="55">
    <w:name w:val="表头格式"/>
    <w:basedOn w:val="56"/>
    <w:autoRedefine/>
    <w:qFormat/>
    <w:uiPriority w:val="0"/>
    <w:pPr>
      <w:adjustRightInd w:val="0"/>
      <w:snapToGrid w:val="0"/>
      <w:spacing w:line="240" w:lineRule="auto"/>
      <w:ind w:firstLine="0" w:firstLineChars="0"/>
      <w:jc w:val="center"/>
      <w:outlineLvl w:val="9"/>
    </w:pPr>
    <w:rPr>
      <w:color w:val="000000" w:themeColor="text1"/>
      <w14:textFill>
        <w14:solidFill>
          <w14:schemeClr w14:val="tx1"/>
        </w14:solidFill>
      </w14:textFill>
    </w:rPr>
  </w:style>
  <w:style w:type="paragraph" w:customStyle="1" w:styleId="56">
    <w:name w:val="四级标题"/>
    <w:basedOn w:val="57"/>
    <w:autoRedefine/>
    <w:qFormat/>
    <w:uiPriority w:val="0"/>
    <w:pPr>
      <w:spacing w:before="0" w:after="0"/>
      <w:outlineLvl w:val="3"/>
    </w:pPr>
  </w:style>
  <w:style w:type="paragraph" w:customStyle="1" w:styleId="57">
    <w:name w:val="三级标题"/>
    <w:basedOn w:val="58"/>
    <w:autoRedefine/>
    <w:qFormat/>
    <w:uiPriority w:val="0"/>
    <w:pPr>
      <w:spacing w:before="60" w:after="60"/>
      <w:outlineLvl w:val="2"/>
    </w:pPr>
    <w:rPr>
      <w:sz w:val="24"/>
    </w:rPr>
  </w:style>
  <w:style w:type="paragraph" w:customStyle="1" w:styleId="58">
    <w:name w:val="二级标题"/>
    <w:basedOn w:val="54"/>
    <w:autoRedefine/>
    <w:qFormat/>
    <w:uiPriority w:val="0"/>
    <w:pPr>
      <w:spacing w:before="120" w:after="120"/>
      <w:ind w:firstLine="0" w:firstLineChars="0"/>
      <w:outlineLvl w:val="1"/>
    </w:pPr>
    <w:rPr>
      <w:rFonts w:ascii="宋体" w:hAnsi="宋体"/>
      <w:b/>
      <w:sz w:val="28"/>
    </w:rPr>
  </w:style>
  <w:style w:type="paragraph" w:customStyle="1" w:styleId="59">
    <w:name w:val="正文小四"/>
    <w:basedOn w:val="1"/>
    <w:autoRedefine/>
    <w:qFormat/>
    <w:uiPriority w:val="0"/>
    <w:pPr>
      <w:spacing w:line="460" w:lineRule="exact"/>
      <w:ind w:firstLine="600" w:firstLineChars="200"/>
    </w:pPr>
    <w:rPr>
      <w:rFonts w:ascii="宋体" w:hAnsi="宋体"/>
      <w:spacing w:val="30"/>
      <w:kern w:val="24"/>
      <w:sz w:val="24"/>
      <w:szCs w:val="20"/>
    </w:rPr>
  </w:style>
  <w:style w:type="paragraph" w:customStyle="1" w:styleId="60">
    <w:name w:val="表内 文字"/>
    <w:basedOn w:val="1"/>
    <w:next w:val="1"/>
    <w:qFormat/>
    <w:uiPriority w:val="0"/>
    <w:pPr>
      <w:jc w:val="center"/>
    </w:pPr>
    <w:rPr>
      <w:sz w:val="18"/>
      <w:szCs w:val="22"/>
      <w:lang w:val="zh-CN" w:eastAsia="zh-CN"/>
    </w:rPr>
  </w:style>
  <w:style w:type="paragraph" w:customStyle="1" w:styleId="61">
    <w:name w:val="正 文"/>
    <w:basedOn w:val="1"/>
    <w:qFormat/>
    <w:uiPriority w:val="0"/>
    <w:pPr>
      <w:spacing w:line="360" w:lineRule="auto"/>
      <w:ind w:firstLine="200" w:firstLineChars="200"/>
    </w:pPr>
    <w:rPr>
      <w:sz w:val="24"/>
      <w:szCs w:val="22"/>
      <w:lang w:val="zh-CN" w:eastAsia="zh-CN"/>
    </w:rPr>
  </w:style>
  <w:style w:type="paragraph" w:customStyle="1" w:styleId="62">
    <w:name w:val="正文(首行缩进)"/>
    <w:basedOn w:val="1"/>
    <w:qFormat/>
    <w:uiPriority w:val="0"/>
    <w:pPr>
      <w:spacing w:line="360" w:lineRule="auto"/>
      <w:ind w:firstLine="510"/>
    </w:pPr>
    <w:rPr>
      <w:rFonts w:ascii="宋体" w:hAnsi="宋体"/>
      <w:kern w:val="0"/>
      <w:sz w:val="24"/>
      <w:szCs w:val="20"/>
    </w:rPr>
  </w:style>
  <w:style w:type="paragraph" w:customStyle="1" w:styleId="63">
    <w:name w:val="正文3"/>
    <w:qFormat/>
    <w:uiPriority w:val="0"/>
    <w:pPr>
      <w:jc w:val="both"/>
    </w:pPr>
    <w:rPr>
      <w:rFonts w:ascii="Times New Roman" w:hAnsi="Times New Roman" w:eastAsia="宋体" w:cs="Times New Roman"/>
      <w:kern w:val="2"/>
      <w:sz w:val="21"/>
      <w:szCs w:val="21"/>
      <w:lang w:val="en-US" w:eastAsia="zh-CN" w:bidi="ar-SA"/>
    </w:rPr>
  </w:style>
  <w:style w:type="paragraph" w:customStyle="1" w:styleId="64">
    <w:name w:val="冠恒"/>
    <w:basedOn w:val="1"/>
    <w:autoRedefine/>
    <w:qFormat/>
    <w:uiPriority w:val="0"/>
    <w:pPr>
      <w:spacing w:line="360" w:lineRule="auto"/>
      <w:ind w:firstLine="720" w:firstLineChars="200"/>
    </w:pPr>
    <w:rPr>
      <w:rFonts w:ascii="Times New Roman" w:hAnsi="Times New Roman" w:eastAsia="宋体"/>
      <w:sz w:val="24"/>
    </w:rPr>
  </w:style>
  <w:style w:type="paragraph" w:customStyle="1" w:styleId="65">
    <w:name w:val="表内文本"/>
    <w:basedOn w:val="1"/>
    <w:autoRedefine/>
    <w:qFormat/>
    <w:uiPriority w:val="0"/>
    <w:pPr>
      <w:spacing w:line="240" w:lineRule="auto"/>
      <w:ind w:firstLine="0" w:firstLineChars="0"/>
      <w:jc w:val="center"/>
    </w:pPr>
    <w:rPr>
      <w:color w:val="000000" w:themeColor="text1"/>
      <w:sz w:val="21"/>
      <w:szCs w:val="52"/>
      <w14:textFill>
        <w14:solidFill>
          <w14:schemeClr w14:val="tx1"/>
        </w14:solidFill>
      </w14:textFill>
    </w:rPr>
  </w:style>
  <w:style w:type="paragraph" w:customStyle="1" w:styleId="66">
    <w:name w:val="表内格式223"/>
    <w:basedOn w:val="1"/>
    <w:link w:val="71"/>
    <w:autoRedefine/>
    <w:qFormat/>
    <w:uiPriority w:val="0"/>
    <w:pPr>
      <w:widowControl/>
      <w:jc w:val="center"/>
      <w:textAlignment w:val="center"/>
    </w:pPr>
    <w:rPr>
      <w:rFonts w:ascii="Times New Roman" w:hAnsi="Times New Roman"/>
      <w:color w:val="000000"/>
      <w:kern w:val="0"/>
      <w:szCs w:val="21"/>
      <w:u w:val="none"/>
      <w:lang w:bidi="ar"/>
    </w:rPr>
  </w:style>
  <w:style w:type="paragraph" w:customStyle="1" w:styleId="67">
    <w:name w:val="表格文字-能评"/>
    <w:basedOn w:val="1"/>
    <w:autoRedefine/>
    <w:qFormat/>
    <w:uiPriority w:val="0"/>
    <w:pPr>
      <w:spacing w:line="240" w:lineRule="auto"/>
      <w:ind w:firstLine="0" w:firstLineChars="0"/>
      <w:jc w:val="center"/>
    </w:pPr>
    <w:rPr>
      <w:rFonts w:eastAsia="楷体"/>
      <w:sz w:val="24"/>
    </w:rPr>
  </w:style>
  <w:style w:type="paragraph" w:customStyle="1" w:styleId="68">
    <w:name w:val="李正文"/>
    <w:basedOn w:val="1"/>
    <w:autoRedefine/>
    <w:qFormat/>
    <w:uiPriority w:val="0"/>
    <w:pPr>
      <w:spacing w:line="360" w:lineRule="auto"/>
      <w:ind w:firstLine="720" w:firstLineChars="200"/>
    </w:pPr>
    <w:rPr>
      <w:rFonts w:ascii="Times New Roman" w:hAnsi="Times New Roman" w:eastAsia="宋体"/>
      <w:sz w:val="24"/>
    </w:rPr>
  </w:style>
  <w:style w:type="paragraph" w:customStyle="1" w:styleId="69">
    <w:name w:val="D图表"/>
    <w:basedOn w:val="70"/>
    <w:autoRedefine/>
    <w:qFormat/>
    <w:uiPriority w:val="0"/>
    <w:pPr>
      <w:adjustRightInd w:val="0"/>
      <w:snapToGrid w:val="0"/>
      <w:spacing w:after="0" w:line="240" w:lineRule="auto"/>
    </w:pPr>
    <w:rPr>
      <w:rFonts w:ascii="Times New Roman" w:hAnsi="Times New Roman" w:eastAsia="宋体"/>
    </w:rPr>
  </w:style>
  <w:style w:type="paragraph" w:customStyle="1" w:styleId="70">
    <w:name w:val="图表"/>
    <w:autoRedefine/>
    <w:semiHidden/>
    <w:qFormat/>
    <w:uiPriority w:val="0"/>
    <w:pPr>
      <w:widowControl w:val="0"/>
      <w:spacing w:before="120" w:after="120"/>
      <w:jc w:val="center"/>
    </w:pPr>
    <w:rPr>
      <w:rFonts w:ascii="Times New Roman" w:hAnsi="Times New Roman" w:eastAsia="宋体" w:cs="Times New Roman"/>
      <w:kern w:val="2"/>
      <w:sz w:val="21"/>
      <w:szCs w:val="21"/>
      <w:lang w:val="en-US" w:eastAsia="zh-CN" w:bidi="ar-SA"/>
    </w:rPr>
  </w:style>
  <w:style w:type="character" w:customStyle="1" w:styleId="71">
    <w:name w:val="表内格式223 Char"/>
    <w:link w:val="66"/>
    <w:qFormat/>
    <w:uiPriority w:val="0"/>
    <w:rPr>
      <w:rFonts w:ascii="Times New Roman" w:hAnsi="Times New Roman"/>
      <w:color w:val="000000"/>
      <w:kern w:val="0"/>
      <w:szCs w:val="21"/>
      <w:u w:val="none"/>
      <w:lang w:bidi="ar"/>
    </w:rPr>
  </w:style>
  <w:style w:type="paragraph" w:customStyle="1" w:styleId="72">
    <w:name w:val="D正文"/>
    <w:basedOn w:val="73"/>
    <w:link w:val="120"/>
    <w:autoRedefine/>
    <w:qFormat/>
    <w:uiPriority w:val="0"/>
    <w:pPr>
      <w:spacing w:line="360" w:lineRule="auto"/>
      <w:ind w:firstLine="480"/>
      <w:jc w:val="both"/>
    </w:pPr>
    <w:rPr>
      <w:rFonts w:hAnsi="宋体"/>
      <w:kern w:val="2"/>
      <w:szCs w:val="24"/>
    </w:rPr>
  </w:style>
  <w:style w:type="paragraph" w:customStyle="1" w:styleId="73">
    <w:name w:val="正文对的"/>
    <w:basedOn w:val="14"/>
    <w:autoRedefine/>
    <w:qFormat/>
    <w:uiPriority w:val="0"/>
    <w:pPr>
      <w:spacing w:line="500" w:lineRule="exact"/>
      <w:ind w:firstLine="200" w:firstLineChars="200"/>
    </w:pPr>
    <w:rPr>
      <w:rFonts w:hAnsi="宋体"/>
      <w:kern w:val="2"/>
      <w:sz w:val="24"/>
      <w:szCs w:val="24"/>
    </w:rPr>
  </w:style>
  <w:style w:type="paragraph" w:customStyle="1" w:styleId="74">
    <w:name w:val="Default1"/>
    <w:basedOn w:val="75"/>
    <w:next w:val="1"/>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75">
    <w:name w:val="Normal_14_0"/>
    <w:autoRedefine/>
    <w:qFormat/>
    <w:uiPriority w:val="0"/>
    <w:pPr>
      <w:spacing w:before="120" w:after="240"/>
      <w:jc w:val="both"/>
    </w:pPr>
    <w:rPr>
      <w:rFonts w:ascii="Calibri" w:hAnsi="Calibri" w:eastAsia="Calibri" w:cs="Times New Roman"/>
      <w:sz w:val="22"/>
      <w:szCs w:val="22"/>
      <w:lang w:val="ru-RU" w:eastAsia="en-US" w:bidi="ar-SA"/>
    </w:rPr>
  </w:style>
  <w:style w:type="paragraph" w:customStyle="1" w:styleId="76">
    <w:name w:val="!!!11"/>
    <w:basedOn w:val="1"/>
    <w:link w:val="81"/>
    <w:qFormat/>
    <w:uiPriority w:val="0"/>
    <w:pPr>
      <w:jc w:val="both"/>
    </w:pPr>
    <w:rPr>
      <w:rFonts w:ascii="Times New Roman" w:hAnsi="Times New Roman" w:eastAsia="宋体" w:cs="Times New Roman"/>
      <w:bCs/>
      <w:color w:val="auto"/>
    </w:rPr>
  </w:style>
  <w:style w:type="paragraph" w:customStyle="1" w:styleId="77">
    <w:name w:val="111表头"/>
    <w:basedOn w:val="1"/>
    <w:link w:val="82"/>
    <w:qFormat/>
    <w:uiPriority w:val="0"/>
    <w:pPr>
      <w:spacing w:line="240" w:lineRule="auto"/>
      <w:ind w:firstLine="0" w:firstLineChars="0"/>
      <w:jc w:val="center"/>
    </w:pPr>
    <w:rPr>
      <w:rFonts w:ascii="Times New Roman" w:hAnsi="Times New Roman" w:cs="Times New Roman"/>
      <w:b/>
      <w:bCs/>
      <w:color w:val="auto"/>
    </w:rPr>
  </w:style>
  <w:style w:type="paragraph" w:customStyle="1" w:styleId="78">
    <w:name w:val="1111表格文字"/>
    <w:basedOn w:val="69"/>
    <w:link w:val="111"/>
    <w:qFormat/>
    <w:uiPriority w:val="0"/>
    <w:rPr>
      <w:rFonts w:ascii="Times New Roman" w:hAnsi="Times New Roman" w:eastAsia="宋体"/>
    </w:rPr>
  </w:style>
  <w:style w:type="paragraph" w:customStyle="1" w:styleId="79">
    <w:name w:val="!正文"/>
    <w:basedOn w:val="1"/>
    <w:qFormat/>
    <w:uiPriority w:val="0"/>
    <w:pPr>
      <w:adjustRightInd w:val="0"/>
      <w:snapToGrid w:val="0"/>
      <w:spacing w:line="360" w:lineRule="auto"/>
      <w:ind w:firstLine="200" w:firstLineChars="200"/>
    </w:pPr>
    <w:rPr>
      <w:sz w:val="24"/>
      <w:szCs w:val="21"/>
    </w:rPr>
  </w:style>
  <w:style w:type="paragraph" w:customStyle="1" w:styleId="80">
    <w:name w:val="B4"/>
    <w:basedOn w:val="1"/>
    <w:qFormat/>
    <w:uiPriority w:val="0"/>
    <w:pPr>
      <w:spacing w:line="640" w:lineRule="exact"/>
      <w:ind w:firstLine="560" w:firstLineChars="200"/>
    </w:pPr>
    <w:rPr>
      <w:rFonts w:ascii="仿宋_GB2312" w:hAnsi="黑体" w:eastAsia="仿宋_GB2312"/>
      <w:sz w:val="28"/>
    </w:rPr>
  </w:style>
  <w:style w:type="character" w:customStyle="1" w:styleId="81">
    <w:name w:val="!!!11 Char"/>
    <w:link w:val="76"/>
    <w:qFormat/>
    <w:uiPriority w:val="0"/>
    <w:rPr>
      <w:rFonts w:ascii="Times New Roman" w:hAnsi="Times New Roman" w:eastAsia="宋体" w:cs="Times New Roman"/>
      <w:bCs/>
      <w:color w:val="auto"/>
    </w:rPr>
  </w:style>
  <w:style w:type="character" w:customStyle="1" w:styleId="82">
    <w:name w:val="111表头 Char"/>
    <w:link w:val="77"/>
    <w:qFormat/>
    <w:uiPriority w:val="0"/>
    <w:rPr>
      <w:rFonts w:ascii="Times New Roman" w:hAnsi="Times New Roman" w:cs="Times New Roman"/>
      <w:b/>
      <w:bCs/>
      <w:color w:val="auto"/>
    </w:rPr>
  </w:style>
  <w:style w:type="paragraph" w:customStyle="1" w:styleId="83">
    <w:name w:val="【】表头"/>
    <w:basedOn w:val="1"/>
    <w:next w:val="79"/>
    <w:qFormat/>
    <w:uiPriority w:val="0"/>
    <w:pPr>
      <w:framePr w:wrap="notBeside" w:vAnchor="text" w:hAnchor="text" w:y="1"/>
      <w:adjustRightInd/>
      <w:snapToGrid/>
      <w:spacing w:line="240" w:lineRule="auto"/>
      <w:ind w:firstLine="0" w:firstLineChars="0"/>
      <w:jc w:val="center"/>
    </w:pPr>
    <w:rPr>
      <w:rFonts w:ascii="Times New Roman" w:hAnsi="Times New Roman" w:eastAsia="宋体" w:cs="宋体"/>
      <w:b/>
      <w:sz w:val="24"/>
      <w:szCs w:val="24"/>
    </w:rPr>
  </w:style>
  <w:style w:type="paragraph" w:customStyle="1" w:styleId="84">
    <w:name w:val="！表格内容"/>
    <w:basedOn w:val="1"/>
    <w:next w:val="1"/>
    <w:qFormat/>
    <w:uiPriority w:val="0"/>
    <w:pPr>
      <w:kinsoku w:val="0"/>
      <w:overflowPunct w:val="0"/>
      <w:adjustRightInd/>
      <w:snapToGrid/>
      <w:spacing w:line="240" w:lineRule="auto"/>
      <w:ind w:firstLine="0" w:firstLineChars="0"/>
      <w:jc w:val="center"/>
    </w:pPr>
    <w:rPr>
      <w:snapToGrid w:val="0"/>
      <w:kern w:val="0"/>
      <w:sz w:val="21"/>
      <w:szCs w:val="21"/>
    </w:rPr>
  </w:style>
  <w:style w:type="paragraph" w:customStyle="1" w:styleId="85">
    <w:name w:val="lh-表题--报告表"/>
    <w:basedOn w:val="1"/>
    <w:qFormat/>
    <w:uiPriority w:val="0"/>
    <w:pPr>
      <w:keepNext/>
      <w:widowControl/>
      <w:numPr>
        <w:ilvl w:val="0"/>
        <w:numId w:val="1"/>
      </w:numPr>
      <w:spacing w:before="50" w:beforeLines="50"/>
      <w:ind w:left="0" w:firstLine="0"/>
      <w:jc w:val="center"/>
    </w:pPr>
    <w:rPr>
      <w:snapToGrid w:val="0"/>
      <w:kern w:val="0"/>
      <w:sz w:val="24"/>
      <w:szCs w:val="21"/>
    </w:rPr>
  </w:style>
  <w:style w:type="paragraph" w:customStyle="1" w:styleId="86">
    <w:name w:val="！！！正文"/>
    <w:basedOn w:val="1"/>
    <w:link w:val="92"/>
    <w:qFormat/>
    <w:uiPriority w:val="0"/>
    <w:pPr>
      <w:adjustRightInd/>
      <w:snapToGrid/>
      <w:ind w:firstLine="200"/>
    </w:pPr>
    <w:rPr>
      <w:kern w:val="0"/>
    </w:rPr>
  </w:style>
  <w:style w:type="paragraph" w:customStyle="1" w:styleId="87">
    <w:name w:val="02 表格自动编号"/>
    <w:basedOn w:val="1"/>
    <w:qFormat/>
    <w:uiPriority w:val="0"/>
    <w:pPr>
      <w:numPr>
        <w:ilvl w:val="5"/>
        <w:numId w:val="2"/>
      </w:numPr>
      <w:adjustRightInd/>
      <w:snapToGrid/>
      <w:ind w:firstLineChars="0"/>
      <w:jc w:val="center"/>
    </w:pPr>
    <w:rPr>
      <w:b/>
      <w:sz w:val="21"/>
    </w:rPr>
  </w:style>
  <w:style w:type="paragraph" w:customStyle="1" w:styleId="88">
    <w:name w:val="正本文字"/>
    <w:basedOn w:val="1"/>
    <w:qFormat/>
    <w:uiPriority w:val="0"/>
    <w:pPr>
      <w:adjustRightInd w:val="0"/>
      <w:snapToGrid w:val="0"/>
      <w:spacing w:line="360" w:lineRule="auto"/>
      <w:ind w:firstLine="200" w:firstLineChars="200"/>
      <w:jc w:val="left"/>
    </w:pPr>
    <w:rPr>
      <w:rFonts w:cs="宋体"/>
      <w:kern w:val="18"/>
      <w:sz w:val="24"/>
    </w:rPr>
  </w:style>
  <w:style w:type="paragraph" w:customStyle="1" w:styleId="89">
    <w:name w:val="【】正文"/>
    <w:basedOn w:val="90"/>
    <w:qFormat/>
    <w:uiPriority w:val="0"/>
    <w:pPr>
      <w:adjustRightInd w:val="0"/>
      <w:snapToGrid w:val="0"/>
      <w:spacing w:line="360" w:lineRule="auto"/>
    </w:pPr>
    <w:rPr>
      <w:rFonts w:ascii="Times New Roman" w:hAnsi="Times New Roman" w:eastAsia="宋体"/>
      <w:snapToGrid w:val="0"/>
      <w:kern w:val="0"/>
      <w:szCs w:val="24"/>
      <w:lang w:val="en-US"/>
    </w:rPr>
  </w:style>
  <w:style w:type="paragraph" w:customStyle="1" w:styleId="90">
    <w:name w:val="A0正文"/>
    <w:basedOn w:val="1"/>
    <w:qFormat/>
    <w:uiPriority w:val="0"/>
    <w:pPr>
      <w:adjustRightInd/>
      <w:snapToGrid/>
      <w:spacing w:line="560" w:lineRule="exact"/>
      <w:ind w:firstLine="200"/>
    </w:pPr>
    <w:rPr>
      <w:rFonts w:cs="宋体"/>
      <w:szCs w:val="20"/>
      <w:lang w:val="zh-CN"/>
    </w:rPr>
  </w:style>
  <w:style w:type="paragraph" w:customStyle="1" w:styleId="91">
    <w:name w:val="B表头"/>
    <w:basedOn w:val="1"/>
    <w:qFormat/>
    <w:uiPriority w:val="0"/>
    <w:pPr>
      <w:spacing w:line="240" w:lineRule="auto"/>
      <w:ind w:firstLine="0" w:firstLineChars="0"/>
      <w:jc w:val="center"/>
    </w:pPr>
    <w:rPr>
      <w:b/>
      <w:kern w:val="0"/>
      <w:sz w:val="21"/>
    </w:rPr>
  </w:style>
  <w:style w:type="character" w:customStyle="1" w:styleId="92">
    <w:name w:val="！！！正文 字符"/>
    <w:link w:val="86"/>
    <w:qFormat/>
    <w:uiPriority w:val="0"/>
    <w:rPr>
      <w:kern w:val="0"/>
    </w:rPr>
  </w:style>
  <w:style w:type="paragraph" w:customStyle="1" w:styleId="93">
    <w:name w:val="aa正文"/>
    <w:basedOn w:val="1"/>
    <w:qFormat/>
    <w:uiPriority w:val="0"/>
    <w:pPr>
      <w:snapToGrid w:val="0"/>
      <w:spacing w:line="360" w:lineRule="auto"/>
      <w:ind w:firstLine="200" w:firstLineChars="200"/>
    </w:pPr>
    <w:rPr>
      <w:sz w:val="24"/>
    </w:rPr>
  </w:style>
  <w:style w:type="paragraph" w:customStyle="1" w:styleId="94">
    <w:name w:val="a表格"/>
    <w:next w:val="23"/>
    <w:qFormat/>
    <w:uiPriority w:val="0"/>
    <w:pPr>
      <w:jc w:val="center"/>
    </w:pPr>
    <w:rPr>
      <w:rFonts w:ascii="Times New Roman" w:hAnsi="Times New Roman" w:eastAsia="宋体" w:cs="Times New Roman"/>
      <w:sz w:val="21"/>
      <w:szCs w:val="24"/>
      <w:lang w:val="en-US" w:eastAsia="zh-CN" w:bidi="ar-SA"/>
    </w:rPr>
  </w:style>
  <w:style w:type="paragraph" w:customStyle="1" w:styleId="95">
    <w:name w:val="表格正文"/>
    <w:next w:val="1"/>
    <w:qFormat/>
    <w:uiPriority w:val="0"/>
    <w:pPr>
      <w:jc w:val="center"/>
    </w:pPr>
    <w:rPr>
      <w:rFonts w:ascii="Times New Roman" w:hAnsi="Times New Roman" w:eastAsia="宋体" w:cs="Times New Roman"/>
      <w:sz w:val="21"/>
      <w:szCs w:val="21"/>
      <w:lang w:val="en-US" w:eastAsia="zh-CN" w:bidi="ar-SA"/>
    </w:rPr>
  </w:style>
  <w:style w:type="table" w:customStyle="1" w:styleId="96">
    <w:name w:val="Table Normal"/>
    <w:semiHidden/>
    <w:unhideWhenUsed/>
    <w:qFormat/>
    <w:uiPriority w:val="0"/>
    <w:tblPr>
      <w:tblCellMar>
        <w:top w:w="0" w:type="dxa"/>
        <w:left w:w="0" w:type="dxa"/>
        <w:bottom w:w="0" w:type="dxa"/>
        <w:right w:w="0" w:type="dxa"/>
      </w:tblCellMar>
    </w:tblPr>
  </w:style>
  <w:style w:type="paragraph" w:customStyle="1" w:styleId="97">
    <w:name w:val="Table Text"/>
    <w:basedOn w:val="1"/>
    <w:semiHidden/>
    <w:qFormat/>
    <w:uiPriority w:val="0"/>
    <w:rPr>
      <w:rFonts w:ascii="宋体" w:hAnsi="宋体" w:eastAsia="宋体" w:cs="宋体"/>
      <w:sz w:val="24"/>
      <w:szCs w:val="24"/>
      <w:lang w:val="en-US" w:eastAsia="en-US" w:bidi="ar-SA"/>
    </w:rPr>
  </w:style>
  <w:style w:type="paragraph" w:customStyle="1" w:styleId="98">
    <w:name w:val="B表内"/>
    <w:basedOn w:val="99"/>
    <w:qFormat/>
    <w:uiPriority w:val="0"/>
    <w:pPr>
      <w:spacing w:line="360" w:lineRule="exact"/>
      <w:ind w:firstLine="0" w:firstLineChars="0"/>
      <w:jc w:val="center"/>
    </w:pPr>
    <w:rPr>
      <w:rFonts w:cs="宋体"/>
      <w:sz w:val="21"/>
      <w:szCs w:val="21"/>
    </w:rPr>
  </w:style>
  <w:style w:type="paragraph" w:customStyle="1" w:styleId="99">
    <w:name w:val="B正文"/>
    <w:basedOn w:val="1"/>
    <w:qFormat/>
    <w:uiPriority w:val="0"/>
    <w:pPr>
      <w:spacing w:line="360" w:lineRule="auto"/>
      <w:ind w:firstLine="200" w:firstLineChars="200"/>
    </w:pPr>
    <w:rPr>
      <w:kern w:val="0"/>
      <w:sz w:val="24"/>
    </w:rPr>
  </w:style>
  <w:style w:type="paragraph" w:customStyle="1" w:styleId="100">
    <w:name w:val="表内zzzz"/>
    <w:basedOn w:val="1"/>
    <w:qFormat/>
    <w:uiPriority w:val="0"/>
    <w:pPr>
      <w:widowControl/>
      <w:adjustRightInd/>
      <w:spacing w:line="360" w:lineRule="exact"/>
      <w:ind w:firstLine="0" w:firstLineChars="0"/>
      <w:jc w:val="center"/>
    </w:pPr>
    <w:rPr>
      <w:rFonts w:ascii="Times New Roman" w:hAnsi="Times New Roman"/>
      <w:color w:val="000000"/>
      <w:sz w:val="21"/>
      <w:szCs w:val="21"/>
      <w:lang w:bidi="en-US"/>
    </w:rPr>
  </w:style>
  <w:style w:type="paragraph" w:customStyle="1" w:styleId="101">
    <w:name w:val="正文2"/>
    <w:basedOn w:val="1"/>
    <w:qFormat/>
    <w:uiPriority w:val="0"/>
    <w:pPr>
      <w:adjustRightInd w:val="0"/>
      <w:spacing w:line="360" w:lineRule="auto"/>
      <w:ind w:firstLine="480" w:firstLineChars="200"/>
      <w:textAlignment w:val="baseline"/>
    </w:pPr>
    <w:rPr>
      <w:rFonts w:ascii="宋体" w:hAnsi="宋体" w:eastAsia="宋体" w:cs="宋体"/>
      <w:kern w:val="21"/>
      <w:sz w:val="24"/>
      <w:szCs w:val="24"/>
      <w:lang w:val="en-US" w:eastAsia="zh-CN" w:bidi="ar-SA"/>
    </w:rPr>
  </w:style>
  <w:style w:type="paragraph" w:customStyle="1" w:styleId="102">
    <w:name w:val="表头"/>
    <w:basedOn w:val="103"/>
    <w:next w:val="1"/>
    <w:qFormat/>
    <w:uiPriority w:val="0"/>
    <w:pPr>
      <w:snapToGrid w:val="0"/>
      <w:spacing w:after="0"/>
      <w:jc w:val="center"/>
      <w:textAlignment w:val="baseline"/>
    </w:pPr>
    <w:rPr>
      <w:rFonts w:ascii="Times New Roman" w:hAnsi="Times New Roman"/>
      <w:b/>
      <w:sz w:val="24"/>
      <w:szCs w:val="24"/>
    </w:rPr>
  </w:style>
  <w:style w:type="paragraph" w:customStyle="1" w:styleId="103">
    <w:name w:val="表格五号1"/>
    <w:basedOn w:val="1"/>
    <w:qFormat/>
    <w:uiPriority w:val="0"/>
    <w:pPr>
      <w:spacing w:line="240" w:lineRule="auto"/>
      <w:ind w:firstLine="0"/>
      <w:jc w:val="center"/>
      <w:textAlignment w:val="center"/>
    </w:pPr>
    <w:rPr>
      <w:rFonts w:ascii="Times New Roman" w:hAnsi="Times New Roman" w:eastAsia="宋体"/>
      <w:spacing w:val="6"/>
      <w:sz w:val="21"/>
      <w:szCs w:val="21"/>
    </w:rPr>
  </w:style>
  <w:style w:type="character" w:customStyle="1" w:styleId="104">
    <w:name w:val="font41"/>
    <w:basedOn w:val="27"/>
    <w:qFormat/>
    <w:uiPriority w:val="0"/>
    <w:rPr>
      <w:rFonts w:hint="default" w:ascii="Times New Roman" w:hAnsi="Times New Roman" w:cs="Times New Roman"/>
      <w:b/>
      <w:bCs/>
      <w:color w:val="000000"/>
      <w:sz w:val="21"/>
      <w:szCs w:val="21"/>
      <w:u w:val="none"/>
    </w:rPr>
  </w:style>
  <w:style w:type="character" w:customStyle="1" w:styleId="105">
    <w:name w:val="font11"/>
    <w:basedOn w:val="27"/>
    <w:qFormat/>
    <w:uiPriority w:val="0"/>
    <w:rPr>
      <w:rFonts w:hint="eastAsia" w:ascii="宋体" w:hAnsi="宋体" w:eastAsia="宋体" w:cs="宋体"/>
      <w:b/>
      <w:bCs/>
      <w:color w:val="000000"/>
      <w:sz w:val="21"/>
      <w:szCs w:val="21"/>
      <w:u w:val="none"/>
    </w:rPr>
  </w:style>
  <w:style w:type="character" w:customStyle="1" w:styleId="106">
    <w:name w:val="font31"/>
    <w:basedOn w:val="27"/>
    <w:qFormat/>
    <w:uiPriority w:val="0"/>
    <w:rPr>
      <w:rFonts w:hint="eastAsia" w:ascii="楷体" w:hAnsi="楷体" w:eastAsia="楷体" w:cs="楷体"/>
      <w:color w:val="000000"/>
      <w:sz w:val="20"/>
      <w:szCs w:val="20"/>
      <w:u w:val="none"/>
    </w:rPr>
  </w:style>
  <w:style w:type="character" w:customStyle="1" w:styleId="107">
    <w:name w:val="font21"/>
    <w:basedOn w:val="27"/>
    <w:qFormat/>
    <w:uiPriority w:val="0"/>
    <w:rPr>
      <w:rFonts w:hint="default" w:ascii="Times New Roman" w:hAnsi="Times New Roman" w:cs="Times New Roman"/>
      <w:b/>
      <w:bCs/>
      <w:color w:val="000000"/>
      <w:sz w:val="20"/>
      <w:szCs w:val="20"/>
      <w:u w:val="none"/>
    </w:rPr>
  </w:style>
  <w:style w:type="paragraph" w:customStyle="1" w:styleId="108">
    <w:name w:val="07F表格文字"/>
    <w:basedOn w:val="109"/>
    <w:next w:val="109"/>
    <w:qFormat/>
    <w:uiPriority w:val="0"/>
    <w:pPr>
      <w:jc w:val="center"/>
    </w:pPr>
    <w:rPr>
      <w:rFonts w:eastAsia="宋体"/>
    </w:rPr>
  </w:style>
  <w:style w:type="paragraph" w:customStyle="1" w:styleId="109">
    <w:name w:val="08F表格批注"/>
    <w:basedOn w:val="1"/>
    <w:next w:val="1"/>
    <w:qFormat/>
    <w:uiPriority w:val="0"/>
    <w:pPr>
      <w:jc w:val="left"/>
    </w:pPr>
    <w:rPr>
      <w:rFonts w:ascii="Times New Roman" w:hAnsi="Times New Roman" w:eastAsia="宋体"/>
      <w:szCs w:val="21"/>
    </w:rPr>
  </w:style>
  <w:style w:type="paragraph" w:customStyle="1" w:styleId="110">
    <w:name w:val="表格内文本-居中"/>
    <w:basedOn w:val="1"/>
    <w:qFormat/>
    <w:uiPriority w:val="0"/>
    <w:pPr>
      <w:spacing w:line="360" w:lineRule="exact"/>
      <w:ind w:firstLine="0" w:firstLineChars="0"/>
      <w:jc w:val="center"/>
    </w:pPr>
    <w:rPr>
      <w:color w:val="auto"/>
      <w:sz w:val="21"/>
    </w:rPr>
  </w:style>
  <w:style w:type="character" w:customStyle="1" w:styleId="111">
    <w:name w:val="1111表格文字 Char"/>
    <w:link w:val="78"/>
    <w:qFormat/>
    <w:uiPriority w:val="0"/>
    <w:rPr>
      <w:rFonts w:ascii="Times New Roman" w:hAnsi="Times New Roman" w:eastAsia="宋体"/>
    </w:rPr>
  </w:style>
  <w:style w:type="paragraph" w:customStyle="1" w:styleId="112">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3">
    <w:name w:val="表格格式"/>
    <w:basedOn w:val="2"/>
    <w:autoRedefine/>
    <w:qFormat/>
    <w:uiPriority w:val="0"/>
    <w:pPr>
      <w:spacing w:before="0" w:after="0" w:line="360" w:lineRule="auto"/>
      <w:jc w:val="center"/>
      <w:outlineLvl w:val="9"/>
    </w:pPr>
    <w:rPr>
      <w:rFonts w:eastAsia="宋体"/>
      <w:color w:val="auto"/>
      <w:sz w:val="24"/>
      <w:szCs w:val="20"/>
    </w:rPr>
  </w:style>
  <w:style w:type="paragraph" w:customStyle="1" w:styleId="114">
    <w:name w:val="表格2025.4.30"/>
    <w:basedOn w:val="53"/>
    <w:autoRedefine/>
    <w:qFormat/>
    <w:uiPriority w:val="0"/>
    <w:pPr>
      <w:spacing w:line="240" w:lineRule="auto"/>
      <w:ind w:firstLine="0" w:firstLineChars="0"/>
      <w:jc w:val="center"/>
    </w:pPr>
    <w:rPr>
      <w:b w:val="0"/>
      <w:color w:val="FF0000"/>
      <w:sz w:val="21"/>
    </w:rPr>
  </w:style>
  <w:style w:type="paragraph" w:customStyle="1" w:styleId="115">
    <w:name w:val="标题1.1"/>
    <w:basedOn w:val="1"/>
    <w:qFormat/>
    <w:uiPriority w:val="0"/>
    <w:pPr>
      <w:adjustRightInd w:val="0"/>
      <w:snapToGrid w:val="0"/>
      <w:spacing w:line="360" w:lineRule="auto"/>
      <w:jc w:val="left"/>
    </w:pPr>
    <w:rPr>
      <w:rFonts w:eastAsia="黑体"/>
      <w:bCs/>
      <w:color w:val="000000"/>
      <w:sz w:val="24"/>
    </w:rPr>
  </w:style>
  <w:style w:type="paragraph" w:customStyle="1" w:styleId="116">
    <w:name w:val="样式7"/>
    <w:basedOn w:val="46"/>
    <w:qFormat/>
    <w:uiPriority w:val="0"/>
    <w:pPr>
      <w:numPr>
        <w:ilvl w:val="0"/>
        <w:numId w:val="3"/>
      </w:numPr>
      <w:spacing w:line="240" w:lineRule="auto"/>
      <w:ind w:firstLine="0"/>
    </w:pPr>
    <w:rPr>
      <w:rFonts w:ascii="Times New Roman" w:hAnsi="Times New Roman" w:eastAsia="宋体"/>
      <w:b/>
      <w:sz w:val="24"/>
    </w:rPr>
  </w:style>
  <w:style w:type="paragraph" w:customStyle="1" w:styleId="117">
    <w:name w:val="正文2022.4"/>
    <w:basedOn w:val="1"/>
    <w:link w:val="119"/>
    <w:autoRedefine/>
    <w:qFormat/>
    <w:uiPriority w:val="0"/>
    <w:pPr>
      <w:spacing w:line="360" w:lineRule="auto"/>
      <w:ind w:firstLine="480" w:firstLineChars="200"/>
    </w:pPr>
    <w:rPr>
      <w:color w:val="EE0000"/>
      <w:sz w:val="24"/>
    </w:rPr>
  </w:style>
  <w:style w:type="paragraph" w:customStyle="1" w:styleId="118">
    <w:name w:val="表格内文字"/>
    <w:basedOn w:val="11"/>
    <w:qFormat/>
    <w:uiPriority w:val="0"/>
    <w:pPr>
      <w:adjustRightInd w:val="0"/>
      <w:jc w:val="center"/>
    </w:pPr>
    <w:rPr>
      <w:rFonts w:cs="Times New Roman"/>
      <w:kern w:val="0"/>
      <w:szCs w:val="20"/>
    </w:rPr>
  </w:style>
  <w:style w:type="character" w:customStyle="1" w:styleId="119">
    <w:name w:val="正文2022.4 字符"/>
    <w:link w:val="117"/>
    <w:autoRedefine/>
    <w:qFormat/>
    <w:uiPriority w:val="0"/>
    <w:rPr>
      <w:color w:val="EE0000"/>
      <w:sz w:val="24"/>
    </w:rPr>
  </w:style>
  <w:style w:type="character" w:customStyle="1" w:styleId="120">
    <w:name w:val="D正文 Char"/>
    <w:link w:val="72"/>
    <w:qFormat/>
    <w:uiPriority w:val="0"/>
    <w:rPr>
      <w:rFonts w:hAnsi="宋体"/>
      <w:kern w:val="2"/>
      <w:szCs w:val="24"/>
    </w:rPr>
  </w:style>
  <w:style w:type="paragraph" w:customStyle="1" w:styleId="121">
    <w:name w:val="正文  2025.4.30"/>
    <w:basedOn w:val="1"/>
    <w:autoRedefine/>
    <w:qFormat/>
    <w:uiPriority w:val="0"/>
    <w:pPr>
      <w:adjustRightInd w:val="0"/>
      <w:snapToGrid w:val="0"/>
      <w:spacing w:line="360" w:lineRule="auto"/>
      <w:ind w:firstLine="480" w:firstLineChars="200"/>
    </w:pPr>
    <w:rPr>
      <w:color w:val="EE0000"/>
      <w:sz w:val="24"/>
    </w:rPr>
  </w:style>
  <w:style w:type="paragraph" w:customStyle="1" w:styleId="122">
    <w:name w:val="1正文"/>
    <w:basedOn w:val="1"/>
    <w:qFormat/>
    <w:uiPriority w:val="0"/>
    <w:pPr>
      <w:adjustRightInd w:val="0"/>
      <w:snapToGrid w:val="0"/>
      <w:spacing w:line="360" w:lineRule="auto"/>
      <w:ind w:firstLine="200" w:firstLineChars="200"/>
      <w:jc w:val="left"/>
    </w:pPr>
    <w:rPr>
      <w:sz w:val="24"/>
    </w:rPr>
  </w:style>
  <w:style w:type="paragraph" w:customStyle="1" w:styleId="123">
    <w:name w:val="CB表头4"/>
    <w:basedOn w:val="1"/>
    <w:next w:val="1"/>
    <w:qFormat/>
    <w:uiPriority w:val="0"/>
    <w:pPr>
      <w:numPr>
        <w:ilvl w:val="0"/>
        <w:numId w:val="4"/>
      </w:numPr>
      <w:autoSpaceDE w:val="0"/>
      <w:autoSpaceDN w:val="0"/>
      <w:adjustRightInd w:val="0"/>
      <w:snapToGrid w:val="0"/>
      <w:spacing w:beforeLines="50"/>
      <w:jc w:val="center"/>
    </w:pPr>
    <w:rPr>
      <w:rFonts w:hint="eastAsia"/>
      <w:b/>
      <w:bCs/>
      <w:color w:val="000000"/>
      <w:szCs w:val="18"/>
    </w:rPr>
  </w:style>
  <w:style w:type="paragraph" w:customStyle="1" w:styleId="124">
    <w:name w:val="样式9"/>
    <w:basedOn w:val="1"/>
    <w:next w:val="1"/>
    <w:qFormat/>
    <w:uiPriority w:val="0"/>
    <w:pPr>
      <w:numPr>
        <w:ilvl w:val="0"/>
        <w:numId w:val="5"/>
      </w:numPr>
      <w:adjustRightInd w:val="0"/>
      <w:snapToGrid w:val="0"/>
      <w:spacing w:line="240" w:lineRule="auto"/>
      <w:ind w:firstLine="0" w:firstLineChars="0"/>
      <w:jc w:val="center"/>
    </w:pPr>
    <w:rPr>
      <w:rFonts w:ascii="Times New Roman" w:hAnsi="Times New Roman" w:eastAsia="宋体"/>
      <w:b/>
      <w:sz w:val="24"/>
    </w:rPr>
  </w:style>
  <w:style w:type="paragraph" w:customStyle="1" w:styleId="125">
    <w:name w:val="五号表格"/>
    <w:basedOn w:val="1"/>
    <w:qFormat/>
    <w:uiPriority w:val="0"/>
    <w:pPr>
      <w:jc w:val="center"/>
    </w:pPr>
    <w:rPr>
      <w:kern w:val="0"/>
      <w:szCs w:val="20"/>
    </w:rPr>
  </w:style>
  <w:style w:type="paragraph" w:customStyle="1" w:styleId="126">
    <w:name w:val="样式10"/>
    <w:basedOn w:val="46"/>
    <w:qFormat/>
    <w:uiPriority w:val="0"/>
    <w:pPr>
      <w:numPr>
        <w:ilvl w:val="0"/>
        <w:numId w:val="6"/>
      </w:numPr>
      <w:spacing w:line="240" w:lineRule="auto"/>
      <w:ind w:firstLine="0"/>
    </w:pPr>
    <w:rPr>
      <w:rFonts w:ascii="Times New Roman" w:hAnsi="Times New Roman" w:eastAsia="宋体"/>
      <w:b/>
      <w:sz w:val="24"/>
    </w:rPr>
  </w:style>
  <w:style w:type="paragraph" w:customStyle="1" w:styleId="127">
    <w:name w:val="_B五号图表内容"/>
    <w:basedOn w:val="1"/>
    <w:next w:val="128"/>
    <w:qFormat/>
    <w:uiPriority w:val="0"/>
    <w:pPr>
      <w:widowControl/>
      <w:spacing w:line="240" w:lineRule="atLeast"/>
      <w:jc w:val="center"/>
    </w:pPr>
    <w:rPr>
      <w:rFonts w:cs="宋体"/>
      <w:szCs w:val="18"/>
    </w:rPr>
  </w:style>
  <w:style w:type="paragraph" w:customStyle="1" w:styleId="128">
    <w:name w:val="图表内容"/>
    <w:basedOn w:val="20"/>
    <w:next w:val="1"/>
    <w:qFormat/>
    <w:uiPriority w:val="0"/>
    <w:pPr>
      <w:spacing w:line="240" w:lineRule="auto"/>
      <w:ind w:firstLine="0" w:firstLineChars="0"/>
      <w:jc w:val="left"/>
    </w:pPr>
    <w:rPr>
      <w:rFonts w:ascii="Calibri" w:hAnsi="Calibri"/>
      <w:sz w:val="21"/>
    </w:rPr>
  </w:style>
  <w:style w:type="paragraph" w:customStyle="1" w:styleId="129">
    <w:name w:val="表头样"/>
    <w:basedOn w:val="1"/>
    <w:qFormat/>
    <w:uiPriority w:val="0"/>
    <w:pPr>
      <w:adjustRightInd/>
      <w:spacing w:line="240" w:lineRule="auto"/>
      <w:ind w:firstLine="0" w:firstLineChars="0"/>
      <w:jc w:val="center"/>
    </w:pPr>
    <w:rPr>
      <w:rFonts w:ascii="Times New Roman" w:hAnsi="Times New Roman" w:eastAsia="宋体"/>
      <w:b/>
      <w:sz w:val="21"/>
    </w:rPr>
  </w:style>
  <w:style w:type="paragraph" w:customStyle="1" w:styleId="130">
    <w:name w:val="表格样式"/>
    <w:basedOn w:val="1"/>
    <w:next w:val="24"/>
    <w:qFormat/>
    <w:uiPriority w:val="0"/>
    <w:pPr>
      <w:spacing w:line="240" w:lineRule="auto"/>
      <w:ind w:firstLine="0" w:firstLineChars="0"/>
      <w:jc w:val="center"/>
    </w:pPr>
    <w:rPr>
      <w:rFonts w:ascii="Times New Roman" w:hAnsi="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numbering" Target="numbering.xml"/><Relationship Id="rId5" Type="http://schemas.openxmlformats.org/officeDocument/2006/relationships/footer" Target="footer1.xml"/><Relationship Id="rId49" Type="http://schemas.openxmlformats.org/officeDocument/2006/relationships/customXml" Target="../customXml/item1.xml"/><Relationship Id="rId48" Type="http://schemas.openxmlformats.org/officeDocument/2006/relationships/image" Target="media/image35.jpeg"/><Relationship Id="rId47" Type="http://schemas.openxmlformats.org/officeDocument/2006/relationships/image" Target="media/image34.jpeg"/><Relationship Id="rId46" Type="http://schemas.openxmlformats.org/officeDocument/2006/relationships/image" Target="media/image33.jpeg"/><Relationship Id="rId45" Type="http://schemas.openxmlformats.org/officeDocument/2006/relationships/image" Target="media/image32.jpeg"/><Relationship Id="rId44" Type="http://schemas.openxmlformats.org/officeDocument/2006/relationships/image" Target="media/image31.jpeg"/><Relationship Id="rId43" Type="http://schemas.openxmlformats.org/officeDocument/2006/relationships/image" Target="media/image30.jpeg"/><Relationship Id="rId42" Type="http://schemas.openxmlformats.org/officeDocument/2006/relationships/image" Target="media/image29.jpeg"/><Relationship Id="rId41" Type="http://schemas.openxmlformats.org/officeDocument/2006/relationships/image" Target="media/image28.jpeg"/><Relationship Id="rId40" Type="http://schemas.openxmlformats.org/officeDocument/2006/relationships/image" Target="media/image27.jpeg"/><Relationship Id="rId4" Type="http://schemas.openxmlformats.org/officeDocument/2006/relationships/endnotes" Target="endnotes.xml"/><Relationship Id="rId39" Type="http://schemas.openxmlformats.org/officeDocument/2006/relationships/image" Target="media/image26.png"/><Relationship Id="rId38" Type="http://schemas.openxmlformats.org/officeDocument/2006/relationships/image" Target="media/image25.wmf"/><Relationship Id="rId37" Type="http://schemas.openxmlformats.org/officeDocument/2006/relationships/oleObject" Target="embeddings/oleObject4.bin"/><Relationship Id="rId36" Type="http://schemas.openxmlformats.org/officeDocument/2006/relationships/image" Target="media/image24.png"/><Relationship Id="rId35" Type="http://schemas.openxmlformats.org/officeDocument/2006/relationships/image" Target="media/image23.png"/><Relationship Id="rId34" Type="http://schemas.openxmlformats.org/officeDocument/2006/relationships/image" Target="media/image22.png"/><Relationship Id="rId33" Type="http://schemas.openxmlformats.org/officeDocument/2006/relationships/image" Target="media/image21.png"/><Relationship Id="rId32" Type="http://schemas.openxmlformats.org/officeDocument/2006/relationships/image" Target="media/image20.png"/><Relationship Id="rId31" Type="http://schemas.openxmlformats.org/officeDocument/2006/relationships/image" Target="media/image19.png"/><Relationship Id="rId30" Type="http://schemas.openxmlformats.org/officeDocument/2006/relationships/image" Target="media/image18.png"/><Relationship Id="rId3" Type="http://schemas.openxmlformats.org/officeDocument/2006/relationships/footnotes" Target="footnotes.xml"/><Relationship Id="rId29" Type="http://schemas.openxmlformats.org/officeDocument/2006/relationships/image" Target="media/image17.png"/><Relationship Id="rId28" Type="http://schemas.openxmlformats.org/officeDocument/2006/relationships/image" Target="media/image16.png"/><Relationship Id="rId27" Type="http://schemas.openxmlformats.org/officeDocument/2006/relationships/image" Target="media/image15.png"/><Relationship Id="rId26" Type="http://schemas.openxmlformats.org/officeDocument/2006/relationships/image" Target="media/image14.pn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wmf"/><Relationship Id="rId2" Type="http://schemas.openxmlformats.org/officeDocument/2006/relationships/settings" Target="settings.xml"/><Relationship Id="rId19" Type="http://schemas.openxmlformats.org/officeDocument/2006/relationships/image" Target="media/image7.wmf"/><Relationship Id="rId18" Type="http://schemas.openxmlformats.org/officeDocument/2006/relationships/image" Target="media/image6.png"/><Relationship Id="rId17" Type="http://schemas.openxmlformats.org/officeDocument/2006/relationships/image" Target="media/image5.jpeg"/><Relationship Id="rId16" Type="http://schemas.openxmlformats.org/officeDocument/2006/relationships/image" Target="media/image4.png"/><Relationship Id="rId15" Type="http://schemas.openxmlformats.org/officeDocument/2006/relationships/image" Target="media/image3.emf"/><Relationship Id="rId14" Type="http://schemas.openxmlformats.org/officeDocument/2006/relationships/oleObject" Target="embeddings/oleObject3.bin"/><Relationship Id="rId13" Type="http://schemas.openxmlformats.org/officeDocument/2006/relationships/image" Target="media/image2.emf"/><Relationship Id="rId12" Type="http://schemas.openxmlformats.org/officeDocument/2006/relationships/oleObject" Target="embeddings/oleObject2.bin"/><Relationship Id="rId11" Type="http://schemas.openxmlformats.org/officeDocument/2006/relationships/image" Target="media/image1.emf"/><Relationship Id="rId10" Type="http://schemas.openxmlformats.org/officeDocument/2006/relationships/oleObject" Target="embeddings/oleObject1.bin"/><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184</Pages>
  <Words>44738</Words>
  <Characters>46142</Characters>
  <Lines>1</Lines>
  <Paragraphs>1</Paragraphs>
  <TotalTime>6</TotalTime>
  <ScaleCrop>false</ScaleCrop>
  <LinksUpToDate>false</LinksUpToDate>
  <CharactersWithSpaces>46250</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2025-05-07T14:40:00Z</dcterms:created>
  <dc:creator>潇潇雨</dc:creator>
  <cp:lastModifiedBy>小愤青菜</cp:lastModifiedBy>
  <dcterms:modified xsi:type="dcterms:W3CDTF">2025-12-03T14:45:24Z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E7FA9D00C2A443F69FDE90859269C1EF_13</vt:lpwstr>
  </property>
  <property fmtid="{D5CDD505-2E9C-101B-9397-08002B2CF9AE}" pid="4" name="KSOTemplateDocerSaveRecord">
    <vt:lpwstr>eyJoZGlkIjoiMmI5YTAxZTk4YmIzNGI4OTFlNjA0ODA1ZDU0NWU0OTIiLCJ1c2VySWQiOiIzODQ3NTk4MTEifQ==</vt:lpwstr>
  </property>
</Properties>
</file>